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8" w:lineRule="exact"/>
        <w:rPr>
          <w:sz w:val="24"/>
          <w:szCs w:val="24"/>
          <w:color w:val="auto"/>
        </w:rPr>
      </w:pPr>
    </w:p>
    <w:p>
      <w:pPr>
        <w:ind w:left="340" w:hanging="332"/>
        <w:spacing w:after="0"/>
        <w:tabs>
          <w:tab w:leader="none" w:pos="340" w:val="left"/>
        </w:tabs>
        <w:numPr>
          <w:ilvl w:val="0"/>
          <w:numId w:val="1"/>
        </w:numPr>
        <w:rPr>
          <w:rFonts w:ascii="Arial" w:cs="Arial" w:eastAsia="Arial" w:hAnsi="Arial"/>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180"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78" w:lineRule="exact"/>
        <w:rPr>
          <w:sz w:val="24"/>
          <w:szCs w:val="24"/>
          <w:color w:val="auto"/>
        </w:rPr>
      </w:pPr>
    </w:p>
    <w:p>
      <w:pPr>
        <w:ind w:left="340" w:hanging="332"/>
        <w:spacing w:after="0"/>
        <w:tabs>
          <w:tab w:leader="none" w:pos="34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18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For the transition period from: _____________________ to 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1-13219</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Ocwen Financial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400" w:type="dxa"/>
            <w:vAlign w:val="bottom"/>
            <w:gridSpan w:val="2"/>
          </w:tcPr>
          <w:p>
            <w:pPr>
              <w:jc w:val="center"/>
              <w:ind w:right="2840"/>
              <w:spacing w:after="0"/>
              <w:rPr>
                <w:sz w:val="20"/>
                <w:szCs w:val="20"/>
                <w:color w:val="auto"/>
              </w:rPr>
            </w:pPr>
            <w:r>
              <w:rPr>
                <w:rFonts w:ascii="Arial" w:cs="Arial" w:eastAsia="Arial" w:hAnsi="Arial"/>
                <w:sz w:val="18"/>
                <w:szCs w:val="18"/>
                <w:b w:val="1"/>
                <w:bCs w:val="1"/>
                <w:color w:val="auto"/>
                <w:w w:val="93"/>
              </w:rPr>
              <w:t>Florida</w:t>
            </w:r>
          </w:p>
        </w:tc>
        <w:tc>
          <w:tcPr>
            <w:tcW w:w="3260" w:type="dxa"/>
            <w:vAlign w:val="bottom"/>
            <w:gridSpan w:val="3"/>
          </w:tcPr>
          <w:p>
            <w:pPr>
              <w:jc w:val="center"/>
              <w:ind w:left="1830"/>
              <w:spacing w:after="0"/>
              <w:rPr>
                <w:sz w:val="20"/>
                <w:szCs w:val="20"/>
                <w:color w:val="auto"/>
              </w:rPr>
            </w:pPr>
            <w:r>
              <w:rPr>
                <w:rFonts w:ascii="Arial" w:cs="Arial" w:eastAsia="Arial" w:hAnsi="Arial"/>
                <w:sz w:val="18"/>
                <w:szCs w:val="18"/>
                <w:b w:val="1"/>
                <w:bCs w:val="1"/>
                <w:color w:val="auto"/>
                <w:w w:val="89"/>
              </w:rPr>
              <w:t>65-0039856</w:t>
            </w:r>
          </w:p>
        </w:tc>
      </w:tr>
      <w:tr>
        <w:trPr>
          <w:trHeight w:val="20"/>
        </w:trPr>
        <w:tc>
          <w:tcPr>
            <w:tcW w:w="9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4300" w:type="dxa"/>
            <w:vAlign w:val="bottom"/>
            <w:gridSpan w:val="3"/>
          </w:tcPr>
          <w:p>
            <w:pPr>
              <w:jc w:val="center"/>
              <w:ind w:right="1920"/>
              <w:spacing w:after="0"/>
              <w:rPr>
                <w:sz w:val="20"/>
                <w:szCs w:val="20"/>
                <w:color w:val="auto"/>
              </w:rPr>
            </w:pPr>
            <w:r>
              <w:rPr>
                <w:rFonts w:ascii="Arial" w:cs="Arial" w:eastAsia="Arial" w:hAnsi="Arial"/>
                <w:sz w:val="18"/>
                <w:szCs w:val="18"/>
                <w:color w:val="auto"/>
                <w:w w:val="92"/>
              </w:rPr>
              <w:t>(State or other jurisdiction</w:t>
            </w:r>
          </w:p>
        </w:tc>
        <w:tc>
          <w:tcPr>
            <w:tcW w:w="3260" w:type="dxa"/>
            <w:vAlign w:val="bottom"/>
            <w:gridSpan w:val="3"/>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1940"/>
              <w:spacing w:after="0"/>
              <w:rPr>
                <w:sz w:val="20"/>
                <w:szCs w:val="20"/>
                <w:color w:val="auto"/>
              </w:rPr>
            </w:pPr>
            <w:r>
              <w:rPr>
                <w:rFonts w:ascii="Arial" w:cs="Arial" w:eastAsia="Arial" w:hAnsi="Arial"/>
                <w:sz w:val="18"/>
                <w:szCs w:val="18"/>
                <w:color w:val="auto"/>
                <w:w w:val="92"/>
              </w:rPr>
              <w:t>of incorporation or organization)</w:t>
            </w:r>
          </w:p>
        </w:tc>
        <w:tc>
          <w:tcPr>
            <w:tcW w:w="3260" w:type="dxa"/>
            <w:vAlign w:val="bottom"/>
            <w:gridSpan w:val="3"/>
          </w:tcPr>
          <w:p>
            <w:pPr>
              <w:jc w:val="center"/>
              <w:ind w:left="1830"/>
              <w:spacing w:after="0"/>
              <w:rPr>
                <w:sz w:val="20"/>
                <w:szCs w:val="20"/>
                <w:color w:val="auto"/>
              </w:rPr>
            </w:pPr>
            <w:r>
              <w:rPr>
                <w:rFonts w:ascii="Arial" w:cs="Arial" w:eastAsia="Arial" w:hAnsi="Arial"/>
                <w:sz w:val="18"/>
                <w:szCs w:val="18"/>
                <w:color w:val="auto"/>
                <w:w w:val="95"/>
              </w:rPr>
              <w:t>Identification No.)</w:t>
            </w:r>
          </w:p>
        </w:tc>
      </w:tr>
    </w:tbl>
    <w:p>
      <w:pPr>
        <w:spacing w:after="0" w:line="143" w:lineRule="exact"/>
        <w:rPr>
          <w:sz w:val="24"/>
          <w:szCs w:val="24"/>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2002 Summit Boulevard, 6</w:t>
      </w:r>
      <w:r>
        <w:rPr>
          <w:rFonts w:ascii="Arial" w:cs="Arial" w:eastAsia="Arial" w:hAnsi="Arial"/>
          <w:sz w:val="30"/>
          <w:szCs w:val="30"/>
          <w:b w:val="1"/>
          <w:bCs w:val="1"/>
          <w:u w:val="single" w:color="auto"/>
          <w:color w:val="auto"/>
          <w:vertAlign w:val="superscript"/>
        </w:rPr>
        <w:t>th</w:t>
      </w:r>
      <w:r>
        <w:rPr>
          <w:rFonts w:ascii="Arial" w:cs="Arial" w:eastAsia="Arial" w:hAnsi="Arial"/>
          <w:sz w:val="18"/>
          <w:szCs w:val="18"/>
          <w:b w:val="1"/>
          <w:bCs w:val="1"/>
          <w:u w:val="single" w:color="auto"/>
          <w:color w:val="auto"/>
        </w:rPr>
        <w:t xml:space="preserve"> Floor, Atlanta, Georgia 30319</w:t>
      </w:r>
    </w:p>
    <w:p>
      <w:pPr>
        <w:ind w:left="3820"/>
        <w:spacing w:after="0"/>
        <w:rPr>
          <w:sz w:val="20"/>
          <w:szCs w:val="20"/>
          <w:color w:val="auto"/>
        </w:rPr>
      </w:pPr>
      <w:r>
        <w:rPr>
          <w:rFonts w:ascii="Arial" w:cs="Arial" w:eastAsia="Arial" w:hAnsi="Arial"/>
          <w:sz w:val="18"/>
          <w:szCs w:val="18"/>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(561) 682-8000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40"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6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210" w:lineRule="exact"/>
        <w:rPr>
          <w:sz w:val="24"/>
          <w:szCs w:val="24"/>
          <w:color w:val="auto"/>
        </w:rPr>
      </w:pPr>
    </w:p>
    <w:p>
      <w:pPr>
        <w:ind w:right="40" w:firstLine="324"/>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1056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223" w:lineRule="exact"/>
        <w:rPr>
          <w:sz w:val="24"/>
          <w:szCs w:val="24"/>
          <w:color w:val="auto"/>
        </w:rPr>
      </w:pPr>
    </w:p>
    <w:p>
      <w:pPr>
        <w:ind w:right="1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ind w:left="580"/>
              <w:spacing w:after="0"/>
              <w:rPr>
                <w:sz w:val="20"/>
                <w:szCs w:val="20"/>
                <w:color w:val="auto"/>
              </w:rPr>
            </w:pPr>
            <w:r>
              <w:rPr>
                <w:rFonts w:ascii="Arial" w:cs="Arial" w:eastAsia="Arial" w:hAnsi="Arial"/>
                <w:sz w:val="18"/>
                <w:szCs w:val="18"/>
                <w:color w:val="auto"/>
              </w:rPr>
              <w:t>Large accelerated filer x</w:t>
            </w:r>
          </w:p>
        </w:tc>
        <w:tc>
          <w:tcPr>
            <w:tcW w:w="2960" w:type="dxa"/>
            <w:vAlign w:val="bottom"/>
          </w:tcPr>
          <w:p>
            <w:pPr>
              <w:jc w:val="right"/>
              <w:ind w:right="490"/>
              <w:spacing w:after="0"/>
              <w:rPr>
                <w:sz w:val="20"/>
                <w:szCs w:val="20"/>
                <w:color w:val="auto"/>
              </w:rPr>
            </w:pPr>
            <w:r>
              <w:rPr>
                <w:rFonts w:ascii="Arial" w:cs="Arial" w:eastAsia="Arial" w:hAnsi="Arial"/>
                <w:sz w:val="18"/>
                <w:szCs w:val="18"/>
                <w:color w:val="auto"/>
              </w:rPr>
              <w:t>Accelerated filer o</w:t>
            </w:r>
          </w:p>
        </w:tc>
      </w:tr>
      <w:tr>
        <w:trPr>
          <w:trHeight w:val="230"/>
        </w:trPr>
        <w:tc>
          <w:tcPr>
            <w:tcW w:w="8460" w:type="dxa"/>
            <w:vAlign w:val="bottom"/>
          </w:tcPr>
          <w:p>
            <w:pPr>
              <w:ind w:left="580"/>
              <w:spacing w:after="0"/>
              <w:rPr>
                <w:sz w:val="20"/>
                <w:szCs w:val="20"/>
                <w:color w:val="auto"/>
              </w:rPr>
            </w:pPr>
            <w:r>
              <w:rPr>
                <w:rFonts w:ascii="Arial" w:cs="Arial" w:eastAsia="Arial" w:hAnsi="Arial"/>
                <w:sz w:val="18"/>
                <w:szCs w:val="18"/>
                <w:color w:val="auto"/>
              </w:rPr>
              <w:t>Non-accelerated filer  o (Do not check if a smaller reporting company)</w:t>
            </w:r>
          </w:p>
        </w:tc>
        <w:tc>
          <w:tcPr>
            <w:tcW w:w="2960" w:type="dxa"/>
            <w:vAlign w:val="bottom"/>
          </w:tcPr>
          <w:p>
            <w:pPr>
              <w:jc w:val="right"/>
              <w:ind w:right="490"/>
              <w:spacing w:after="0"/>
              <w:rPr>
                <w:sz w:val="20"/>
                <w:szCs w:val="20"/>
                <w:color w:val="auto"/>
              </w:rPr>
            </w:pPr>
            <w:r>
              <w:rPr>
                <w:rFonts w:ascii="Arial" w:cs="Arial" w:eastAsia="Arial" w:hAnsi="Arial"/>
                <w:sz w:val="18"/>
                <w:szCs w:val="18"/>
                <w:color w:val="auto"/>
              </w:rPr>
              <w:t>Smaller reporting company o</w:t>
            </w:r>
          </w:p>
        </w:tc>
      </w:tr>
      <w:tr>
        <w:trPr>
          <w:trHeight w:val="392"/>
        </w:trPr>
        <w:tc>
          <w:tcPr>
            <w:tcW w:w="8460" w:type="dxa"/>
            <w:vAlign w:val="bottom"/>
          </w:tcPr>
          <w:p>
            <w:pPr>
              <w:spacing w:after="0"/>
              <w:rPr>
                <w:sz w:val="20"/>
                <w:szCs w:val="20"/>
                <w:color w:val="auto"/>
              </w:rPr>
            </w:pPr>
            <w:r>
              <w:rPr>
                <w:rFonts w:ascii="Arial" w:cs="Arial" w:eastAsia="Arial" w:hAnsi="Arial"/>
                <w:sz w:val="18"/>
                <w:szCs w:val="18"/>
                <w:color w:val="auto"/>
                <w:w w:val="93"/>
              </w:rPr>
              <w:t>Indicate by check mark whether the registrant is a shell company (as defined in Rule 12b-2 of the Exchange Act).</w:t>
            </w:r>
          </w:p>
        </w:tc>
        <w:tc>
          <w:tcPr>
            <w:tcW w:w="2960" w:type="dxa"/>
            <w:vAlign w:val="bottom"/>
          </w:tcPr>
          <w:p>
            <w:pPr>
              <w:spacing w:after="0"/>
              <w:rPr>
                <w:sz w:val="24"/>
                <w:szCs w:val="24"/>
                <w:color w:val="auto"/>
              </w:rPr>
            </w:pPr>
          </w:p>
        </w:tc>
      </w:tr>
      <w:tr>
        <w:trPr>
          <w:trHeight w:val="425"/>
        </w:trPr>
        <w:tc>
          <w:tcPr>
            <w:tcW w:w="8460" w:type="dxa"/>
            <w:vAlign w:val="bottom"/>
          </w:tcPr>
          <w:p>
            <w:pPr>
              <w:spacing w:after="0"/>
              <w:rPr>
                <w:sz w:val="24"/>
                <w:szCs w:val="24"/>
                <w:color w:val="auto"/>
              </w:rPr>
            </w:pPr>
          </w:p>
        </w:tc>
        <w:tc>
          <w:tcPr>
            <w:tcW w:w="29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tc>
      </w:tr>
      <w:tr>
        <w:trPr>
          <w:trHeight w:val="372"/>
        </w:trPr>
        <w:tc>
          <w:tcPr>
            <w:tcW w:w="8460" w:type="dxa"/>
            <w:vAlign w:val="bottom"/>
          </w:tcPr>
          <w:p>
            <w:pPr>
              <w:spacing w:after="0"/>
              <w:rPr>
                <w:sz w:val="20"/>
                <w:szCs w:val="20"/>
                <w:color w:val="auto"/>
              </w:rPr>
            </w:pPr>
            <w:r>
              <w:rPr>
                <w:rFonts w:ascii="Arial" w:cs="Arial" w:eastAsia="Arial" w:hAnsi="Arial"/>
                <w:sz w:val="18"/>
                <w:szCs w:val="18"/>
                <w:color w:val="auto"/>
                <w:w w:val="94"/>
              </w:rPr>
              <w:t>Number of shares of Common Stock, $0.01 par value, outstanding as of October 31, 2013: 135,822,932 shares.</w:t>
            </w:r>
          </w:p>
        </w:tc>
        <w:tc>
          <w:tcPr>
            <w:tcW w:w="2960" w:type="dxa"/>
            <w:vAlign w:val="bottom"/>
          </w:tcPr>
          <w:p>
            <w:pPr>
              <w:spacing w:after="0"/>
              <w:rPr>
                <w:sz w:val="24"/>
                <w:szCs w:val="24"/>
                <w:color w:val="auto"/>
              </w:rPr>
            </w:pPr>
          </w:p>
        </w:tc>
      </w:tr>
      <w:tr>
        <w:trPr>
          <w:trHeight w:val="54"/>
        </w:trPr>
        <w:tc>
          <w:tcPr>
            <w:tcW w:w="846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r>
      <w:tr>
        <w:trPr>
          <w:trHeight w:val="21"/>
        </w:trPr>
        <w:tc>
          <w:tcPr>
            <w:tcW w:w="8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68"/>
        </w:trPr>
        <w:tc>
          <w:tcPr>
            <w:tcW w:w="8460" w:type="dxa"/>
            <w:vAlign w:val="bottom"/>
            <w:shd w:val="clear" w:color="auto" w:fill="000000"/>
          </w:tcPr>
          <w:p>
            <w:pPr>
              <w:spacing w:after="0"/>
              <w:rPr>
                <w:sz w:val="5"/>
                <w:szCs w:val="5"/>
                <w:color w:val="auto"/>
              </w:rPr>
            </w:pPr>
          </w:p>
        </w:tc>
        <w:tc>
          <w:tcPr>
            <w:tcW w:w="29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9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2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700" w:type="dxa"/>
            <w:vAlign w:val="bottom"/>
          </w:tcPr>
          <w:p>
            <w:pPr>
              <w:ind w:left="180"/>
              <w:spacing w:after="0"/>
              <w:rPr>
                <w:sz w:val="20"/>
                <w:szCs w:val="20"/>
                <w:color w:val="auto"/>
              </w:rPr>
            </w:pPr>
            <w:r>
              <w:rPr>
                <w:rFonts w:ascii="Arial" w:cs="Arial" w:eastAsia="Arial" w:hAnsi="Arial"/>
                <w:sz w:val="18"/>
                <w:szCs w:val="18"/>
                <w:b w:val="1"/>
                <w:bCs w:val="1"/>
                <w:color w:val="auto"/>
                <w:w w:val="97"/>
              </w:rPr>
              <w:t>PAGE</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520" w:type="dxa"/>
            <w:vAlign w:val="bottom"/>
            <w:gridSpan w:val="4"/>
          </w:tcPr>
          <w:p>
            <w:pPr>
              <w:spacing w:after="0"/>
              <w:rPr>
                <w:sz w:val="24"/>
                <w:szCs w:val="24"/>
                <w:color w:val="auto"/>
              </w:rPr>
            </w:pPr>
          </w:p>
        </w:tc>
        <w:tc>
          <w:tcPr>
            <w:tcW w:w="96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79"/>
              </w:rPr>
              <w:t>3</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(unaudited) at September 30, 2013 and December 31, 2012</w:t>
              </w:r>
            </w:hyperlink>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79"/>
              </w:rPr>
              <w:t>3</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for the Three and Nine Months Ended September 30, 2013 and 2012</w:t>
              </w:r>
            </w:hyperlink>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79"/>
              </w:rPr>
              <w:t>4</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17"/>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Comprehensive Income (unaudited) for the Three and Nine Months Ended September 30, 2013 and</w:t>
              </w:r>
            </w:hyperlink>
          </w:p>
        </w:tc>
        <w:tc>
          <w:tcPr>
            <w:tcW w:w="70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2012</w:t>
              </w:r>
            </w:hyperlink>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center"/>
              <w:ind w:left="50"/>
              <w:spacing w:after="0" w:line="196" w:lineRule="exact"/>
              <w:rPr>
                <w:sz w:val="20"/>
                <w:szCs w:val="20"/>
                <w:color w:val="auto"/>
              </w:rPr>
            </w:pPr>
            <w:r>
              <w:rPr>
                <w:rFonts w:ascii="Arial" w:cs="Arial" w:eastAsia="Arial" w:hAnsi="Arial"/>
                <w:sz w:val="18"/>
                <w:szCs w:val="18"/>
                <w:color w:val="auto"/>
                <w:w w:val="79"/>
              </w:rPr>
              <w:t>5</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Changes in Stockholders’ Equity (unaudited) for the Nine Months Ended September 30, 2013 and 2012</w:t>
              </w:r>
            </w:hyperlink>
          </w:p>
        </w:tc>
        <w:tc>
          <w:tcPr>
            <w:tcW w:w="180" w:type="dxa"/>
            <w:vAlign w:val="bottom"/>
          </w:tcPr>
          <w:p>
            <w:pPr>
              <w:spacing w:after="0"/>
              <w:rPr>
                <w:sz w:val="24"/>
                <w:szCs w:val="24"/>
                <w:color w:val="auto"/>
              </w:rPr>
            </w:pPr>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79"/>
              </w:rPr>
              <w:t>6</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for the Nine Months Ended September 30, 2013 and 2012</w:t>
              </w:r>
            </w:hyperlink>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79"/>
              </w:rPr>
              <w:t>7</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unaudited Consolidated Financial Statements</w:t>
              </w:r>
            </w:hyperlink>
          </w:p>
        </w:tc>
        <w:tc>
          <w:tcPr>
            <w:tcW w:w="4040" w:type="dxa"/>
            <w:vAlign w:val="bottom"/>
            <w:tcBorders>
              <w:top w:val="single" w:sz="8" w:color="0000EE"/>
            </w:tcBorders>
            <w:gridSpan w:val="4"/>
          </w:tcPr>
          <w:p>
            <w:pPr>
              <w:spacing w:after="0"/>
              <w:rPr>
                <w:sz w:val="24"/>
                <w:szCs w:val="24"/>
                <w:color w:val="auto"/>
              </w:rPr>
            </w:pPr>
          </w:p>
        </w:tc>
        <w:tc>
          <w:tcPr>
            <w:tcW w:w="1720" w:type="dxa"/>
            <w:vAlign w:val="bottom"/>
            <w:gridSpan w:val="4"/>
          </w:tcPr>
          <w:p>
            <w:pPr>
              <w:spacing w:after="0"/>
              <w:rPr>
                <w:sz w:val="24"/>
                <w:szCs w:val="24"/>
                <w:color w:val="auto"/>
              </w:rPr>
            </w:pPr>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79"/>
              </w:rPr>
              <w:t>9</w:t>
            </w: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Item 2.</w:t>
              </w:r>
            </w:hyperlink>
          </w:p>
        </w:tc>
        <w:tc>
          <w:tcPr>
            <w:tcW w:w="500" w:type="dxa"/>
            <w:vAlign w:val="bottom"/>
            <w:gridSpan w:val="3"/>
          </w:tcPr>
          <w:p>
            <w:pPr>
              <w:spacing w:after="0"/>
              <w:rPr>
                <w:sz w:val="24"/>
                <w:szCs w:val="24"/>
                <w:color w:val="auto"/>
              </w:rPr>
            </w:pPr>
          </w:p>
        </w:tc>
        <w:tc>
          <w:tcPr>
            <w:tcW w:w="968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center"/>
              <w:ind w:left="30"/>
              <w:spacing w:after="0"/>
              <w:rPr>
                <w:sz w:val="20"/>
                <w:szCs w:val="20"/>
                <w:color w:val="auto"/>
              </w:rPr>
            </w:pPr>
            <w:r>
              <w:rPr>
                <w:rFonts w:ascii="Arial" w:cs="Arial" w:eastAsia="Arial" w:hAnsi="Arial"/>
                <w:sz w:val="18"/>
                <w:szCs w:val="18"/>
                <w:color w:val="auto"/>
                <w:w w:val="89"/>
              </w:rPr>
              <w:t>46</w:t>
            </w: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70">
              <w:r>
                <w:rPr>
                  <w:rFonts w:ascii="Arial" w:cs="Arial" w:eastAsia="Arial" w:hAnsi="Arial"/>
                  <w:sz w:val="18"/>
                  <w:szCs w:val="18"/>
                  <w:color w:val="0000EE"/>
                  <w:w w:val="94"/>
                </w:rPr>
                <w:t>Item 3.</w:t>
              </w:r>
            </w:hyperlink>
          </w:p>
        </w:tc>
        <w:tc>
          <w:tcPr>
            <w:tcW w:w="500" w:type="dxa"/>
            <w:vAlign w:val="bottom"/>
            <w:gridSpan w:val="3"/>
          </w:tcPr>
          <w:p>
            <w:pPr>
              <w:spacing w:after="0"/>
              <w:rPr>
                <w:sz w:val="24"/>
                <w:szCs w:val="24"/>
                <w:color w:val="auto"/>
              </w:rPr>
            </w:pPr>
          </w:p>
        </w:tc>
        <w:tc>
          <w:tcPr>
            <w:tcW w:w="6460" w:type="dxa"/>
            <w:vAlign w:val="bottom"/>
            <w:tcBorders>
              <w:top w:val="single" w:sz="8" w:color="0000EE"/>
            </w:tcBorders>
            <w:gridSpan w:val="1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Disclosures About Market Risk</w:t>
              </w:r>
            </w:hyperlink>
          </w:p>
        </w:tc>
        <w:tc>
          <w:tcPr>
            <w:tcW w:w="3220" w:type="dxa"/>
            <w:vAlign w:val="bottom"/>
            <w:gridSpan w:val="5"/>
          </w:tcPr>
          <w:p>
            <w:pPr>
              <w:spacing w:after="0"/>
              <w:rPr>
                <w:sz w:val="24"/>
                <w:szCs w:val="24"/>
                <w:color w:val="auto"/>
              </w:rPr>
            </w:pPr>
          </w:p>
        </w:tc>
        <w:tc>
          <w:tcPr>
            <w:tcW w:w="700" w:type="dxa"/>
            <w:vAlign w:val="bottom"/>
          </w:tcPr>
          <w:p>
            <w:pPr>
              <w:jc w:val="center"/>
              <w:ind w:left="30"/>
              <w:spacing w:after="0"/>
              <w:rPr>
                <w:sz w:val="20"/>
                <w:szCs w:val="20"/>
                <w:color w:val="auto"/>
              </w:rPr>
            </w:pPr>
            <w:r>
              <w:rPr>
                <w:rFonts w:ascii="Arial" w:cs="Arial" w:eastAsia="Arial" w:hAnsi="Arial"/>
                <w:sz w:val="18"/>
                <w:szCs w:val="18"/>
                <w:color w:val="auto"/>
                <w:w w:val="89"/>
              </w:rPr>
              <w:t>69</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24"/>
                <w:szCs w:val="24"/>
                <w:color w:val="auto"/>
              </w:rPr>
            </w:pPr>
          </w:p>
        </w:tc>
        <w:tc>
          <w:tcPr>
            <w:tcW w:w="50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24"/>
                <w:szCs w:val="24"/>
                <w:color w:val="auto"/>
              </w:rPr>
            </w:pPr>
          </w:p>
        </w:tc>
        <w:tc>
          <w:tcPr>
            <w:tcW w:w="5320" w:type="dxa"/>
            <w:vAlign w:val="bottom"/>
            <w:gridSpan w:val="7"/>
          </w:tcPr>
          <w:p>
            <w:pPr>
              <w:spacing w:after="0"/>
              <w:rPr>
                <w:sz w:val="24"/>
                <w:szCs w:val="24"/>
                <w:color w:val="auto"/>
              </w:rPr>
            </w:pPr>
          </w:p>
        </w:tc>
        <w:tc>
          <w:tcPr>
            <w:tcW w:w="700" w:type="dxa"/>
            <w:vAlign w:val="bottom"/>
          </w:tcPr>
          <w:p>
            <w:pPr>
              <w:jc w:val="center"/>
              <w:ind w:left="30"/>
              <w:spacing w:after="0"/>
              <w:rPr>
                <w:sz w:val="20"/>
                <w:szCs w:val="20"/>
                <w:color w:val="auto"/>
              </w:rPr>
            </w:pPr>
            <w:r>
              <w:rPr>
                <w:rFonts w:ascii="Arial" w:cs="Arial" w:eastAsia="Arial" w:hAnsi="Arial"/>
                <w:sz w:val="18"/>
                <w:szCs w:val="18"/>
                <w:color w:val="auto"/>
                <w:w w:val="89"/>
              </w:rPr>
              <w:t>72</w:t>
            </w:r>
          </w:p>
        </w:tc>
      </w:tr>
      <w:tr>
        <w:trPr>
          <w:trHeight w:val="412"/>
        </w:trPr>
        <w:tc>
          <w:tcPr>
            <w:tcW w:w="10720" w:type="dxa"/>
            <w:vAlign w:val="bottom"/>
            <w:gridSpan w:val="22"/>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II – OTHER INFORMATION</w:t>
              </w:r>
            </w:hyperlink>
          </w:p>
        </w:tc>
        <w:tc>
          <w:tcPr>
            <w:tcW w:w="700" w:type="dxa"/>
            <w:vAlign w:val="bottom"/>
          </w:tcPr>
          <w:p>
            <w:pPr>
              <w:spacing w:after="0"/>
              <w:rPr>
                <w:sz w:val="24"/>
                <w:szCs w:val="24"/>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74">
              <w:r>
                <w:rPr>
                  <w:rFonts w:ascii="Arial" w:cs="Arial" w:eastAsia="Arial" w:hAnsi="Arial"/>
                  <w:sz w:val="18"/>
                  <w:szCs w:val="18"/>
                  <w:color w:val="0000EE"/>
                  <w:w w:val="94"/>
                </w:rPr>
                <w:t>Item 1.</w:t>
              </w:r>
            </w:hyperlink>
          </w:p>
        </w:tc>
        <w:tc>
          <w:tcPr>
            <w:tcW w:w="500" w:type="dxa"/>
            <w:vAlign w:val="bottom"/>
            <w:tcBorders>
              <w:top w:val="single" w:sz="8" w:color="0000EE"/>
            </w:tcBorders>
            <w:gridSpan w:val="3"/>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Legal Proceedings</w:t>
              </w:r>
            </w:hyperlink>
          </w:p>
        </w:tc>
        <w:tc>
          <w:tcPr>
            <w:tcW w:w="7860" w:type="dxa"/>
            <w:vAlign w:val="bottom"/>
            <w:gridSpan w:val="11"/>
          </w:tcPr>
          <w:p>
            <w:pPr>
              <w:spacing w:after="0"/>
              <w:rPr>
                <w:sz w:val="24"/>
                <w:szCs w:val="24"/>
                <w:color w:val="auto"/>
              </w:rPr>
            </w:pPr>
          </w:p>
        </w:tc>
        <w:tc>
          <w:tcPr>
            <w:tcW w:w="700" w:type="dxa"/>
            <w:vAlign w:val="bottom"/>
          </w:tcPr>
          <w:p>
            <w:pPr>
              <w:jc w:val="center"/>
              <w:ind w:left="30"/>
              <w:spacing w:after="0"/>
              <w:rPr>
                <w:sz w:val="20"/>
                <w:szCs w:val="20"/>
                <w:color w:val="auto"/>
              </w:rPr>
            </w:pPr>
            <w:r>
              <w:rPr>
                <w:rFonts w:ascii="Arial" w:cs="Arial" w:eastAsia="Arial" w:hAnsi="Arial"/>
                <w:sz w:val="18"/>
                <w:szCs w:val="18"/>
                <w:color w:val="auto"/>
                <w:w w:val="89"/>
              </w:rPr>
              <w:t>73</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34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1040" w:type="dxa"/>
            <w:vAlign w:val="bottom"/>
            <w:gridSpan w:val="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1A.</w:t>
              </w:r>
            </w:hyperlink>
          </w:p>
        </w:tc>
        <w:tc>
          <w:tcPr>
            <w:tcW w:w="9680" w:type="dxa"/>
            <w:vAlign w:val="bottom"/>
            <w:gridSpan w:val="17"/>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Risk Factors</w:t>
              </w:r>
            </w:hyperlink>
          </w:p>
        </w:tc>
        <w:tc>
          <w:tcPr>
            <w:tcW w:w="700" w:type="dxa"/>
            <w:vAlign w:val="bottom"/>
          </w:tcPr>
          <w:p>
            <w:pPr>
              <w:jc w:val="center"/>
              <w:ind w:left="30"/>
              <w:spacing w:after="0"/>
              <w:rPr>
                <w:sz w:val="20"/>
                <w:szCs w:val="20"/>
                <w:color w:val="auto"/>
              </w:rPr>
            </w:pPr>
            <w:r>
              <w:rPr>
                <w:rFonts w:ascii="Arial" w:cs="Arial" w:eastAsia="Arial" w:hAnsi="Arial"/>
                <w:sz w:val="18"/>
                <w:szCs w:val="18"/>
                <w:color w:val="auto"/>
                <w:w w:val="89"/>
              </w:rPr>
              <w:t>73</w:t>
            </w: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74">
              <w:r>
                <w:rPr>
                  <w:rFonts w:ascii="Arial" w:cs="Arial" w:eastAsia="Arial" w:hAnsi="Arial"/>
                  <w:sz w:val="18"/>
                  <w:szCs w:val="18"/>
                  <w:color w:val="0000EE"/>
                  <w:w w:val="94"/>
                </w:rPr>
                <w:t>Item 6.</w:t>
              </w:r>
            </w:hyperlink>
          </w:p>
        </w:tc>
        <w:tc>
          <w:tcPr>
            <w:tcW w:w="100" w:type="dxa"/>
            <w:vAlign w:val="bottom"/>
            <w:tcBorders>
              <w:top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920" w:type="dxa"/>
            <w:vAlign w:val="bottom"/>
            <w:tcBorders>
              <w:top w:val="single" w:sz="8" w:color="0000EE"/>
            </w:tcBorders>
            <w:gridSpan w:val="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Exhibits</w:t>
              </w:r>
            </w:hyperlink>
          </w:p>
        </w:tc>
        <w:tc>
          <w:tcPr>
            <w:tcW w:w="8760" w:type="dxa"/>
            <w:vAlign w:val="bottom"/>
            <w:gridSpan w:val="14"/>
          </w:tcPr>
          <w:p>
            <w:pPr>
              <w:spacing w:after="0"/>
              <w:rPr>
                <w:sz w:val="24"/>
                <w:szCs w:val="24"/>
                <w:color w:val="auto"/>
              </w:rPr>
            </w:pPr>
          </w:p>
        </w:tc>
        <w:tc>
          <w:tcPr>
            <w:tcW w:w="700" w:type="dxa"/>
            <w:vAlign w:val="bottom"/>
          </w:tcPr>
          <w:p>
            <w:pPr>
              <w:jc w:val="center"/>
              <w:ind w:left="30"/>
              <w:spacing w:after="0"/>
              <w:rPr>
                <w:sz w:val="20"/>
                <w:szCs w:val="20"/>
                <w:color w:val="auto"/>
              </w:rPr>
            </w:pPr>
            <w:r>
              <w:rPr>
                <w:rFonts w:ascii="Arial" w:cs="Arial" w:eastAsia="Arial" w:hAnsi="Arial"/>
                <w:sz w:val="18"/>
                <w:szCs w:val="18"/>
                <w:color w:val="auto"/>
                <w:w w:val="89"/>
              </w:rPr>
              <w:t>73</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1040" w:type="dxa"/>
            <w:vAlign w:val="bottom"/>
            <w:gridSpan w:val="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center"/>
              <w:ind w:left="30"/>
              <w:spacing w:after="0"/>
              <w:rPr>
                <w:sz w:val="20"/>
                <w:szCs w:val="20"/>
                <w:color w:val="auto"/>
              </w:rPr>
            </w:pPr>
            <w:r>
              <w:rPr>
                <w:rFonts w:ascii="Arial" w:cs="Arial" w:eastAsia="Arial" w:hAnsi="Arial"/>
                <w:sz w:val="18"/>
                <w:szCs w:val="18"/>
                <w:color w:val="auto"/>
                <w:w w:val="89"/>
              </w:rPr>
              <w:t>75</w:t>
            </w:r>
          </w:p>
        </w:tc>
      </w:tr>
      <w:tr>
        <w:trPr>
          <w:trHeight w:val="473"/>
        </w:trPr>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11"/>
          </w:tcPr>
          <w:p>
            <w:pPr>
              <w:ind w:left="462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16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Important factors that could cause actual results to differ include, but are not limited to, the risks discussed in “Risk Factors” in our Annual Report on Form 10-K for the year ended December 31, 2012 and the following:</w:t>
      </w:r>
    </w:p>
    <w:p>
      <w:pPr>
        <w:spacing w:after="0" w:line="153" w:lineRule="exact"/>
        <w:rPr>
          <w:sz w:val="20"/>
          <w:szCs w:val="20"/>
          <w:color w:val="auto"/>
        </w:rPr>
      </w:pPr>
    </w:p>
    <w:p>
      <w:pPr>
        <w:ind w:left="660" w:right="1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debt covenants;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and adapt our business, including the availability of new loan servicing and other accretive business opportunities;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207"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and government sponsored entities (GSEs), regarding loan put-backs, penalties and legal actions;</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spacing w:after="0" w:line="14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private parties and government agencies regarding our servicing, foreclosure, modification and other practices;</w:t>
      </w:r>
    </w:p>
    <w:p>
      <w:pPr>
        <w:spacing w:after="0" w:line="129"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acquisitions, including our ability to integrate the systems, procedures and personnel of acquired companies;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technology systems and our ability to adapt such systems for future operating environments;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internal security measures or breach of our privacy protections;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conflicts of interest with our officers and directors;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18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Further information on the risks specific to our business is detailed within this report and our other reports and filings with the Securities and Exchange Commission (SEC) including our Annual Report on Form 10-K for the year ended December 31, 2012, our quarterly reports on Form 10-Q and our current reports on Form 8-K. Forward-looking statements speak only as of the date they were made and except for our ongoing obligations under the U.S. federal securities laws, we undertake no obligation to update or revise forward-looking statements whether as a result of new information, future events or otherwise.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62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Borders>
              <w:bottom w:val="single" w:sz="8" w:color="CCEECC"/>
            </w:tcBorders>
          </w:tcPr>
          <w:p>
            <w:pPr>
              <w:spacing w:after="0"/>
              <w:rPr>
                <w:sz w:val="20"/>
                <w:szCs w:val="20"/>
                <w:color w:val="auto"/>
              </w:rPr>
            </w:pPr>
          </w:p>
        </w:tc>
        <w:tc>
          <w:tcPr>
            <w:tcW w:w="2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Cash</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357,486</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Loans held for sale, at fair value</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335,102</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426,480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Advances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946,287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Match funded advances</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533,725</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3,049,244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Mortgage servicing rights, at amortized cost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1,736,943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678,937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Mortgage servicing rights, at fair value</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96,938</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223,404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137,713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Deferred tax assets, net</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93,343</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Goodwill and intangibles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407,620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Premises and equipment, net</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56,837</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Debt service accounts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45,462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88,748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478,533</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273,578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5,311,680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5,682,755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Liabilities, Mezzanine Equity and Stockholders’ Equity Liabilities</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Match funded liabilities</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363,012</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2,532,745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Other borrowings</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2,592,591</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1,096,679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554,708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288,537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CC"/>
            </w:tcBorders>
            <w:shd w:val="clear" w:color="auto" w:fill="CCEECC"/>
          </w:tcPr>
          <w:p>
            <w:pPr>
              <w:ind w:left="46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3,510,311</w:t>
            </w:r>
          </w:p>
        </w:tc>
        <w:tc>
          <w:tcPr>
            <w:tcW w:w="2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3,917,961</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25)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Mezzanine Equity</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140"/>
              <w:spacing w:after="0" w:line="201" w:lineRule="exact"/>
              <w:rPr>
                <w:sz w:val="20"/>
                <w:szCs w:val="20"/>
                <w:color w:val="auto"/>
              </w:rPr>
            </w:pPr>
            <w:r>
              <w:rPr>
                <w:rFonts w:ascii="Arial" w:cs="Arial" w:eastAsia="Arial" w:hAnsi="Arial"/>
                <w:sz w:val="18"/>
                <w:szCs w:val="18"/>
                <w:color w:val="auto"/>
                <w:w w:val="92"/>
              </w:rPr>
              <w:t>Series A Perpetual Convertible Preferred stock, $.01 par value; 200,000 shares authorized; 62,000 and 162,000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w w:val="91"/>
              </w:rPr>
              <w:t>shares issued and outstanding at September 30, 2013 and December 31, 2012, respectively; redemption value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$62,000 plus accrued and unpaid dividends at September 30, 2013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59,945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153,372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140"/>
              <w:spacing w:after="0" w:line="201" w:lineRule="exact"/>
              <w:rPr>
                <w:sz w:val="20"/>
                <w:szCs w:val="20"/>
                <w:color w:val="auto"/>
              </w:rPr>
            </w:pPr>
            <w:r>
              <w:rPr>
                <w:rFonts w:ascii="Arial" w:cs="Arial" w:eastAsia="Arial" w:hAnsi="Arial"/>
                <w:sz w:val="18"/>
                <w:szCs w:val="18"/>
                <w:color w:val="auto"/>
                <w:w w:val="91"/>
              </w:rPr>
              <w:t>Common stock, $.01 par value; 200,000,000 shares authorized; 135,822,932 and 135,637,932 shares issued and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outstanding at September 30, 2013 and December 31, 2012, respectively</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1,358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864,723</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911,942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882,412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704,565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Accumulated other comprehensive loss, net of income taxes</w:t>
            </w:r>
          </w:p>
        </w:tc>
        <w:tc>
          <w:tcPr>
            <w:tcW w:w="2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(7,069)</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CC"/>
            </w:tcBorders>
          </w:tcPr>
          <w:p>
            <w:pPr>
              <w:ind w:left="3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1,741,424</w:t>
            </w:r>
          </w:p>
        </w:tc>
        <w:tc>
          <w:tcPr>
            <w:tcW w:w="26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1,611,422</w:t>
            </w:r>
          </w:p>
        </w:tc>
        <w:tc>
          <w:tcPr>
            <w:tcW w:w="10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CC"/>
            </w:tcBorders>
            <w:shd w:val="clear" w:color="auto" w:fill="CCEECC"/>
          </w:tcPr>
          <w:p>
            <w:pPr>
              <w:ind w:left="460"/>
              <w:spacing w:after="0"/>
              <w:rPr>
                <w:sz w:val="20"/>
                <w:szCs w:val="20"/>
                <w:color w:val="auto"/>
              </w:rPr>
            </w:pPr>
            <w:r>
              <w:rPr>
                <w:rFonts w:ascii="Arial" w:cs="Arial" w:eastAsia="Arial" w:hAnsi="Arial"/>
                <w:sz w:val="18"/>
                <w:szCs w:val="18"/>
                <w:color w:val="auto"/>
              </w:rPr>
              <w:t>Total liabilities, mezzanine equity and stockholders’ equity</w:t>
            </w:r>
          </w:p>
        </w:tc>
        <w:tc>
          <w:tcPr>
            <w:tcW w:w="28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5,311,680</w:t>
            </w:r>
          </w:p>
        </w:tc>
        <w:tc>
          <w:tcPr>
            <w:tcW w:w="26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5,682,755</w:t>
            </w:r>
          </w:p>
        </w:tc>
        <w:tc>
          <w:tcPr>
            <w:tcW w:w="10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Three Months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2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4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rPr>
              <w:t>Servicing and subservicing fees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483,267</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223,011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1,333,392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Gain on loans held for sale, net</w:t>
            </w:r>
          </w:p>
        </w:tc>
        <w:tc>
          <w:tcPr>
            <w:tcW w:w="3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28,262</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72,912</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rPr>
              <w:t>Other revenues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19,711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9,689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76,014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531,240</w:t>
            </w:r>
          </w:p>
        </w:tc>
        <w:tc>
          <w:tcPr>
            <w:tcW w:w="2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232,700</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1,482,318</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608,613</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118,054</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29,759</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330,679</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rPr>
              <w:t>Amortization of servicing rights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79,183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20,150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197,435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Servicing and origination</w:t>
            </w:r>
          </w:p>
        </w:tc>
        <w:tc>
          <w:tcPr>
            <w:tcW w:w="3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34,236</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9,838</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89,740</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18,988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rPr>
              <w:t>Technology and communications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38,809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11,608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102,698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19,090</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5,241</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99,228</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19,743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30,786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10,899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74,631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 operating expenses</w:t>
            </w:r>
          </w:p>
        </w:tc>
        <w:tc>
          <w:tcPr>
            <w:tcW w:w="34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26,102</w:t>
            </w:r>
          </w:p>
        </w:tc>
        <w:tc>
          <w:tcPr>
            <w:tcW w:w="2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5,298</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66,007</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13,489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346,260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960,418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184,980</w:t>
            </w:r>
          </w:p>
        </w:tc>
        <w:tc>
          <w:tcPr>
            <w:tcW w:w="26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139,907</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521,900</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343,803</w:t>
            </w:r>
          </w:p>
        </w:tc>
        <w:tc>
          <w:tcPr>
            <w:tcW w:w="0" w:type="dxa"/>
            <w:vAlign w:val="bottom"/>
          </w:tcPr>
          <w:p>
            <w:pPr>
              <w:spacing w:after="0"/>
              <w:rPr>
                <w:sz w:val="1"/>
                <w:szCs w:val="1"/>
                <w:color w:val="auto"/>
              </w:rPr>
            </w:pPr>
          </w:p>
        </w:tc>
      </w:tr>
      <w:tr>
        <w:trPr>
          <w:trHeight w:val="42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5,379</w:t>
            </w: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2,084</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17,330</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(110,055)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(58,417)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(303,339)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Gain (loss) on debt redemption</w:t>
            </w:r>
          </w:p>
        </w:tc>
        <w:tc>
          <w:tcPr>
            <w:tcW w:w="3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1,282</w:t>
            </w: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(12,556)</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(5,311)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(108,705</w:t>
            </w:r>
          </w:p>
        </w:tc>
        <w:tc>
          <w:tcPr>
            <w:tcW w:w="260" w:type="dxa"/>
            <w:vAlign w:val="bottom"/>
            <w:tcBorders>
              <w:top w:val="single" w:sz="8" w:color="CCEECC"/>
            </w:tcBorders>
            <w:shd w:val="clear" w:color="auto" w:fill="CCEECC"/>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(59,161</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(306,780</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(162,774</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26"/>
        </w:trPr>
        <w:tc>
          <w:tcPr>
            <w:tcW w:w="55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76,275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80,746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215,120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181,029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CC"/>
          </w:tcPr>
          <w:p>
            <w:pPr>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9,273</w:t>
            </w:r>
          </w:p>
        </w:tc>
        <w:tc>
          <w:tcPr>
            <w:tcW w:w="26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29,346</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26,250</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65,447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188,870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CC"/>
          </w:tcPr>
          <w:p>
            <w:pPr>
              <w:spacing w:after="0"/>
              <w:rPr>
                <w:sz w:val="20"/>
                <w:szCs w:val="20"/>
                <w:color w:val="auto"/>
              </w:rPr>
            </w:pPr>
            <w:r>
              <w:rPr>
                <w:rFonts w:ascii="Arial" w:cs="Arial" w:eastAsia="Arial" w:hAnsi="Arial"/>
                <w:sz w:val="18"/>
                <w:szCs w:val="18"/>
                <w:color w:val="auto"/>
              </w:rPr>
              <w:t>Preferred stock dividends</w:t>
            </w:r>
          </w:p>
        </w:tc>
        <w:tc>
          <w:tcPr>
            <w:tcW w:w="3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(1,446)</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(4,450)</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1"/>
              </w:rPr>
              <w:t>Deemed dividend related to beneficial conversion feature of preferred stock</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(4,401)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Net income attributable to Ocwen common stockholders</w:t>
            </w: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61,155</w:t>
            </w:r>
          </w:p>
        </w:tc>
        <w:tc>
          <w:tcPr>
            <w:tcW w:w="26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51,400</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177,847</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115,582</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Earnings per share attributable to Ocwen common stockholders</w:t>
            </w: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0.45</w:t>
            </w:r>
          </w:p>
        </w:tc>
        <w:tc>
          <w:tcPr>
            <w:tcW w:w="3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0.38</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1.31</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CC"/>
              <w:bottom w:val="single" w:sz="8" w:color="CCEECC"/>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CC"/>
              <w:bottom w:val="single" w:sz="8" w:color="CCEEC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CC"/>
              <w:bottom w:val="single" w:sz="8" w:color="CCEECC"/>
            </w:tcBorders>
            <w:vMerge w:val="restart"/>
          </w:tcPr>
          <w:p>
            <w:pPr>
              <w:spacing w:after="0" w:line="20" w:lineRule="exact"/>
              <w:rPr>
                <w:sz w:val="1"/>
                <w:szCs w:val="1"/>
                <w:color w:val="auto"/>
              </w:rPr>
            </w:pPr>
          </w:p>
        </w:tc>
        <w:tc>
          <w:tcPr>
            <w:tcW w:w="220" w:type="dxa"/>
            <w:vAlign w:val="bottom"/>
            <w:tcBorders>
              <w:top w:val="single" w:sz="8" w:color="CCEECC"/>
              <w:bottom w:val="single" w:sz="8" w:color="CCEECC"/>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CC"/>
              <w:bottom w:val="single" w:sz="8" w:color="CCEECC"/>
            </w:tcBorders>
            <w:vMerge w:val="restart"/>
          </w:tcPr>
          <w:p>
            <w:pPr>
              <w:spacing w:after="0" w:line="20" w:lineRule="exact"/>
              <w:rPr>
                <w:sz w:val="1"/>
                <w:szCs w:val="1"/>
                <w:color w:val="auto"/>
              </w:rPr>
            </w:pPr>
          </w:p>
        </w:tc>
        <w:tc>
          <w:tcPr>
            <w:tcW w:w="200" w:type="dxa"/>
            <w:vAlign w:val="bottom"/>
            <w:tcBorders>
              <w:top w:val="single" w:sz="8" w:color="CCEECC"/>
              <w:bottom w:val="single" w:sz="8" w:color="CCEECC"/>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CC"/>
              <w:bottom w:val="single" w:sz="8" w:color="CCEECC"/>
            </w:tcBorders>
            <w:vMerge w:val="restart"/>
          </w:tcPr>
          <w:p>
            <w:pPr>
              <w:spacing w:after="0" w:line="20" w:lineRule="exact"/>
              <w:rPr>
                <w:sz w:val="1"/>
                <w:szCs w:val="1"/>
                <w:color w:val="auto"/>
              </w:rPr>
            </w:pPr>
          </w:p>
        </w:tc>
        <w:tc>
          <w:tcPr>
            <w:tcW w:w="200" w:type="dxa"/>
            <w:vAlign w:val="bottom"/>
            <w:tcBorders>
              <w:top w:val="single" w:sz="8" w:color="CCEECC"/>
              <w:bottom w:val="single" w:sz="8" w:color="CCEECC"/>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bottom w:val="single" w:sz="8" w:color="CCEECC"/>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0.44</w:t>
            </w:r>
          </w:p>
        </w:tc>
        <w:tc>
          <w:tcPr>
            <w:tcW w:w="2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2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w:t>
            </w:r>
          </w:p>
        </w:tc>
        <w:tc>
          <w:tcPr>
            <w:tcW w:w="2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restart"/>
          </w:tcPr>
          <w:p>
            <w:pPr>
              <w:spacing w:after="0"/>
              <w:rPr>
                <w:sz w:val="24"/>
                <w:szCs w:val="24"/>
                <w:color w:val="auto"/>
              </w:rPr>
            </w:pPr>
          </w:p>
        </w:tc>
        <w:tc>
          <w:tcPr>
            <w:tcW w:w="5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135,787,834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134,928,486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135,705,892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133,483,354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140,057,195</w:t>
            </w: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w w:val="91"/>
              </w:rPr>
              <w:t>138,702,881</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w w:val="89"/>
              </w:rPr>
              <w:t>139,747,490</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w w:val="89"/>
              </w:rPr>
              <w:t>138,301,865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shd w:val="clear" w:color="auto" w:fill="CCEECC"/>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67,002</w:t>
            </w:r>
          </w:p>
        </w:tc>
        <w:tc>
          <w:tcPr>
            <w:tcW w:w="560" w:type="dxa"/>
            <w:vAlign w:val="bottom"/>
            <w:gridSpan w:val="2"/>
            <w:shd w:val="clear" w:color="auto" w:fill="CCEECC"/>
          </w:tcPr>
          <w:p>
            <w:pPr>
              <w:jc w:val="right"/>
              <w:ind w:right="1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51,400</w:t>
            </w:r>
          </w:p>
        </w:tc>
        <w:tc>
          <w:tcPr>
            <w:tcW w:w="400" w:type="dxa"/>
            <w:vAlign w:val="bottom"/>
            <w:gridSpan w:val="2"/>
            <w:shd w:val="clear" w:color="auto" w:fill="CCEEC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188,870</w:t>
            </w:r>
          </w:p>
        </w:tc>
        <w:tc>
          <w:tcPr>
            <w:tcW w:w="500" w:type="dxa"/>
            <w:vAlign w:val="bottom"/>
            <w:gridSpan w:val="2"/>
            <w:shd w:val="clear" w:color="auto" w:fill="CCEECC"/>
          </w:tcPr>
          <w:p>
            <w:pPr>
              <w:jc w:val="right"/>
              <w:ind w:right="1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115,582</w:t>
            </w:r>
          </w:p>
        </w:tc>
        <w:tc>
          <w:tcPr>
            <w:tcW w:w="0" w:type="dxa"/>
            <w:vAlign w:val="bottom"/>
          </w:tcPr>
          <w:p>
            <w:pPr>
              <w:spacing w:after="0"/>
              <w:rPr>
                <w:sz w:val="1"/>
                <w:szCs w:val="1"/>
                <w:color w:val="auto"/>
              </w:rPr>
            </w:pPr>
          </w:p>
        </w:tc>
      </w:tr>
      <w:tr>
        <w:trPr>
          <w:trHeight w:val="426"/>
        </w:trPr>
        <w:tc>
          <w:tcPr>
            <w:tcW w:w="55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income taxes:</w:t>
            </w: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CC"/>
          </w:tcPr>
          <w:p>
            <w:pPr>
              <w:ind w:left="140"/>
              <w:spacing w:after="0" w:line="201" w:lineRule="exact"/>
              <w:rPr>
                <w:sz w:val="20"/>
                <w:szCs w:val="20"/>
                <w:color w:val="auto"/>
              </w:rPr>
            </w:pPr>
            <w:r>
              <w:rPr>
                <w:rFonts w:ascii="Arial" w:cs="Arial" w:eastAsia="Arial" w:hAnsi="Arial"/>
                <w:sz w:val="18"/>
                <w:szCs w:val="18"/>
                <w:color w:val="auto"/>
                <w:w w:val="94"/>
              </w:rPr>
              <w:t>Unrealized foreign currency translation income (loss) arising during the</w:t>
            </w:r>
          </w:p>
        </w:tc>
        <w:tc>
          <w:tcPr>
            <w:tcW w:w="3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7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7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period</w:t>
            </w:r>
          </w:p>
        </w:tc>
        <w:tc>
          <w:tcPr>
            <w:tcW w:w="340" w:type="dxa"/>
            <w:vAlign w:val="bottom"/>
            <w:shd w:val="clear" w:color="auto" w:fill="CCEECC"/>
          </w:tcPr>
          <w:p>
            <w:pPr>
              <w:spacing w:after="0"/>
              <w:rPr>
                <w:sz w:val="20"/>
                <w:szCs w:val="20"/>
                <w:color w:val="auto"/>
              </w:rPr>
            </w:pPr>
          </w:p>
        </w:tc>
        <w:tc>
          <w:tcPr>
            <w:tcW w:w="220" w:type="dxa"/>
            <w:vAlign w:val="bottom"/>
            <w:tcBorders>
              <w:bottom w:val="single" w:sz="8" w:color="auto"/>
            </w:tcBorders>
            <w:shd w:val="clear" w:color="auto" w:fill="CCEECC"/>
          </w:tcPr>
          <w:p>
            <w:pPr>
              <w:spacing w:after="0"/>
              <w:rPr>
                <w:sz w:val="20"/>
                <w:szCs w:val="20"/>
                <w:color w:val="auto"/>
              </w:rPr>
            </w:pPr>
          </w:p>
        </w:tc>
        <w:tc>
          <w:tcPr>
            <w:tcW w:w="8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CC"/>
          </w:tcPr>
          <w:p>
            <w:pPr>
              <w:spacing w:after="0"/>
              <w:rPr>
                <w:sz w:val="20"/>
                <w:szCs w:val="20"/>
                <w:color w:val="auto"/>
              </w:rPr>
            </w:pPr>
          </w:p>
        </w:tc>
        <w:tc>
          <w:tcPr>
            <w:tcW w:w="240" w:type="dxa"/>
            <w:vAlign w:val="bottom"/>
            <w:shd w:val="clear" w:color="auto" w:fill="CCEECC"/>
          </w:tcPr>
          <w:p>
            <w:pPr>
              <w:spacing w:after="0"/>
              <w:rPr>
                <w:sz w:val="20"/>
                <w:szCs w:val="20"/>
                <w:color w:val="auto"/>
              </w:rPr>
            </w:pPr>
          </w:p>
        </w:tc>
        <w:tc>
          <w:tcPr>
            <w:tcW w:w="320" w:type="dxa"/>
            <w:vAlign w:val="bottom"/>
            <w:tcBorders>
              <w:bottom w:val="single" w:sz="8" w:color="auto"/>
            </w:tcBorders>
            <w:shd w:val="clear" w:color="auto" w:fill="CCEECC"/>
          </w:tcPr>
          <w:p>
            <w:pPr>
              <w:spacing w:after="0"/>
              <w:rPr>
                <w:sz w:val="20"/>
                <w:szCs w:val="20"/>
                <w:color w:val="auto"/>
              </w:rPr>
            </w:pPr>
          </w:p>
        </w:tc>
        <w:tc>
          <w:tcPr>
            <w:tcW w:w="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200" w:type="dxa"/>
            <w:vAlign w:val="bottom"/>
            <w:tcBorders>
              <w:bottom w:val="single" w:sz="8" w:color="auto"/>
            </w:tcBorders>
            <w:shd w:val="clear" w:color="auto" w:fill="CCEECC"/>
          </w:tcPr>
          <w:p>
            <w:pPr>
              <w:spacing w:after="0"/>
              <w:rPr>
                <w:sz w:val="20"/>
                <w:szCs w:val="20"/>
                <w:color w:val="auto"/>
              </w:rPr>
            </w:pPr>
          </w:p>
        </w:tc>
        <w:tc>
          <w:tcPr>
            <w:tcW w:w="8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707</w:t>
            </w:r>
          </w:p>
        </w:tc>
        <w:tc>
          <w:tcPr>
            <w:tcW w:w="24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300" w:type="dxa"/>
            <w:vAlign w:val="bottom"/>
            <w:tcBorders>
              <w:bottom w:val="single" w:sz="8" w:color="auto"/>
            </w:tcBorders>
            <w:shd w:val="clear" w:color="auto" w:fill="CCEECC"/>
          </w:tcPr>
          <w:p>
            <w:pPr>
              <w:spacing w:after="0"/>
              <w:rPr>
                <w:sz w:val="20"/>
                <w:szCs w:val="20"/>
                <w:color w:val="auto"/>
              </w:rPr>
            </w:pPr>
          </w:p>
        </w:tc>
        <w:tc>
          <w:tcPr>
            <w:tcW w:w="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w w:val="90"/>
              </w:rPr>
              <w:t>Change in deferred loss on cash flow hedges arising during the period (1)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(1,743)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(7,537)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CC"/>
          </w:tcPr>
          <w:p>
            <w:pPr>
              <w:ind w:left="140"/>
              <w:spacing w:after="0" w:line="201" w:lineRule="exact"/>
              <w:rPr>
                <w:sz w:val="20"/>
                <w:szCs w:val="20"/>
                <w:color w:val="auto"/>
              </w:rPr>
            </w:pPr>
            <w:r>
              <w:rPr>
                <w:rFonts w:ascii="Arial" w:cs="Arial" w:eastAsia="Arial" w:hAnsi="Arial"/>
                <w:sz w:val="18"/>
                <w:szCs w:val="18"/>
                <w:color w:val="auto"/>
                <w:w w:val="94"/>
              </w:rPr>
              <w:t>Reclassification adjustment for losses on cash flow hedges included in</w:t>
            </w:r>
          </w:p>
        </w:tc>
        <w:tc>
          <w:tcPr>
            <w:tcW w:w="3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7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7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net income (2)</w:t>
            </w:r>
          </w:p>
        </w:tc>
        <w:tc>
          <w:tcPr>
            <w:tcW w:w="34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4,714</w:t>
            </w:r>
          </w:p>
        </w:tc>
        <w:tc>
          <w:tcPr>
            <w:tcW w:w="240" w:type="dxa"/>
            <w:vAlign w:val="bottom"/>
            <w:shd w:val="clear" w:color="auto" w:fill="CCEECC"/>
          </w:tcPr>
          <w:p>
            <w:pPr>
              <w:spacing w:after="0"/>
              <w:rPr>
                <w:sz w:val="20"/>
                <w:szCs w:val="20"/>
                <w:color w:val="auto"/>
              </w:rPr>
            </w:pPr>
          </w:p>
        </w:tc>
        <w:tc>
          <w:tcPr>
            <w:tcW w:w="240" w:type="dxa"/>
            <w:vAlign w:val="bottom"/>
            <w:shd w:val="clear" w:color="auto" w:fill="CCEECC"/>
          </w:tcPr>
          <w:p>
            <w:pPr>
              <w:spacing w:after="0"/>
              <w:rPr>
                <w:sz w:val="20"/>
                <w:szCs w:val="20"/>
                <w:color w:val="auto"/>
              </w:rPr>
            </w:pPr>
          </w:p>
        </w:tc>
        <w:tc>
          <w:tcPr>
            <w:tcW w:w="320" w:type="dxa"/>
            <w:vAlign w:val="bottom"/>
            <w:shd w:val="clear" w:color="auto" w:fill="CCEECC"/>
          </w:tcPr>
          <w:p>
            <w:pPr>
              <w:spacing w:after="0"/>
              <w:rPr>
                <w:sz w:val="20"/>
                <w:szCs w:val="20"/>
                <w:color w:val="auto"/>
              </w:rPr>
            </w:pPr>
          </w:p>
        </w:tc>
        <w:tc>
          <w:tcPr>
            <w:tcW w:w="9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1,947</w:t>
            </w:r>
          </w:p>
        </w:tc>
        <w:tc>
          <w:tcPr>
            <w:tcW w:w="20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10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6,198</w:t>
            </w:r>
          </w:p>
        </w:tc>
        <w:tc>
          <w:tcPr>
            <w:tcW w:w="20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460"/>
              <w:spacing w:after="0"/>
              <w:rPr>
                <w:sz w:val="20"/>
                <w:szCs w:val="20"/>
                <w:color w:val="auto"/>
              </w:rPr>
            </w:pPr>
            <w:r>
              <w:rPr>
                <w:rFonts w:ascii="Arial" w:cs="Arial" w:eastAsia="Arial" w:hAnsi="Arial"/>
                <w:sz w:val="18"/>
                <w:szCs w:val="18"/>
                <w:color w:val="auto"/>
              </w:rPr>
              <w:t>Net change in deferred loss on cash flow hedges</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9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rPr>
              <w:t>Total other comprehensive income, net of income taxes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71,747</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320" w:type="dxa"/>
            <w:vAlign w:val="bottom"/>
            <w:tcBorders>
              <w:top w:val="single" w:sz="8" w:color="auto"/>
              <w:bottom w:val="single" w:sz="8" w:color="auto"/>
            </w:tcBorders>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51,604</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188,242</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300" w:type="dxa"/>
            <w:vAlign w:val="bottom"/>
            <w:tcBorders>
              <w:top w:val="single" w:sz="8" w:color="auto"/>
              <w:bottom w:val="single" w:sz="8" w:color="auto"/>
            </w:tcBorders>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116,858</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8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benefit of $0.9 million for the three months ended September 30, 2012 and $4.8 million and $3.1 million for the nine months ended September 30, 2013 and 2012, respectively.</w:t>
      </w:r>
    </w:p>
    <w:p>
      <w:pPr>
        <w:spacing w:after="0" w:line="129"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$3.1 million and $1.1 million for the three months ended September 30, 2013 and 2012, respectively, and $3.9 million and $3.8 million for the nine months ended September 30, 2013 and 2012,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Comprehensive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5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Retained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Loss,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Net of Taxes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Balance at December 31, 2012</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9"/>
              </w:rPr>
              <w:t>135,637,932</w:t>
            </w: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1,356</w:t>
            </w:r>
          </w:p>
        </w:tc>
        <w:tc>
          <w:tcPr>
            <w:tcW w:w="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911,942</w:t>
            </w:r>
          </w:p>
        </w:tc>
        <w:tc>
          <w:tcPr>
            <w:tcW w:w="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704,565</w:t>
            </w:r>
          </w:p>
        </w:tc>
        <w:tc>
          <w:tcPr>
            <w:tcW w:w="240" w:type="dxa"/>
            <w:vAlign w:val="bottom"/>
            <w:gridSpan w:val="2"/>
            <w:shd w:val="clear" w:color="auto" w:fill="CCEECC"/>
          </w:tcPr>
          <w:p>
            <w:pPr>
              <w:ind w:left="1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(6,441)</w:t>
            </w:r>
          </w:p>
        </w:tc>
        <w:tc>
          <w:tcPr>
            <w:tcW w:w="34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1,611,422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188,870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188,870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CC"/>
          </w:tcPr>
          <w:p>
            <w:pPr>
              <w:ind w:left="140"/>
              <w:spacing w:after="0" w:line="201" w:lineRule="exact"/>
              <w:rPr>
                <w:sz w:val="20"/>
                <w:szCs w:val="20"/>
                <w:color w:val="auto"/>
              </w:rPr>
            </w:pPr>
            <w:r>
              <w:rPr>
                <w:rFonts w:ascii="Arial" w:cs="Arial" w:eastAsia="Arial" w:hAnsi="Arial"/>
                <w:sz w:val="18"/>
                <w:szCs w:val="18"/>
                <w:color w:val="auto"/>
              </w:rPr>
              <w:t>Preferred stock dividends ($27.92 per</w:t>
            </w:r>
          </w:p>
        </w:tc>
        <w:tc>
          <w:tcPr>
            <w:tcW w:w="10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share)</w:t>
            </w:r>
          </w:p>
        </w:tc>
        <w:tc>
          <w:tcPr>
            <w:tcW w:w="13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20"/>
                <w:szCs w:val="20"/>
                <w:color w:val="auto"/>
              </w:rPr>
            </w:pPr>
          </w:p>
        </w:tc>
        <w:tc>
          <w:tcPr>
            <w:tcW w:w="106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(4,450)</w:t>
            </w: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140"/>
              <w:spacing w:after="0" w:line="201" w:lineRule="exact"/>
              <w:rPr>
                <w:sz w:val="20"/>
                <w:szCs w:val="20"/>
                <w:color w:val="auto"/>
              </w:rPr>
            </w:pPr>
            <w:r>
              <w:rPr>
                <w:rFonts w:ascii="Arial" w:cs="Arial" w:eastAsia="Arial" w:hAnsi="Arial"/>
                <w:sz w:val="18"/>
                <w:szCs w:val="18"/>
                <w:color w:val="auto"/>
              </w:rPr>
              <w:t>Deemed dividend related to beneficial</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300"/>
              <w:spacing w:after="0"/>
              <w:rPr>
                <w:sz w:val="20"/>
                <w:szCs w:val="20"/>
                <w:color w:val="auto"/>
              </w:rPr>
            </w:pPr>
            <w:r>
              <w:rPr>
                <w:rFonts w:ascii="Arial" w:cs="Arial" w:eastAsia="Arial" w:hAnsi="Arial"/>
                <w:sz w:val="18"/>
                <w:szCs w:val="18"/>
                <w:color w:val="auto"/>
              </w:rPr>
              <w:t>conversion feature of preferred stock</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(6,573)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CC"/>
          </w:tcPr>
          <w:p>
            <w:pPr>
              <w:ind w:left="140"/>
              <w:spacing w:after="0"/>
              <w:rPr>
                <w:sz w:val="20"/>
                <w:szCs w:val="20"/>
                <w:color w:val="auto"/>
              </w:rPr>
            </w:pPr>
            <w:r>
              <w:rPr>
                <w:rFonts w:ascii="Arial" w:cs="Arial" w:eastAsia="Arial" w:hAnsi="Arial"/>
                <w:sz w:val="18"/>
                <w:szCs w:val="18"/>
                <w:color w:val="auto"/>
              </w:rPr>
              <w:t>Conversion of Series A preferred stock</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3,145,640</w:t>
            </w: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99,969</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(3,145,640)</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(157,849)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(157,880)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CC"/>
          </w:tcPr>
          <w:p>
            <w:pPr>
              <w:ind w:left="140"/>
              <w:spacing w:after="0"/>
              <w:rPr>
                <w:sz w:val="20"/>
                <w:szCs w:val="20"/>
                <w:color w:val="auto"/>
              </w:rPr>
            </w:pPr>
            <w:r>
              <w:rPr>
                <w:rFonts w:ascii="Arial" w:cs="Arial" w:eastAsia="Arial" w:hAnsi="Arial"/>
                <w:sz w:val="18"/>
                <w:szCs w:val="18"/>
                <w:color w:val="auto"/>
              </w:rPr>
              <w:t>Exercise of common stock options</w:t>
            </w:r>
          </w:p>
        </w:tc>
        <w:tc>
          <w:tcPr>
            <w:tcW w:w="13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172,969</w:t>
            </w: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Equity-based compensation</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12,031</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10,849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CC"/>
          </w:tcPr>
          <w:p>
            <w:pPr>
              <w:ind w:left="140"/>
              <w:spacing w:after="0" w:line="201" w:lineRule="exact"/>
              <w:rPr>
                <w:sz w:val="20"/>
                <w:szCs w:val="20"/>
                <w:color w:val="auto"/>
              </w:rPr>
            </w:pPr>
            <w:r>
              <w:rPr>
                <w:rFonts w:ascii="Arial" w:cs="Arial" w:eastAsia="Arial" w:hAnsi="Arial"/>
                <w:sz w:val="18"/>
                <w:szCs w:val="18"/>
                <w:color w:val="auto"/>
                <w:w w:val="99"/>
              </w:rPr>
              <w:t>Other comprehensive loss, net of income</w:t>
            </w:r>
          </w:p>
        </w:tc>
        <w:tc>
          <w:tcPr>
            <w:tcW w:w="10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60" w:type="dxa"/>
            <w:vAlign w:val="bottom"/>
            <w:gridSpan w:val="2"/>
            <w:vMerge w:val="restart"/>
            <w:shd w:val="clear" w:color="auto" w:fill="CCEECC"/>
          </w:tcPr>
          <w:p>
            <w:pPr>
              <w:jc w:val="right"/>
              <w:ind w:right="40"/>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920" w:type="dxa"/>
            <w:vAlign w:val="bottom"/>
            <w:gridSpan w:val="2"/>
            <w:vMerge w:val="restart"/>
            <w:shd w:val="clear" w:color="auto" w:fill="CCEECC"/>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CC"/>
          </w:tcPr>
          <w:p>
            <w:pPr>
              <w:ind w:left="300"/>
              <w:spacing w:after="0"/>
              <w:rPr>
                <w:sz w:val="20"/>
                <w:szCs w:val="20"/>
                <w:color w:val="auto"/>
              </w:rPr>
            </w:pPr>
            <w:r>
              <w:rPr>
                <w:rFonts w:ascii="Arial" w:cs="Arial" w:eastAsia="Arial" w:hAnsi="Arial"/>
                <w:sz w:val="18"/>
                <w:szCs w:val="18"/>
                <w:color w:val="auto"/>
              </w:rPr>
              <w:t>taxes</w:t>
            </w:r>
          </w:p>
        </w:tc>
        <w:tc>
          <w:tcPr>
            <w:tcW w:w="13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20"/>
                <w:szCs w:val="20"/>
                <w:color w:val="auto"/>
              </w:rPr>
            </w:pPr>
          </w:p>
        </w:tc>
        <w:tc>
          <w:tcPr>
            <w:tcW w:w="106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60" w:type="dxa"/>
            <w:vAlign w:val="bottom"/>
            <w:gridSpan w:val="2"/>
            <w:vMerge w:val="continue"/>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20" w:type="dxa"/>
            <w:vAlign w:val="bottom"/>
            <w:gridSpan w:val="2"/>
            <w:vMerge w:val="continue"/>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2013</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135,822,932</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864,723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1,741,424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restart"/>
          </w:tcPr>
          <w:p>
            <w:pPr>
              <w:spacing w:after="0"/>
              <w:rPr>
                <w:sz w:val="24"/>
                <w:szCs w:val="24"/>
                <w:color w:val="auto"/>
              </w:rPr>
            </w:pPr>
          </w:p>
        </w:tc>
        <w:tc>
          <w:tcPr>
            <w:tcW w:w="3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Balance at December 31, 2011</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9"/>
              </w:rPr>
              <w:t>129,899,288</w:t>
            </w: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1,299</w:t>
            </w:r>
          </w:p>
        </w:tc>
        <w:tc>
          <w:tcPr>
            <w:tcW w:w="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826,121</w:t>
            </w:r>
          </w:p>
        </w:tc>
        <w:tc>
          <w:tcPr>
            <w:tcW w:w="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523,787</w:t>
            </w:r>
          </w:p>
        </w:tc>
        <w:tc>
          <w:tcPr>
            <w:tcW w:w="240" w:type="dxa"/>
            <w:vAlign w:val="bottom"/>
            <w:gridSpan w:val="2"/>
            <w:shd w:val="clear" w:color="auto" w:fill="CCEECC"/>
          </w:tcPr>
          <w:p>
            <w:pPr>
              <w:ind w:left="1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(7,896)</w:t>
            </w:r>
          </w:p>
        </w:tc>
        <w:tc>
          <w:tcPr>
            <w:tcW w:w="34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1,343,311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115,582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CC"/>
          </w:tcPr>
          <w:p>
            <w:pPr>
              <w:ind w:left="140"/>
              <w:spacing w:after="0"/>
              <w:rPr>
                <w:sz w:val="20"/>
                <w:szCs w:val="20"/>
                <w:color w:val="auto"/>
              </w:rPr>
            </w:pPr>
            <w:r>
              <w:rPr>
                <w:rFonts w:ascii="Arial" w:cs="Arial" w:eastAsia="Arial" w:hAnsi="Arial"/>
                <w:sz w:val="18"/>
                <w:szCs w:val="18"/>
                <w:color w:val="auto"/>
              </w:rPr>
              <w:t>Conversion of 3.25% Convertible Notes</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4,635,159</w:t>
            </w:r>
          </w:p>
        </w:tc>
        <w:tc>
          <w:tcPr>
            <w:tcW w:w="3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56,364</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Exercise of common stock options</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462,041</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CC"/>
          </w:tcPr>
          <w:p>
            <w:pPr>
              <w:ind w:left="140"/>
              <w:spacing w:after="0"/>
              <w:rPr>
                <w:sz w:val="20"/>
                <w:szCs w:val="20"/>
                <w:color w:val="auto"/>
              </w:rPr>
            </w:pPr>
            <w:r>
              <w:rPr>
                <w:rFonts w:ascii="Arial" w:cs="Arial" w:eastAsia="Arial" w:hAnsi="Arial"/>
                <w:sz w:val="18"/>
                <w:szCs w:val="18"/>
                <w:color w:val="auto"/>
              </w:rPr>
              <w:t>Equity-based compensation</w:t>
            </w:r>
          </w:p>
        </w:tc>
        <w:tc>
          <w:tcPr>
            <w:tcW w:w="13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8,877</w:t>
            </w:r>
          </w:p>
        </w:tc>
        <w:tc>
          <w:tcPr>
            <w:tcW w:w="14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4,572</w:t>
            </w:r>
          </w:p>
        </w:tc>
        <w:tc>
          <w:tcPr>
            <w:tcW w:w="1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140"/>
              <w:spacing w:after="0" w:line="201" w:lineRule="exact"/>
              <w:rPr>
                <w:sz w:val="20"/>
                <w:szCs w:val="20"/>
                <w:color w:val="auto"/>
              </w:rPr>
            </w:pPr>
            <w:r>
              <w:rPr>
                <w:rFonts w:ascii="Arial" w:cs="Arial" w:eastAsia="Arial" w:hAnsi="Arial"/>
                <w:sz w:val="18"/>
                <w:szCs w:val="18"/>
                <w:color w:val="auto"/>
              </w:rPr>
              <w:t>Other comprehensive income, net of</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300"/>
              <w:spacing w:after="0"/>
              <w:rPr>
                <w:sz w:val="20"/>
                <w:szCs w:val="20"/>
                <w:color w:val="auto"/>
              </w:rPr>
            </w:pPr>
            <w:r>
              <w:rPr>
                <w:rFonts w:ascii="Arial" w:cs="Arial" w:eastAsia="Arial" w:hAnsi="Arial"/>
                <w:sz w:val="18"/>
                <w:szCs w:val="18"/>
                <w:color w:val="auto"/>
              </w:rPr>
              <w:t>income taxes</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Balance at September 30, 2012</w:t>
            </w: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9"/>
              </w:rPr>
              <w:t>135,005,365</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1,350</w:t>
            </w: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889,115</w:t>
            </w: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639,369</w:t>
            </w: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(6,620</w:t>
            </w:r>
          </w:p>
        </w:tc>
        <w:tc>
          <w:tcPr>
            <w:tcW w:w="180" w:type="dxa"/>
            <w:vAlign w:val="bottom"/>
            <w:tcBorders>
              <w:top w:val="single" w:sz="8" w:color="CCEECC"/>
              <w:bottom w:val="single" w:sz="8" w:color="CCEECC"/>
            </w:tcBorders>
            <w:shd w:val="clear" w:color="auto" w:fill="CCEECC"/>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9"/>
              </w:rPr>
              <w:t>1,523,214</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Nine Months Ended September 30,</w:t>
            </w:r>
          </w:p>
        </w:tc>
        <w:tc>
          <w:tcPr>
            <w:tcW w:w="360" w:type="dxa"/>
            <w:vAlign w:val="bottom"/>
            <w:tcBorders>
              <w:bottom w:val="single" w:sz="8" w:color="CCEE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r>
      <w:tr>
        <w:trPr>
          <w:trHeight w:val="210"/>
        </w:trPr>
        <w:tc>
          <w:tcPr>
            <w:tcW w:w="84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188,870</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115,582</w:t>
            </w:r>
          </w:p>
        </w:tc>
        <w:tc>
          <w:tcPr>
            <w:tcW w:w="80" w:type="dxa"/>
            <w:vAlign w:val="bottom"/>
          </w:tcPr>
          <w:p>
            <w:pPr>
              <w:spacing w:after="0"/>
              <w:rPr>
                <w:sz w:val="18"/>
                <w:szCs w:val="18"/>
                <w:color w:val="auto"/>
              </w:rPr>
            </w:pPr>
          </w:p>
        </w:tc>
      </w:tr>
      <w:tr>
        <w:trPr>
          <w:trHeight w:val="216"/>
        </w:trPr>
        <w:tc>
          <w:tcPr>
            <w:tcW w:w="8460" w:type="dxa"/>
            <w:vAlign w:val="bottom"/>
            <w:shd w:val="clear" w:color="auto" w:fill="CCEEC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197,435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53,561</w:t>
            </w:r>
          </w:p>
        </w:tc>
        <w:tc>
          <w:tcPr>
            <w:tcW w:w="80" w:type="dxa"/>
            <w:vAlign w:val="bottom"/>
          </w:tcPr>
          <w:p>
            <w:pPr>
              <w:spacing w:after="0"/>
              <w:rPr>
                <w:sz w:val="18"/>
                <w:szCs w:val="18"/>
                <w:color w:val="auto"/>
              </w:rPr>
            </w:pP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Amortization of debt discount</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1,082</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2,679</w:t>
            </w:r>
          </w:p>
        </w:tc>
        <w:tc>
          <w:tcPr>
            <w:tcW w:w="80" w:type="dxa"/>
            <w:vAlign w:val="bottom"/>
            <w:shd w:val="clear" w:color="auto" w:fill="CCEEC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Amortization of debt issuance costs – senior secured term loans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3,264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3,050</w:t>
            </w:r>
          </w:p>
        </w:tc>
        <w:tc>
          <w:tcPr>
            <w:tcW w:w="80" w:type="dxa"/>
            <w:vAlign w:val="bottom"/>
          </w:tcPr>
          <w:p>
            <w:pPr>
              <w:spacing w:after="0"/>
              <w:rPr>
                <w:sz w:val="18"/>
                <w:szCs w:val="18"/>
                <w:color w:val="auto"/>
              </w:rPr>
            </w:pP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17,153</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3,896</w:t>
            </w:r>
          </w:p>
        </w:tc>
        <w:tc>
          <w:tcPr>
            <w:tcW w:w="80" w:type="dxa"/>
            <w:vAlign w:val="bottom"/>
            <w:shd w:val="clear" w:color="auto" w:fill="CCEEC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Gain on sales of loans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(72,912)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Realized and unrealized losses on derivative financial instruments, net</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12,896</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3,900</w:t>
            </w:r>
          </w:p>
        </w:tc>
        <w:tc>
          <w:tcPr>
            <w:tcW w:w="80" w:type="dxa"/>
            <w:vAlign w:val="bottom"/>
            <w:shd w:val="clear" w:color="auto" w:fill="CCEEC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12,556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8"/>
                <w:szCs w:val="18"/>
                <w:color w:val="auto"/>
              </w:rPr>
            </w:pP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Origination and purchase of loans held for sale</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w w:val="99"/>
              </w:rPr>
              <w:t>(7,072,260)</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Proceeds from sale and collection of loans held for sale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7,006,883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1,136</w:t>
            </w:r>
          </w:p>
        </w:tc>
        <w:tc>
          <w:tcPr>
            <w:tcW w:w="80" w:type="dxa"/>
            <w:vAlign w:val="bottom"/>
          </w:tcPr>
          <w:p>
            <w:pPr>
              <w:spacing w:after="0"/>
              <w:rPr>
                <w:sz w:val="18"/>
                <w:szCs w:val="18"/>
                <w:color w:val="auto"/>
              </w:rPr>
            </w:pP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Decrease in advances and match funded advances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424,008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1,213,917</w:t>
            </w:r>
          </w:p>
        </w:tc>
        <w:tc>
          <w:tcPr>
            <w:tcW w:w="80" w:type="dxa"/>
            <w:vAlign w:val="bottom"/>
          </w:tcPr>
          <w:p>
            <w:pPr>
              <w:spacing w:after="0"/>
              <w:rPr>
                <w:sz w:val="18"/>
                <w:szCs w:val="18"/>
                <w:color w:val="auto"/>
              </w:rPr>
            </w:pPr>
          </w:p>
        </w:tc>
      </w:tr>
      <w:tr>
        <w:trPr>
          <w:trHeight w:val="216"/>
        </w:trPr>
        <w:tc>
          <w:tcPr>
            <w:tcW w:w="84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Decrease in receivables and other assets, net</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265,554</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3,184</w:t>
            </w:r>
          </w:p>
        </w:tc>
        <w:tc>
          <w:tcPr>
            <w:tcW w:w="80" w:type="dxa"/>
            <w:vAlign w:val="bottom"/>
            <w:shd w:val="clear" w:color="auto" w:fill="CCEECC"/>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Increase in servicer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13,046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14,474</w:t>
            </w:r>
          </w:p>
        </w:tc>
        <w:tc>
          <w:tcPr>
            <w:tcW w:w="80" w:type="dxa"/>
            <w:vAlign w:val="bottom"/>
          </w:tcPr>
          <w:p>
            <w:pPr>
              <w:spacing w:after="0"/>
              <w:rPr>
                <w:sz w:val="18"/>
                <w:szCs w:val="18"/>
                <w:color w:val="auto"/>
              </w:rPr>
            </w:pPr>
          </w:p>
        </w:tc>
      </w:tr>
      <w:tr>
        <w:trPr>
          <w:trHeight w:val="216"/>
        </w:trPr>
        <w:tc>
          <w:tcPr>
            <w:tcW w:w="84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Increase in other liabilities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14,737</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7,911</w:t>
            </w:r>
          </w:p>
        </w:tc>
        <w:tc>
          <w:tcPr>
            <w:tcW w:w="80" w:type="dxa"/>
            <w:vAlign w:val="bottom"/>
            <w:shd w:val="clear" w:color="auto" w:fill="CCEECC"/>
          </w:tcPr>
          <w:p>
            <w:pPr>
              <w:spacing w:after="0"/>
              <w:rPr>
                <w:sz w:val="18"/>
                <w:szCs w:val="18"/>
                <w:color w:val="auto"/>
              </w:rPr>
            </w:pPr>
          </w:p>
        </w:tc>
      </w:tr>
      <w:tr>
        <w:trPr>
          <w:trHeight w:val="230"/>
        </w:trPr>
        <w:tc>
          <w:tcPr>
            <w:tcW w:w="846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8,143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10,208</w:t>
            </w:r>
          </w:p>
        </w:tc>
        <w:tc>
          <w:tcPr>
            <w:tcW w:w="80" w:type="dxa"/>
            <w:vAlign w:val="bottom"/>
          </w:tcPr>
          <w:p>
            <w:pPr>
              <w:spacing w:after="0"/>
              <w:rPr>
                <w:sz w:val="19"/>
                <w:szCs w:val="19"/>
                <w:color w:val="auto"/>
              </w:rPr>
            </w:pPr>
          </w:p>
        </w:tc>
      </w:tr>
      <w:tr>
        <w:trPr>
          <w:trHeight w:val="210"/>
        </w:trPr>
        <w:tc>
          <w:tcPr>
            <w:tcW w:w="84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1,020,455</w:t>
            </w:r>
          </w:p>
        </w:tc>
        <w:tc>
          <w:tcPr>
            <w:tcW w:w="44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1,434,151</w:t>
            </w: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Cash paid to acquire ResCap Servicing Operations (a component of Residential Capital, LLC)</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w w:val="99"/>
              </w:rPr>
              <w:t>(2,260,830)</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Cash paid to acquire Liberty Home Equity Solutions, Inc.</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(26,568)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Purchase of mortgage servicing rights, net</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(676,750)</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(175,508)</w:t>
            </w: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Acquisition of advances in connection with the purchase of mortgage servicing rights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(445,478)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(1,914,687)</w:t>
            </w: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Origination of loans held for investment</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(274,081)</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Principal payments received on loans held for investment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2,164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Proceeds from sale of MSRs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21,511</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Proceeds from sale of advance financing subsidiary and special purpose entity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76,334</w:t>
            </w:r>
          </w:p>
        </w:tc>
        <w:tc>
          <w:tcPr>
            <w:tcW w:w="80" w:type="dxa"/>
            <w:vAlign w:val="bottom"/>
          </w:tcPr>
          <w:p>
            <w:pPr>
              <w:spacing w:after="0"/>
              <w:rPr>
                <w:sz w:val="18"/>
                <w:szCs w:val="18"/>
                <w:color w:val="auto"/>
              </w:rPr>
            </w:pP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Proceeds from sale of match funded advances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3,492,489</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1,084,309</w:t>
            </w:r>
          </w:p>
        </w:tc>
        <w:tc>
          <w:tcPr>
            <w:tcW w:w="80" w:type="dxa"/>
            <w:vAlign w:val="bottom"/>
            <w:shd w:val="clear" w:color="auto" w:fill="CCEEC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Proceeds from sale of diversified fee businesses to Altisource Portfolio Solutions, S.A.</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215,700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Net cash acquired in acquisition of Correspondent One S.A.</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22,108</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Distributions of capital from unconsolidated entities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2,839</w:t>
            </w:r>
          </w:p>
        </w:tc>
        <w:tc>
          <w:tcPr>
            <w:tcW w:w="80" w:type="dxa"/>
            <w:vAlign w:val="bottom"/>
          </w:tcPr>
          <w:p>
            <w:pPr>
              <w:spacing w:after="0"/>
              <w:rPr>
                <w:sz w:val="18"/>
                <w:szCs w:val="18"/>
                <w:color w:val="auto"/>
              </w:rPr>
            </w:pP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(24,475)</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(16,596)</w:t>
            </w: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Purchase of real estate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(6,501)</w:t>
            </w:r>
          </w:p>
        </w:tc>
      </w:tr>
      <w:tr>
        <w:trPr>
          <w:trHeight w:val="230"/>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2,947</w:t>
            </w:r>
          </w:p>
        </w:tc>
        <w:tc>
          <w:tcPr>
            <w:tcW w:w="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8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5,009</w:t>
            </w:r>
          </w:p>
        </w:tc>
        <w:tc>
          <w:tcPr>
            <w:tcW w:w="80" w:type="dxa"/>
            <w:vAlign w:val="bottom"/>
            <w:shd w:val="clear" w:color="auto" w:fill="CCEECC"/>
          </w:tcPr>
          <w:p>
            <w:pPr>
              <w:spacing w:after="0"/>
              <w:rPr>
                <w:sz w:val="19"/>
                <w:szCs w:val="19"/>
                <w:color w:val="auto"/>
              </w:rPr>
            </w:pPr>
          </w:p>
        </w:tc>
      </w:tr>
      <w:tr>
        <w:trPr>
          <w:trHeight w:val="210"/>
        </w:trPr>
        <w:tc>
          <w:tcPr>
            <w:tcW w:w="846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CCEE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50,037</w:t>
            </w:r>
          </w:p>
        </w:tc>
        <w:tc>
          <w:tcPr>
            <w:tcW w:w="44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(944,801</w:t>
            </w:r>
          </w:p>
        </w:tc>
        <w:tc>
          <w:tcPr>
            <w:tcW w:w="100" w:type="dxa"/>
            <w:vAlign w:val="bottom"/>
            <w:tcBorders>
              <w:bottom w:val="single" w:sz="8" w:color="CCEECC"/>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84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Net repayment of match funded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(2,169,732)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(352,963)</w:t>
            </w: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Proceeds from other borrowings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7,935,374</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29,784</w:t>
            </w:r>
          </w:p>
        </w:tc>
        <w:tc>
          <w:tcPr>
            <w:tcW w:w="80" w:type="dxa"/>
            <w:vAlign w:val="bottom"/>
            <w:shd w:val="clear" w:color="auto" w:fill="CCEEC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Repayment of other borrowings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(7,182,275)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(191,238)</w:t>
            </w: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Payment of debt issuance costs – senior secured term loan</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(25,547)</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404,509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184,205</w:t>
            </w:r>
          </w:p>
        </w:tc>
        <w:tc>
          <w:tcPr>
            <w:tcW w:w="80" w:type="dxa"/>
            <w:vAlign w:val="bottom"/>
          </w:tcPr>
          <w:p>
            <w:pPr>
              <w:spacing w:after="0"/>
              <w:rPr>
                <w:sz w:val="18"/>
                <w:szCs w:val="18"/>
                <w:color w:val="auto"/>
              </w:rPr>
            </w:pP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Proceeds from sale of loans accounted for as a financing</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272,652</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Redemption of 10.875% Capital Securities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(26,829)</w:t>
            </w: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(157,880)</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Proceeds from exercise of common stock options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947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1,969</w:t>
            </w:r>
          </w:p>
        </w:tc>
        <w:tc>
          <w:tcPr>
            <w:tcW w:w="80" w:type="dxa"/>
            <w:vAlign w:val="bottom"/>
          </w:tcPr>
          <w:p>
            <w:pPr>
              <w:spacing w:after="0"/>
              <w:rPr>
                <w:sz w:val="18"/>
                <w:szCs w:val="18"/>
                <w:color w:val="auto"/>
              </w:rPr>
            </w:pP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Payment of preferred stock dividends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(4,534)</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(6,650)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(8,009)</w:t>
            </w:r>
          </w:p>
        </w:tc>
      </w:tr>
      <w:tr>
        <w:trPr>
          <w:trHeight w:val="210"/>
        </w:trPr>
        <w:tc>
          <w:tcPr>
            <w:tcW w:w="84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(933,136</w:t>
            </w:r>
          </w:p>
        </w:tc>
        <w:tc>
          <w:tcPr>
            <w:tcW w:w="440" w:type="dxa"/>
            <w:vAlign w:val="bottom"/>
            <w:tcBorders>
              <w:top w:val="single" w:sz="8" w:color="CCEECC"/>
            </w:tcBorders>
            <w:shd w:val="clear" w:color="auto" w:fill="CCEECC"/>
          </w:tcPr>
          <w:p>
            <w:pPr>
              <w:jc w:val="right"/>
              <w:ind w:right="3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(363,081</w:t>
            </w:r>
          </w:p>
        </w:tc>
        <w:tc>
          <w:tcPr>
            <w:tcW w:w="100" w:type="dxa"/>
            <w:vAlign w:val="bottom"/>
            <w:tcBorders>
              <w:top w:val="single" w:sz="8" w:color="CCEECC"/>
            </w:tcBorders>
            <w:gridSpan w:val="2"/>
            <w:shd w:val="clear" w:color="auto" w:fill="CCEECC"/>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8460" w:type="dxa"/>
            <w:vAlign w:val="bottom"/>
          </w:tcPr>
          <w:p>
            <w:pPr>
              <w:spacing w:after="0"/>
              <w:rPr>
                <w:sz w:val="20"/>
                <w:szCs w:val="20"/>
                <w:color w:val="auto"/>
              </w:rPr>
            </w:pPr>
            <w:r>
              <w:rPr>
                <w:rFonts w:ascii="Arial" w:cs="Arial" w:eastAsia="Arial" w:hAnsi="Arial"/>
                <w:sz w:val="18"/>
                <w:szCs w:val="18"/>
                <w:color w:val="auto"/>
              </w:rPr>
              <w:t>Net increase in cash</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137,356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126,269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460" w:type="dxa"/>
            <w:vAlign w:val="bottom"/>
            <w:shd w:val="clear" w:color="auto" w:fill="CCEECC"/>
          </w:tcPr>
          <w:p>
            <w:pPr>
              <w:spacing w:after="0"/>
              <w:rPr>
                <w:sz w:val="20"/>
                <w:szCs w:val="20"/>
                <w:color w:val="auto"/>
              </w:rPr>
            </w:pPr>
            <w:r>
              <w:rPr>
                <w:rFonts w:ascii="Arial" w:cs="Arial" w:eastAsia="Arial" w:hAnsi="Arial"/>
                <w:sz w:val="18"/>
                <w:szCs w:val="18"/>
                <w:color w:val="auto"/>
              </w:rPr>
              <w:t>Cash at beginning of period</w:t>
            </w:r>
          </w:p>
        </w:tc>
        <w:tc>
          <w:tcPr>
            <w:tcW w:w="36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220,130</w:t>
            </w:r>
          </w:p>
        </w:tc>
        <w:tc>
          <w:tcPr>
            <w:tcW w:w="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8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144,234</w:t>
            </w:r>
          </w:p>
        </w:tc>
        <w:tc>
          <w:tcPr>
            <w:tcW w:w="80" w:type="dxa"/>
            <w:vAlign w:val="bottom"/>
            <w:shd w:val="clear" w:color="auto" w:fill="CCEECC"/>
          </w:tcPr>
          <w:p>
            <w:pPr>
              <w:spacing w:after="0"/>
              <w:rPr>
                <w:sz w:val="19"/>
                <w:szCs w:val="19"/>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Cash at end of period</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357,486</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Nine Months Ended September 30,</w:t>
            </w:r>
          </w:p>
        </w:tc>
        <w:tc>
          <w:tcPr>
            <w:tcW w:w="360" w:type="dxa"/>
            <w:vAlign w:val="bottom"/>
            <w:tcBorders>
              <w:bottom w:val="single" w:sz="8" w:color="CCEE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r>
      <w:tr>
        <w:trPr>
          <w:trHeight w:val="210"/>
        </w:trPr>
        <w:tc>
          <w:tcPr>
            <w:tcW w:w="84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Conversion of Series A preferred stock to common stock</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Conversion of 3.25% Convertible Notes to common stock</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56,410</w:t>
            </w:r>
          </w:p>
        </w:tc>
      </w:tr>
      <w:tr>
        <w:trPr>
          <w:trHeight w:val="432"/>
        </w:trPr>
        <w:tc>
          <w:tcPr>
            <w:tcW w:w="8460" w:type="dxa"/>
            <w:vAlign w:val="bottom"/>
          </w:tcPr>
          <w:p>
            <w:pPr>
              <w:spacing w:after="0"/>
              <w:rPr>
                <w:sz w:val="20"/>
                <w:szCs w:val="20"/>
                <w:color w:val="auto"/>
              </w:rPr>
            </w:pPr>
            <w:r>
              <w:rPr>
                <w:rFonts w:ascii="Arial" w:cs="Arial" w:eastAsia="Arial" w:hAnsi="Arial"/>
                <w:sz w:val="18"/>
                <w:szCs w:val="18"/>
                <w:b w:val="1"/>
                <w:bCs w:val="1"/>
                <w:color w:val="auto"/>
              </w:rPr>
              <w:t>Supplemental business acquisition information – ResCap Servicing Operations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Fair value of assets acquired</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Advances</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(1,722,379)</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Mortgage servicing rights</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(391,853)</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Premises and equipment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(16,423)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(201,810)</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tcPr>
          <w:p>
            <w:pPr>
              <w:ind w:left="320"/>
              <w:spacing w:after="0"/>
              <w:rPr>
                <w:sz w:val="20"/>
                <w:szCs w:val="20"/>
                <w:color w:val="auto"/>
              </w:rPr>
            </w:pPr>
            <w:r>
              <w:rPr>
                <w:rFonts w:ascii="Arial" w:cs="Arial" w:eastAsia="Arial" w:hAnsi="Arial"/>
                <w:sz w:val="18"/>
                <w:szCs w:val="18"/>
                <w:color w:val="auto"/>
              </w:rPr>
              <w:t>Receivables and other assets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(2,989)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460" w:type="dxa"/>
            <w:vAlign w:val="bottom"/>
            <w:tcBorders>
              <w:top w:val="single" w:sz="8" w:color="CCEECC"/>
            </w:tcBorders>
            <w:shd w:val="clear" w:color="auto" w:fill="CCEECC"/>
          </w:tcPr>
          <w:p>
            <w:pPr>
              <w:spacing w:after="0"/>
              <w:rPr>
                <w:sz w:val="18"/>
                <w:szCs w:val="18"/>
                <w:color w:val="auto"/>
              </w:rPr>
            </w:pPr>
          </w:p>
        </w:tc>
        <w:tc>
          <w:tcPr>
            <w:tcW w:w="3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3"/>
              </w:rPr>
              <w:t>(2,335,454)</w:t>
            </w:r>
          </w:p>
        </w:tc>
        <w:tc>
          <w:tcPr>
            <w:tcW w:w="44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CC"/>
            </w:tcBorders>
            <w:shd w:val="clear" w:color="auto" w:fill="CCEECC"/>
          </w:tcPr>
          <w:p>
            <w:pPr>
              <w:spacing w:after="0"/>
              <w:rPr>
                <w:sz w:val="18"/>
                <w:szCs w:val="18"/>
                <w:color w:val="auto"/>
              </w:rPr>
            </w:pPr>
          </w:p>
        </w:tc>
      </w:tr>
      <w:tr>
        <w:trPr>
          <w:trHeight w:val="216"/>
        </w:trPr>
        <w:tc>
          <w:tcPr>
            <w:tcW w:w="8460" w:type="dxa"/>
            <w:vAlign w:val="bottom"/>
          </w:tcPr>
          <w:p>
            <w:pPr>
              <w:ind w:left="160"/>
              <w:spacing w:after="0"/>
              <w:rPr>
                <w:sz w:val="20"/>
                <w:szCs w:val="20"/>
                <w:color w:val="auto"/>
              </w:rPr>
            </w:pPr>
            <w:r>
              <w:rPr>
                <w:rFonts w:ascii="Arial" w:cs="Arial" w:eastAsia="Arial" w:hAnsi="Arial"/>
                <w:sz w:val="18"/>
                <w:szCs w:val="18"/>
                <w:color w:val="auto"/>
              </w:rPr>
              <w:t>Fair value of liabilities assumed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74,624</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460" w:type="dxa"/>
            <w:vAlign w:val="bottom"/>
          </w:tcPr>
          <w:p>
            <w:pPr>
              <w:ind w:left="480"/>
              <w:spacing w:after="0"/>
              <w:rPr>
                <w:sz w:val="20"/>
                <w:szCs w:val="20"/>
                <w:color w:val="auto"/>
              </w:rPr>
            </w:pPr>
            <w:r>
              <w:rPr>
                <w:rFonts w:ascii="Arial" w:cs="Arial" w:eastAsia="Arial" w:hAnsi="Arial"/>
                <w:sz w:val="18"/>
                <w:szCs w:val="18"/>
                <w:color w:val="auto"/>
              </w:rPr>
              <w:t>Total consideration</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(2,260,830)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Amount due to seller for purchase price adjustments</w:t>
            </w:r>
          </w:p>
        </w:tc>
        <w:tc>
          <w:tcPr>
            <w:tcW w:w="36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460" w:type="dxa"/>
            <w:vAlign w:val="bottom"/>
          </w:tcPr>
          <w:p>
            <w:pPr>
              <w:ind w:left="320"/>
              <w:spacing w:after="0"/>
              <w:rPr>
                <w:sz w:val="20"/>
                <w:szCs w:val="20"/>
                <w:color w:val="auto"/>
              </w:rPr>
            </w:pPr>
            <w:r>
              <w:rPr>
                <w:rFonts w:ascii="Arial" w:cs="Arial" w:eastAsia="Arial" w:hAnsi="Arial"/>
                <w:sz w:val="18"/>
                <w:szCs w:val="18"/>
                <w:color w:val="auto"/>
              </w:rPr>
              <w:t>Cash paid</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(2,260,830)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84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Less cash acquired</w:t>
            </w:r>
          </w:p>
        </w:tc>
        <w:tc>
          <w:tcPr>
            <w:tcW w:w="36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Pr>
          <w:p>
            <w:pPr>
              <w:ind w:left="320"/>
              <w:spacing w:after="0"/>
              <w:rPr>
                <w:sz w:val="20"/>
                <w:szCs w:val="20"/>
                <w:color w:val="auto"/>
              </w:rPr>
            </w:pPr>
            <w:r>
              <w:rPr>
                <w:rFonts w:ascii="Arial" w:cs="Arial" w:eastAsia="Arial" w:hAnsi="Arial"/>
                <w:sz w:val="18"/>
                <w:szCs w:val="18"/>
                <w:color w:val="auto"/>
              </w:rPr>
              <w:t>Net cash paid</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(2,260,830</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8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See </w:t>
      </w:r>
      <w:hyperlink w:anchor="page16">
        <w:r>
          <w:rPr>
            <w:rFonts w:ascii="Arial" w:cs="Arial" w:eastAsia="Arial" w:hAnsi="Arial"/>
            <w:sz w:val="18"/>
            <w:szCs w:val="18"/>
            <w:u w:val="single" w:color="auto"/>
            <w:color w:val="0000EE"/>
          </w:rPr>
          <w:t>Note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Business Acquisitions for additional information regarding the acquisitions of Liberty Home Equity Solutions, Inc. and Correspondent One S.A. and Note 9 – Mortgage Servicing for additional information regarding the acquisition of mortgage servicing rights from Ally Bank and OneWest Bank.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or if otherwise indicated)</w:t>
      </w:r>
    </w:p>
    <w:p>
      <w:pPr>
        <w:spacing w:after="0" w:line="207"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BUSINESS, BASIS OF PRESENTATION AND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0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Ocwen Financial Corporation (NYSE: OCN) (Ocwen, OCN, “we”, or “us”) is a financial services holding company which, through its subsidiaries, is engaged in the servicing and origination of mortgage loans. Ocwen is headquartered in Atlanta, Georgia with offices throughout the United States and in the United States Virgin Islands (USVI) with support operations in India and Uruguay. Ocwen is a Florida corporation organized in February 1988. Ocwen owned all of the common stock of one of its primary operating subsidiaries, Ocwen Mortgage Servicing, Inc. (OMS), and directly or indirectly owned all of the outstanding stock of its other primary operating subsidiaries: Ocwen Loan Servicing, LLC (OLS), Ocwen Financial Solutions Private Limited, Homeward Residential, Inc. (Homeward) and Liberty Home Equity Solutions, Inc. (Liberty) (formerly known as Genworth Financial Home Equity Access, Inc.).</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licensed to service mortgage loans and to originate mortgage loans in all jurisdictions in which we operate.</w:t>
      </w:r>
    </w:p>
    <w:p>
      <w:pPr>
        <w:spacing w:after="0" w:line="18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purchase existing mortgage servicing rights (MSRs) from market participants and generate new servicing rights through our origination activities. We perform primary and master servicer activities on behalf of investors and other servicers, including the Federal National Mortgage Association (Fannie Mae), Federal Home Loan Mortgage Corporation (Freddie Mac) and Government National Mortgage Association (Ginnie Mae) (collectively, the GSEs). We service prime and non-prime mortgages including mortgages included in private label mortgage-backed securities. As primary servicer, we may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that the primary servicer does not advance the scheduled principal and interest, as master servicer we are responsible for advancing the shortfall subject to certain limitations.</w:t>
      </w:r>
    </w:p>
    <w:p>
      <w:pPr>
        <w:spacing w:after="0" w:line="15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originate, purchase, sell and securitize prime forward and reverse mortgages. These loans are insured or guaranteed by the Federal Housing Authority (FHA) or the Department of Veterans Affairs (VA) or conform to the underwriting standards of Fannie Mae or Freddie Mac. The GSEs guarantee these securitizations.</w:t>
      </w:r>
    </w:p>
    <w:p>
      <w:pPr>
        <w:spacing w:after="0" w:line="141" w:lineRule="exact"/>
        <w:rPr>
          <w:sz w:val="20"/>
          <w:szCs w:val="20"/>
          <w:color w:val="auto"/>
        </w:rPr>
      </w:pPr>
    </w:p>
    <w:p>
      <w:pPr>
        <w:ind w:right="600" w:firstLine="324"/>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We are actively engaged in identifying and completing asset and other acquisitions in connection with our growth strategy. This could involve the acquisition of domestic and international servicing and/or origination platforms or related assets. See </w:t>
      </w:r>
      <w:hyperlink w:anchor="page16">
        <w:r>
          <w:rPr>
            <w:rFonts w:ascii="Arial" w:cs="Arial" w:eastAsia="Arial" w:hAnsi="Arial"/>
            <w:sz w:val="18"/>
            <w:szCs w:val="18"/>
            <w:u w:val="single" w:color="auto"/>
            <w:color w:val="0000EE"/>
          </w:rPr>
          <w:t>Note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Business Acquisitions for additional information.</w:t>
      </w:r>
    </w:p>
    <w:p>
      <w:pPr>
        <w:spacing w:after="0" w:line="14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On June 13, 2013, OLS entered into a mortgage servicing rights purchase and sale agreement (Purchase Agreement) with OneWest Bank, FSB, a federal savings bank (the Seller), pursuant to which OLS agreed to purchase MSRs and related servicing advance receivables (the OneWest MSR Transaction). No operations, entities or other assets were acquired in the transaction. Contemporaneously with the execution of the Purchase Agreement, Ocwen executed a guarantee pursuant to which it agreed to guarantee the obligations and performance of OLS under the Purchase Agreement. As part of the OneWest MSR Transaction, each of the Seller and OLS have agreed to indemnification provisions for the benefit of the other party.</w:t>
      </w:r>
    </w:p>
    <w:p>
      <w:pPr>
        <w:spacing w:after="0" w:line="13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OneWest MSR Transaction is closing in stages, and we expect that the majority of loans will be boarded onto our primary servicing platform by December 31, 2013. The GSE loans were boarded during August and September, and we expect to board the majority of the private label securities in November. Each closing is subject to, among other things, receipt of certain investor and third party consents and customary closing conditions. In the event that all of the closings have not been completed by January 31, 2014, the unsettled component of the transaction would be subject to termination in accordance with the terms of the Purchase Agreement.</w:t>
      </w:r>
    </w:p>
    <w:p>
      <w:pPr>
        <w:spacing w:after="0" w:line="14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On various dates beginning on April 1, 2013 and continuing through August 31, 2013, the date on which our purchase obligation terminated, we completed the acquisition of Fannie Mae and Freddie Mac MSRs and related advances from Ally Bank (Ally MSR Transaction), a wholly-owned subsidiary of Ally Financial Inc. (Ally), the indirect parent of Residential Capital, LLC (ResCap). Prior to the closing, we subserviced the related MSRs on behalf of Ally Bank. We assumed certain origination representation and warranty obligations in connection with the Ally MSR Transaction. No operations, entities or other assets were acquired in the transaction.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right="540" w:firstLine="324"/>
        <w:spacing w:after="0" w:line="277" w:lineRule="auto"/>
        <w:rPr>
          <w:sz w:val="20"/>
          <w:szCs w:val="20"/>
          <w:color w:val="auto"/>
        </w:rPr>
      </w:pPr>
      <w:r>
        <w:rPr>
          <w:rFonts w:ascii="Arial" w:cs="Arial" w:eastAsia="Arial" w:hAnsi="Arial"/>
          <w:sz w:val="18"/>
          <w:szCs w:val="18"/>
          <w:color w:val="auto"/>
        </w:rPr>
        <w:t>On April 1, 2013, we completed the acquisition of Liberty (the Liberty Acquisition) through a stock purchase agreement. Liberty is engaged in the origination, purchase, sale and securitization of reverse mortgage loans, both retail and wholesale.</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February 15, 2013, we completed the acquisition of certain assets and operations of ResCap in connection with the asset sale by ResCap and certain of its subsidiaries pursuant to a plan under Chapter 11 of the Bankruptcy Code (the ResCap Acquisition). We purchased MSRs related to private label, Freddie Mac and Ginnie Mae residential forward mortgage loans and certain master and subservicing agreements. The ResCap Acquisition included advances and elements of the servicing platform related to the acquired MSRs. Under the terms of the ResCap Acquisition, we are obligated to acquire certain servicing rights and subservicing agreements that were not settled as part of the initial closing on February 15, 2013 as a result of objections raised in connection with the sale. We completed subsequent settlements as objections were resolved on July 1 and September 1, 2013. We expect to have additional settlements through December 31, 2013 in connection with the ResCap Acquisition.</w:t>
      </w:r>
    </w:p>
    <w:p>
      <w:pPr>
        <w:spacing w:after="0" w:line="15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On December 27, 2012, we completed the merger by and among Ocwen, O&amp;H Acquisition Corp., a Delaware corporation and a wholly-owned subsidiary of Ocwen, Homeward Residential Holdings, Inc. (Homeward Holding) and WL Ross &amp; Co. LLC, a Delaware limited liability company as shareholder representative. Pursuant to the merger, O&amp;H Acquisition Corp. merged with and into Homeward Holding with Homeward Holding continuing as the surviving corporation and becoming a wholly-owned subsidiary of Ocwen (the Homeward Acquisition). Homeward primarily engages in the origination, purchase, sale and securitization of prime loans and the servicing of residential forward mortgage loans.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accruals, necessary for a fair presentation. The results of operations and other data for the three and nine months ended September 30, 2013 are not necessarily indicative of the results that may be expected for any other interim period or for the year ending December 31, 2013. The unaudited consolidated financial statements presented herein should be read in conjunction with the audited consolidated financial statements and related notes thereto included in our Annual Report on Form 10-K for the year ended December 31, 2012.</w:t>
      </w:r>
    </w:p>
    <w:p>
      <w:pPr>
        <w:spacing w:after="0" w:line="15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those estimates. Material estimates that are particularly significant in the near or medium term relate to fair value measurements, the provision for potential losses that may arise from litigation proceedings, representation and warranty and other indemnification obligations, the amortization of MSRs and the valuation of goodwill and deferred tax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8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financial statements include the accounts of Ocwen, its majority-owned subsidiaries and any variable interest entity (VIE) where we have determined that we are the primary beneficiary. We apply the equity method of accounting to investments when the entity is not a VIE, and we are able to exercise significant influence, but not control, over the policies and procedures of the entity but own 50% or less of the voting securities. We have eliminated intercompany accounts and transactions in consolidation.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Within the revenue section of the Consolidated Statement of Operations for the three and nine months ended September 30, 2012, we reclassified Process management fees of $8.9 million and $27.6 million to Other revenues. In addition, certain other insignificant amounts in the Consolidated Statements of Operations and Cash Flows for prior periods have been reclassified to conform to the current period presentation. These reclassifications had no impact on our consolidated financial position, cash flows or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85" w:lineRule="exact"/>
        <w:rPr>
          <w:sz w:val="20"/>
          <w:szCs w:val="20"/>
          <w:color w:val="auto"/>
        </w:rPr>
      </w:pPr>
    </w:p>
    <w:p>
      <w:pPr>
        <w:jc w:val="both"/>
        <w:ind w:right="500" w:firstLine="324"/>
        <w:spacing w:after="0" w:line="279" w:lineRule="auto"/>
        <w:rPr>
          <w:sz w:val="20"/>
          <w:szCs w:val="20"/>
          <w:color w:val="auto"/>
        </w:rPr>
      </w:pPr>
      <w:r>
        <w:rPr>
          <w:rFonts w:ascii="Arial" w:cs="Arial" w:eastAsia="Arial" w:hAnsi="Arial"/>
          <w:sz w:val="17"/>
          <w:szCs w:val="17"/>
          <w:color w:val="auto"/>
        </w:rPr>
        <w:t>We securitize, sell and service forward and reverse residential mortgage loans. Securitization transactions typically involve the use of VIEs and are accounted for either as sales or as secured financings. We typically retain economic interests in the securitized assets in the form of servicing rights and obligations. In order to efficiently finance our assets and operations and create liquidity, we may sell servicing advances, MSRs and the right to receive servicing fees, excluding ancillary income, relating to certain of our MSRs (Rights to MSRs).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ind w:right="100" w:firstLine="324"/>
        <w:spacing w:after="0" w:line="276" w:lineRule="auto"/>
        <w:rPr>
          <w:sz w:val="20"/>
          <w:szCs w:val="20"/>
          <w:color w:val="auto"/>
        </w:rPr>
      </w:pPr>
      <w:r>
        <w:rPr>
          <w:rFonts w:ascii="Arial" w:cs="Arial" w:eastAsia="Arial" w:hAnsi="Arial"/>
          <w:sz w:val="17"/>
          <w:szCs w:val="17"/>
          <w:color w:val="auto"/>
        </w:rPr>
        <w:t>In order to determine whether or not a VIE is required to be consolidated, we consider our ongoing involvement with the VIE. In circumstances where we have both the power to direct the activities that most significantly impact the VIEs performance and the obligation to absorb losses or the right to receive benefits that could be significant, we would conclude that we would consolidate the entity, which precludes us from recording an accounting sale in connection with the transfer of the financial assets. In the case of a consolidated VIE, we continue to record the underlying residential mortgage loans or servicing advances, and we record the securitized debt on our consolidated balance sheet.</w:t>
      </w:r>
    </w:p>
    <w:p>
      <w:pPr>
        <w:spacing w:after="0" w:line="132"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the case of transfers where either one or both of the power or economic criteria above are not met, we evaluate whether we achieve a sale for accounting purposes. In order to achieve a sale, the transferred assets must be legally isolated, not be constrained by restrictions from further transfer, and be deemed to be beyond our control. If we fail any of these three criteria, the accounting is consistent with a secured financing as described in the preceding paragraph. Subsequent to the determination that a transaction does not meet the accounting sale criteria, we may determine that we meet the criteria. In the event we subsequently meet the accounting sale criteria, we derecognize the transferred assets and related liabilities.</w:t>
      </w:r>
    </w:p>
    <w:p>
      <w:pPr>
        <w:spacing w:after="0" w:line="13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the case of transfers of MSRs and Rights to MSRs where we retain the right to subservice, we defer the related gain or loss and amortize the balance over the life of the subservicing agreement.</w:t>
      </w:r>
    </w:p>
    <w:p>
      <w:pPr>
        <w:spacing w:after="0" w:line="13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Gains or losses on off-balance sheet securitizations take into consideration any retained interests, including servicing rights and representation and warranty obligations, both of which are initially recorded at fair value at the date of sale in Gain on loans held for sale, net, in our Consolidated Statements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Accounting Standards Update (ASU) 2011-11, (Accounting Standards Codification (ASC) 210, Balance Sheet): Disclosures about Offsetting Assets and Liabilities and ASU 2013-01: Clarifying the Scope of Disclosures about Offsetting Assets and Liabilities. </w:t>
      </w:r>
      <w:r>
        <w:rPr>
          <w:rFonts w:ascii="Arial" w:cs="Arial" w:eastAsia="Arial" w:hAnsi="Arial"/>
          <w:sz w:val="17"/>
          <w:szCs w:val="17"/>
          <w:color w:val="auto"/>
        </w:rPr>
        <w:t>This ASU contains new disclosure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nature of an entity’s rights of offset and related arrangements associated with financial and derivative instruments. ASU 2013-01 clarified the scope of transactions that are subject to ASU 2011-11</w:t>
      </w:r>
      <w:r>
        <w:rPr>
          <w:rFonts w:ascii="Arial" w:cs="Arial" w:eastAsia="Arial" w:hAnsi="Arial"/>
          <w:sz w:val="17"/>
          <w:szCs w:val="17"/>
          <w:i w:val="1"/>
          <w:iCs w:val="1"/>
          <w:color w:val="auto"/>
        </w:rPr>
        <w:t>.</w:t>
      </w:r>
      <w:r>
        <w:rPr>
          <w:rFonts w:ascii="Arial" w:cs="Arial" w:eastAsia="Arial" w:hAnsi="Arial"/>
          <w:sz w:val="17"/>
          <w:szCs w:val="17"/>
          <w:color w:val="auto"/>
        </w:rPr>
        <w:t xml:space="preserve"> The new disclosures also provide information about gross and net exposures. Retrospective application is required for all comparative periods presented. Our adoption of these standards on January 1, 2013 did not have a material impact on our unaudited consolidated financial statements, as the requirements relate to disclosures only.</w:t>
      </w:r>
    </w:p>
    <w:p>
      <w:pPr>
        <w:spacing w:after="0" w:line="13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i w:val="1"/>
          <w:iCs w:val="1"/>
          <w:color w:val="auto"/>
        </w:rPr>
        <w:t xml:space="preserve">ASU 2013-02 (ASC 220, Comprehensive Income): Reporting of Amounts Reclassified Out of Accumulated Other Comprehensive Income (which amends ASC 220, Comprehensive Income). </w:t>
      </w:r>
      <w:r>
        <w:rPr>
          <w:rFonts w:ascii="Arial" w:cs="Arial" w:eastAsia="Arial" w:hAnsi="Arial"/>
          <w:sz w:val="17"/>
          <w:szCs w:val="17"/>
          <w:color w:val="auto"/>
        </w:rPr>
        <w:t>ASC 2013-02 contains new requirements related to the presentation and disclosure of items that are reclassified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The ASU is required to be applied prospectively. Adoption of this standard on January 1, 2013 did not have a material impact on our unaudited consolidated financial statements, as the requirements relate to disclosures only.</w:t>
      </w:r>
    </w:p>
    <w:p>
      <w:pPr>
        <w:spacing w:after="0" w:line="13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ASU 2013-04 (ASC 405, Liabilities): Obligations Resulting from Joint and Several Liability Arrangements for Which the Total Amount of the Obligation Is Fixed at the Reporting Date, a consensus of the FASB Emerging Issues Task Force (EITF). </w:t>
      </w:r>
      <w:r>
        <w:rPr>
          <w:rFonts w:ascii="Arial" w:cs="Arial" w:eastAsia="Arial" w:hAnsi="Arial"/>
          <w:sz w:val="18"/>
          <w:szCs w:val="18"/>
          <w:color w:val="auto"/>
        </w:rPr>
        <w:t>On February 28, 2013, the FASB issued ASU 2013-04. The</w:t>
      </w:r>
      <w:r>
        <w:rPr>
          <w:rFonts w:ascii="Arial" w:cs="Arial" w:eastAsia="Arial" w:hAnsi="Arial"/>
          <w:sz w:val="18"/>
          <w:szCs w:val="18"/>
          <w:i w:val="1"/>
          <w:iCs w:val="1"/>
          <w:color w:val="auto"/>
        </w:rPr>
        <w:t xml:space="preserve"> </w:t>
      </w:r>
      <w:r>
        <w:rPr>
          <w:rFonts w:ascii="Arial" w:cs="Arial" w:eastAsia="Arial" w:hAnsi="Arial"/>
          <w:sz w:val="18"/>
          <w:szCs w:val="18"/>
          <w:color w:val="auto"/>
        </w:rPr>
        <w:t>ASU requires an entity to measure obligations resulting from joint and several liability arrangements for which the total amount of the obligation within the scope of this guidance is fixed at the reporting date, as the sum of the following:</w:t>
      </w:r>
    </w:p>
    <w:p>
      <w:pPr>
        <w:spacing w:after="0" w:line="16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the reporting entity agreed to pay on the basis of its arrangement among its co-obligors,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additional amount the reporting entity expects to pay on behalf of its co-obligors.</w:t>
      </w:r>
    </w:p>
    <w:p>
      <w:pPr>
        <w:spacing w:after="0" w:line="18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Required disclosures include a description of the joint-and-several arrangement and the total outstanding amount of the obligation for all joint parties. The ASU permits entities to aggregate disclosures (as opposed to providing separate disclosures for each joint-and-several obligation). The ASU is effective for all prior periods in fiscal years beginning on or after December 15, 2013 (and interim reporting periods within those years). The ASU should be applied retrospectively to obligations with joint-and-several liabilities existing at the beginning of an entity’s fiscal year of adoption. Entities that elect to use hindsight in measuring their obligations during the comparative periods must disclose that fact. Early adoption is permitted. We are currently evaluating the effect of adopting this standard effective January 1, 2014, but we do not anticipate that our adoption will have a material impact on our consolidated financial condition or results of operations.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2" w:name="page13"/>
    <w:bookmarkEnd w:id="12"/>
    <w:p>
      <w:pPr>
        <w:ind w:right="260" w:firstLine="324"/>
        <w:spacing w:after="0" w:line="259" w:lineRule="auto"/>
        <w:rPr>
          <w:sz w:val="20"/>
          <w:szCs w:val="20"/>
          <w:color w:val="auto"/>
        </w:rPr>
      </w:pPr>
      <w:r>
        <w:rPr>
          <w:rFonts w:ascii="Arial" w:cs="Arial" w:eastAsia="Arial" w:hAnsi="Arial"/>
          <w:sz w:val="18"/>
          <w:szCs w:val="18"/>
          <w:i w:val="1"/>
          <w:iCs w:val="1"/>
          <w:color w:val="auto"/>
        </w:rPr>
        <w:t>ASU 2013-05 (ASC 830, Foreign Currency Matters): Parent’s Accounting for the Cumulative Translation Adjustment upon Derecognition of Certain Subsidiaries or Groups of Assets within a Foreign Entity or of an Investment in a Foreign Entity, a consensus of the FASB Emerging Issues Task Force</w:t>
      </w:r>
      <w:r>
        <w:rPr>
          <w:rFonts w:ascii="Arial" w:cs="Arial" w:eastAsia="Arial" w:hAnsi="Arial"/>
          <w:sz w:val="18"/>
          <w:szCs w:val="18"/>
          <w:color w:val="auto"/>
        </w:rPr>
        <w:t>. On</w:t>
      </w:r>
      <w:r>
        <w:rPr>
          <w:rFonts w:ascii="Arial" w:cs="Arial" w:eastAsia="Arial" w:hAnsi="Arial"/>
          <w:sz w:val="18"/>
          <w:szCs w:val="18"/>
          <w:i w:val="1"/>
          <w:iCs w:val="1"/>
          <w:color w:val="auto"/>
        </w:rPr>
        <w:t xml:space="preserve"> </w:t>
      </w:r>
      <w:r>
        <w:rPr>
          <w:rFonts w:ascii="Arial" w:cs="Arial" w:eastAsia="Arial" w:hAnsi="Arial"/>
          <w:sz w:val="18"/>
          <w:szCs w:val="18"/>
          <w:color w:val="auto"/>
        </w:rPr>
        <w:t>March 4, 2013, the FASB issued ASU 2013-05, which requires that the entire amount of a cumulative translation adjustment (CTA) related to an entity’s investment in a foreign entity should be released when there has been a:</w:t>
      </w:r>
    </w:p>
    <w:p>
      <w:pPr>
        <w:spacing w:after="0" w:line="146" w:lineRule="exact"/>
        <w:rPr>
          <w:sz w:val="20"/>
          <w:szCs w:val="20"/>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 of a subsidiary or group of net assets within a foreign entity and the sale represents the substantially complete liquidation of the investment in the foreign entity,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a controlling financial interest in an investment in a foreign entity (i.e., the foreign entity is deconsolidated), or</w:t>
      </w:r>
    </w:p>
    <w:p>
      <w:pPr>
        <w:spacing w:after="0" w:line="184"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step acquisition for a foreign entity (i.e., when an entity has changed from applying the equity method for an investment in a foreign entity to consolidating the foreign entity).</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ASU does not change the requirement to release a pro rata portion of the CTA of the foreign entity into earnings for a partial sale of an equity method investment in a foreign entity. The ASU is effective for fiscal years (and interim periods within those fiscal years) beginning on or after December 15, 2013. The ASU should be applied prospectively from the beginning of the fiscal year of adoption. We are currently evaluating the effect of adopting this standard effective January 1, 2014, but we do not anticipate that our adoption will have a material impact on our consolidated financial condition or results of operations.</w:t>
      </w:r>
    </w:p>
    <w:p>
      <w:pPr>
        <w:spacing w:after="0" w:line="16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 xml:space="preserve">ASU 2013-10 (ASC 815, </w:t>
      </w:r>
      <w:r>
        <w:rPr>
          <w:rFonts w:ascii="Arial" w:cs="Arial" w:eastAsia="Arial" w:hAnsi="Arial"/>
          <w:sz w:val="17"/>
          <w:szCs w:val="17"/>
          <w:i w:val="1"/>
          <w:iCs w:val="1"/>
          <w:color w:val="3C3C3D"/>
        </w:rPr>
        <w:t>Derivatives and Hedging): Inclusion of the Fed Funds Effective Swap Rate (or Overnight Index Swap Rate) as a Benchmark</w:t>
      </w:r>
      <w:r>
        <w:rPr>
          <w:rFonts w:ascii="Arial" w:cs="Arial" w:eastAsia="Arial" w:hAnsi="Arial"/>
          <w:sz w:val="17"/>
          <w:szCs w:val="17"/>
          <w:i w:val="1"/>
          <w:iCs w:val="1"/>
          <w:color w:val="auto"/>
        </w:rPr>
        <w:t xml:space="preserve"> </w:t>
      </w:r>
      <w:r>
        <w:rPr>
          <w:rFonts w:ascii="Arial" w:cs="Arial" w:eastAsia="Arial" w:hAnsi="Arial"/>
          <w:sz w:val="17"/>
          <w:szCs w:val="17"/>
          <w:i w:val="1"/>
          <w:iCs w:val="1"/>
          <w:color w:val="3C3C3D"/>
        </w:rPr>
        <w:t xml:space="preserve">Interest Rate for Hedge Accounting Purposes (a consensus of the FASB Emerging Issues Task Force). </w:t>
      </w:r>
      <w:r>
        <w:rPr>
          <w:rFonts w:ascii="Arial" w:cs="Arial" w:eastAsia="Arial" w:hAnsi="Arial"/>
          <w:sz w:val="17"/>
          <w:szCs w:val="17"/>
          <w:color w:val="000000"/>
        </w:rPr>
        <w:t>On July 17, 2013, the FASB issued ASU 2013-10,</w:t>
      </w:r>
      <w:r>
        <w:rPr>
          <w:rFonts w:ascii="Arial" w:cs="Arial" w:eastAsia="Arial" w:hAnsi="Arial"/>
          <w:sz w:val="17"/>
          <w:szCs w:val="17"/>
          <w:i w:val="1"/>
          <w:iCs w:val="1"/>
          <w:color w:val="3C3C3D"/>
        </w:rPr>
        <w:t xml:space="preserve"> </w:t>
      </w:r>
      <w:r>
        <w:rPr>
          <w:rFonts w:ascii="Arial" w:cs="Arial" w:eastAsia="Arial" w:hAnsi="Arial"/>
          <w:sz w:val="17"/>
          <w:szCs w:val="17"/>
          <w:color w:val="000000"/>
        </w:rPr>
        <w:t>which permits the Fed Funds Effective Swap Rate to be used as a U.S. benchmark interest rate for hedge accounting purposes under ASC 815, in addition to interest rates on direct Treasury obligations of the U.S. government (UST) and the London Interbank Offered Rate (LIBOR). The ASU also removes the restriction on using different benchmark rates for similar hedges. The ASU is effective prospectively for qualifying new or redesignated hedging relationships entered into on or after July 17, 2013. Because we terminated our remaining interest rate swap agreements on May 31, 2013, our adoption of this standard did not have a material impact on our consolidated financial condition or results of operations.</w:t>
      </w:r>
    </w:p>
    <w:p>
      <w:pPr>
        <w:spacing w:after="0" w:line="13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i w:val="1"/>
          <w:iCs w:val="1"/>
          <w:color w:val="auto"/>
        </w:rPr>
        <w:t xml:space="preserve">ASU 2013-11 (ASC 740, </w:t>
      </w:r>
      <w:r>
        <w:rPr>
          <w:rFonts w:ascii="Arial" w:cs="Arial" w:eastAsia="Arial" w:hAnsi="Arial"/>
          <w:sz w:val="16"/>
          <w:szCs w:val="16"/>
          <w:i w:val="1"/>
          <w:iCs w:val="1"/>
          <w:color w:val="3C3C3D"/>
        </w:rPr>
        <w:t>Income Taxes)</w:t>
      </w:r>
      <w:r>
        <w:rPr>
          <w:rFonts w:ascii="Arial" w:cs="Arial" w:eastAsia="Arial" w:hAnsi="Arial"/>
          <w:sz w:val="16"/>
          <w:szCs w:val="16"/>
          <w:color w:val="3C3C3D"/>
        </w:rPr>
        <w:t>:</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3C3C3D"/>
        </w:rPr>
        <w:t>Presentation of an Unrecognized Tax Benefit When a Net Operating Loss Carryforward, a Similar Tax Loss, or a</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3C3C3D"/>
        </w:rPr>
        <w:t xml:space="preserve">Tax Credit Carryforward Exists (a consensus of the FASB Emerging Issues Task Force). </w:t>
      </w:r>
      <w:r>
        <w:rPr>
          <w:rFonts w:ascii="Arial" w:cs="Arial" w:eastAsia="Arial" w:hAnsi="Arial"/>
          <w:sz w:val="16"/>
          <w:szCs w:val="16"/>
          <w:color w:val="000000"/>
        </w:rPr>
        <w:t>On July 18, 2013, the FASB issued ASU 2013-11, which clarifies that</w:t>
      </w:r>
      <w:r>
        <w:rPr>
          <w:rFonts w:ascii="Arial" w:cs="Arial" w:eastAsia="Arial" w:hAnsi="Arial"/>
          <w:sz w:val="16"/>
          <w:szCs w:val="16"/>
          <w:i w:val="1"/>
          <w:iCs w:val="1"/>
          <w:color w:val="3C3C3D"/>
        </w:rPr>
        <w:t xml:space="preserve"> </w:t>
      </w:r>
      <w:r>
        <w:rPr>
          <w:rFonts w:ascii="Arial" w:cs="Arial" w:eastAsia="Arial" w:hAnsi="Arial"/>
          <w:sz w:val="16"/>
          <w:szCs w:val="16"/>
          <w:color w:val="000000"/>
        </w:rPr>
        <w:t>an unrecognized tax benefit, or a portion thereof, should be presented in the financial statements as a reduction to a deferred tax asset for a net operating loss carryforward, a similar tax loss, or a tax credit carryforward.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assessment of whether a deferred tax asset is available is based on the unrecognized tax benefit and deferred tax asset that exist at the reporting date and should be made presuming disallowance of the tax position at the reporting date.</w:t>
      </w:r>
    </w:p>
    <w:p>
      <w:pPr>
        <w:spacing w:after="0" w:line="12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ASU is effective for fiscal years, and interim periods within those years, beginning after December 15, 2013. Early adoption is permitted. The ASU should be applied prospectively to all unrecognized tax benefits that exist at the effective date. Retrospective application is permitted. We are currently evaluating the effect of adopting this standard effective January 1, 2014, but we do not anticipate that our adoption will have a material impact on our consolidated financial condition or results of operations.</w:t>
      </w:r>
    </w:p>
    <w:p>
      <w:pPr>
        <w:spacing w:after="0" w:line="18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SECURITIZATIONS AND VARIABLE INTEREST ENTITIES</w:t>
      </w:r>
    </w:p>
    <w:p>
      <w:pPr>
        <w:spacing w:after="0" w:line="20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14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have determined that the SPEs created in connection with our match funded financing facilities are VIEs of which we are the primary beneficiary. We also determined that we were the primary beneficiary for certain residential mortgage loan securitization trusts which were de-recognized at December 31, 2012, upon sale of our retained interest to a third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Currently, we securitize forward and reverse residential mortgage loans involving the GSEs. We retain the right to service these loans and receive servicing fees based upon the securitized loan balances and certain ancillary fees, all of which are reported in servicing and subservicing fees on the Consolidated Statements of Operations. In prior years, we securitized residential mortgage loans through “private label” securitization trusts. We continued to be involved with the securitization trusts, typically by acting as the servicer or sub-servicer for the loans held by the trust and by retaining a beneficial ownership interest in the securitization trust. The beneficial interests that we held consisted of both subordinate and residual securities that were either retained at the time of the securitization or subsequently acquired. We also acquired residual and subordinated interests in trusts where we were not the transferor but were the servicer.</w:t>
      </w:r>
    </w:p>
    <w:p>
      <w:pPr>
        <w:spacing w:after="0" w:line="16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December 2012, we sold the beneficial interests that we held in the four consolidated securitization trusts and deconsolidated these securitization trusts. All assets and liabilities associated with the trusts were derecognized. We have no obligation to provide financial support to unconsolidated securitization trusts and have provided no such support. The beneficial owners of the trusts can look only to the assets of the securitization trusts for satisfaction of the debt issued by the securitization trusts and have no recourse against the assets of Ocwen. The general creditors of Ocwen have no claim on the assets of the trusts.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8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part of our origination activities, we sell or securitize forward loans that we originate or that we purchase from third parties, generally in the form of mortgage-backed securities guaranteed by the GSEs. Securitization usually occurs within 30 days of loan closing or purchase. We retain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160" w:lineRule="exact"/>
        <w:rPr>
          <w:sz w:val="20"/>
          <w:szCs w:val="20"/>
          <w:color w:val="auto"/>
        </w:rPr>
      </w:pPr>
    </w:p>
    <w:p>
      <w:pPr>
        <w:ind w:right="140" w:firstLine="324"/>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We elected to measure loans held for sale at fair value. We report interest income on loans held for sale in other income (expense). We report the gain or loss on the transfer of the loans held for sale in Gain on loans held for sale, net in the Consolidated Statements of Operations. We also include in Gain on loans held for sale, net changes in fair value of loans and the gain or loss on the related derivatives. See </w:t>
      </w:r>
      <w:hyperlink w:anchor="page36">
        <w:r>
          <w:rPr>
            <w:rFonts w:ascii="Arial" w:cs="Arial" w:eastAsia="Arial" w:hAnsi="Arial"/>
            <w:sz w:val="18"/>
            <w:szCs w:val="18"/>
            <w:u w:val="single" w:color="auto"/>
            <w:color w:val="0000EE"/>
          </w:rPr>
          <w:t>Note 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Derivative Financial Instruments and Hedging Activities for information on these derivative financial instruments. We include all changes in loans held for sale and related derivative balances in operating activities in the Consolidated Statements of Cash Flows.</w:t>
      </w:r>
    </w:p>
    <w:p>
      <w:pPr>
        <w:spacing w:after="0" w:line="10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periods ended September 30, 2013: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Three Months</w:t>
            </w:r>
          </w:p>
        </w:tc>
        <w:tc>
          <w:tcPr>
            <w:tcW w:w="20" w:type="dxa"/>
            <w:vAlign w:val="bottom"/>
          </w:tcPr>
          <w:p>
            <w:pPr>
              <w:spacing w:after="0"/>
              <w:rPr>
                <w:sz w:val="20"/>
                <w:szCs w:val="20"/>
                <w:color w:val="auto"/>
              </w:rPr>
            </w:pPr>
          </w:p>
        </w:tc>
        <w:tc>
          <w:tcPr>
            <w:tcW w:w="1100" w:type="dxa"/>
            <w:vAlign w:val="bottom"/>
            <w:gridSpan w:val="4"/>
          </w:tcPr>
          <w:p>
            <w:pPr>
              <w:spacing w:after="0"/>
              <w:rPr>
                <w:sz w:val="20"/>
                <w:szCs w:val="20"/>
                <w:color w:val="auto"/>
              </w:rPr>
            </w:pPr>
            <w:r>
              <w:rPr>
                <w:rFonts w:ascii="Arial" w:cs="Arial" w:eastAsia="Arial" w:hAnsi="Arial"/>
                <w:sz w:val="18"/>
                <w:szCs w:val="18"/>
                <w:b w:val="1"/>
                <w:bCs w:val="1"/>
                <w:color w:val="auto"/>
                <w:w w:val="99"/>
              </w:rPr>
              <w:t>Nine Months</w:t>
            </w:r>
          </w:p>
        </w:tc>
      </w:tr>
      <w:tr>
        <w:trPr>
          <w:trHeight w:val="210"/>
        </w:trPr>
        <w:tc>
          <w:tcPr>
            <w:tcW w:w="682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Proceeds received from securitizations</w:t>
            </w:r>
          </w:p>
        </w:tc>
        <w:tc>
          <w:tcPr>
            <w:tcW w:w="1940" w:type="dxa"/>
            <w:vAlign w:val="bottom"/>
            <w:tcBorders>
              <w:top w:val="single" w:sz="8" w:color="CCEECC"/>
            </w:tcBorders>
            <w:shd w:val="clear" w:color="auto" w:fill="CCEECC"/>
          </w:tcPr>
          <w:p>
            <w:pPr>
              <w:spacing w:after="0"/>
              <w:rPr>
                <w:sz w:val="18"/>
                <w:szCs w:val="18"/>
                <w:color w:val="auto"/>
              </w:rPr>
            </w:pPr>
          </w:p>
        </w:tc>
        <w:tc>
          <w:tcPr>
            <w:tcW w:w="24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1,776,309</w:t>
            </w:r>
          </w:p>
        </w:tc>
        <w:tc>
          <w:tcPr>
            <w:tcW w:w="44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9"/>
              </w:rPr>
              <w:t>6,240,459</w:t>
            </w: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Servicing fees collected</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6,317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13,125</w:t>
            </w:r>
          </w:p>
        </w:tc>
        <w:tc>
          <w:tcPr>
            <w:tcW w:w="80" w:type="dxa"/>
            <w:vAlign w:val="bottom"/>
          </w:tcPr>
          <w:p>
            <w:pPr>
              <w:spacing w:after="0"/>
              <w:rPr>
                <w:sz w:val="18"/>
                <w:szCs w:val="18"/>
                <w:color w:val="auto"/>
              </w:rPr>
            </w:pPr>
          </w:p>
        </w:tc>
      </w:tr>
      <w:tr>
        <w:trPr>
          <w:trHeight w:val="230"/>
        </w:trPr>
        <w:tc>
          <w:tcPr>
            <w:tcW w:w="6820" w:type="dxa"/>
            <w:vAlign w:val="bottom"/>
            <w:shd w:val="clear" w:color="auto" w:fill="CCEECC"/>
          </w:tcPr>
          <w:p>
            <w:pPr>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1940" w:type="dxa"/>
            <w:vAlign w:val="bottom"/>
            <w:shd w:val="clear" w:color="auto" w:fill="CCEECC"/>
          </w:tcPr>
          <w:p>
            <w:pPr>
              <w:spacing w:after="0"/>
              <w:rPr>
                <w:sz w:val="19"/>
                <w:szCs w:val="19"/>
                <w:color w:val="auto"/>
              </w:rPr>
            </w:pPr>
          </w:p>
        </w:tc>
        <w:tc>
          <w:tcPr>
            <w:tcW w:w="240" w:type="dxa"/>
            <w:vAlign w:val="bottom"/>
            <w:shd w:val="clear" w:color="auto" w:fill="CCEECC"/>
          </w:tcPr>
          <w:p>
            <w:pPr>
              <w:spacing w:after="0"/>
              <w:rPr>
                <w:sz w:val="19"/>
                <w:szCs w:val="19"/>
                <w:color w:val="auto"/>
              </w:rPr>
            </w:pPr>
          </w:p>
        </w:tc>
        <w:tc>
          <w:tcPr>
            <w:tcW w:w="130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(358)</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92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(358)</w:t>
            </w:r>
          </w:p>
        </w:tc>
      </w:tr>
      <w:tr>
        <w:trPr>
          <w:trHeight w:val="223"/>
        </w:trPr>
        <w:tc>
          <w:tcPr>
            <w:tcW w:w="68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1,782,268</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6,253,226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firstLine="324"/>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In connection with these transfers, we recorded MSRs of $16.3 million and $63.2 million for the three and nine months ended September 30, 2013. We initially record the MSRs at fair value and subsequently account for them at amortized cost. See </w:t>
      </w:r>
      <w:hyperlink w:anchor="page27">
        <w:r>
          <w:rPr>
            <w:rFonts w:ascii="Arial" w:cs="Arial" w:eastAsia="Arial" w:hAnsi="Arial"/>
            <w:sz w:val="18"/>
            <w:szCs w:val="18"/>
            <w:u w:val="single" w:color="auto"/>
            <w:color w:val="0000EE"/>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Mortgage Servicing for information relating to MSRs.</w:t>
      </w:r>
    </w:p>
    <w:p>
      <w:pPr>
        <w:spacing w:after="0" w:line="154" w:lineRule="exact"/>
        <w:rPr>
          <w:sz w:val="20"/>
          <w:szCs w:val="20"/>
          <w:color w:val="auto"/>
        </w:rPr>
      </w:pPr>
    </w:p>
    <w:p>
      <w:pPr>
        <w:jc w:val="both"/>
        <w:ind w:right="40" w:firstLine="324"/>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Certain guarantees arise from agreements associated with the transfers of loans. Under these agreements, we may be obligated to repurchase the loans, or otherwise indemnify or reimburse the investor or insurer, for losses incurred due to material breach of contractual representations and warranties. See </w:t>
      </w:r>
      <w:hyperlink w:anchor="page34">
        <w:r>
          <w:rPr>
            <w:rFonts w:ascii="Arial" w:cs="Arial" w:eastAsia="Arial" w:hAnsi="Arial"/>
            <w:sz w:val="18"/>
            <w:szCs w:val="18"/>
            <w:u w:val="single" w:color="auto"/>
            <w:color w:val="0000EE"/>
          </w:rPr>
          <w:t>Note 16</w:t>
        </w:r>
      </w:hyperlink>
      <w:r>
        <w:rPr>
          <w:rFonts w:ascii="Arial" w:cs="Arial" w:eastAsia="Arial" w:hAnsi="Arial"/>
          <w:sz w:val="18"/>
          <w:szCs w:val="18"/>
          <w:color w:val="auto"/>
        </w:rPr>
        <w:t xml:space="preserve"> – Other Liabilities for further information.</w:t>
      </w:r>
    </w:p>
    <w:p>
      <w:pPr>
        <w:spacing w:after="0" w:line="141"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following table presents the carrying amounts of our assets that relate to our continuing involvement with forward loans that we have transferred with servicing rights retained since the Homeward Acquisition as well as our maximum exposure to loss including the unpaid principal balance of the transferred loans: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870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r>
      <w:tr>
        <w:trPr>
          <w:trHeight w:val="210"/>
        </w:trPr>
        <w:tc>
          <w:tcPr>
            <w:tcW w:w="8700" w:type="dxa"/>
            <w:vAlign w:val="bottom"/>
            <w:shd w:val="clear" w:color="auto" w:fill="CCEECC"/>
          </w:tcPr>
          <w:p>
            <w:pPr>
              <w:spacing w:after="0"/>
              <w:rPr>
                <w:sz w:val="20"/>
                <w:szCs w:val="20"/>
                <w:color w:val="auto"/>
              </w:rPr>
            </w:pPr>
            <w:r>
              <w:rPr>
                <w:rFonts w:ascii="Arial" w:cs="Arial" w:eastAsia="Arial" w:hAnsi="Arial"/>
                <w:sz w:val="18"/>
                <w:szCs w:val="18"/>
                <w:color w:val="auto"/>
              </w:rPr>
              <w:t>Carrying value of assets:</w:t>
            </w:r>
          </w:p>
        </w:tc>
        <w:tc>
          <w:tcPr>
            <w:tcW w:w="2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Mortgage servicing rights, at amortized cost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53,562</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Mortgage servicing rights, at fair value</w:t>
            </w:r>
          </w:p>
        </w:tc>
        <w:tc>
          <w:tcPr>
            <w:tcW w:w="24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2,751</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2,908</w:t>
            </w:r>
          </w:p>
        </w:tc>
        <w:tc>
          <w:tcPr>
            <w:tcW w:w="80" w:type="dxa"/>
            <w:vAlign w:val="bottom"/>
            <w:shd w:val="clear" w:color="auto" w:fill="CCEECC"/>
          </w:tcPr>
          <w:p>
            <w:pPr>
              <w:spacing w:after="0"/>
              <w:rPr>
                <w:sz w:val="18"/>
                <w:szCs w:val="18"/>
                <w:color w:val="auto"/>
              </w:rPr>
            </w:pP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Advances and match funded advances</w:t>
            </w:r>
          </w:p>
        </w:tc>
        <w:tc>
          <w:tcPr>
            <w:tcW w:w="2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16,254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shd w:val="clear" w:color="auto" w:fill="CCEECC"/>
          </w:tcPr>
          <w:p>
            <w:pPr>
              <w:spacing w:after="0"/>
              <w:rPr>
                <w:sz w:val="20"/>
                <w:szCs w:val="20"/>
                <w:color w:val="auto"/>
              </w:rPr>
            </w:pPr>
            <w:r>
              <w:rPr>
                <w:rFonts w:ascii="Arial" w:cs="Arial" w:eastAsia="Arial" w:hAnsi="Arial"/>
                <w:sz w:val="18"/>
                <w:szCs w:val="18"/>
                <w:color w:val="auto"/>
              </w:rPr>
              <w:t>Unpaid principal balance of loans transferred (1)</w:t>
            </w:r>
          </w:p>
        </w:tc>
        <w:tc>
          <w:tcPr>
            <w:tcW w:w="240" w:type="dxa"/>
            <w:vAlign w:val="bottom"/>
            <w:shd w:val="clear" w:color="auto" w:fill="CCEECC"/>
          </w:tcPr>
          <w:p>
            <w:pPr>
              <w:spacing w:after="0"/>
              <w:rPr>
                <w:sz w:val="19"/>
                <w:szCs w:val="19"/>
                <w:color w:val="auto"/>
              </w:rPr>
            </w:pPr>
          </w:p>
        </w:tc>
        <w:tc>
          <w:tcPr>
            <w:tcW w:w="134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6,125,869</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238,010</w:t>
            </w:r>
          </w:p>
        </w:tc>
        <w:tc>
          <w:tcPr>
            <w:tcW w:w="80" w:type="dxa"/>
            <w:vAlign w:val="bottom"/>
            <w:shd w:val="clear" w:color="auto" w:fill="CCEECC"/>
          </w:tcPr>
          <w:p>
            <w:pPr>
              <w:spacing w:after="0"/>
              <w:rPr>
                <w:sz w:val="19"/>
                <w:szCs w:val="19"/>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Maximum exposure to loss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6,198,436</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5620" w:right="1780" w:hanging="5612"/>
        <w:spacing w:after="0" w:line="528"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UPB of the loans transferred is the maximum exposure to loss under our standard representations and warranties obligations.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ind w:right="100" w:firstLine="324"/>
        <w:spacing w:after="0" w:line="277" w:lineRule="auto"/>
        <w:rPr>
          <w:sz w:val="20"/>
          <w:szCs w:val="20"/>
          <w:color w:val="auto"/>
        </w:rPr>
      </w:pPr>
      <w:r>
        <w:rPr>
          <w:rFonts w:ascii="Arial" w:cs="Arial" w:eastAsia="Arial" w:hAnsi="Arial"/>
          <w:sz w:val="18"/>
          <w:szCs w:val="18"/>
          <w:color w:val="auto"/>
        </w:rPr>
        <w:t>At September 30, 2013, only 1.0% of the transferred residential loans that we serviced were 60 days or more past due. During the three and nine months ended September 30, 2013, there were no charge-offs, net of recoveries, associated with these transferred loans.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9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are an approved issuer of Ginnie Mae Home Equity Conversion Mortgage-Backed Securities (HMBS) that are guaranteed by Ginnie Mae. With the acquisition of Liberty, we have begun to originate Home Equity Conversion Mortgages (HECMs or reverse mortgages) that are insured by the FHA. We then pool the loans into HMBS that we sell into the secondary market with servicing rights retained. Based upon the structure of the Ginnie Mae securitization program,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HECMs do not qualify for sale accounting, and we, therefore, account for these transfers as secured borrowings. Under this accounting treatment, the HECMs remain on our Consolidated Balance Sheet as loans held for investment (Loans – Restricted for Securitization Investors) in Other assets. We record the proceeds from the transfer of assets as secured borrowings (Secured borrowing – owed to securitization investors) in Other borrowings and recognize no gain or loss on the transfer. Holders of participating interests in the HMBS have no recourse against Ocwen, except for standard representations and warranties and our contractual obligation to service the HECMs and the HMBS, and have no recourse against the assets of Ocwen.</w:t>
      </w:r>
    </w:p>
    <w:p>
      <w:pPr>
        <w:spacing w:after="0" w:line="129"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We have elected to measure the HECMS and HMBS-related borrowings at fair value. The changes in fair value of the HECMs and HMBS-related borrowings are included in other revenues in our Consolidated Statement of Operations. Included in net fair value gains on the HECMs and related HMBS borrowings are the interest income that we expect to be collected on the HECMs and the interest expense that we expect to be paid on the HMBS-related borrowings. We report originations and payments of HECMs in investing activities in the Consolidated Statements of Cash Flows. We report net fair value gains on HECMs and the related HMBS borrowings as an adjustment to the net cash provided by or used in operating activities in the Consolidated Statements of Cash Flows. Proceeds from securitizations of HECMs and payments on HMBS-related borrowings are included in financing activities in the Consolidated Statements of Cash Flows.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had HMBS-related borrowings of $284.3 million and $290.9 million of HECMs pledged as collateral to the pools at September 30, 2013.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89"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Match funded advances on loans serviced for others result from our transfers of residential loan servicing advances to SPEs in exchange for cash. We consolidate these SPEs because the transfers do not qualify for sales accounting treatment or because Ocwen is the primary beneficiary of the SPE.</w:t>
      </w:r>
    </w:p>
    <w:p>
      <w:pPr>
        <w:spacing w:after="0" w:line="8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These SPEs issue debt supported by collections on the transferred advances. We made these transfers under the terms of our advance facility agreements. We classify the transferred advances on our Consolidated Balance Sheet as Match funded advances and the related liabilities as Match funded liabilities. The SPEs use collections of the pledged advances to repay principal and interest and to pay the expenses of the SPE. Holders of the debt issued by these entities can look only to the assets of the SPE for satisfaction of the debt and have no recourse against Ocwen. However, Ocwen and OLS have guaranteed the payment of the obligations under the securitization documents of one of the entities. The maximum amount payable under the guarantee is limited to 10% of the notes outstanding at the end of the facility’s revolving period in December 2014. The entity to which this guarantee applies had $37.6 million of notes outstanding at September 30, 2013. Ocwen and OLS had previously guaranteed the payment of obligations under the securitization documents of one additional entity; however, in July 2013, the notes outstanding under this facility were repaid, and the facility was terminated. The assets and liabilities of the advance financing SPEs are comprised solely of Match funded advances, Debt service accounts, Match funded liabilities and amounts due to affiliates. Amounts due to affiliates are eliminated in consolidation.</w:t>
      </w:r>
    </w:p>
    <w:p>
      <w:pPr>
        <w:spacing w:after="0" w:line="151" w:lineRule="exact"/>
        <w:rPr>
          <w:sz w:val="20"/>
          <w:szCs w:val="20"/>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 xml:space="preserve">See </w:t>
      </w:r>
      <w:hyperlink w:anchor="page27">
        <w:r>
          <w:rPr>
            <w:rFonts w:ascii="Arial" w:cs="Arial" w:eastAsia="Arial" w:hAnsi="Arial"/>
            <w:sz w:val="17"/>
            <w:szCs w:val="17"/>
            <w:u w:val="single" w:color="auto"/>
            <w:color w:val="0000EE"/>
          </w:rPr>
          <w:t>Note 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Match Funded Advances, Note 12 – Debt Service Accounts and Note 14 – Match Funded Liabilities for additional information.</w:t>
      </w:r>
    </w:p>
    <w:p>
      <w:pPr>
        <w:spacing w:after="0" w:line="23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TRANSFERS OF FINANCIAL ASSETS</w:t>
      </w:r>
    </w:p>
    <w:p>
      <w:pPr>
        <w:spacing w:after="0" w:line="18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order to efficiently finance our assets and operations and create liquidity, we periodically sell MSRs, Rights to MSRs and servicing advances to market participants, including Home Loan Servicing Solutions, Ltd. and its wholly owned subsidiary, HLSS Holdings, LLC (collectively HLSS). We typically retain the right to subservice loans when we sell MSRs and rights to MSRs. To the extent applicable, HLSS may also acquire advance SPEs and the related match funded liabilities (together with the purchase of Rights to MSRs and servicing advances, the HLSS Transactions). During the nine months ended September 30, 2013 and 2012, we completed HLSS Transactions relating to the Rights to MSRs for $109.8 billion and $48.2 billion of UPB, respectively.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5" w:name="page16"/>
    <w:bookmarkEnd w:id="15"/>
    <w:p>
      <w:pPr>
        <w:ind w:right="20" w:firstLine="324"/>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As part of the HLSS Transactions, we retain legal ownership of the MSRs and continue to service the related mortgage loans. We are obligated to transfer legal ownership of the MSRs to HLSS upon obtaining all required third party consents. At that time, we would subservice the MSRs pursuant to our subservicing agreement, as amended, with HLSS. See </w:t>
      </w:r>
      <w:hyperlink w:anchor="page42">
        <w:r>
          <w:rPr>
            <w:rFonts w:ascii="Arial" w:cs="Arial" w:eastAsia="Arial" w:hAnsi="Arial"/>
            <w:sz w:val="17"/>
            <w:szCs w:val="17"/>
            <w:u w:val="single" w:color="auto"/>
            <w:color w:val="0000EE"/>
          </w:rPr>
          <w:t>Note 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Related Party Transactions for additional information.</w:t>
      </w:r>
    </w:p>
    <w:p>
      <w:pPr>
        <w:spacing w:after="0" w:line="1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provides a summary of the assets and liabilities sold to HLSS in connection with the HLSS Transactions during the nine months ended September 30: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Borders>
              <w:bottom w:val="single" w:sz="8" w:color="CCEECC"/>
            </w:tcBorders>
          </w:tcPr>
          <w:p>
            <w:pPr>
              <w:spacing w:after="0"/>
              <w:rPr>
                <w:sz w:val="20"/>
                <w:szCs w:val="20"/>
                <w:color w:val="auto"/>
              </w:rPr>
            </w:pPr>
          </w:p>
        </w:tc>
        <w:tc>
          <w:tcPr>
            <w:tcW w:w="48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Sale of MSRs accounted for as a financing</w:t>
            </w:r>
          </w:p>
        </w:tc>
        <w:tc>
          <w:tcPr>
            <w:tcW w:w="48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388,472</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184,269</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340" w:type="dxa"/>
            <w:vAlign w:val="bottom"/>
            <w:gridSpan w:val="2"/>
          </w:tcPr>
          <w:p>
            <w:pPr>
              <w:spacing w:after="0"/>
              <w:rPr>
                <w:sz w:val="20"/>
                <w:szCs w:val="20"/>
                <w:color w:val="auto"/>
              </w:rPr>
            </w:pPr>
            <w:r>
              <w:rPr>
                <w:rFonts w:ascii="Arial" w:cs="Arial" w:eastAsia="Arial" w:hAnsi="Arial"/>
                <w:sz w:val="18"/>
                <w:szCs w:val="18"/>
                <w:color w:val="auto"/>
              </w:rPr>
              <w:t>Sale of match funded advances</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3,489,907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1,088,505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Sale of advance SPEs:</w:t>
            </w:r>
          </w:p>
        </w:tc>
        <w:tc>
          <w:tcPr>
            <w:tcW w:w="4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Match funded advances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CC"/>
          </w:tcPr>
          <w:p>
            <w:pPr>
              <w:ind w:left="140"/>
              <w:spacing w:after="0"/>
              <w:rPr>
                <w:sz w:val="20"/>
                <w:szCs w:val="20"/>
                <w:color w:val="auto"/>
              </w:rPr>
            </w:pPr>
            <w:r>
              <w:rPr>
                <w:rFonts w:ascii="Arial" w:cs="Arial" w:eastAsia="Arial" w:hAnsi="Arial"/>
                <w:sz w:val="18"/>
                <w:szCs w:val="18"/>
                <w:color w:val="auto"/>
              </w:rPr>
              <w:t>Debt service account</w:t>
            </w:r>
          </w:p>
        </w:tc>
        <w:tc>
          <w:tcPr>
            <w:tcW w:w="4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Prepaid lender fees and debt issuance costs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 prepaid expenses</w:t>
            </w:r>
          </w:p>
        </w:tc>
        <w:tc>
          <w:tcPr>
            <w:tcW w:w="4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Match funded liabilities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(358,335)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shd w:val="clear" w:color="auto" w:fill="CCEECC"/>
          </w:tcPr>
          <w:p>
            <w:pPr>
              <w:ind w:left="140"/>
              <w:spacing w:after="0"/>
              <w:rPr>
                <w:sz w:val="20"/>
                <w:szCs w:val="20"/>
                <w:color w:val="auto"/>
              </w:rPr>
            </w:pPr>
            <w:r>
              <w:rPr>
                <w:rFonts w:ascii="Arial" w:cs="Arial" w:eastAsia="Arial" w:hAnsi="Arial"/>
                <w:sz w:val="18"/>
                <w:szCs w:val="18"/>
                <w:color w:val="auto"/>
              </w:rPr>
              <w:t>Accrued interest payable and other accrued expenses</w:t>
            </w:r>
          </w:p>
        </w:tc>
        <w:tc>
          <w:tcPr>
            <w:tcW w:w="48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CC"/>
            </w:tcBorders>
          </w:tcPr>
          <w:p>
            <w:pPr>
              <w:ind w:left="300"/>
              <w:spacing w:after="0"/>
              <w:rPr>
                <w:sz w:val="20"/>
                <w:szCs w:val="20"/>
                <w:color w:val="auto"/>
              </w:rPr>
            </w:pPr>
            <w:r>
              <w:rPr>
                <w:rFonts w:ascii="Arial" w:cs="Arial" w:eastAsia="Arial" w:hAnsi="Arial"/>
                <w:sz w:val="18"/>
                <w:szCs w:val="18"/>
                <w:color w:val="auto"/>
              </w:rPr>
              <w:t>Net assets of advance SPEs</w:t>
            </w:r>
          </w:p>
        </w:tc>
        <w:tc>
          <w:tcPr>
            <w:tcW w:w="48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76,334</w:t>
            </w:r>
          </w:p>
        </w:tc>
        <w:tc>
          <w:tcPr>
            <w:tcW w:w="10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Sales price, as adjusted</w:t>
            </w:r>
          </w:p>
        </w:tc>
        <w:tc>
          <w:tcPr>
            <w:tcW w:w="4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3,878,379</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9"/>
              </w:rPr>
              <w:t>1,349,108</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Amount due to (from) HLSS for post-closing adjustments at September 30</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CC"/>
            </w:tcBorders>
            <w:shd w:val="clear" w:color="auto" w:fill="CCEECC"/>
          </w:tcPr>
          <w:p>
            <w:pPr>
              <w:spacing w:after="0"/>
              <w:rPr>
                <w:sz w:val="18"/>
                <w:szCs w:val="18"/>
                <w:color w:val="auto"/>
              </w:rPr>
            </w:pPr>
          </w:p>
        </w:tc>
        <w:tc>
          <w:tcPr>
            <w:tcW w:w="4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3,878,379</w:t>
            </w:r>
          </w:p>
        </w:tc>
        <w:tc>
          <w:tcPr>
            <w:tcW w:w="22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9"/>
              </w:rPr>
              <w:t>1,344,848</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spacing w:after="0" w:line="201" w:lineRule="exact"/>
              <w:rPr>
                <w:sz w:val="20"/>
                <w:szCs w:val="20"/>
                <w:color w:val="auto"/>
              </w:rPr>
            </w:pPr>
            <w:r>
              <w:rPr>
                <w:rFonts w:ascii="Arial" w:cs="Arial" w:eastAsia="Arial" w:hAnsi="Arial"/>
                <w:sz w:val="18"/>
                <w:szCs w:val="18"/>
                <w:color w:val="auto"/>
                <w:w w:val="95"/>
              </w:rPr>
              <w:t>Amount received from (paid to) HLSS as settlement of post-closing adjustments outstanding at the end of the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20" w:type="dxa"/>
            <w:vAlign w:val="bottom"/>
          </w:tcPr>
          <w:p>
            <w:pPr>
              <w:ind w:left="140"/>
              <w:spacing w:after="0"/>
              <w:rPr>
                <w:sz w:val="20"/>
                <w:szCs w:val="20"/>
                <w:color w:val="auto"/>
              </w:rPr>
            </w:pPr>
            <w:r>
              <w:rPr>
                <w:rFonts w:ascii="Arial" w:cs="Arial" w:eastAsia="Arial" w:hAnsi="Arial"/>
                <w:sz w:val="18"/>
                <w:szCs w:val="18"/>
                <w:color w:val="auto"/>
              </w:rPr>
              <w:t>previous year</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1,410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cash received</w:t>
            </w:r>
          </w:p>
        </w:tc>
        <w:tc>
          <w:tcPr>
            <w:tcW w:w="48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3,879,789</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9"/>
              </w:rPr>
              <w:t>1,344,848</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Because we retained legal title to the MSRs, the sales of Rights to MSRs are accounted for as financings. To the extent that we obtain all third party consents, legal title will transfer to HLSS, at which point we will derecognize the related MSRs. Upon derecognition, any resulting gain or loss will be deferred and amortized over the expected life of the related subservicing agreement. Until such time, we continue to recognize the full amount of servicing revenue and amortization of the MSRs.</w:t>
      </w:r>
    </w:p>
    <w:p>
      <w:pPr>
        <w:spacing w:after="0" w:line="14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related advance sales meet the requirements for sale accounting under GAAP. When HLSS acquired advance SPEs from Ocwen, we derecognized the consolidated assets and liabilities of the Advance SPEs at the time of the sale. In subsequent sales of advances, HLSS acquired the advances directly and the transferred financial assets were accounted for as a sale and were derecognized from our financial statements. We have also evaluated our relationship with the financing SPEs to which HLSS has transferred the servicing advances that it has acquired from us and have determined that we are not required to consolidate these SPEs.</w:t>
      </w:r>
    </w:p>
    <w:p>
      <w:pPr>
        <w:spacing w:after="0" w:line="184"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BUSINESS ACQUISITIONS</w:t>
      </w:r>
    </w:p>
    <w:p>
      <w:pPr>
        <w:spacing w:after="0" w:line="20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completed the Liberty, Correspondent One S.A. (Correspondent One), ResCap and Homeward acquisitions as part of our ongoing strategy to expand our residential origination and servicing businesses. We accounted for these transactions using the acquisition method which requires, among other things, that the assets acquired and liabilities assumed be recognized at their fair values as of the acquisition date. In a business combination, the initial allocation of the purchase price is considered preliminary and, therefore, subject to change until the end of the measurement period (up to one year from the acquisition date). Goodwill is calculated as the excess of the consideration transferred over the net assets recognized and represents the expected revenue and cost synergies of the combined business.</w:t>
      </w:r>
    </w:p>
    <w:p>
      <w:pPr>
        <w:spacing w:after="0" w:line="15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pro forma consolidated results presented below for each business acquisition are not indicative of what our consolidated net earnings would have been had we completed the acquisitions on the dates indicated because of differences in servicing practices and cost structure between Ocwen and each acquiree. In addition, the pro forma consolidated results do not purport to project our combined future results nor do they reflect the expected realization of any cost savings associated with the acquisitions.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ind w:firstLine="324"/>
        <w:spacing w:after="0" w:line="259" w:lineRule="auto"/>
        <w:rPr>
          <w:sz w:val="20"/>
          <w:szCs w:val="20"/>
          <w:color w:val="auto"/>
        </w:rPr>
      </w:pPr>
      <w:r>
        <w:rPr>
          <w:rFonts w:ascii="Arial" w:cs="Arial" w:eastAsia="Arial" w:hAnsi="Arial"/>
          <w:sz w:val="18"/>
          <w:szCs w:val="18"/>
          <w:color w:val="auto"/>
        </w:rPr>
        <w:t>The ResCap acquisition was treated as an asset acquisition for U.S. tax purposes. We expect the opening tax basis for the acquired assets and liabilities to be the fair value as shown in the purchase price allocation table below. We expect MSRs and goodwill to be treated as intangible assets acquired in connection with the purchase of a trade or business and, as such, amortized over 15 years for U.S. tax purposes. The acquisitions of Liberty and Homeward were treated as stock purchases for U.S. tax purposes.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Allocation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fair values of assets acquired and liabilities assumed as part of the ResCap and Homeward Acquisitions: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w w:val="95"/>
              </w:rPr>
              <w:t>ResCap</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b w:val="1"/>
                <w:bCs w:val="1"/>
                <w:color w:val="auto"/>
                <w:w w:val="97"/>
              </w:rPr>
              <w:t>Homeward</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191"/>
        </w:trPr>
        <w:tc>
          <w:tcPr>
            <w:tcW w:w="2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34"/>
        </w:trPr>
        <w:tc>
          <w:tcPr>
            <w:tcW w:w="2360" w:type="dxa"/>
            <w:vAlign w:val="bottom"/>
          </w:tcPr>
          <w:p>
            <w:pPr>
              <w:spacing w:after="0"/>
              <w:rPr>
                <w:sz w:val="20"/>
                <w:szCs w:val="20"/>
                <w:color w:val="auto"/>
              </w:rPr>
            </w:pPr>
            <w:r>
              <w:rPr>
                <w:rFonts w:ascii="Arial" w:cs="Arial" w:eastAsia="Arial" w:hAnsi="Arial"/>
                <w:sz w:val="18"/>
                <w:szCs w:val="18"/>
                <w:b w:val="1"/>
                <w:bCs w:val="1"/>
                <w:color w:val="auto"/>
              </w:rPr>
              <w:t>Purchase Price Allocation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2"/>
              </w:rPr>
              <w:t>Revised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9"/>
              </w:rPr>
              <w:t>Revised</w:t>
            </w:r>
          </w:p>
        </w:tc>
      </w:tr>
      <w:tr>
        <w:trPr>
          <w:trHeight w:val="210"/>
        </w:trPr>
        <w:tc>
          <w:tcPr>
            <w:tcW w:w="236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Cash</w:t>
            </w:r>
          </w:p>
        </w:tc>
        <w:tc>
          <w:tcPr>
            <w:tcW w:w="3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79,511</w:t>
            </w:r>
          </w:p>
        </w:tc>
        <w:tc>
          <w:tcPr>
            <w:tcW w:w="44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79,511</w:t>
            </w:r>
          </w:p>
        </w:tc>
        <w:tc>
          <w:tcPr>
            <w:tcW w:w="320" w:type="dxa"/>
            <w:vAlign w:val="bottom"/>
            <w:tcBorders>
              <w:top w:val="single" w:sz="8" w:color="CCEECC"/>
            </w:tcBorders>
            <w:shd w:val="clear" w:color="auto" w:fill="CCEECC"/>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Loans held for sale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558,721</w:t>
            </w:r>
          </w:p>
        </w:tc>
        <w:tc>
          <w:tcPr>
            <w:tcW w:w="2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558,721</w:t>
            </w:r>
          </w:p>
        </w:tc>
        <w:tc>
          <w:tcPr>
            <w:tcW w:w="320" w:type="dxa"/>
            <w:vAlign w:val="bottom"/>
          </w:tcPr>
          <w:p>
            <w:pPr>
              <w:spacing w:after="0"/>
              <w:rPr>
                <w:sz w:val="18"/>
                <w:szCs w:val="18"/>
                <w:color w:val="auto"/>
              </w:rPr>
            </w:pPr>
          </w:p>
        </w:tc>
      </w:tr>
      <w:tr>
        <w:trPr>
          <w:trHeight w:val="216"/>
        </w:trPr>
        <w:tc>
          <w:tcPr>
            <w:tcW w:w="2360" w:type="dxa"/>
            <w:vAlign w:val="bottom"/>
            <w:shd w:val="clear" w:color="auto" w:fill="CCEECC"/>
          </w:tcPr>
          <w:p>
            <w:pPr>
              <w:spacing w:after="0"/>
              <w:rPr>
                <w:sz w:val="20"/>
                <w:szCs w:val="20"/>
                <w:color w:val="auto"/>
              </w:rPr>
            </w:pPr>
            <w:r>
              <w:rPr>
                <w:rFonts w:ascii="Arial" w:cs="Arial" w:eastAsia="Arial" w:hAnsi="Arial"/>
                <w:sz w:val="18"/>
                <w:szCs w:val="18"/>
                <w:color w:val="auto"/>
              </w:rPr>
              <w:t>MSRs (2)</w:t>
            </w: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420"/>
              <w:spacing w:after="0"/>
              <w:rPr>
                <w:sz w:val="20"/>
                <w:szCs w:val="20"/>
                <w:color w:val="auto"/>
              </w:rPr>
            </w:pPr>
            <w:r>
              <w:rPr>
                <w:rFonts w:ascii="Arial" w:cs="Arial" w:eastAsia="Arial" w:hAnsi="Arial"/>
                <w:sz w:val="18"/>
                <w:szCs w:val="18"/>
                <w:color w:val="auto"/>
              </w:rPr>
              <w:t>393,891</w:t>
            </w:r>
          </w:p>
        </w:tc>
        <w:tc>
          <w:tcPr>
            <w:tcW w:w="16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(2,038)</w:t>
            </w:r>
          </w:p>
        </w:tc>
        <w:tc>
          <w:tcPr>
            <w:tcW w:w="14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391,853(1)</w:t>
            </w:r>
          </w:p>
        </w:tc>
        <w:tc>
          <w:tcPr>
            <w:tcW w:w="18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358,119</w:t>
            </w:r>
          </w:p>
        </w:tc>
        <w:tc>
          <w:tcPr>
            <w:tcW w:w="2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2,225</w:t>
            </w:r>
          </w:p>
        </w:tc>
        <w:tc>
          <w:tcPr>
            <w:tcW w:w="160" w:type="dxa"/>
            <w:vAlign w:val="bottom"/>
            <w:shd w:val="clear" w:color="auto" w:fill="CCEECC"/>
          </w:tcPr>
          <w:p>
            <w:pPr>
              <w:spacing w:after="0"/>
              <w:rPr>
                <w:sz w:val="18"/>
                <w:szCs w:val="18"/>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360,344</w:t>
            </w:r>
          </w:p>
        </w:tc>
        <w:tc>
          <w:tcPr>
            <w:tcW w:w="320" w:type="dxa"/>
            <w:vAlign w:val="bottom"/>
            <w:shd w:val="clear" w:color="auto" w:fill="CCEECC"/>
          </w:tcPr>
          <w:p>
            <w:pPr>
              <w:spacing w:after="0"/>
              <w:rPr>
                <w:sz w:val="18"/>
                <w:szCs w:val="18"/>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Advances and match funded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2360" w:type="dxa"/>
            <w:vAlign w:val="bottom"/>
          </w:tcPr>
          <w:p>
            <w:pPr>
              <w:ind w:left="160"/>
              <w:spacing w:after="0"/>
              <w:rPr>
                <w:sz w:val="20"/>
                <w:szCs w:val="20"/>
                <w:color w:val="auto"/>
              </w:rPr>
            </w:pPr>
            <w:r>
              <w:rPr>
                <w:rFonts w:ascii="Arial" w:cs="Arial" w:eastAsia="Arial" w:hAnsi="Arial"/>
                <w:sz w:val="18"/>
                <w:szCs w:val="18"/>
                <w:color w:val="auto"/>
              </w:rPr>
              <w:t>advances (2)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1,622,348</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100,031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1,722,379(1)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2,266,882</w:t>
            </w:r>
          </w:p>
        </w:tc>
        <w:tc>
          <w:tcPr>
            <w:tcW w:w="28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2,266,882(1)</w:t>
            </w:r>
          </w:p>
        </w:tc>
      </w:tr>
      <w:tr>
        <w:trPr>
          <w:trHeight w:val="216"/>
        </w:trPr>
        <w:tc>
          <w:tcPr>
            <w:tcW w:w="2360" w:type="dxa"/>
            <w:vAlign w:val="bottom"/>
            <w:shd w:val="clear" w:color="auto" w:fill="CCEECC"/>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47,346</w:t>
            </w:r>
          </w:p>
        </w:tc>
        <w:tc>
          <w:tcPr>
            <w:tcW w:w="2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47,346(1)</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Premises and equipment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22,398</w:t>
            </w:r>
          </w:p>
        </w:tc>
        <w:tc>
          <w:tcPr>
            <w:tcW w:w="1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(5,975)</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16,423(1)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16,803</w:t>
            </w:r>
          </w:p>
        </w:tc>
        <w:tc>
          <w:tcPr>
            <w:tcW w:w="2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(4,288)</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12,515(1)</w:t>
            </w:r>
          </w:p>
        </w:tc>
      </w:tr>
      <w:tr>
        <w:trPr>
          <w:trHeight w:val="216"/>
        </w:trPr>
        <w:tc>
          <w:tcPr>
            <w:tcW w:w="2360" w:type="dxa"/>
            <w:vAlign w:val="bottom"/>
            <w:shd w:val="clear" w:color="auto" w:fill="CCEECC"/>
          </w:tcPr>
          <w:p>
            <w:pPr>
              <w:spacing w:after="0"/>
              <w:rPr>
                <w:sz w:val="20"/>
                <w:szCs w:val="20"/>
                <w:color w:val="auto"/>
              </w:rPr>
            </w:pPr>
            <w:r>
              <w:rPr>
                <w:rFonts w:ascii="Arial" w:cs="Arial" w:eastAsia="Arial" w:hAnsi="Arial"/>
                <w:sz w:val="18"/>
                <w:szCs w:val="18"/>
                <w:color w:val="auto"/>
              </w:rPr>
              <w:t>Debt service accounts</w:t>
            </w: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69,287</w:t>
            </w:r>
          </w:p>
        </w:tc>
        <w:tc>
          <w:tcPr>
            <w:tcW w:w="2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69,287</w:t>
            </w: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Investment in unconsolidated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2360" w:type="dxa"/>
            <w:vAlign w:val="bottom"/>
          </w:tcPr>
          <w:p>
            <w:pPr>
              <w:ind w:left="160"/>
              <w:spacing w:after="0"/>
              <w:rPr>
                <w:sz w:val="20"/>
                <w:szCs w:val="20"/>
                <w:color w:val="auto"/>
              </w:rPr>
            </w:pPr>
            <w:r>
              <w:rPr>
                <w:rFonts w:ascii="Arial" w:cs="Arial" w:eastAsia="Arial" w:hAnsi="Arial"/>
                <w:sz w:val="18"/>
                <w:szCs w:val="18"/>
                <w:color w:val="auto"/>
              </w:rPr>
              <w:t>entities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5,485</w:t>
            </w:r>
          </w:p>
        </w:tc>
        <w:tc>
          <w:tcPr>
            <w:tcW w:w="28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5,485(1)</w:t>
            </w:r>
          </w:p>
        </w:tc>
      </w:tr>
      <w:tr>
        <w:trPr>
          <w:trHeight w:val="216"/>
        </w:trPr>
        <w:tc>
          <w:tcPr>
            <w:tcW w:w="2360" w:type="dxa"/>
            <w:vAlign w:val="bottom"/>
            <w:shd w:val="clear" w:color="auto" w:fill="CCEECC"/>
          </w:tcPr>
          <w:p>
            <w:pPr>
              <w:spacing w:after="0"/>
              <w:rPr>
                <w:sz w:val="20"/>
                <w:szCs w:val="20"/>
                <w:color w:val="auto"/>
              </w:rPr>
            </w:pPr>
            <w:r>
              <w:rPr>
                <w:rFonts w:ascii="Arial" w:cs="Arial" w:eastAsia="Arial" w:hAnsi="Arial"/>
                <w:sz w:val="18"/>
                <w:szCs w:val="18"/>
                <w:color w:val="auto"/>
                <w:w w:val="88"/>
              </w:rPr>
              <w:t>Receivables and other assets (3)</w:t>
            </w: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420"/>
              <w:spacing w:after="0"/>
              <w:rPr>
                <w:sz w:val="20"/>
                <w:szCs w:val="20"/>
                <w:color w:val="auto"/>
              </w:rPr>
            </w:pPr>
            <w:r>
              <w:rPr>
                <w:rFonts w:ascii="Arial" w:cs="Arial" w:eastAsia="Arial" w:hAnsi="Arial"/>
                <w:sz w:val="18"/>
                <w:szCs w:val="18"/>
                <w:color w:val="auto"/>
              </w:rPr>
              <w:t>2,989</w:t>
            </w:r>
          </w:p>
        </w:tc>
        <w:tc>
          <w:tcPr>
            <w:tcW w:w="16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2,989</w:t>
            </w:r>
          </w:p>
        </w:tc>
        <w:tc>
          <w:tcPr>
            <w:tcW w:w="18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56,886</w:t>
            </w:r>
          </w:p>
        </w:tc>
        <w:tc>
          <w:tcPr>
            <w:tcW w:w="2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(29,746)</w:t>
            </w:r>
          </w:p>
        </w:tc>
        <w:tc>
          <w:tcPr>
            <w:tcW w:w="16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27,140</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Match funded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(1,997,459)</w:t>
            </w:r>
          </w:p>
        </w:tc>
        <w:tc>
          <w:tcPr>
            <w:tcW w:w="2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(1,997,459)</w:t>
            </w:r>
          </w:p>
        </w:tc>
      </w:tr>
      <w:tr>
        <w:trPr>
          <w:trHeight w:val="216"/>
        </w:trPr>
        <w:tc>
          <w:tcPr>
            <w:tcW w:w="2360" w:type="dxa"/>
            <w:vAlign w:val="bottom"/>
            <w:shd w:val="clear" w:color="auto" w:fill="CCEECC"/>
          </w:tcPr>
          <w:p>
            <w:pPr>
              <w:spacing w:after="0"/>
              <w:rPr>
                <w:sz w:val="20"/>
                <w:szCs w:val="20"/>
                <w:color w:val="auto"/>
              </w:rPr>
            </w:pPr>
            <w:r>
              <w:rPr>
                <w:rFonts w:ascii="Arial" w:cs="Arial" w:eastAsia="Arial" w:hAnsi="Arial"/>
                <w:sz w:val="18"/>
                <w:szCs w:val="18"/>
                <w:color w:val="auto"/>
              </w:rPr>
              <w:t>Other borrowings</w:t>
            </w: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(864,969)</w:t>
            </w:r>
          </w:p>
        </w:tc>
        <w:tc>
          <w:tcPr>
            <w:tcW w:w="2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(864,969)</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2"/>
        </w:trPr>
        <w:tc>
          <w:tcPr>
            <w:tcW w:w="2360" w:type="dxa"/>
            <w:vAlign w:val="bottom"/>
            <w:shd w:val="clear" w:color="auto" w:fill="CCEECC"/>
          </w:tcPr>
          <w:p>
            <w:pPr>
              <w:ind w:left="160"/>
              <w:spacing w:after="0" w:line="201" w:lineRule="exact"/>
              <w:rPr>
                <w:sz w:val="20"/>
                <w:szCs w:val="20"/>
                <w:color w:val="auto"/>
              </w:rPr>
            </w:pPr>
            <w:r>
              <w:rPr>
                <w:rFonts w:ascii="Arial" w:cs="Arial" w:eastAsia="Arial" w:hAnsi="Arial"/>
                <w:sz w:val="18"/>
                <w:szCs w:val="18"/>
                <w:color w:val="auto"/>
              </w:rPr>
              <w:t>Liability for indemnification</w:t>
            </w:r>
          </w:p>
        </w:tc>
        <w:tc>
          <w:tcPr>
            <w:tcW w:w="3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2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38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r>
      <w:tr>
        <w:trPr>
          <w:trHeight w:val="230"/>
        </w:trPr>
        <w:tc>
          <w:tcPr>
            <w:tcW w:w="23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obligations</w:t>
            </w:r>
          </w:p>
        </w:tc>
        <w:tc>
          <w:tcPr>
            <w:tcW w:w="3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34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(49,500)</w:t>
            </w:r>
          </w:p>
        </w:tc>
        <w:tc>
          <w:tcPr>
            <w:tcW w:w="160" w:type="dxa"/>
            <w:vAlign w:val="bottom"/>
            <w:shd w:val="clear" w:color="auto" w:fill="CCEECC"/>
          </w:tcPr>
          <w:p>
            <w:pPr>
              <w:spacing w:after="0"/>
              <w:rPr>
                <w:sz w:val="20"/>
                <w:szCs w:val="20"/>
                <w:color w:val="auto"/>
              </w:rPr>
            </w:pPr>
          </w:p>
        </w:tc>
        <w:tc>
          <w:tcPr>
            <w:tcW w:w="13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20"/>
                <w:szCs w:val="20"/>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(49,500)</w:t>
            </w:r>
          </w:p>
        </w:tc>
        <w:tc>
          <w:tcPr>
            <w:tcW w:w="18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30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(32,498)</w:t>
            </w:r>
          </w:p>
        </w:tc>
        <w:tc>
          <w:tcPr>
            <w:tcW w:w="280" w:type="dxa"/>
            <w:vAlign w:val="bottom"/>
            <w:shd w:val="clear" w:color="auto" w:fill="CCEECC"/>
          </w:tcPr>
          <w:p>
            <w:pPr>
              <w:spacing w:after="0"/>
              <w:rPr>
                <w:sz w:val="20"/>
                <w:szCs w:val="20"/>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20"/>
                <w:szCs w:val="20"/>
                <w:color w:val="auto"/>
              </w:rPr>
            </w:pPr>
          </w:p>
        </w:tc>
        <w:tc>
          <w:tcPr>
            <w:tcW w:w="11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(32,498)(1)</w:t>
            </w:r>
          </w:p>
        </w:tc>
      </w:tr>
      <w:tr>
        <w:trPr>
          <w:trHeight w:val="202"/>
        </w:trPr>
        <w:tc>
          <w:tcPr>
            <w:tcW w:w="2360" w:type="dxa"/>
            <w:vAlign w:val="bottom"/>
          </w:tcPr>
          <w:p>
            <w:pPr>
              <w:ind w:left="160"/>
              <w:spacing w:after="0" w:line="201" w:lineRule="exact"/>
              <w:rPr>
                <w:sz w:val="20"/>
                <w:szCs w:val="20"/>
                <w:color w:val="auto"/>
              </w:rPr>
            </w:pPr>
            <w:r>
              <w:rPr>
                <w:rFonts w:ascii="Arial" w:cs="Arial" w:eastAsia="Arial" w:hAnsi="Arial"/>
                <w:sz w:val="18"/>
                <w:szCs w:val="18"/>
                <w:color w:val="auto"/>
              </w:rPr>
              <w:t>Liability for certain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2360" w:type="dxa"/>
            <w:vAlign w:val="bottom"/>
          </w:tcPr>
          <w:p>
            <w:pPr>
              <w:ind w:left="320"/>
              <w:spacing w:after="0"/>
              <w:rPr>
                <w:sz w:val="20"/>
                <w:szCs w:val="20"/>
                <w:color w:val="auto"/>
              </w:rPr>
            </w:pPr>
            <w:r>
              <w:rPr>
                <w:rFonts w:ascii="Arial" w:cs="Arial" w:eastAsia="Arial" w:hAnsi="Arial"/>
                <w:sz w:val="18"/>
                <w:szCs w:val="18"/>
                <w:color w:val="auto"/>
              </w:rPr>
              <w:t>foreclosure matters (4)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(13,602)</w:t>
            </w: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(13,602)(1)</w:t>
            </w:r>
          </w:p>
        </w:tc>
      </w:tr>
      <w:tr>
        <w:trPr>
          <w:trHeight w:val="216"/>
        </w:trPr>
        <w:tc>
          <w:tcPr>
            <w:tcW w:w="23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Accrued bonuses</w:t>
            </w: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340" w:type="dxa"/>
            <w:vAlign w:val="bottom"/>
            <w:gridSpan w:val="2"/>
            <w:shd w:val="clear" w:color="auto" w:fill="CCEECC"/>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30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(35,201)</w:t>
            </w:r>
          </w:p>
        </w:tc>
        <w:tc>
          <w:tcPr>
            <w:tcW w:w="28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(35,201)</w:t>
            </w:r>
          </w:p>
        </w:tc>
      </w:tr>
      <w:tr>
        <w:trPr>
          <w:trHeight w:val="216"/>
        </w:trPr>
        <w:tc>
          <w:tcPr>
            <w:tcW w:w="2360" w:type="dxa"/>
            <w:vAlign w:val="bottom"/>
          </w:tcPr>
          <w:p>
            <w:pPr>
              <w:ind w:left="160"/>
              <w:spacing w:after="0"/>
              <w:rPr>
                <w:sz w:val="20"/>
                <w:szCs w:val="20"/>
                <w:color w:val="auto"/>
              </w:rPr>
            </w:pPr>
            <w:r>
              <w:rPr>
                <w:rFonts w:ascii="Arial" w:cs="Arial" w:eastAsia="Arial" w:hAnsi="Arial"/>
                <w:sz w:val="18"/>
                <w:szCs w:val="18"/>
                <w:color w:val="auto"/>
              </w:rPr>
              <w:t>Checks held for escheat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(16,418)</w:t>
            </w:r>
          </w:p>
        </w:tc>
        <w:tc>
          <w:tcPr>
            <w:tcW w:w="2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(16,453)(1)</w:t>
            </w:r>
          </w:p>
        </w:tc>
      </w:tr>
      <w:tr>
        <w:trPr>
          <w:trHeight w:val="230"/>
        </w:trPr>
        <w:tc>
          <w:tcPr>
            <w:tcW w:w="23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34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(24,840)</w:t>
            </w:r>
          </w:p>
        </w:tc>
        <w:tc>
          <w:tcPr>
            <w:tcW w:w="160" w:type="dxa"/>
            <w:vAlign w:val="bottom"/>
            <w:shd w:val="clear" w:color="auto" w:fill="CCEECC"/>
          </w:tcPr>
          <w:p>
            <w:pPr>
              <w:spacing w:after="0"/>
              <w:rPr>
                <w:sz w:val="19"/>
                <w:szCs w:val="19"/>
                <w:color w:val="auto"/>
              </w:rPr>
            </w:pPr>
          </w:p>
        </w:tc>
        <w:tc>
          <w:tcPr>
            <w:tcW w:w="130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CC"/>
          </w:tcPr>
          <w:p>
            <w:pPr>
              <w:spacing w:after="0"/>
              <w:rPr>
                <w:sz w:val="19"/>
                <w:szCs w:val="19"/>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(25,124)</w:t>
            </w:r>
          </w:p>
        </w:tc>
        <w:tc>
          <w:tcPr>
            <w:tcW w:w="18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30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(47,614)</w:t>
            </w:r>
          </w:p>
        </w:tc>
        <w:tc>
          <w:tcPr>
            <w:tcW w:w="28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2,763</w:t>
            </w:r>
          </w:p>
        </w:tc>
        <w:tc>
          <w:tcPr>
            <w:tcW w:w="16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(44,851)(1)</w:t>
            </w:r>
          </w:p>
        </w:tc>
      </w:tr>
      <w:tr>
        <w:trPr>
          <w:trHeight w:val="210"/>
        </w:trPr>
        <w:tc>
          <w:tcPr>
            <w:tcW w:w="2360" w:type="dxa"/>
            <w:vAlign w:val="bottom"/>
          </w:tcPr>
          <w:p>
            <w:pPr>
              <w:ind w:left="320"/>
              <w:spacing w:after="0"/>
              <w:rPr>
                <w:sz w:val="20"/>
                <w:szCs w:val="20"/>
                <w:color w:val="auto"/>
              </w:rPr>
            </w:pPr>
            <w:r>
              <w:rPr>
                <w:rFonts w:ascii="Arial" w:cs="Arial" w:eastAsia="Arial" w:hAnsi="Arial"/>
                <w:sz w:val="18"/>
                <w:szCs w:val="18"/>
                <w:color w:val="auto"/>
                <w:w w:val="92"/>
              </w:rPr>
              <w:t>Total identifiable net assets</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1,967,286</w:t>
            </w:r>
          </w:p>
        </w:tc>
        <w:tc>
          <w:tcPr>
            <w:tcW w:w="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91,734</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2,059,020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464,881</w:t>
            </w:r>
          </w:p>
        </w:tc>
        <w:tc>
          <w:tcPr>
            <w:tcW w:w="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(42,683)</w:t>
            </w: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422,198</w:t>
            </w:r>
          </w:p>
        </w:tc>
        <w:tc>
          <w:tcPr>
            <w:tcW w:w="320" w:type="dxa"/>
            <w:vAlign w:val="bottom"/>
          </w:tcPr>
          <w:p>
            <w:pPr>
              <w:spacing w:after="0"/>
              <w:rPr>
                <w:sz w:val="18"/>
                <w:szCs w:val="18"/>
                <w:color w:val="auto"/>
              </w:rPr>
            </w:pPr>
          </w:p>
        </w:tc>
      </w:tr>
      <w:tr>
        <w:trPr>
          <w:trHeight w:val="230"/>
        </w:trPr>
        <w:tc>
          <w:tcPr>
            <w:tcW w:w="23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340" w:type="dxa"/>
            <w:vAlign w:val="bottom"/>
            <w:gridSpan w:val="2"/>
            <w:shd w:val="clear" w:color="auto" w:fill="CCEECC"/>
          </w:tcPr>
          <w:p>
            <w:pPr>
              <w:jc w:val="right"/>
              <w:ind w:right="420"/>
              <w:spacing w:after="0"/>
              <w:rPr>
                <w:sz w:val="20"/>
                <w:szCs w:val="20"/>
                <w:color w:val="auto"/>
              </w:rPr>
            </w:pPr>
            <w:r>
              <w:rPr>
                <w:rFonts w:ascii="Arial" w:cs="Arial" w:eastAsia="Arial" w:hAnsi="Arial"/>
                <w:sz w:val="18"/>
                <w:szCs w:val="18"/>
                <w:color w:val="auto"/>
              </w:rPr>
              <w:t>204,743</w:t>
            </w:r>
          </w:p>
        </w:tc>
        <w:tc>
          <w:tcPr>
            <w:tcW w:w="160" w:type="dxa"/>
            <w:vAlign w:val="bottom"/>
            <w:shd w:val="clear" w:color="auto" w:fill="CCEECC"/>
          </w:tcPr>
          <w:p>
            <w:pPr>
              <w:spacing w:after="0"/>
              <w:rPr>
                <w:sz w:val="19"/>
                <w:szCs w:val="19"/>
                <w:color w:val="auto"/>
              </w:rPr>
            </w:pPr>
          </w:p>
        </w:tc>
        <w:tc>
          <w:tcPr>
            <w:tcW w:w="130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(2,933)</w:t>
            </w:r>
          </w:p>
        </w:tc>
        <w:tc>
          <w:tcPr>
            <w:tcW w:w="140" w:type="dxa"/>
            <w:vAlign w:val="bottom"/>
            <w:shd w:val="clear" w:color="auto" w:fill="CCEECC"/>
          </w:tcPr>
          <w:p>
            <w:pPr>
              <w:spacing w:after="0"/>
              <w:rPr>
                <w:sz w:val="19"/>
                <w:szCs w:val="19"/>
                <w:color w:val="auto"/>
              </w:rPr>
            </w:pPr>
          </w:p>
        </w:tc>
        <w:tc>
          <w:tcPr>
            <w:tcW w:w="12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201,810(1)</w:t>
            </w:r>
          </w:p>
        </w:tc>
        <w:tc>
          <w:tcPr>
            <w:tcW w:w="18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3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300,843</w:t>
            </w:r>
          </w:p>
        </w:tc>
        <w:tc>
          <w:tcPr>
            <w:tcW w:w="28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41,783</w:t>
            </w:r>
          </w:p>
        </w:tc>
        <w:tc>
          <w:tcPr>
            <w:tcW w:w="16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342,626(1)</w:t>
            </w:r>
          </w:p>
        </w:tc>
      </w:tr>
      <w:tr>
        <w:trPr>
          <w:trHeight w:val="223"/>
        </w:trPr>
        <w:tc>
          <w:tcPr>
            <w:tcW w:w="2360" w:type="dxa"/>
            <w:vAlign w:val="bottom"/>
          </w:tcPr>
          <w:p>
            <w:pPr>
              <w:spacing w:after="0"/>
              <w:rPr>
                <w:sz w:val="20"/>
                <w:szCs w:val="20"/>
                <w:color w:val="auto"/>
              </w:rPr>
            </w:pPr>
            <w:r>
              <w:rPr>
                <w:rFonts w:ascii="Arial" w:cs="Arial" w:eastAsia="Arial" w:hAnsi="Arial"/>
                <w:sz w:val="18"/>
                <w:szCs w:val="18"/>
                <w:color w:val="auto"/>
              </w:rPr>
              <w:t>Total consideration</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2,172,029</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88,801</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2,260,830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765,724</w:t>
            </w: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764,824</w:t>
            </w:r>
          </w:p>
        </w:tc>
        <w:tc>
          <w:tcPr>
            <w:tcW w:w="320" w:type="dxa"/>
            <w:vAlign w:val="bottom"/>
          </w:tcPr>
          <w:p>
            <w:pPr>
              <w:spacing w:after="0"/>
              <w:rPr>
                <w:sz w:val="19"/>
                <w:szCs w:val="19"/>
                <w:color w:val="auto"/>
              </w:rPr>
            </w:pPr>
          </w:p>
        </w:tc>
      </w:tr>
      <w:tr>
        <w:trPr>
          <w:trHeight w:val="20"/>
        </w:trPr>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Initial fair value estimate.</w:t>
      </w:r>
    </w:p>
    <w:p>
      <w:pPr>
        <w:spacing w:after="0" w:line="184" w:lineRule="exact"/>
        <w:rPr>
          <w:rFonts w:ascii="Arial" w:cs="Arial" w:eastAsia="Arial" w:hAnsi="Arial"/>
          <w:sz w:val="18"/>
          <w:szCs w:val="18"/>
          <w:color w:val="auto"/>
        </w:rPr>
      </w:pPr>
    </w:p>
    <w:p>
      <w:pPr>
        <w:ind w:left="340" w:right="180" w:hanging="332"/>
        <w:spacing w:after="0" w:line="25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the acquisition date, the purchase of MSRs with a UPB of $9.0 billion from ResCap was not complete pending the receipt of certain consents and court approvals. During the third quarter we obtained the required consents and approvals for a portion of these MSRs and paid an additional purchase price of $93.3 million to acquire the MSRs and related advances. The purchase price allocation has been revised to include the resulting adjustments to MSRs, advances and goodwill. We anticipate there will be additional settlements in connection with the ResCap Acquisition in the fourth quarter of 2013.</w:t>
      </w:r>
    </w:p>
    <w:p>
      <w:pPr>
        <w:spacing w:after="0" w:line="16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price allocation has been revised to include a $29.7 million income tax liability, with an offsetting increase to goodwill.</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See </w:t>
      </w:r>
      <w:hyperlink w:anchor="page34">
        <w:r>
          <w:rPr>
            <w:rFonts w:ascii="Arial" w:cs="Arial" w:eastAsia="Arial" w:hAnsi="Arial"/>
            <w:sz w:val="18"/>
            <w:szCs w:val="18"/>
            <w:u w:val="single" w:color="auto"/>
            <w:color w:val="0000EE"/>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Other Liabilities.</w:t>
      </w:r>
    </w:p>
    <w:p>
      <w:pPr>
        <w:spacing w:after="0" w:line="18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estimated fair values of the assets acquired and liabilities assumed at the acquisition date, as set forth in the table above, includes some amounts based on preliminary fair value estimates. The following factors led to certain balances having preliminary fair value estimates:</w:t>
      </w:r>
    </w:p>
    <w:p>
      <w:pPr>
        <w:spacing w:after="0" w:line="12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complex nature of certain acquired assets and assumed liabilities prevents us from completing our valuations and reconciliations;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engaged a third party specialist to assist in valuing certain assets and liabilities and this work is not yet complete;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ind w:left="660" w:right="10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Underlying information such as unpaid principal balance (UPB) and other loan level details have not yet been boarded and reconciled onto our servicing platform, and therefore, we have not been able to fully validate and reconcile certain asset and liability balances correlated with UPB data.</w:t>
      </w:r>
    </w:p>
    <w:p>
      <w:pPr>
        <w:spacing w:after="0" w:line="8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Because the measurement period is still open, we expect that certain fair value estimates will change once we receive all information necessary to make a final fair value assessment. Any measurement period adjustments that we identify and determine to be material will be applied retrospectively to the period of acquisition, and depending on the nature of the adjustments, other periods subsequent to the period of acquisition could also be affected. We have adjusted the initial purchase price and purchase price allocations related to the Homeward and ResCap Acquisitions as indicated in the table above. These measurement period adjustments were applied retrospectively to the period of acquisition. The December 31, 2012 Consolidated Balance Sheet has been revised to reflect the adjustments attributable to the Homeward Acquisition. None of the adjustments had a material effect on earnings.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Acquisition</w:t>
      </w:r>
    </w:p>
    <w:p>
      <w:pPr>
        <w:spacing w:after="0" w:line="189"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We completed the ResCap Acquisition on February 15, 2013. We acquired MSRs to “private label,” Freddie Mac and Ginnie Mae loans with a UPB of $103.8 billion and master servicing agreements with a UPB of $40.7 billion. We also assumed subservicing contracts with a UPB of $26.3 billion, including $9.0 billion we agreed to subservice on behalf of ResCap until we obtain certain consents and court approvals. We purchase these MSRs and assume the subservicing contracts from ResCap when such consents and approvals are obtained. As disclosed above, we completed the purchase of certain of these MSRs during the third quarter. We also acquired certain diversified fee-based business operations that included recovery, title and closing services.</w:t>
      </w:r>
    </w:p>
    <w:p>
      <w:pPr>
        <w:spacing w:after="0" w:line="118"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To finance the ResCap Acquisition, we deployed $840.0 million from the proceeds of a new $1.3 billion senior secured term loan (SSTL) facility and borrowed an additional $1.2 billion pursuant to two new servicing advance facilities and one existing facility. We settled the third quarter closings from operating cash. Ocwen assumed certain limited liabilities as part of the transaction, including certain employee liabilities and certain business payables outstanding at the closing date. Under the agreement with ResCap, Ocwen generally did not assume any contingent obligations, including pending or threatened litigation, financial obligations in connection with any settlements, orders or similar agreements entered into by ResCap or obligations in connection with any representations or warranties associated with loans previously sold by ResCap except for litigation that may arise in the ordinary course of servicing mortgage loans relating to servicing agreements assumed by Ocwen. Ocwen assumed all liabilities related to servicing loans that are guaranteed by Ginnie Mae, whether arising prior to or after the closing date.</w:t>
      </w:r>
    </w:p>
    <w:p>
      <w:pPr>
        <w:spacing w:after="0" w:line="152" w:lineRule="exact"/>
        <w:rPr>
          <w:sz w:val="20"/>
          <w:szCs w:val="20"/>
          <w:color w:val="auto"/>
        </w:rPr>
      </w:pPr>
    </w:p>
    <w:p>
      <w:pPr>
        <w:ind w:right="60" w:firstLine="324"/>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On April 12, 2013 in connection with the sale to Altisource Portfolio Solutions, S.A. (Altisource) of the diversified fee-based business acquired in connection with the ResCap Acquisition, Ocwen agreed to establish additional terms related to existing servicing arrangements between Altisource and Ocwen for mortgage servicing assets acquired from ResCap. The cash consideration paid by Altisource to Ocwen under the Agreement totaled $128.8 million. At the time of the closing, we derecognized goodwill of $128.8 million associated with the diversified fee-based business sold to Altisource. There were no other significant assets or liabilities associated with this business. See </w:t>
      </w:r>
      <w:hyperlink w:anchor="page40">
        <w:r>
          <w:rPr>
            <w:rFonts w:ascii="Arial" w:cs="Arial" w:eastAsia="Arial" w:hAnsi="Arial"/>
            <w:sz w:val="18"/>
            <w:szCs w:val="18"/>
            <w:u w:val="single" w:color="auto"/>
            <w:color w:val="0000EE"/>
          </w:rPr>
          <w:t>Note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Business Segment Reporting for a discussion of the additional terms of the servicing arrangements.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revenue and earnings of the ResCap Business operations that are included in our unaudited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from the acquisition date of February 15, 2013 through September 30,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September 30, 2013:</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Three Months</w:t>
            </w:r>
          </w:p>
        </w:tc>
        <w:tc>
          <w:tcPr>
            <w:tcW w:w="1240" w:type="dxa"/>
            <w:vAlign w:val="bottom"/>
            <w:gridSpan w:val="4"/>
          </w:tcPr>
          <w:p>
            <w:pPr>
              <w:ind w:left="140"/>
              <w:spacing w:after="0"/>
              <w:rPr>
                <w:sz w:val="20"/>
                <w:szCs w:val="20"/>
                <w:color w:val="auto"/>
              </w:rPr>
            </w:pPr>
            <w:r>
              <w:rPr>
                <w:rFonts w:ascii="Arial" w:cs="Arial" w:eastAsia="Arial" w:hAnsi="Arial"/>
                <w:sz w:val="18"/>
                <w:szCs w:val="18"/>
                <w:b w:val="1"/>
                <w:bCs w:val="1"/>
                <w:color w:val="auto"/>
                <w:w w:val="99"/>
              </w:rPr>
              <w:t>Nine Months</w:t>
            </w:r>
          </w:p>
        </w:tc>
      </w:tr>
      <w:tr>
        <w:trPr>
          <w:trHeight w:val="210"/>
        </w:trPr>
        <w:tc>
          <w:tcPr>
            <w:tcW w:w="872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212,164</w:t>
            </w:r>
          </w:p>
        </w:tc>
        <w:tc>
          <w:tcPr>
            <w:tcW w:w="16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508,589</w:t>
            </w:r>
          </w:p>
        </w:tc>
        <w:tc>
          <w:tcPr>
            <w:tcW w:w="100" w:type="dxa"/>
            <w:vAlign w:val="bottom"/>
            <w:tcBorders>
              <w:top w:val="single" w:sz="8" w:color="CCEECC"/>
            </w:tcBorders>
            <w:shd w:val="clear" w:color="auto" w:fill="CCEECC"/>
          </w:tcPr>
          <w:p>
            <w:pPr>
              <w:spacing w:after="0"/>
              <w:rPr>
                <w:sz w:val="18"/>
                <w:szCs w:val="18"/>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8,230</w:t>
            </w:r>
          </w:p>
        </w:tc>
        <w:tc>
          <w:tcPr>
            <w:tcW w:w="160" w:type="dxa"/>
            <w:vAlign w:val="bottom"/>
          </w:tcPr>
          <w:p>
            <w:pPr>
              <w:spacing w:after="0"/>
              <w:rPr>
                <w:sz w:val="20"/>
                <w:szCs w:val="20"/>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81,362</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8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for Ocwen as if the ResCap Acquisition occurred on January 1, 2012. Pro forma adjustments include:</w:t>
      </w:r>
    </w:p>
    <w:p>
      <w:pPr>
        <w:spacing w:after="0" w:line="14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policies followed by Ocwen;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ResCap and to recognize interest expense as if the acquisition-related debt of Ocwen had been outstanding at January 1, 2012;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reporting acquisition-related charges for professional services as if they had been incurred in 2012 rather than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1440" w:type="dxa"/>
            <w:vAlign w:val="bottom"/>
            <w:gridSpan w:val="4"/>
          </w:tcPr>
          <w:p>
            <w:pPr>
              <w:ind w:left="200"/>
              <w:spacing w:after="0"/>
              <w:rPr>
                <w:sz w:val="20"/>
                <w:szCs w:val="20"/>
                <w:color w:val="auto"/>
              </w:rPr>
            </w:pPr>
            <w:r>
              <w:rPr>
                <w:rFonts w:ascii="Arial" w:cs="Arial" w:eastAsia="Arial" w:hAnsi="Arial"/>
                <w:sz w:val="18"/>
                <w:szCs w:val="18"/>
                <w:b w:val="1"/>
                <w:bCs w:val="1"/>
                <w:color w:val="auto"/>
              </w:rPr>
              <w:t>Three Months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5"/>
          </w:tcPr>
          <w:p>
            <w:pPr>
              <w:ind w:left="380"/>
              <w:spacing w:after="0"/>
              <w:rPr>
                <w:sz w:val="20"/>
                <w:szCs w:val="20"/>
                <w:color w:val="auto"/>
              </w:rPr>
            </w:pPr>
            <w:r>
              <w:rPr>
                <w:rFonts w:ascii="Arial" w:cs="Arial" w:eastAsia="Arial" w:hAnsi="Arial"/>
                <w:sz w:val="18"/>
                <w:szCs w:val="18"/>
                <w:b w:val="1"/>
                <w:bCs w:val="1"/>
                <w:color w:val="auto"/>
              </w:rPr>
              <w:t>Nine Months</w:t>
            </w:r>
          </w:p>
        </w:tc>
      </w:tr>
      <w:tr>
        <w:trPr>
          <w:trHeight w:val="223"/>
        </w:trPr>
        <w:tc>
          <w:tcPr>
            <w:tcW w:w="7740" w:type="dxa"/>
            <w:vAlign w:val="bottom"/>
            <w:tcBorders>
              <w:top w:val="single" w:sz="8" w:color="auto"/>
              <w:bottom w:val="single" w:sz="8" w:color="CCEECC"/>
            </w:tcBorders>
          </w:tcPr>
          <w:p>
            <w:pPr>
              <w:spacing w:after="0"/>
              <w:rPr>
                <w:sz w:val="19"/>
                <w:szCs w:val="19"/>
                <w:color w:val="auto"/>
              </w:rPr>
            </w:pPr>
          </w:p>
        </w:tc>
        <w:tc>
          <w:tcPr>
            <w:tcW w:w="200" w:type="dxa"/>
            <w:vAlign w:val="bottom"/>
            <w:tcBorders>
              <w:bottom w:val="single" w:sz="8" w:color="CCEE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EECC"/>
            </w:tcBorders>
          </w:tcPr>
          <w:p>
            <w:pPr>
              <w:spacing w:after="0"/>
              <w:rPr>
                <w:sz w:val="19"/>
                <w:szCs w:val="19"/>
                <w:color w:val="auto"/>
              </w:rPr>
            </w:pPr>
          </w:p>
        </w:tc>
        <w:tc>
          <w:tcPr>
            <w:tcW w:w="140" w:type="dxa"/>
            <w:vAlign w:val="bottom"/>
            <w:tcBorders>
              <w:bottom w:val="single" w:sz="8" w:color="CCEE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top w:val="single" w:sz="8" w:color="auto"/>
              <w:bottom w:val="single" w:sz="8" w:color="CCEE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19"/>
                <w:szCs w:val="19"/>
                <w:color w:val="auto"/>
              </w:rPr>
            </w:pPr>
          </w:p>
        </w:tc>
      </w:tr>
      <w:tr>
        <w:trPr>
          <w:trHeight w:val="210"/>
        </w:trPr>
        <w:tc>
          <w:tcPr>
            <w:tcW w:w="7740" w:type="dxa"/>
            <w:vAlign w:val="bottom"/>
            <w:shd w:val="clear" w:color="auto" w:fill="CCEEC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374,751</w:t>
            </w:r>
          </w:p>
        </w:tc>
        <w:tc>
          <w:tcPr>
            <w:tcW w:w="1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7"/>
              </w:rPr>
              <w:t>1,530,055</w:t>
            </w: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1,027,102</w:t>
            </w:r>
          </w:p>
        </w:tc>
        <w:tc>
          <w:tcPr>
            <w:tcW w:w="100" w:type="dxa"/>
            <w:vAlign w:val="bottom"/>
            <w:shd w:val="clear" w:color="auto" w:fill="CCEECC"/>
          </w:tcPr>
          <w:p>
            <w:pPr>
              <w:spacing w:after="0"/>
              <w:rPr>
                <w:sz w:val="18"/>
                <w:szCs w:val="18"/>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2,696</w:t>
            </w:r>
          </w:p>
        </w:tc>
        <w:tc>
          <w:tcPr>
            <w:tcW w:w="1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205,062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21,921</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Acquisition</w:t>
      </w:r>
    </w:p>
    <w:p>
      <w:pPr>
        <w:spacing w:after="0" w:line="189" w:lineRule="exact"/>
        <w:rPr>
          <w:sz w:val="20"/>
          <w:szCs w:val="20"/>
          <w:color w:val="auto"/>
        </w:rPr>
      </w:pPr>
    </w:p>
    <w:p>
      <w:pPr>
        <w:ind w:firstLine="324"/>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We completed the Homeward Acquisition on December 27, 2012. We acquired the MSRs and subservicing for approximately 421,000 residential mortgage loans with a UPB of $77.0 billion. We also acquired Homeward’s loan origination platform and its diversified fee-based businesses, including property valuation, REO management, title, closing and advisory services. On March 29, 2013, Ocwen sold the Homeward diversified fee-based businesses to Altisource Solutions S.à r.l. and Altisource Portfolio Solutions, Inc., wholly-owned subsidiaries of Altisource, for an aggregate purchase price of $87.0 million in cash. Ocwen sold its investment in two subsidiaries of Homeward, Beltline Road Insurance Agency, Inc. and Power Default Services, Inc. As part of this transaction, Ocwen also agreed to sell certain designated assets used or usable in the business conducted by another Homeward subsidiary, Power Valuation Services, Inc., as well as certain designated intellectual property and information technology assets that are used or usable in the business conducted by the acquired subsidiaries or by Powerline Valuation Services, Inc. Altisource also assumed certain liabilities of the diversified fee-based business. The carrying value of the net assets sold, including allocated goodwill, approximated the sales price. The assets sold consisted of receivables and other assets of $9.4 million. The liabilities assumed by Altisource of $4.0 million consisted principally of deferred revenue. At the time of the sale, we derecognized goodwill of $81.6 million associated with the sold business. In connection with this transaction, Ocwen entered into amendments to certain of its services and intellectual property agreements with Altisource. See </w:t>
      </w:r>
      <w:hyperlink w:anchor="page42">
        <w:r>
          <w:rPr>
            <w:rFonts w:ascii="Arial" w:cs="Arial" w:eastAsia="Arial" w:hAnsi="Arial"/>
            <w:sz w:val="16"/>
            <w:szCs w:val="16"/>
            <w:u w:val="single" w:color="auto"/>
            <w:color w:val="0000EE"/>
          </w:rPr>
          <w:t>Note 23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Related Party Transactions for a discussion of these amendments.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9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for Ocwen as if the acquisition of Homeward occurred on January 1, 2011. Pro forma adjustments include:</w:t>
      </w:r>
    </w:p>
    <w:p>
      <w:pPr>
        <w:spacing w:after="0" w:line="13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policy followed by Ocwen;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198"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reversing depreciation recognized by Homeward and reporting depreciation based on the estimated fair values and remaining lives of the acquired premises and equipment at the date of acquisition;</w:t>
      </w:r>
    </w:p>
    <w:p>
      <w:pPr>
        <w:spacing w:after="0" w:line="129"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Homeward and to recognize interest expense as if the acquisition-related debt of Ocwen had been outstanding at January 1, 2011;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reporting acquisition-related charges for professional services as if they had been incurred in 2011 rather than 2012.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r>
              <w:rPr>
                <w:rFonts w:ascii="Arial" w:cs="Arial" w:eastAsia="Arial" w:hAnsi="Arial"/>
                <w:sz w:val="18"/>
                <w:szCs w:val="18"/>
                <w:b w:val="1"/>
                <w:bCs w:val="1"/>
                <w:color w:val="auto"/>
              </w:rPr>
              <w:t>For the Periods Ended September 30, 2012:</w:t>
            </w:r>
          </w:p>
        </w:tc>
        <w:tc>
          <w:tcPr>
            <w:tcW w:w="34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Nine Months</w:t>
            </w:r>
          </w:p>
        </w:tc>
      </w:tr>
      <w:tr>
        <w:trPr>
          <w:trHeight w:val="210"/>
        </w:trPr>
        <w:tc>
          <w:tcPr>
            <w:tcW w:w="842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346,037</w:t>
            </w:r>
          </w:p>
        </w:tc>
        <w:tc>
          <w:tcPr>
            <w:tcW w:w="22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949,587</w:t>
            </w:r>
          </w:p>
        </w:tc>
        <w:tc>
          <w:tcPr>
            <w:tcW w:w="100" w:type="dxa"/>
            <w:vAlign w:val="bottom"/>
            <w:tcBorders>
              <w:top w:val="single" w:sz="8" w:color="CCEECC"/>
            </w:tcBorders>
            <w:shd w:val="clear" w:color="auto" w:fill="CCEECC"/>
          </w:tcPr>
          <w:p>
            <w:pPr>
              <w:spacing w:after="0"/>
              <w:rPr>
                <w:sz w:val="18"/>
                <w:szCs w:val="18"/>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57,013</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133,821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Correspondent One</w:t>
      </w:r>
    </w:p>
    <w:p>
      <w:pPr>
        <w:spacing w:after="0" w:line="19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March 31, 2013, we increased our ownership in Correspondent One, an entity formed with Altisource in March 2011, from 49% to 100%. We acquired the shares of Correspondent One held by Altisource (49% interest) for $12.6 million and acquired the remaining shares held by an unrelated entity for $0.9 million. We accounted for this transaction as an acquisition and recognized the assets acquired and liabilities assumed at their fair values as of the acquisition date. The acquired net assets were $26.3 million and consisted primarily of cash ($23.0 million) and residential mortgage loans ($1.1 million). We remeasured our previously held investment, which we accounted for using the equity method, at fair value and recognized a loss of $0.4 million. We also recognized goodwill of $0.1 million. We began including the accounts of Correspondent One in our consolidated financial statements effective on the date of acquisition and have eliminated our investment in consolidation. Correspondent One facilitates the purchase of conforming and government-guaranteed residential mortgages from approved mortgage originators and resells the mortgages to secondary market investors. Correspondent One is not material to our financial condition, results of operations or cash flows.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Liberty</w:t>
      </w:r>
    </w:p>
    <w:p>
      <w:pPr>
        <w:spacing w:after="0" w:line="185"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On April 1, 2013, we completed the Liberty Acquisition for $22.0 million in cash. In addition, and as part of the closing, Ocwen repaid Liberty’s $9.1 million existing outstanding debt to the sellers. We acquired approximately 420 reverse mortgage loans with a UPB of $55.2 million. We also acquired Liberty’s reverse mortgage origination platform. The acquired net assets were $31.1 million and consisted primarily of residential reverse mortgage loans ($60.0 million), receivables ($11.2 million), loans held for investment ($10.3 million), intangible assets ($3.2 million) and cash ($4.6 million) less amounts due under warehouse facilities ($46.3 million) and HMBS-related borrowings ($10.2 million). We did not recognize any goodwill in connection with this acquisition. The acquisition of Liberty did not have a material effect on our financial condition, results of operations or cash flows.</w:t>
      </w:r>
    </w:p>
    <w:p>
      <w:pPr>
        <w:spacing w:after="0" w:line="16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estimate fair value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 Quoted prices (unadjusted) in active markets for identical assets or liabilities that the reporting entity can access at the measurement date.</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Inputs other than quoted prices included in Level 1 that are observable for the asset or liability, either directly or indirectly.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Unobservable inputs for the asset or liability.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and the estimated fair values of our financial instruments and our nonfinancial assets measured at fair value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6"/>
              </w:rPr>
              <w:t>September 30, 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7"/>
              </w:rPr>
              <w:t>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gridSpan w:val="3"/>
          </w:tcPr>
          <w:p>
            <w:pPr>
              <w:jc w:val="right"/>
              <w:ind w:right="380"/>
              <w:spacing w:after="0" w:line="191"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3"/>
          </w:tcPr>
          <w:p>
            <w:pPr>
              <w:jc w:val="right"/>
              <w:ind w:right="380"/>
              <w:spacing w:after="0" w:line="191" w:lineRule="exact"/>
              <w:rPr>
                <w:sz w:val="20"/>
                <w:szCs w:val="20"/>
                <w:color w:val="auto"/>
              </w:rPr>
            </w:pPr>
            <w:r>
              <w:rPr>
                <w:rFonts w:ascii="Arial" w:cs="Arial" w:eastAsia="Arial" w:hAnsi="Arial"/>
                <w:sz w:val="18"/>
                <w:szCs w:val="18"/>
                <w:b w:val="1"/>
                <w:bCs w:val="1"/>
                <w:color w:val="auto"/>
              </w:rPr>
              <w:t>Carrying</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Level</w:t>
            </w:r>
          </w:p>
        </w:tc>
        <w:tc>
          <w:tcPr>
            <w:tcW w:w="10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Financial assets:</w:t>
            </w:r>
          </w:p>
        </w:tc>
        <w:tc>
          <w:tcPr>
            <w:tcW w:w="760" w:type="dxa"/>
            <w:vAlign w:val="bottom"/>
            <w:tcBorders>
              <w:top w:val="single" w:sz="8" w:color="auto"/>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720" w:type="dxa"/>
            <w:vAlign w:val="bottom"/>
            <w:tcBorders>
              <w:top w:val="single" w:sz="8" w:color="auto"/>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740" w:type="dxa"/>
            <w:vAlign w:val="bottom"/>
            <w:tcBorders>
              <w:top w:val="single" w:sz="8" w:color="auto"/>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720" w:type="dxa"/>
            <w:vAlign w:val="bottom"/>
            <w:tcBorders>
              <w:top w:val="single" w:sz="8" w:color="auto"/>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74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Loans held for sale, at fair value (1)</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335,102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335,102</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426,480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426,480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Loans held for sale, at lower of cost or fair value (2)</w:t>
            </w:r>
          </w:p>
        </w:tc>
        <w:tc>
          <w:tcPr>
            <w:tcW w:w="7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86,753</w:t>
            </w:r>
          </w:p>
        </w:tc>
        <w:tc>
          <w:tcPr>
            <w:tcW w:w="1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86,753</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82,866</w:t>
            </w:r>
          </w:p>
        </w:tc>
        <w:tc>
          <w:tcPr>
            <w:tcW w:w="1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Loans – restricted for securitization investors, at fair value (1)</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290,853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290,853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Advances and match funded advances (3)</w:t>
            </w:r>
          </w:p>
        </w:tc>
        <w:tc>
          <w:tcPr>
            <w:tcW w:w="7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7"/>
              </w:rPr>
              <w:t>1,480,012</w:t>
            </w: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1,480,012</w:t>
            </w: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w w:val="87"/>
              </w:rPr>
              <w:t>3,233,707</w:t>
            </w:r>
          </w:p>
        </w:tc>
        <w:tc>
          <w:tcPr>
            <w:tcW w:w="1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89"/>
              </w:rPr>
              <w:t>3,233,707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Receivables, net (3)</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223,404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223,404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137,713</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137,713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CC"/>
          </w:tcPr>
          <w:p>
            <w:pPr>
              <w:spacing w:after="0"/>
              <w:rPr>
                <w:sz w:val="20"/>
                <w:szCs w:val="20"/>
                <w:color w:val="auto"/>
              </w:rPr>
            </w:pPr>
            <w:r>
              <w:rPr>
                <w:rFonts w:ascii="Arial" w:cs="Arial" w:eastAsia="Arial" w:hAnsi="Arial"/>
                <w:sz w:val="18"/>
                <w:szCs w:val="18"/>
                <w:color w:val="auto"/>
              </w:rPr>
              <w:t>Financial liabilities:</w:t>
            </w:r>
          </w:p>
        </w:tc>
        <w:tc>
          <w:tcPr>
            <w:tcW w:w="7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Match funded liabilities (3)</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363,012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363,012</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2,532,745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2,533,278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 borrowings:</w:t>
            </w:r>
          </w:p>
        </w:tc>
        <w:tc>
          <w:tcPr>
            <w:tcW w:w="7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Senior secured term loan (3)</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1,287,821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1,278,273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305,997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310,822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Secured borrowings – owed to securitization investors, at fair value (1)</w:t>
            </w:r>
          </w:p>
        </w:tc>
        <w:tc>
          <w:tcPr>
            <w:tcW w:w="7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284,276</w:t>
            </w:r>
          </w:p>
        </w:tc>
        <w:tc>
          <w:tcPr>
            <w:tcW w:w="10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284,276</w:t>
            </w: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Other (3)</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1,020,494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1,020,494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790,682</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790,682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CC"/>
            </w:tcBorders>
            <w:shd w:val="clear" w:color="auto" w:fill="CCEECC"/>
          </w:tcPr>
          <w:p>
            <w:pPr>
              <w:ind w:left="460"/>
              <w:spacing w:after="0"/>
              <w:rPr>
                <w:sz w:val="20"/>
                <w:szCs w:val="20"/>
                <w:color w:val="auto"/>
              </w:rPr>
            </w:pPr>
            <w:r>
              <w:rPr>
                <w:rFonts w:ascii="Arial" w:cs="Arial" w:eastAsia="Arial" w:hAnsi="Arial"/>
                <w:sz w:val="18"/>
                <w:szCs w:val="18"/>
                <w:color w:val="auto"/>
              </w:rPr>
              <w:t>Total Other borrowings</w:t>
            </w:r>
          </w:p>
        </w:tc>
        <w:tc>
          <w:tcPr>
            <w:tcW w:w="7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7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87"/>
              </w:rPr>
              <w:t>2,592,591</w:t>
            </w:r>
          </w:p>
        </w:tc>
        <w:tc>
          <w:tcPr>
            <w:tcW w:w="3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7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89"/>
              </w:rPr>
              <w:t>2,583,043</w:t>
            </w:r>
          </w:p>
        </w:tc>
        <w:tc>
          <w:tcPr>
            <w:tcW w:w="1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7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87"/>
              </w:rPr>
              <w:t>1,096,679</w:t>
            </w:r>
          </w:p>
        </w:tc>
        <w:tc>
          <w:tcPr>
            <w:tcW w:w="3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7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89"/>
              </w:rPr>
              <w:t>1,101,504</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Derivative financial instruments (1):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Interest rate lock commitments (IRLCs)</w:t>
            </w:r>
          </w:p>
        </w:tc>
        <w:tc>
          <w:tcPr>
            <w:tcW w:w="7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2</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13,491</w:t>
            </w: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13,491</w:t>
            </w:r>
          </w:p>
        </w:tc>
        <w:tc>
          <w:tcPr>
            <w:tcW w:w="2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5,781</w:t>
            </w: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Interest rate swaps</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(10,836)</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Forward MBS trades</w:t>
            </w:r>
          </w:p>
        </w:tc>
        <w:tc>
          <w:tcPr>
            <w:tcW w:w="7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1</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(12,185)</w:t>
            </w:r>
          </w:p>
        </w:tc>
        <w:tc>
          <w:tcPr>
            <w:tcW w:w="1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(12,185)</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U.S. Treasury futures</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CC"/>
          </w:tcPr>
          <w:p>
            <w:pPr>
              <w:ind w:left="300"/>
              <w:spacing w:after="0"/>
              <w:rPr>
                <w:sz w:val="20"/>
                <w:szCs w:val="20"/>
                <w:color w:val="auto"/>
              </w:rPr>
            </w:pPr>
            <w:r>
              <w:rPr>
                <w:rFonts w:ascii="Arial" w:cs="Arial" w:eastAsia="Arial" w:hAnsi="Arial"/>
                <w:sz w:val="18"/>
                <w:szCs w:val="18"/>
                <w:color w:val="auto"/>
              </w:rPr>
              <w:t>Interest rate caps</w:t>
            </w:r>
          </w:p>
        </w:tc>
        <w:tc>
          <w:tcPr>
            <w:tcW w:w="7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MSRs, at fair value (1)</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96,938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96,938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85,213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85,213</w:t>
            </w:r>
          </w:p>
        </w:tc>
        <w:tc>
          <w:tcPr>
            <w:tcW w:w="0" w:type="dxa"/>
            <w:vAlign w:val="bottom"/>
          </w:tcPr>
          <w:p>
            <w:pPr>
              <w:spacing w:after="0"/>
              <w:rPr>
                <w:sz w:val="1"/>
                <w:szCs w:val="1"/>
                <w:color w:val="auto"/>
              </w:rPr>
            </w:pPr>
          </w:p>
        </w:tc>
      </w:tr>
      <w:tr>
        <w:trPr>
          <w:trHeight w:val="392"/>
        </w:trPr>
        <w:tc>
          <w:tcPr>
            <w:tcW w:w="6060" w:type="dxa"/>
            <w:vAlign w:val="bottom"/>
            <w:gridSpan w:val="2"/>
          </w:tcPr>
          <w:p>
            <w:pPr>
              <w:spacing w:after="0"/>
              <w:rPr>
                <w:sz w:val="20"/>
                <w:szCs w:val="20"/>
                <w:color w:val="auto"/>
              </w:rPr>
            </w:pPr>
            <w:r>
              <w:rPr>
                <w:rFonts w:ascii="Arial" w:cs="Arial" w:eastAsia="Arial" w:hAnsi="Arial"/>
                <w:sz w:val="18"/>
                <w:szCs w:val="18"/>
                <w:color w:val="auto"/>
              </w:rPr>
              <w:t>(1)  Measured at fair value on a recurring basis.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(2)  Measured at fair value on a non-recurring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(3)  Disclosed, but not carried, at fair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17"/>
          <w:szCs w:val="17"/>
          <w:color w:val="auto"/>
        </w:rPr>
        <w:t>The following tables present a reconciliation of the changes in fair value of Level 3 assets that we measure at fair value on a recurring basis: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Secured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Loans –</w:t>
            </w:r>
          </w:p>
        </w:tc>
        <w:tc>
          <w:tcPr>
            <w:tcW w:w="34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borrowings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restricted for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owed 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MSRs at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9"/>
              </w:rPr>
              <w:t>securitization</w:t>
            </w:r>
          </w:p>
        </w:tc>
        <w:tc>
          <w:tcPr>
            <w:tcW w:w="34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securitization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investors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investors</w:t>
            </w:r>
          </w:p>
        </w:tc>
        <w:tc>
          <w:tcPr>
            <w:tcW w:w="200" w:type="dxa"/>
            <w:vAlign w:val="bottom"/>
          </w:tcPr>
          <w:p>
            <w:pPr>
              <w:spacing w:after="0"/>
              <w:rPr>
                <w:sz w:val="20"/>
                <w:szCs w:val="20"/>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Instruments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auto"/>
            </w:tcBorders>
            <w:shd w:val="clear" w:color="auto" w:fill="CCEECC"/>
          </w:tcPr>
          <w:p>
            <w:pPr>
              <w:spacing w:after="0" w:line="176" w:lineRule="exact"/>
              <w:rPr>
                <w:sz w:val="20"/>
                <w:szCs w:val="20"/>
                <w:color w:val="auto"/>
              </w:rPr>
            </w:pPr>
            <w:r>
              <w:rPr>
                <w:rFonts w:ascii="Arial" w:cs="Arial" w:eastAsia="Arial" w:hAnsi="Arial"/>
                <w:sz w:val="18"/>
                <w:szCs w:val="18"/>
                <w:b w:val="1"/>
                <w:bCs w:val="1"/>
                <w:color w:val="auto"/>
                <w:w w:val="90"/>
              </w:rPr>
              <w:t>Three Months Ended September 30, 2013:</w:t>
            </w:r>
          </w:p>
        </w:tc>
        <w:tc>
          <w:tcPr>
            <w:tcW w:w="110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88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8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76,649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(73,641)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97,163</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100,347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Issuances</w:t>
            </w:r>
          </w:p>
        </w:tc>
        <w:tc>
          <w:tcPr>
            <w:tcW w:w="14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211,052</w:t>
            </w: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(206,714)</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(1,293)</w:t>
            </w:r>
          </w:p>
        </w:tc>
        <w:tc>
          <w:tcPr>
            <w:tcW w:w="3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1,021</w:t>
            </w:r>
          </w:p>
        </w:tc>
        <w:tc>
          <w:tcPr>
            <w:tcW w:w="24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(205,693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Total realized and unrealized gains and (losses) (1):</w:t>
            </w: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Included in Other, net</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(284,276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auto"/>
            </w:tcBorders>
            <w:shd w:val="clear" w:color="auto" w:fill="CCEECC"/>
          </w:tcPr>
          <w:p>
            <w:pPr>
              <w:spacing w:after="0" w:line="176" w:lineRule="exact"/>
              <w:rPr>
                <w:sz w:val="20"/>
                <w:szCs w:val="20"/>
                <w:color w:val="auto"/>
              </w:rPr>
            </w:pPr>
            <w:r>
              <w:rPr>
                <w:rFonts w:ascii="Arial" w:cs="Arial" w:eastAsia="Arial" w:hAnsi="Arial"/>
                <w:sz w:val="18"/>
                <w:szCs w:val="18"/>
                <w:b w:val="1"/>
                <w:bCs w:val="1"/>
                <w:color w:val="auto"/>
                <w:w w:val="90"/>
              </w:rPr>
              <w:t>Three Months Ended September 30, 2012:</w:t>
            </w:r>
          </w:p>
        </w:tc>
        <w:tc>
          <w:tcPr>
            <w:tcW w:w="110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88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8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(14,905)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(14,905)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CC"/>
            </w:tcBorders>
            <w:shd w:val="clear" w:color="auto" w:fill="CCEECC"/>
          </w:tcPr>
          <w:p>
            <w:pPr>
              <w:spacing w:after="0"/>
              <w:rPr>
                <w:sz w:val="18"/>
                <w:szCs w:val="18"/>
                <w:color w:val="auto"/>
              </w:rPr>
            </w:pPr>
          </w:p>
        </w:tc>
        <w:tc>
          <w:tcPr>
            <w:tcW w:w="11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360" w:type="dxa"/>
            <w:vAlign w:val="bottom"/>
            <w:gridSpan w:val="3"/>
          </w:tcPr>
          <w:p>
            <w:pPr>
              <w:spacing w:after="0"/>
              <w:rPr>
                <w:sz w:val="20"/>
                <w:szCs w:val="20"/>
                <w:color w:val="auto"/>
              </w:rPr>
            </w:pPr>
            <w:r>
              <w:rPr>
                <w:rFonts w:ascii="Arial" w:cs="Arial" w:eastAsia="Arial" w:hAnsi="Arial"/>
                <w:sz w:val="18"/>
                <w:szCs w:val="18"/>
                <w:color w:val="auto"/>
              </w:rPr>
              <w:t>Total realized and unrealized gains and (losses) (1):</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Included in Other, net</w:t>
            </w:r>
          </w:p>
        </w:tc>
        <w:tc>
          <w:tcPr>
            <w:tcW w:w="14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1,397</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CC"/>
            </w:tcBorders>
            <w:shd w:val="clear" w:color="auto" w:fill="CCEECC"/>
          </w:tcPr>
          <w:p>
            <w:pPr>
              <w:spacing w:after="0"/>
              <w:rPr>
                <w:sz w:val="18"/>
                <w:szCs w:val="18"/>
                <w:color w:val="auto"/>
              </w:rPr>
            </w:pPr>
          </w:p>
        </w:tc>
        <w:tc>
          <w:tcPr>
            <w:tcW w:w="11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(1,291</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9"/>
        </w:trPr>
        <w:tc>
          <w:tcPr>
            <w:tcW w:w="4360" w:type="dxa"/>
            <w:vAlign w:val="bottom"/>
            <w:gridSpan w:val="3"/>
          </w:tcPr>
          <w:p>
            <w:pPr>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CC"/>
              <w:bottom w:val="single" w:sz="8" w:color="CCEECC"/>
            </w:tcBorders>
            <w:gridSpan w:val="2"/>
            <w:shd w:val="clear" w:color="auto" w:fill="CCEEC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(16,094</w:t>
            </w:r>
          </w:p>
        </w:tc>
        <w:tc>
          <w:tcPr>
            <w:tcW w:w="240" w:type="dxa"/>
            <w:vAlign w:val="bottom"/>
            <w:tcBorders>
              <w:top w:val="single" w:sz="8" w:color="CCEECC"/>
              <w:bottom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(16,094</w:t>
            </w:r>
          </w:p>
        </w:tc>
        <w:tc>
          <w:tcPr>
            <w:tcW w:w="10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Secured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Loans –</w:t>
            </w:r>
          </w:p>
        </w:tc>
        <w:tc>
          <w:tcPr>
            <w:tcW w:w="20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borrowings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restricted for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owed 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MSRs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securitization</w:t>
            </w:r>
          </w:p>
        </w:tc>
        <w:tc>
          <w:tcPr>
            <w:tcW w:w="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securitization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7"/>
              </w:rPr>
              <w:t>investors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investors</w:t>
            </w:r>
          </w:p>
        </w:tc>
        <w:tc>
          <w:tcPr>
            <w:tcW w:w="200" w:type="dxa"/>
            <w:vAlign w:val="bottom"/>
          </w:tcPr>
          <w:p>
            <w:pPr>
              <w:spacing w:after="0"/>
              <w:rPr>
                <w:sz w:val="20"/>
                <w:szCs w:val="20"/>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Instruments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tcBorders>
              <w:bottom w:val="single" w:sz="8" w:color="auto"/>
            </w:tcBorders>
            <w:shd w:val="clear" w:color="auto" w:fill="CCEECC"/>
          </w:tcPr>
          <w:p>
            <w:pPr>
              <w:spacing w:after="0" w:line="176" w:lineRule="exact"/>
              <w:rPr>
                <w:sz w:val="20"/>
                <w:szCs w:val="20"/>
                <w:color w:val="auto"/>
              </w:rPr>
            </w:pPr>
            <w:r>
              <w:rPr>
                <w:rFonts w:ascii="Arial" w:cs="Arial" w:eastAsia="Arial" w:hAnsi="Arial"/>
                <w:sz w:val="18"/>
                <w:szCs w:val="18"/>
                <w:b w:val="1"/>
                <w:bCs w:val="1"/>
                <w:color w:val="auto"/>
                <w:w w:val="89"/>
              </w:rPr>
              <w:t>Nine Months Ended September 30, 2013:</w:t>
            </w:r>
          </w:p>
        </w:tc>
        <w:tc>
          <w:tcPr>
            <w:tcW w:w="120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6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88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8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85,213</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74,545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10,251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Issuances</w:t>
            </w:r>
          </w:p>
        </w:tc>
        <w:tc>
          <w:tcPr>
            <w:tcW w:w="1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274,081</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(272,652)</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24,156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(2,164)</w:t>
            </w:r>
          </w:p>
        </w:tc>
        <w:tc>
          <w:tcPr>
            <w:tcW w:w="20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1,888</w:t>
            </w:r>
          </w:p>
        </w:tc>
        <w:tc>
          <w:tcPr>
            <w:tcW w:w="24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(1,242)</w:t>
            </w:r>
          </w:p>
        </w:tc>
        <w:tc>
          <w:tcPr>
            <w:tcW w:w="20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(280,943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Total realized and unrealized gains and (losses) (1):</w:t>
            </w: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Included in Other, net</w:t>
            </w: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8,685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17,194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(12,363)</w:t>
            </w:r>
          </w:p>
        </w:tc>
        <w:tc>
          <w:tcPr>
            <w:tcW w:w="20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(12,363)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290,853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(284,276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tcBorders>
              <w:bottom w:val="single" w:sz="8" w:color="auto"/>
            </w:tcBorders>
            <w:shd w:val="clear" w:color="auto" w:fill="CCEECC"/>
          </w:tcPr>
          <w:p>
            <w:pPr>
              <w:spacing w:after="0" w:line="176" w:lineRule="exact"/>
              <w:rPr>
                <w:sz w:val="20"/>
                <w:szCs w:val="20"/>
                <w:color w:val="auto"/>
              </w:rPr>
            </w:pPr>
            <w:r>
              <w:rPr>
                <w:rFonts w:ascii="Arial" w:cs="Arial" w:eastAsia="Arial" w:hAnsi="Arial"/>
                <w:sz w:val="18"/>
                <w:szCs w:val="18"/>
                <w:b w:val="1"/>
                <w:bCs w:val="1"/>
                <w:color w:val="auto"/>
                <w:w w:val="89"/>
              </w:rPr>
              <w:t>Nine Months Ended September 30, 2012:</w:t>
            </w:r>
          </w:p>
        </w:tc>
        <w:tc>
          <w:tcPr>
            <w:tcW w:w="120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6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88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8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(16,676)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CC"/>
            </w:tcBorders>
            <w:shd w:val="clear" w:color="auto" w:fill="CCEECC"/>
          </w:tcPr>
          <w:p>
            <w:pPr>
              <w:spacing w:after="0"/>
              <w:rPr>
                <w:sz w:val="18"/>
                <w:szCs w:val="18"/>
                <w:color w:val="auto"/>
              </w:rPr>
            </w:pPr>
          </w:p>
        </w:tc>
        <w:tc>
          <w:tcPr>
            <w:tcW w:w="1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2,524</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360" w:type="dxa"/>
            <w:vAlign w:val="bottom"/>
            <w:gridSpan w:val="3"/>
          </w:tcPr>
          <w:p>
            <w:pPr>
              <w:spacing w:after="0"/>
              <w:rPr>
                <w:sz w:val="20"/>
                <w:szCs w:val="20"/>
                <w:color w:val="auto"/>
              </w:rPr>
            </w:pPr>
            <w:r>
              <w:rPr>
                <w:rFonts w:ascii="Arial" w:cs="Arial" w:eastAsia="Arial" w:hAnsi="Arial"/>
                <w:sz w:val="18"/>
                <w:szCs w:val="18"/>
                <w:color w:val="auto"/>
              </w:rPr>
              <w:t>Total realized and unrealized gains and (losses) (1):</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Included in Other, net</w:t>
            </w:r>
          </w:p>
        </w:tc>
        <w:tc>
          <w:tcPr>
            <w:tcW w:w="1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6,645</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CC"/>
            </w:tcBorders>
            <w:shd w:val="clear" w:color="auto" w:fill="CCEECC"/>
          </w:tcPr>
          <w:p>
            <w:pPr>
              <w:spacing w:after="0"/>
              <w:rPr>
                <w:sz w:val="18"/>
                <w:szCs w:val="18"/>
                <w:color w:val="auto"/>
              </w:rPr>
            </w:pPr>
          </w:p>
        </w:tc>
        <w:tc>
          <w:tcPr>
            <w:tcW w:w="1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(1,942</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9"/>
        </w:trPr>
        <w:tc>
          <w:tcPr>
            <w:tcW w:w="4360" w:type="dxa"/>
            <w:vAlign w:val="bottom"/>
            <w:gridSpan w:val="3"/>
          </w:tcPr>
          <w:p>
            <w:pPr>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CC"/>
              <w:bottom w:val="single" w:sz="8" w:color="CCEECC"/>
            </w:tcBorders>
            <w:gridSpan w:val="2"/>
            <w:shd w:val="clear" w:color="auto" w:fill="CCEEC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(16,094</w:t>
            </w:r>
          </w:p>
        </w:tc>
        <w:tc>
          <w:tcPr>
            <w:tcW w:w="240" w:type="dxa"/>
            <w:vAlign w:val="bottom"/>
            <w:tcBorders>
              <w:top w:val="single" w:sz="8" w:color="CCEECC"/>
              <w:bottom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(16,094</w:t>
            </w:r>
          </w:p>
        </w:tc>
        <w:tc>
          <w:tcPr>
            <w:tcW w:w="10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6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derivative financial instruments held at September 30, 2012, total net losses were $1.3 million and $7.7 million for the three and nine months ended September 30, 2012, respectively.</w:t>
      </w:r>
    </w:p>
    <w:p>
      <w:pPr>
        <w:spacing w:after="0" w:line="14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financial instruments and other assets and liabilities measured at fair value on a recurring or non-recurring basis are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8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originate and purchase residential forward and reverse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as the primary component of the price is obtained from observable values of mortgage forwards for loans of similar terms and characteristics. We have the ability to access this market, and it is the market into which conforming mortgage loans are typically sold.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ind w:right="40" w:firstLine="324"/>
        <w:spacing w:after="0" w:line="253" w:lineRule="auto"/>
        <w:rPr>
          <w:sz w:val="20"/>
          <w:szCs w:val="20"/>
          <w:color w:val="auto"/>
        </w:rPr>
      </w:pPr>
      <w:r>
        <w:rPr>
          <w:rFonts w:ascii="Arial" w:cs="Arial" w:eastAsia="Arial" w:hAnsi="Arial"/>
          <w:sz w:val="18"/>
          <w:szCs w:val="18"/>
          <w:color w:val="auto"/>
        </w:rPr>
        <w:t>We report all other loans held for sale at the lower of cost or fair value. Current market illiquidity has reduced the availability of observable pricing data for certain of these loans.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 Assumptions used in the valuation of performing loans include historical default rates, re-performance rates on defaulted loans, loss severity on defaulted loans, average resolution timeline, average coupon rate and a discount rate. Significant assumptions used in the valuation of nonperforming loans include the current market value of the underlying collateral based on third party sources such as appraisals or broker price opinions, resolution timeline, estimated foreclosure and disposition costs that are based on historical experience and a discount rate. The assumptions we used in the valuation of these performing and non-performing loans at September 30, 2013 have not changed significantly from those we used in the December 31, 2012 valuations.</w:t>
      </w:r>
    </w:p>
    <w:p>
      <w:pPr>
        <w:spacing w:after="0" w:line="1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repurchase certain loans from Ginnie Mae guaranteed securitizations in connection with loan modifications and loan resolution activity as part of our servicing obligations. These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 Restricted for Securitization Investors</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These loans are not traded in an active, open market with readily observable prices. We base the fair value of transferred reverse mortgage loans that do not qualify as sales for accounting purposes on the expected future cash flows discounted over the expected life of the loans at a rate commensurate with the risk of the estimated cash flows. Significant assumptions included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September 30, 2013 valuation of our Loans – Restricted for Securitization Investors include:</w:t>
      </w:r>
    </w:p>
    <w:p>
      <w:pPr>
        <w:spacing w:after="0" w:line="19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Life in years ranging from 2.97 to 23.52 (weighted average of 6.79);</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Conditional repayment rate ranging from 4.80% to 38.40% (weighted average of 8.44%);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Discount rate of 1.84%.</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increases or decreases in any of these assumptions in isolation would result in a significantly higher or lower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9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estimate the fair value of MSRs carried at amortized cost using a combination of internal models and data provided by third-party valuation experts. The most significant assumptions used in the valuation of MSRs are the speed at which mortgages prepay and delinquency experience. Other assumptions typically used in the valuation of MSRs are:</w:t>
      </w:r>
    </w:p>
    <w:p>
      <w:pPr>
        <w:spacing w:after="0" w:line="14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Discount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 used for computing the cost of financing servicing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 used for computing float earnings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Compensating interest expense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Collection rate of other ancillary fees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84"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We perform an impairment analysis based on the difference between the carrying amount and fair value after grouping our loans into the applicable strata. As a result of the Homeward and ResCap Acquisitions, management has re-evaluated the portfolio and determined the appropriate strata are Agency and Non-Agency. The Agency stratum includes all GSE MSRs. The Non-Agency stratum includes all private label primary and master MSRs.</w:t>
      </w:r>
    </w:p>
    <w:p>
      <w:pPr>
        <w:spacing w:after="0" w:line="10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estimate fair value using internal models and with the assistance of third-party valuation experts. Our internal models calculate the present value of expected future cash flows utilizing assumptions that we believe are used by market participants. We derived prepayment speeds and delinquency assumptions from historical experience adjusted for prevailing market conditions. We utilize a discount rate provided by third-party valuation experts, and we consider external market-based assumptions in determining the interest rate for the cost of financing advances, the interest rate for float earnings and the cost of servicing.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3" w:name="page24"/>
    <w:bookmarkEnd w:id="23"/>
    <w:p>
      <w:pPr>
        <w:ind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understanding of the processes and assumptions used to develop the prices based on our ongoing due diligence, which includes regular discussions with the valuation experts. We believe that the procedures executed by the valuation experts, combined with our internal verification and analytical procedures, provide assurance that the prices used in our consolidated financial statements comply with the accounting guidance for fair value measurements and disclosures and reflect the assumptions that a market participant would use.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September 30, 2013 valuation of our MSRs carried at amortized cost include:</w:t>
      </w:r>
    </w:p>
    <w:p>
      <w:pPr>
        <w:spacing w:after="0" w:line="19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Prepayment speeds ranging from 7.39% to 19.23% (weighted average of 14.87%) depending on loan type;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Delinquency rates ranging from 6.55% to 29.42% (weighted average of 17.04%) depending on loan type;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rate of 1-month LIBOR plus 3.75% for computing the cost of financing advances;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rate of 1-month LIBOR for computing float earnings;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Discount rates ranging from 11.33% to 17.13% (weighted average of 12.80%).</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our loans into the applicable strata based on one or more of the predominant risk characteristics of the underlying loans. As a result of the Homeward and ResCap Acquisitions, management has re-evaluated the portfolio and determined the appropriate strata are Agency and Non-Agency. The Agency stratum includes all GSE MSRs. The Non-Agency stratum includes all private label primary and master MSRs.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8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MSRs carried at fair value are classified within Level 3 of the valuation hierarchy due to the use of third party valuation expert pricing without adjustment. The fair value of these MSRs is within the range of prices provided by the valuation experts, however, a change in the valuation inputs utilized by the valuation expert or a change in the best point price in the range might result in a significantly higher or lower fair value measurement.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assumptions (generally unobservable inputs) used in the valuation of these MSRs include:</w:t>
      </w:r>
    </w:p>
    <w:p>
      <w:pPr>
        <w:spacing w:after="0" w:line="198" w:lineRule="exact"/>
        <w:rPr>
          <w:sz w:val="20"/>
          <w:szCs w:val="20"/>
          <w:color w:val="auto"/>
        </w:rPr>
      </w:pPr>
    </w:p>
    <w:p>
      <w:pPr>
        <w:ind w:left="660" w:hanging="34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Mortgage prepayment speeds;</w:t>
      </w:r>
    </w:p>
    <w:p>
      <w:pPr>
        <w:spacing w:after="0" w:line="184" w:lineRule="exact"/>
        <w:rPr>
          <w:rFonts w:ascii="Arial" w:cs="Arial" w:eastAsia="Arial" w:hAnsi="Arial"/>
          <w:sz w:val="18"/>
          <w:szCs w:val="18"/>
          <w:color w:val="auto"/>
        </w:rPr>
      </w:pPr>
    </w:p>
    <w:p>
      <w:pPr>
        <w:ind w:left="660" w:hanging="34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Delinquency rates, and</w:t>
      </w:r>
    </w:p>
    <w:p>
      <w:pPr>
        <w:spacing w:after="0" w:line="184" w:lineRule="exact"/>
        <w:rPr>
          <w:rFonts w:ascii="Arial" w:cs="Arial" w:eastAsia="Arial" w:hAnsi="Arial"/>
          <w:sz w:val="18"/>
          <w:szCs w:val="18"/>
          <w:color w:val="auto"/>
        </w:rPr>
      </w:pPr>
    </w:p>
    <w:p>
      <w:pPr>
        <w:ind w:left="660" w:hanging="34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19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primary assumptions used in the September 30, 2013 valuation include an 8.95% weighted average constant prepayment rate and a discount rate equal to 1-Month LIBOR plus 10.50%.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8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We value advances that we make on loans that we service for others at their net realizable value which generally approximates fair value because advances have no stated maturity, generally are realized within a relatively short period of time and do not bear interest.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89"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Borrowings – Owed to Securitization Investors</w:t>
      </w:r>
    </w:p>
    <w:p>
      <w:pPr>
        <w:spacing w:after="0" w:line="202"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4" w:name="page25"/>
    <w:bookmarkEnd w:id="24"/>
    <w:p>
      <w:pPr>
        <w:ind w:left="340"/>
        <w:spacing w:after="0"/>
        <w:rPr>
          <w:sz w:val="20"/>
          <w:szCs w:val="20"/>
          <w:color w:val="auto"/>
        </w:rPr>
      </w:pPr>
      <w:r>
        <w:rPr>
          <w:rFonts w:ascii="Arial" w:cs="Arial" w:eastAsia="Arial" w:hAnsi="Arial"/>
          <w:sz w:val="17"/>
          <w:szCs w:val="17"/>
          <w:color w:val="auto"/>
        </w:rPr>
        <w:t>The more significant assumptions used in the September 30, 2013 valuation of our Secured Borrowings – Owed to Securitization Investors include:</w:t>
      </w:r>
    </w:p>
    <w:p>
      <w:pPr>
        <w:spacing w:after="0" w:line="19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Life in years ranging from 2.94 to 22.85 (weighted average of 6.15),</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Conditional repayment rate ranging from 4.80% to 37.97% (weighted average of 8.44%)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Discount rate of 1.17%.</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increases or decreases in any of these assumptions in isolation would result in a significantly higher or lower fair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 and Other Borrowings</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carrying value of match funded liabilities and secured borrowings that bear interest at a rate that is adjusted regularly based on a market index approximates fair value. For other match funded or secured borrowings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At September 30, 2013, the interest on all borrowings under match funded facilities was based on a variable rate adjusted regularly using a market index and therefore the carrying value approximates fair value. For the SSTL, we used a discount rate of 5.50% and the repayment schedule specified in the loan agreement to determine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02"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may execute interest rate swaps to hedge against the effects of changes in interest rates on our borrowings under advance funding facilities. These derivatives are not exchange-traded and, therefore, quoted market prices or other observable inputs are not available. Fair value is based on information provided by third-party pricing sources. Third-party valuations are derived from proprietary models based on inputs that include yield curves and contractual terms such as fixed interest rates and payment dates. Although we have not adjusted the information obtained from the third-party pricing sources, we review this information to ensure that it provides a reasonable basis for estimating fair value. Our review is designed to identify information that appears stale, information that has changed significantly from the prior period and other indicators that the information may not be accurate. For interest rate contracts, significant increases or decreases in the unobservable portion of the yield curves in isolation will result in substantial changes in the fair value measurement. We terminated our outstanding interest rates swaps on May 31, 2013.</w:t>
      </w:r>
    </w:p>
    <w:p>
      <w:pPr>
        <w:spacing w:after="0" w:line="13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exposures on variable rate debt issued on servicing advance facilities from increases in one-month LIBOR interest rates. The fair value for interest rate caps is based on counterparty market prices and adjusted for counterparty credit risk.</w:t>
      </w:r>
    </w:p>
    <w:p>
      <w:pPr>
        <w:spacing w:after="0" w:line="14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enter into forward trades to provide an economic hedge against changes in the value of residential forward and reverse mortgage loans held for sale that we carry at fair value. Forward trades are primarily used to fix the forward sales price that will be realized upon the sale of mortgage loans into the secondary market. Forward contracts are actively traded in the market and we obtained unadjusted market quotes for these derivatives, thus they are classified within Level 1 of the valuation hierarchy.</w:t>
      </w:r>
    </w:p>
    <w:p>
      <w:pPr>
        <w:spacing w:after="0" w:line="16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IRLCs represent an agreement to purchase loans from a third-party originator, or an agreement to extend credit to a mortgage applicant (locked pipeline), or an agreement to sell a loan to investors,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14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previously entered into derivative contracts that included interest rate swaps, U.S. Treasury futures and forward contracts to hedge against the effects of changes in the value of the MSRs that we carry at fair value. Effective April 1, 2013, we modified our strategy for managing the risks of the underlying loan portfolios and no longer use derivative contracts to hedge against the effects of changes in the value of MSRs which we carry at fair value. The fair value of interest rate swaps were based upon projected short-term interest rates and volatility based on published market based sources, a Level 3 valuation. Because futures and forward contracts are actively traded in the market, they are classified within Level 1 of the valuation hierarchy.</w:t>
      </w:r>
    </w:p>
    <w:p>
      <w:pPr>
        <w:spacing w:after="0" w:line="118" w:lineRule="exact"/>
        <w:rPr>
          <w:sz w:val="20"/>
          <w:szCs w:val="20"/>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36">
        <w:r>
          <w:rPr>
            <w:rFonts w:ascii="Arial" w:cs="Arial" w:eastAsia="Arial" w:hAnsi="Arial"/>
            <w:sz w:val="18"/>
            <w:szCs w:val="18"/>
            <w:u w:val="single" w:color="auto"/>
            <w:color w:val="0000EE"/>
          </w:rPr>
          <w:t>Note 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Derivative Financial Instruments and Hedging Activities for additional information regarding derivative financial instruments.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5" w:name="page26"/>
    <w:bookmarkEnd w:id="25"/>
    <w:p>
      <w:pPr>
        <w:ind w:left="20"/>
        <w:spacing w:after="0"/>
        <w:tabs>
          <w:tab w:leader="none" w:pos="11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LOANS HELD FOR SALE, AT FAIR VALUE</w:t>
      </w:r>
    </w:p>
    <w:p>
      <w:pPr>
        <w:spacing w:after="0" w:line="189"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Loans held for sale, at fair value, represent residential forward and reverse mortgage loans originated or purchased and held until sold to secondary market investors, such as GSEs or other third party investors. The following table summarizes the activity in the balance of Loans held for sale during the nine months ended September 30, 2013: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00" w:type="dxa"/>
            <w:vAlign w:val="bottom"/>
            <w:shd w:val="clear" w:color="auto" w:fill="CCEECC"/>
          </w:tcPr>
          <w:p>
            <w:pPr>
              <w:spacing w:after="0"/>
              <w:rPr>
                <w:sz w:val="20"/>
                <w:szCs w:val="20"/>
                <w:color w:val="auto"/>
              </w:rPr>
            </w:pPr>
            <w:r>
              <w:rPr>
                <w:rFonts w:ascii="Arial" w:cs="Arial" w:eastAsia="Arial" w:hAnsi="Arial"/>
                <w:sz w:val="18"/>
                <w:szCs w:val="18"/>
                <w:color w:val="auto"/>
              </w:rPr>
              <w:t>Balance at December 31, 2012</w:t>
            </w:r>
          </w:p>
        </w:tc>
        <w:tc>
          <w:tcPr>
            <w:tcW w:w="160" w:type="dxa"/>
            <w:vAlign w:val="bottom"/>
            <w:gridSpan w:val="2"/>
            <w:shd w:val="clear" w:color="auto" w:fill="CCEECC"/>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426,480</w:t>
            </w:r>
          </w:p>
        </w:tc>
        <w:tc>
          <w:tcPr>
            <w:tcW w:w="80" w:type="dxa"/>
            <w:vAlign w:val="bottom"/>
            <w:shd w:val="clear" w:color="auto" w:fill="CCEECC"/>
          </w:tcPr>
          <w:p>
            <w:pPr>
              <w:spacing w:after="0"/>
              <w:rPr>
                <w:sz w:val="18"/>
                <w:szCs w:val="18"/>
                <w:color w:val="auto"/>
              </w:rPr>
            </w:pPr>
          </w:p>
        </w:tc>
      </w:tr>
      <w:tr>
        <w:trPr>
          <w:trHeight w:val="216"/>
        </w:trPr>
        <w:tc>
          <w:tcPr>
            <w:tcW w:w="10300" w:type="dxa"/>
            <w:vAlign w:val="bottom"/>
          </w:tcPr>
          <w:p>
            <w:pPr>
              <w:ind w:left="160"/>
              <w:spacing w:after="0"/>
              <w:rPr>
                <w:sz w:val="20"/>
                <w:szCs w:val="20"/>
                <w:color w:val="auto"/>
              </w:rPr>
            </w:pPr>
            <w:r>
              <w:rPr>
                <w:rFonts w:ascii="Arial" w:cs="Arial" w:eastAsia="Arial" w:hAnsi="Arial"/>
                <w:sz w:val="18"/>
                <w:szCs w:val="18"/>
                <w:color w:val="auto"/>
              </w:rPr>
              <w:t>Originations and purchases (1)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5,988,501</w:t>
            </w:r>
          </w:p>
        </w:tc>
        <w:tc>
          <w:tcPr>
            <w:tcW w:w="80" w:type="dxa"/>
            <w:vAlign w:val="bottom"/>
          </w:tcPr>
          <w:p>
            <w:pPr>
              <w:spacing w:after="0"/>
              <w:rPr>
                <w:sz w:val="18"/>
                <w:szCs w:val="18"/>
                <w:color w:val="auto"/>
              </w:rPr>
            </w:pPr>
          </w:p>
        </w:tc>
      </w:tr>
      <w:tr>
        <w:trPr>
          <w:trHeight w:val="216"/>
        </w:trPr>
        <w:tc>
          <w:tcPr>
            <w:tcW w:w="103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Proceeds from sale</w:t>
            </w: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w w:val="97"/>
              </w:rPr>
              <w:t>(6,033,785)</w:t>
            </w:r>
          </w:p>
        </w:tc>
      </w:tr>
      <w:tr>
        <w:trPr>
          <w:trHeight w:val="216"/>
        </w:trPr>
        <w:tc>
          <w:tcPr>
            <w:tcW w:w="10300" w:type="dxa"/>
            <w:vAlign w:val="bottom"/>
          </w:tcPr>
          <w:p>
            <w:pPr>
              <w:ind w:left="160"/>
              <w:spacing w:after="0"/>
              <w:rPr>
                <w:sz w:val="20"/>
                <w:szCs w:val="20"/>
                <w:color w:val="auto"/>
              </w:rPr>
            </w:pPr>
            <w:r>
              <w:rPr>
                <w:rFonts w:ascii="Arial" w:cs="Arial" w:eastAsia="Arial" w:hAnsi="Arial"/>
                <w:sz w:val="18"/>
                <w:szCs w:val="18"/>
                <w:color w:val="auto"/>
              </w:rPr>
              <w:t>Loss on sale of loans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(46,962)</w:t>
            </w:r>
          </w:p>
        </w:tc>
      </w:tr>
      <w:tr>
        <w:trPr>
          <w:trHeight w:val="230"/>
        </w:trPr>
        <w:tc>
          <w:tcPr>
            <w:tcW w:w="103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8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868</w:t>
            </w:r>
          </w:p>
        </w:tc>
        <w:tc>
          <w:tcPr>
            <w:tcW w:w="80" w:type="dxa"/>
            <w:vAlign w:val="bottom"/>
            <w:shd w:val="clear" w:color="auto" w:fill="CCEECC"/>
          </w:tcPr>
          <w:p>
            <w:pPr>
              <w:spacing w:after="0"/>
              <w:rPr>
                <w:sz w:val="19"/>
                <w:szCs w:val="19"/>
                <w:color w:val="auto"/>
              </w:rPr>
            </w:pPr>
          </w:p>
        </w:tc>
      </w:tr>
      <w:tr>
        <w:trPr>
          <w:trHeight w:val="223"/>
        </w:trPr>
        <w:tc>
          <w:tcPr>
            <w:tcW w:w="10300" w:type="dxa"/>
            <w:vAlign w:val="bottom"/>
          </w:tcPr>
          <w:p>
            <w:pPr>
              <w:spacing w:after="0"/>
              <w:rPr>
                <w:sz w:val="20"/>
                <w:szCs w:val="20"/>
                <w:color w:val="auto"/>
              </w:rPr>
            </w:pPr>
            <w:r>
              <w:rPr>
                <w:rFonts w:ascii="Arial" w:cs="Arial" w:eastAsia="Arial" w:hAnsi="Arial"/>
                <w:sz w:val="18"/>
                <w:szCs w:val="18"/>
                <w:color w:val="auto"/>
              </w:rPr>
              <w:t>Balance at September 30, 2013</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335,102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Purchases include $60.0 million of reverse mortgages acquired in the Liberty Acquisition.</w:t>
      </w:r>
    </w:p>
    <w:p>
      <w:pPr>
        <w:spacing w:after="0" w:line="184"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gains of $14.5 million and $20.6 million recorded during the three and nine months ended September 30, 2013, respectively, to adjust Loans – Restricted for Securitization Investors to fair value.</w:t>
      </w:r>
    </w:p>
    <w:p>
      <w:pPr>
        <w:spacing w:after="0" w:line="14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summarizes the activity in Gain on loans held for sale, net, during the periods ended September 30: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7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40" w:type="dxa"/>
            <w:vAlign w:val="bottom"/>
            <w:tcBorders>
              <w:bottom w:val="single" w:sz="8" w:color="CCEECC"/>
            </w:tcBorders>
          </w:tcPr>
          <w:p>
            <w:pPr>
              <w:spacing w:after="0"/>
              <w:rPr>
                <w:sz w:val="19"/>
                <w:szCs w:val="19"/>
                <w:color w:val="auto"/>
              </w:rPr>
            </w:pPr>
          </w:p>
        </w:tc>
        <w:tc>
          <w:tcPr>
            <w:tcW w:w="140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r>
      <w:tr>
        <w:trPr>
          <w:trHeight w:val="210"/>
        </w:trPr>
        <w:tc>
          <w:tcPr>
            <w:tcW w:w="4440" w:type="dxa"/>
            <w:vAlign w:val="bottom"/>
            <w:shd w:val="clear" w:color="auto" w:fill="CCEECC"/>
          </w:tcPr>
          <w:p>
            <w:pPr>
              <w:spacing w:after="0"/>
              <w:rPr>
                <w:sz w:val="20"/>
                <w:szCs w:val="20"/>
                <w:color w:val="auto"/>
              </w:rPr>
            </w:pPr>
            <w:r>
              <w:rPr>
                <w:rFonts w:ascii="Arial" w:cs="Arial" w:eastAsia="Arial" w:hAnsi="Arial"/>
                <w:sz w:val="18"/>
                <w:szCs w:val="18"/>
                <w:color w:val="auto"/>
              </w:rPr>
              <w:t>Gain on sales of loans (1)</w:t>
            </w:r>
          </w:p>
        </w:tc>
        <w:tc>
          <w:tcPr>
            <w:tcW w:w="140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4,622</w:t>
            </w: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CC"/>
          </w:tcPr>
          <w:p>
            <w:pPr>
              <w:ind w:left="54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36,156</w:t>
            </w: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17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CC"/>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gridSpan w:val="2"/>
            <w:shd w:val="clear" w:color="auto" w:fill="CCEEC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Change in fair value of IRLCs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18,912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5,918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CC"/>
          </w:tcPr>
          <w:p>
            <w:pPr>
              <w:spacing w:after="0"/>
              <w:rPr>
                <w:sz w:val="20"/>
                <w:szCs w:val="20"/>
                <w:color w:val="auto"/>
              </w:rPr>
            </w:pPr>
            <w:r>
              <w:rPr>
                <w:rFonts w:ascii="Arial" w:cs="Arial" w:eastAsia="Arial" w:hAnsi="Arial"/>
                <w:sz w:val="18"/>
                <w:szCs w:val="18"/>
                <w:color w:val="auto"/>
              </w:rPr>
              <w:t>Change in fair value of loans held for sale</w:t>
            </w:r>
          </w:p>
        </w:tc>
        <w:tc>
          <w:tcPr>
            <w:tcW w:w="14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14,362</w:t>
            </w: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1,452</w:t>
            </w: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820" w:type="dxa"/>
            <w:vAlign w:val="bottom"/>
            <w:gridSpan w:val="3"/>
            <w:shd w:val="clear" w:color="auto" w:fill="CCEECC"/>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Gain (loss) on hedge instruments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(9,408)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30,989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ind w:left="54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(1,603)</w:t>
            </w:r>
          </w:p>
        </w:tc>
        <w:tc>
          <w:tcPr>
            <w:tcW w:w="2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820" w:type="dxa"/>
            <w:vAlign w:val="bottom"/>
            <w:gridSpan w:val="3"/>
            <w:shd w:val="clear" w:color="auto" w:fill="CCEECC"/>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72,912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20" w:hanging="332"/>
        <w:spacing w:after="0" w:line="25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Includes gains of $16.3 million and $63.2 million for the three and nine months ended September 30, 2013, respectively, representing the value assigned to MSRs retained on sales of loans. Also includes gains of $4.1 million and $20.3 million recorded during the three and nine months ended September 30, 2013, respectively, on sales of repurchased loans into Ginnie Mae guaranteed securitizations. These loans are classified as held for sale at the lower of cost or fair value. See </w:t>
      </w:r>
      <w:hyperlink w:anchor="page30">
        <w:r>
          <w:rPr>
            <w:rFonts w:ascii="Arial" w:cs="Arial" w:eastAsia="Arial" w:hAnsi="Arial"/>
            <w:sz w:val="18"/>
            <w:szCs w:val="18"/>
            <w:u w:val="single" w:color="auto"/>
            <w:color w:val="0000EE"/>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Other Assets.</w:t>
      </w:r>
    </w:p>
    <w:p>
      <w:pPr>
        <w:spacing w:after="0" w:line="15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ADVANCES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representing payments made on behalf of borrowers or on foreclosed properties, consisted of the following at the dates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59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gridSpan w:val="4"/>
          </w:tcPr>
          <w:p>
            <w:pPr>
              <w:ind w:left="2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4160" w:type="dxa"/>
            <w:vAlign w:val="bottom"/>
            <w:tcBorders>
              <w:bottom w:val="single" w:sz="8" w:color="CCEECC"/>
            </w:tcBorders>
          </w:tcPr>
          <w:p>
            <w:pPr>
              <w:spacing w:after="0"/>
              <w:rPr>
                <w:sz w:val="20"/>
                <w:szCs w:val="20"/>
                <w:color w:val="auto"/>
              </w:rPr>
            </w:pPr>
          </w:p>
        </w:tc>
        <w:tc>
          <w:tcPr>
            <w:tcW w:w="45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CC"/>
          </w:tcPr>
          <w:p>
            <w:pPr>
              <w:spacing w:after="0"/>
              <w:rPr>
                <w:sz w:val="20"/>
                <w:szCs w:val="20"/>
                <w:color w:val="auto"/>
              </w:rPr>
            </w:pPr>
            <w:r>
              <w:rPr>
                <w:rFonts w:ascii="Arial" w:cs="Arial" w:eastAsia="Arial" w:hAnsi="Arial"/>
                <w:sz w:val="18"/>
                <w:szCs w:val="18"/>
                <w:color w:val="auto"/>
              </w:rPr>
              <w:t>Servicing:</w:t>
            </w:r>
          </w:p>
        </w:tc>
        <w:tc>
          <w:tcPr>
            <w:tcW w:w="45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60"/>
              <w:spacing w:after="0"/>
              <w:rPr>
                <w:sz w:val="20"/>
                <w:szCs w:val="20"/>
                <w:color w:val="auto"/>
              </w:rPr>
            </w:pPr>
            <w:r>
              <w:rPr>
                <w:rFonts w:ascii="Arial" w:cs="Arial" w:eastAsia="Arial" w:hAnsi="Arial"/>
                <w:sz w:val="18"/>
                <w:szCs w:val="18"/>
                <w:color w:val="auto"/>
              </w:rPr>
              <w:t>Principal and interest</w:t>
            </w:r>
          </w:p>
        </w:tc>
        <w:tc>
          <w:tcPr>
            <w:tcW w:w="48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149,184</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83,617</w:t>
            </w:r>
          </w:p>
        </w:tc>
        <w:tc>
          <w:tcPr>
            <w:tcW w:w="0" w:type="dxa"/>
            <w:vAlign w:val="bottom"/>
          </w:tcPr>
          <w:p>
            <w:pPr>
              <w:spacing w:after="0"/>
              <w:rPr>
                <w:sz w:val="1"/>
                <w:szCs w:val="1"/>
                <w:color w:val="auto"/>
              </w:rPr>
            </w:pPr>
          </w:p>
        </w:tc>
      </w:tr>
      <w:tr>
        <w:trPr>
          <w:trHeight w:val="216"/>
        </w:trPr>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Taxes and insurance</w:t>
            </w:r>
          </w:p>
        </w:tc>
        <w:tc>
          <w:tcPr>
            <w:tcW w:w="45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604,636</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51,447</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Arial" w:cs="Arial" w:eastAsia="Arial" w:hAnsi="Arial"/>
                <w:sz w:val="18"/>
                <w:szCs w:val="18"/>
                <w:color w:val="auto"/>
              </w:rPr>
              <w:t>Foreclosures, bankruptcy and other</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183,861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41,296</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CC"/>
            </w:tcBorders>
            <w:shd w:val="clear" w:color="auto" w:fill="CCEECC"/>
          </w:tcPr>
          <w:p>
            <w:pPr>
              <w:spacing w:after="0"/>
              <w:rPr>
                <w:sz w:val="18"/>
                <w:szCs w:val="18"/>
                <w:color w:val="auto"/>
              </w:rPr>
            </w:pPr>
          </w:p>
        </w:tc>
        <w:tc>
          <w:tcPr>
            <w:tcW w:w="458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18"/>
                <w:szCs w:val="18"/>
                <w:color w:val="auto"/>
              </w:rPr>
            </w:pP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937,681</w:t>
            </w:r>
          </w:p>
        </w:tc>
        <w:tc>
          <w:tcPr>
            <w:tcW w:w="2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176,360</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8,606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CC"/>
              <w:bottom w:val="single" w:sz="8" w:color="CCEECC"/>
            </w:tcBorders>
            <w:shd w:val="clear" w:color="auto" w:fill="CCEECC"/>
          </w:tcPr>
          <w:p>
            <w:pPr>
              <w:spacing w:after="0"/>
              <w:rPr>
                <w:sz w:val="19"/>
                <w:szCs w:val="19"/>
                <w:color w:val="auto"/>
              </w:rPr>
            </w:pPr>
          </w:p>
        </w:tc>
        <w:tc>
          <w:tcPr>
            <w:tcW w:w="45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946,287</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184,463</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580" w:type="dxa"/>
            <w:vAlign w:val="bottom"/>
            <w:vMerge w:val="restart"/>
          </w:tcPr>
          <w:p>
            <w:pPr>
              <w:jc w:val="right"/>
              <w:ind w:right="2850"/>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1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6" w:name="page27"/>
    <w:bookmarkEnd w:id="26"/>
    <w:p>
      <w:pPr>
        <w:ind w:left="20"/>
        <w:spacing w:after="0"/>
        <w:tabs>
          <w:tab w:leader="none" w:pos="11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MATCH FUNDED ADVANCES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advances on residential mortgage loans that we service for others are comprised of the following at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86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980" w:type="dxa"/>
            <w:vAlign w:val="bottom"/>
            <w:tcBorders>
              <w:bottom w:val="single" w:sz="8" w:color="CCEECC"/>
            </w:tcBorders>
          </w:tcPr>
          <w:p>
            <w:pPr>
              <w:spacing w:after="0"/>
              <w:rPr>
                <w:sz w:val="20"/>
                <w:szCs w:val="20"/>
                <w:color w:val="auto"/>
              </w:rPr>
            </w:pPr>
          </w:p>
        </w:tc>
        <w:tc>
          <w:tcPr>
            <w:tcW w:w="7260" w:type="dxa"/>
            <w:vAlign w:val="bottom"/>
            <w:tcBorders>
              <w:bottom w:val="single" w:sz="8" w:color="CCEECC"/>
            </w:tcBorders>
          </w:tcPr>
          <w:p>
            <w:pPr>
              <w:spacing w:after="0"/>
              <w:rPr>
                <w:sz w:val="20"/>
                <w:szCs w:val="20"/>
                <w:color w:val="auto"/>
              </w:rPr>
            </w:pPr>
          </w:p>
        </w:tc>
        <w:tc>
          <w:tcPr>
            <w:tcW w:w="500" w:type="dxa"/>
            <w:vAlign w:val="bottom"/>
            <w:tcBorders>
              <w:bottom w:val="single" w:sz="8" w:color="CCEEC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40" w:type="dxa"/>
            <w:vAlign w:val="bottom"/>
            <w:tcBorders>
              <w:bottom w:val="single" w:sz="8" w:color="CCEECC"/>
            </w:tcBorders>
          </w:tcPr>
          <w:p>
            <w:pPr>
              <w:spacing w:after="0"/>
              <w:rPr>
                <w:sz w:val="20"/>
                <w:szCs w:val="20"/>
                <w:color w:val="auto"/>
              </w:rPr>
            </w:pPr>
          </w:p>
        </w:tc>
        <w:tc>
          <w:tcPr>
            <w:tcW w:w="240" w:type="dxa"/>
            <w:vAlign w:val="bottom"/>
            <w:tcBorders>
              <w:bottom w:val="single" w:sz="8" w:color="CCEECC"/>
            </w:tcBorders>
          </w:tcPr>
          <w:p>
            <w:pPr>
              <w:spacing w:after="0"/>
              <w:rPr>
                <w:sz w:val="20"/>
                <w:szCs w:val="20"/>
                <w:color w:val="auto"/>
              </w:rPr>
            </w:pPr>
          </w:p>
        </w:tc>
        <w:tc>
          <w:tcPr>
            <w:tcW w:w="180" w:type="dxa"/>
            <w:vAlign w:val="bottom"/>
            <w:tcBorders>
              <w:bottom w:val="single" w:sz="8" w:color="CCEEC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Principal and interest</w:t>
            </w:r>
          </w:p>
        </w:tc>
        <w:tc>
          <w:tcPr>
            <w:tcW w:w="500" w:type="dxa"/>
            <w:vAlign w:val="bottom"/>
            <w:shd w:val="clear" w:color="auto" w:fill="CCEECC"/>
          </w:tcPr>
          <w:p>
            <w:pPr>
              <w:spacing w:after="0"/>
              <w:rPr>
                <w:sz w:val="18"/>
                <w:szCs w:val="18"/>
                <w:color w:val="auto"/>
              </w:rPr>
            </w:pPr>
          </w:p>
        </w:tc>
        <w:tc>
          <w:tcPr>
            <w:tcW w:w="260" w:type="dxa"/>
            <w:vAlign w:val="bottom"/>
            <w:gridSpan w:val="2"/>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235,766</w:t>
            </w:r>
          </w:p>
        </w:tc>
        <w:tc>
          <w:tcPr>
            <w:tcW w:w="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2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9"/>
              </w:rPr>
              <w:t>1,577,808</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Taxes and insurance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218,952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1,148,486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Foreclosures, bankruptcy, real estate and other</w:t>
            </w:r>
          </w:p>
        </w:tc>
        <w:tc>
          <w:tcPr>
            <w:tcW w:w="50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79,007</w:t>
            </w:r>
          </w:p>
        </w:tc>
        <w:tc>
          <w:tcPr>
            <w:tcW w:w="24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322,950</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533,725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3,049,244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NOTE 9</w:t>
            </w:r>
          </w:p>
        </w:tc>
        <w:tc>
          <w:tcPr>
            <w:tcW w:w="72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MORTGAGE SERVICING</w:t>
            </w: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vMerge w:val="continue"/>
          </w:tcPr>
          <w:p>
            <w:pPr>
              <w:spacing w:after="0"/>
              <w:rPr>
                <w:sz w:val="24"/>
                <w:szCs w:val="24"/>
                <w:color w:val="auto"/>
              </w:rPr>
            </w:pPr>
          </w:p>
        </w:tc>
        <w:tc>
          <w:tcPr>
            <w:tcW w:w="72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Mortgage Servicing Rights – Amortization Method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40" w:type="dxa"/>
            <w:vAlign w:val="bottom"/>
            <w:gridSpan w:val="2"/>
          </w:tcPr>
          <w:p>
            <w:pPr>
              <w:ind w:left="340"/>
              <w:spacing w:after="0"/>
              <w:rPr>
                <w:sz w:val="20"/>
                <w:szCs w:val="20"/>
                <w:color w:val="auto"/>
              </w:rPr>
            </w:pPr>
            <w:r>
              <w:rPr>
                <w:rFonts w:ascii="Arial" w:cs="Arial" w:eastAsia="Arial" w:hAnsi="Arial"/>
                <w:sz w:val="18"/>
                <w:szCs w:val="18"/>
                <w:color w:val="auto"/>
                <w:w w:val="96"/>
              </w:rPr>
              <w:t>The following table summarizes our activity related to MSRs for the nine months ended September 30:</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80" w:type="dxa"/>
            <w:vAlign w:val="bottom"/>
            <w:tcBorders>
              <w:bottom w:val="single" w:sz="8" w:color="CCEECC"/>
            </w:tcBorders>
          </w:tcPr>
          <w:p>
            <w:pPr>
              <w:spacing w:after="0"/>
              <w:rPr>
                <w:sz w:val="24"/>
                <w:szCs w:val="24"/>
                <w:color w:val="auto"/>
              </w:rPr>
            </w:pPr>
          </w:p>
        </w:tc>
        <w:tc>
          <w:tcPr>
            <w:tcW w:w="7260" w:type="dxa"/>
            <w:vAlign w:val="bottom"/>
            <w:tcBorders>
              <w:bottom w:val="single" w:sz="8" w:color="CCEECC"/>
            </w:tcBorders>
          </w:tcPr>
          <w:p>
            <w:pPr>
              <w:spacing w:after="0"/>
              <w:rPr>
                <w:sz w:val="24"/>
                <w:szCs w:val="24"/>
                <w:color w:val="auto"/>
              </w:rPr>
            </w:pPr>
          </w:p>
        </w:tc>
        <w:tc>
          <w:tcPr>
            <w:tcW w:w="500" w:type="dxa"/>
            <w:vAlign w:val="bottom"/>
            <w:tcBorders>
              <w:bottom w:val="single" w:sz="8" w:color="CCEECC"/>
            </w:tcBorders>
          </w:tcPr>
          <w:p>
            <w:pPr>
              <w:spacing w:after="0"/>
              <w:rPr>
                <w:sz w:val="24"/>
                <w:szCs w:val="24"/>
                <w:color w:val="auto"/>
              </w:rPr>
            </w:pPr>
          </w:p>
        </w:tc>
        <w:tc>
          <w:tcPr>
            <w:tcW w:w="80" w:type="dxa"/>
            <w:vAlign w:val="bottom"/>
            <w:tcBorders>
              <w:bottom w:val="single" w:sz="8" w:color="CCEEC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CCEECC"/>
            </w:tcBorders>
          </w:tcPr>
          <w:p>
            <w:pPr>
              <w:spacing w:after="0"/>
              <w:rPr>
                <w:sz w:val="24"/>
                <w:szCs w:val="24"/>
                <w:color w:val="auto"/>
              </w:rPr>
            </w:pPr>
          </w:p>
        </w:tc>
        <w:tc>
          <w:tcPr>
            <w:tcW w:w="180" w:type="dxa"/>
            <w:vAlign w:val="bottom"/>
            <w:tcBorders>
              <w:bottom w:val="single" w:sz="8" w:color="CCEECC"/>
            </w:tcBorders>
          </w:tcPr>
          <w:p>
            <w:pPr>
              <w:spacing w:after="0"/>
              <w:rPr>
                <w:sz w:val="24"/>
                <w:szCs w:val="24"/>
                <w:color w:val="auto"/>
              </w:rPr>
            </w:pPr>
          </w:p>
        </w:tc>
        <w:tc>
          <w:tcPr>
            <w:tcW w:w="20" w:type="dxa"/>
            <w:vAlign w:val="bottom"/>
            <w:tcBorders>
              <w:bottom w:val="single" w:sz="8" w:color="CCEE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4"/>
                <w:szCs w:val="24"/>
                <w:color w:val="auto"/>
              </w:rPr>
            </w:pPr>
          </w:p>
        </w:tc>
        <w:tc>
          <w:tcPr>
            <w:tcW w:w="80" w:type="dxa"/>
            <w:vAlign w:val="bottom"/>
            <w:tcBorders>
              <w:bottom w:val="single" w:sz="8" w:color="CCEEC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2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Balance at December 31</w:t>
            </w:r>
          </w:p>
        </w:tc>
        <w:tc>
          <w:tcPr>
            <w:tcW w:w="580" w:type="dxa"/>
            <w:vAlign w:val="bottom"/>
            <w:gridSpan w:val="2"/>
            <w:shd w:val="clear" w:color="auto" w:fill="CCEECC"/>
          </w:tcPr>
          <w:p>
            <w:pPr>
              <w:spacing w:after="0"/>
              <w:rPr>
                <w:sz w:val="18"/>
                <w:szCs w:val="18"/>
                <w:color w:val="auto"/>
              </w:rPr>
            </w:pPr>
          </w:p>
        </w:tc>
        <w:tc>
          <w:tcPr>
            <w:tcW w:w="180" w:type="dxa"/>
            <w:vAlign w:val="bottom"/>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678,937</w:t>
            </w:r>
          </w:p>
        </w:tc>
        <w:tc>
          <w:tcPr>
            <w:tcW w:w="240" w:type="dxa"/>
            <w:vAlign w:val="bottom"/>
            <w:shd w:val="clear" w:color="auto" w:fill="CCEECC"/>
          </w:tcPr>
          <w:p>
            <w:pPr>
              <w:spacing w:after="0"/>
              <w:rPr>
                <w:sz w:val="18"/>
                <w:szCs w:val="18"/>
                <w:color w:val="auto"/>
              </w:rPr>
            </w:pPr>
          </w:p>
        </w:tc>
        <w:tc>
          <w:tcPr>
            <w:tcW w:w="200" w:type="dxa"/>
            <w:vAlign w:val="bottom"/>
            <w:gridSpan w:val="2"/>
            <w:shd w:val="clear" w:color="auto" w:fill="CCEECC"/>
          </w:tcPr>
          <w:p>
            <w:pPr>
              <w:spacing w:after="0"/>
              <w:rPr>
                <w:sz w:val="18"/>
                <w:szCs w:val="18"/>
                <w:color w:val="auto"/>
              </w:rPr>
            </w:pPr>
          </w:p>
        </w:tc>
        <w:tc>
          <w:tcPr>
            <w:tcW w:w="20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293,152</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160"/>
              <w:spacing w:after="0"/>
              <w:rPr>
                <w:sz w:val="20"/>
                <w:szCs w:val="20"/>
                <w:color w:val="auto"/>
              </w:rPr>
            </w:pPr>
            <w:r>
              <w:rPr>
                <w:rFonts w:ascii="Arial" w:cs="Arial" w:eastAsia="Arial" w:hAnsi="Arial"/>
                <w:sz w:val="18"/>
                <w:szCs w:val="18"/>
                <w:color w:val="auto"/>
              </w:rPr>
              <w:t>Additions recognized in connection with business and asset acquisitions (1)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1,208,222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181,949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Additions recognized on the sale of residential mortgage loans</w:t>
            </w:r>
          </w:p>
        </w:tc>
        <w:tc>
          <w:tcPr>
            <w:tcW w:w="5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100" w:type="dxa"/>
            <w:vAlign w:val="bottom"/>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63,154</w:t>
            </w:r>
          </w:p>
        </w:tc>
        <w:tc>
          <w:tcPr>
            <w:tcW w:w="1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ind w:left="160"/>
              <w:spacing w:after="0"/>
              <w:rPr>
                <w:sz w:val="20"/>
                <w:szCs w:val="20"/>
                <w:color w:val="auto"/>
              </w:rPr>
            </w:pPr>
            <w:r>
              <w:rPr>
                <w:rFonts w:ascii="Arial" w:cs="Arial" w:eastAsia="Arial" w:hAnsi="Arial"/>
                <w:sz w:val="18"/>
                <w:szCs w:val="18"/>
                <w:color w:val="auto"/>
              </w:rPr>
              <w:t>Sales (2)</w:t>
            </w:r>
          </w:p>
        </w:tc>
        <w:tc>
          <w:tcPr>
            <w:tcW w:w="7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(17,523)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Servicing transfers, adjustments and other</w:t>
            </w:r>
          </w:p>
        </w:tc>
        <w:tc>
          <w:tcPr>
            <w:tcW w:w="5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100" w:type="dxa"/>
            <w:vAlign w:val="bottom"/>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2,052</w:t>
            </w:r>
          </w:p>
        </w:tc>
        <w:tc>
          <w:tcPr>
            <w:tcW w:w="1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2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60"/>
              <w:spacing w:after="0"/>
              <w:rPr>
                <w:sz w:val="20"/>
                <w:szCs w:val="20"/>
                <w:color w:val="auto"/>
              </w:rPr>
            </w:pPr>
            <w:r>
              <w:rPr>
                <w:rFonts w:ascii="Arial" w:cs="Arial" w:eastAsia="Arial" w:hAnsi="Arial"/>
                <w:sz w:val="18"/>
                <w:szCs w:val="18"/>
                <w:color w:val="auto"/>
              </w:rPr>
              <w:t>Amortization (3)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(197,899)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(54,678)</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CC"/>
              <w:bottom w:val="single" w:sz="8" w:color="CCEECC"/>
            </w:tcBorders>
            <w:gridSpan w:val="2"/>
            <w:shd w:val="clear" w:color="auto" w:fill="CCEECC"/>
          </w:tcPr>
          <w:p>
            <w:pPr>
              <w:spacing w:after="0"/>
              <w:rPr>
                <w:sz w:val="20"/>
                <w:szCs w:val="20"/>
                <w:color w:val="auto"/>
              </w:rPr>
            </w:pPr>
            <w:r>
              <w:rPr>
                <w:rFonts w:ascii="Arial" w:cs="Arial" w:eastAsia="Arial" w:hAnsi="Arial"/>
                <w:sz w:val="18"/>
                <w:szCs w:val="18"/>
                <w:color w:val="auto"/>
              </w:rPr>
              <w:t>Balance at September 30</w:t>
            </w:r>
          </w:p>
        </w:tc>
        <w:tc>
          <w:tcPr>
            <w:tcW w:w="580" w:type="dxa"/>
            <w:vAlign w:val="bottom"/>
            <w:tcBorders>
              <w:top w:val="single" w:sz="8" w:color="CCEECC"/>
              <w:bottom w:val="single" w:sz="8" w:color="CCEECC"/>
            </w:tcBorders>
            <w:gridSpan w:val="2"/>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CEECC"/>
          </w:tcPr>
          <w:p>
            <w:pPr>
              <w:jc w:val="right"/>
              <w:spacing w:after="0"/>
              <w:rPr>
                <w:sz w:val="20"/>
                <w:szCs w:val="20"/>
                <w:color w:val="auto"/>
              </w:rPr>
            </w:pPr>
            <w:r>
              <w:rPr>
                <w:rFonts w:ascii="Arial" w:cs="Arial" w:eastAsia="Arial" w:hAnsi="Arial"/>
                <w:sz w:val="18"/>
                <w:szCs w:val="18"/>
                <w:color w:val="auto"/>
              </w:rPr>
              <w:t>1,736,943</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gridSpan w:val="2"/>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420,335</w:t>
            </w: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Estimated fair value at September 30</w:t>
            </w:r>
          </w:p>
        </w:tc>
        <w:tc>
          <w:tcPr>
            <w:tcW w:w="5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240" w:type="dxa"/>
            <w:vAlign w:val="bottom"/>
            <w:gridSpan w:val="2"/>
            <w:vMerge w:val="continue"/>
          </w:tcPr>
          <w:p>
            <w:pPr>
              <w:spacing w:after="0"/>
              <w:rPr>
                <w:sz w:val="24"/>
                <w:szCs w:val="24"/>
                <w:color w:val="auto"/>
              </w:rPr>
            </w:pPr>
          </w:p>
        </w:tc>
        <w:tc>
          <w:tcPr>
            <w:tcW w:w="76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2,532,239</w:t>
            </w:r>
          </w:p>
        </w:tc>
        <w:tc>
          <w:tcPr>
            <w:tcW w:w="4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488,499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MSR recognized in connection with business and asset acquisitions during the first nine months of 2013 include: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MSRs of $391.9 million acquired in the ResCap Acquisition. See </w:t>
      </w:r>
      <w:hyperlink w:anchor="page16">
        <w:r>
          <w:rPr>
            <w:rFonts w:ascii="Arial" w:cs="Arial" w:eastAsia="Arial" w:hAnsi="Arial"/>
            <w:sz w:val="18"/>
            <w:szCs w:val="18"/>
            <w:u w:val="single" w:color="auto"/>
            <w:color w:val="0000EE"/>
          </w:rPr>
          <w:t>Note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Business Acquisitions for additional information.</w:t>
      </w:r>
    </w:p>
    <w:p>
      <w:pPr>
        <w:spacing w:after="0" w:line="184" w:lineRule="exact"/>
        <w:rPr>
          <w:rFonts w:ascii="Arial" w:cs="Arial" w:eastAsia="Arial" w:hAnsi="Arial"/>
          <w:sz w:val="18"/>
          <w:szCs w:val="18"/>
          <w:color w:val="auto"/>
        </w:rPr>
      </w:pPr>
    </w:p>
    <w:p>
      <w:pPr>
        <w:ind w:left="660" w:right="120" w:hanging="328"/>
        <w:spacing w:after="0" w:line="302"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MSRs of $683.8 million acquired in the Ally MSR Transaction. The acquired MSRs relate to mortgage loans with a UPB of $87.5 billion owned by Freddie Mac and Fannie Mae. We also acquired servicing advances and other receivables of $73.6 million. We assumed the origination representation and warranty obligations of approximately $136.7 million in connection with a majority of the acquired MSRs. We had been subservicing these MSRs on behalf of Ally under a subservicing contract assumed by us in connection with the ResCap Acquisition.</w:t>
      </w:r>
    </w:p>
    <w:p>
      <w:pPr>
        <w:spacing w:after="0" w:line="113" w:lineRule="exact"/>
        <w:rPr>
          <w:rFonts w:ascii="Arial" w:cs="Arial" w:eastAsia="Arial" w:hAnsi="Arial"/>
          <w:sz w:val="16"/>
          <w:szCs w:val="16"/>
          <w:color w:val="auto"/>
        </w:rPr>
      </w:pPr>
    </w:p>
    <w:p>
      <w:pPr>
        <w:ind w:left="660" w:right="80" w:hanging="328"/>
        <w:spacing w:after="0" w:line="272"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MSRs of $127.0 million with a UPB of approximately $30.5 billion and related servicing advance receivables of $371.6 million acquired in the OneWest MSR Transaction. We expect the remainder of the transaction to close during the fourth quarter. The total estimated purchase price is approximately $2.4 billion with $432.2 million attributed to MSRs and $2.0 billion attributed to servicing advances. The total UPB to be acquired is estimated at $72.4 billion. No operations or other assets were purchased in the transaction. In October 2013, we closed the purchase of approximately $6.6 million of MSRs with a UPB of approximately $1.1 billion and approximately $37.1 million of servicing advances. On November 1, 2013, we closed the purchase of approximately $235.6 million of MSRs with a UPB of approximately $32.9 billion and approximately $1.3 billion of servicing advances. See Note 26 - Subsequent Events for additional information.</w:t>
      </w:r>
    </w:p>
    <w:p>
      <w:pPr>
        <w:spacing w:after="0" w:line="150" w:lineRule="exact"/>
        <w:rPr>
          <w:rFonts w:ascii="Arial" w:cs="Arial" w:eastAsia="Arial" w:hAnsi="Arial"/>
          <w:sz w:val="17"/>
          <w:szCs w:val="17"/>
          <w:color w:val="auto"/>
        </w:rPr>
      </w:pPr>
    </w:p>
    <w:p>
      <w:pPr>
        <w:ind w:left="340" w:right="6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proceeds from the sale were $21.5 million. These MSRs were sold with subservicing retained. The gain on the sale of $3.2 million has been deferred and will be recognized in earnings over the life of the subservicing contract.</w:t>
      </w:r>
    </w:p>
    <w:p>
      <w:pPr>
        <w:spacing w:after="0" w:line="129"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mortgage servicing rights is reported net of the amortization of servicing liabilities and includes the amount of charges we recognized to increase servicing liability obligations.</w:t>
      </w:r>
    </w:p>
    <w:p>
      <w:pPr>
        <w:spacing w:after="0" w:line="13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disclosed in Note 3 – Transfers of Financial Assets, we sold certain Rights to MSRs during 2012 and 2013 as part of the HLSS Transactions. The carrying value of the related MSRs which have not been derecognized at September 30, 2013 was $465.8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Rights—Fair Value Measurement Method</w:t>
      </w:r>
    </w:p>
    <w:p>
      <w:pPr>
        <w:spacing w:after="0" w:line="189" w:lineRule="exact"/>
        <w:rPr>
          <w:sz w:val="20"/>
          <w:szCs w:val="20"/>
          <w:color w:val="auto"/>
        </w:rPr>
      </w:pPr>
    </w:p>
    <w:p>
      <w:pPr>
        <w:ind w:right="100" w:firstLine="324"/>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This portfolio comprises servicing rights for which we elected the fair value option and includes prime forward mortgage loans for which we hedged the related market risks. We acquired these MSRs as part of the Homeward Acquisition. See </w:t>
      </w:r>
      <w:hyperlink w:anchor="page16">
        <w:r>
          <w:rPr>
            <w:rFonts w:ascii="Arial" w:cs="Arial" w:eastAsia="Arial" w:hAnsi="Arial"/>
            <w:sz w:val="16"/>
            <w:szCs w:val="16"/>
            <w:u w:val="single" w:color="auto"/>
            <w:color w:val="0000EE"/>
          </w:rPr>
          <w:t>Note 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Business Acquisitions for additional information.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720" w:type="dxa"/>
            <w:vAlign w:val="bottom"/>
          </w:tcPr>
          <w:p>
            <w:pPr>
              <w:ind w:left="320"/>
              <w:spacing w:after="0"/>
              <w:rPr>
                <w:sz w:val="20"/>
                <w:szCs w:val="20"/>
                <w:color w:val="auto"/>
              </w:rPr>
            </w:pPr>
            <w:r>
              <w:rPr>
                <w:rFonts w:ascii="Arial" w:cs="Arial" w:eastAsia="Arial" w:hAnsi="Arial"/>
                <w:sz w:val="18"/>
                <w:szCs w:val="18"/>
                <w:color w:val="auto"/>
                <w:w w:val="96"/>
              </w:rPr>
              <w:t>The following table summarizes the activity related to our fair value MSRs for the nine months ended September 30, 2013:</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9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CC"/>
          </w:tcPr>
          <w:p>
            <w:pPr>
              <w:spacing w:after="0"/>
              <w:rPr>
                <w:sz w:val="20"/>
                <w:szCs w:val="20"/>
                <w:color w:val="auto"/>
              </w:rPr>
            </w:pPr>
            <w:r>
              <w:rPr>
                <w:rFonts w:ascii="Arial" w:cs="Arial" w:eastAsia="Arial" w:hAnsi="Arial"/>
                <w:sz w:val="18"/>
                <w:szCs w:val="18"/>
                <w:color w:val="auto"/>
              </w:rPr>
              <w:t>Balance at December 31, 2012</w:t>
            </w:r>
          </w:p>
        </w:tc>
        <w:tc>
          <w:tcPr>
            <w:tcW w:w="860" w:type="dxa"/>
            <w:vAlign w:val="bottom"/>
            <w:gridSpan w:val="2"/>
            <w:shd w:val="clear" w:color="auto" w:fill="CCEECC"/>
          </w:tcPr>
          <w:p>
            <w:pPr>
              <w:jc w:val="right"/>
              <w:ind w:right="1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140"/>
              <w:spacing w:after="0"/>
              <w:rPr>
                <w:sz w:val="20"/>
                <w:szCs w:val="20"/>
                <w:color w:val="auto"/>
              </w:rPr>
            </w:pPr>
            <w:r>
              <w:rPr>
                <w:rFonts w:ascii="Arial" w:cs="Arial" w:eastAsia="Arial" w:hAnsi="Arial"/>
                <w:sz w:val="18"/>
                <w:szCs w:val="18"/>
                <w:color w:val="auto"/>
              </w:rPr>
              <w:t>Changes in fair value: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CC"/>
          </w:tcPr>
          <w:p>
            <w:pPr>
              <w:ind w:left="300"/>
              <w:spacing w:after="0"/>
              <w:rPr>
                <w:sz w:val="20"/>
                <w:szCs w:val="20"/>
                <w:color w:val="auto"/>
              </w:rPr>
            </w:pPr>
            <w:r>
              <w:rPr>
                <w:rFonts w:ascii="Arial" w:cs="Arial" w:eastAsia="Arial" w:hAnsi="Arial"/>
                <w:sz w:val="18"/>
                <w:szCs w:val="18"/>
                <w:color w:val="auto"/>
              </w:rPr>
              <w:t>Due to changes in market valuation assumptions</w:t>
            </w:r>
          </w:p>
        </w:tc>
        <w:tc>
          <w:tcPr>
            <w:tcW w:w="56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19,800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20" w:type="dxa"/>
            <w:vAlign w:val="bottom"/>
          </w:tcPr>
          <w:p>
            <w:pPr>
              <w:ind w:left="300"/>
              <w:spacing w:after="0"/>
              <w:rPr>
                <w:sz w:val="20"/>
                <w:szCs w:val="20"/>
                <w:color w:val="auto"/>
              </w:rPr>
            </w:pPr>
            <w:r>
              <w:rPr>
                <w:rFonts w:ascii="Arial" w:cs="Arial" w:eastAsia="Arial" w:hAnsi="Arial"/>
                <w:sz w:val="18"/>
                <w:szCs w:val="18"/>
                <w:color w:val="auto"/>
              </w:rPr>
              <w:t>Realization of cash flows and other changes</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2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Balance at September 30, 2013</w:t>
            </w:r>
          </w:p>
        </w:tc>
        <w:tc>
          <w:tcPr>
            <w:tcW w:w="560" w:type="dxa"/>
            <w:vAlign w:val="bottom"/>
            <w:tcBorders>
              <w:top w:val="single" w:sz="8" w:color="CCEECC"/>
              <w:bottom w:val="single" w:sz="8" w:color="CCEECC"/>
            </w:tcBorders>
            <w:shd w:val="clear" w:color="auto" w:fill="CCEECC"/>
          </w:tcPr>
          <w:p>
            <w:pPr>
              <w:spacing w:after="0"/>
              <w:rPr>
                <w:sz w:val="19"/>
                <w:szCs w:val="19"/>
                <w:color w:val="auto"/>
              </w:rPr>
            </w:pPr>
          </w:p>
        </w:tc>
        <w:tc>
          <w:tcPr>
            <w:tcW w:w="300" w:type="dxa"/>
            <w:vAlign w:val="bottom"/>
            <w:tcBorders>
              <w:top w:val="single" w:sz="8" w:color="auto"/>
              <w:bottom w:val="single" w:sz="8" w:color="auto"/>
            </w:tcBorders>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96,938</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(as prepayments increase) and increase in periods of rising interest rates (as prepayments decrease). The following table summarizes the estimated change in the value of the MSRs that we carry at fair value as of September 30, 2013 given hypothetical instantaneous parallel shifts in the yield curve: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Adverse change in fair value</w:t>
            </w:r>
          </w:p>
        </w:tc>
      </w:tr>
      <w:tr>
        <w:trPr>
          <w:trHeight w:val="223"/>
        </w:trPr>
        <w:tc>
          <w:tcPr>
            <w:tcW w:w="5820" w:type="dxa"/>
            <w:vAlign w:val="bottom"/>
            <w:tcBorders>
              <w:bottom w:val="single" w:sz="8" w:color="CCEECC"/>
            </w:tcBorders>
          </w:tcPr>
          <w:p>
            <w:pPr>
              <w:spacing w:after="0"/>
              <w:rPr>
                <w:sz w:val="19"/>
                <w:szCs w:val="19"/>
                <w:color w:val="auto"/>
              </w:rPr>
            </w:pPr>
          </w:p>
        </w:tc>
        <w:tc>
          <w:tcPr>
            <w:tcW w:w="3000" w:type="dxa"/>
            <w:vAlign w:val="bottom"/>
            <w:tcBorders>
              <w:bottom w:val="single" w:sz="8" w:color="CCEE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CCEECC"/>
            </w:tcBorders>
          </w:tcPr>
          <w:p>
            <w:pPr>
              <w:spacing w:after="0"/>
              <w:rPr>
                <w:sz w:val="19"/>
                <w:szCs w:val="19"/>
                <w:color w:val="auto"/>
              </w:rPr>
            </w:pPr>
          </w:p>
        </w:tc>
        <w:tc>
          <w:tcPr>
            <w:tcW w:w="200" w:type="dxa"/>
            <w:vAlign w:val="bottom"/>
            <w:tcBorders>
              <w:top w:val="single" w:sz="8" w:color="auto"/>
              <w:bottom w:val="single" w:sz="8" w:color="CCEE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CC"/>
            </w:tcBorders>
          </w:tcPr>
          <w:p>
            <w:pPr>
              <w:spacing w:after="0"/>
              <w:rPr>
                <w:sz w:val="19"/>
                <w:szCs w:val="19"/>
                <w:color w:val="auto"/>
              </w:rPr>
            </w:pPr>
          </w:p>
        </w:tc>
      </w:tr>
      <w:tr>
        <w:trPr>
          <w:trHeight w:val="210"/>
        </w:trPr>
        <w:tc>
          <w:tcPr>
            <w:tcW w:w="5820" w:type="dxa"/>
            <w:vAlign w:val="bottom"/>
            <w:shd w:val="clear" w:color="auto" w:fill="CCEECC"/>
          </w:tcPr>
          <w:p>
            <w:pPr>
              <w:spacing w:after="0"/>
              <w:rPr>
                <w:sz w:val="20"/>
                <w:szCs w:val="20"/>
                <w:color w:val="auto"/>
              </w:rPr>
            </w:pPr>
            <w:r>
              <w:rPr>
                <w:rFonts w:ascii="Arial" w:cs="Arial" w:eastAsia="Arial" w:hAnsi="Arial"/>
                <w:sz w:val="18"/>
                <w:szCs w:val="18"/>
                <w:color w:val="auto"/>
              </w:rPr>
              <w:t>Weighted average prepayment speeds</w:t>
            </w:r>
          </w:p>
        </w:tc>
        <w:tc>
          <w:tcPr>
            <w:tcW w:w="300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ind w:left="440"/>
              <w:spacing w:after="0"/>
              <w:rPr>
                <w:sz w:val="20"/>
                <w:szCs w:val="20"/>
                <w:color w:val="auto"/>
              </w:rPr>
            </w:pPr>
            <w:r>
              <w:rPr>
                <w:rFonts w:ascii="Arial" w:cs="Arial" w:eastAsia="Arial" w:hAnsi="Arial"/>
                <w:sz w:val="18"/>
                <w:szCs w:val="18"/>
                <w:color w:val="auto"/>
                <w:w w:val="80"/>
              </w:rPr>
              <w:t>(3,695)</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CC"/>
          </w:tcPr>
          <w:p>
            <w:pPr>
              <w:ind w:left="320"/>
              <w:spacing w:after="0"/>
              <w:rPr>
                <w:sz w:val="20"/>
                <w:szCs w:val="20"/>
                <w:color w:val="auto"/>
              </w:rPr>
            </w:pPr>
            <w:r>
              <w:rPr>
                <w:rFonts w:ascii="Arial" w:cs="Arial" w:eastAsia="Arial" w:hAnsi="Arial"/>
                <w:sz w:val="18"/>
                <w:szCs w:val="18"/>
                <w:color w:val="auto"/>
                <w:w w:val="80"/>
              </w:rPr>
              <w:t>(7,234)</w:t>
            </w:r>
          </w:p>
        </w:tc>
        <w:tc>
          <w:tcPr>
            <w:tcW w:w="100" w:type="dxa"/>
            <w:vAlign w:val="bottom"/>
            <w:shd w:val="clear" w:color="auto" w:fill="CCEECC"/>
          </w:tcPr>
          <w:p>
            <w:pPr>
              <w:spacing w:after="0"/>
              <w:rPr>
                <w:sz w:val="18"/>
                <w:szCs w:val="18"/>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Discount rate (Option-adjusted spread)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(2,148)</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w w:val="98"/>
              </w:rPr>
              <w:t>(4,128)</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sensitivity analysis measures the potential impact on fair values based on hypothetical changes (increases and decreases) in interest rates.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Revenue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servicing and subservicing fees for the periods ended September 30: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00" w:type="dxa"/>
            <w:vAlign w:val="bottom"/>
            <w:tcBorders>
              <w:bottom w:val="single" w:sz="8" w:color="CCEECC"/>
            </w:tcBorders>
          </w:tcPr>
          <w:p>
            <w:pPr>
              <w:spacing w:after="0"/>
              <w:rPr>
                <w:sz w:val="19"/>
                <w:szCs w:val="19"/>
                <w:color w:val="auto"/>
              </w:rPr>
            </w:pPr>
          </w:p>
        </w:tc>
        <w:tc>
          <w:tcPr>
            <w:tcW w:w="9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EECC"/>
            </w:tcBorders>
          </w:tcPr>
          <w:p>
            <w:pPr>
              <w:spacing w:after="0"/>
              <w:rPr>
                <w:sz w:val="19"/>
                <w:szCs w:val="19"/>
                <w:color w:val="auto"/>
              </w:rPr>
            </w:pPr>
          </w:p>
        </w:tc>
        <w:tc>
          <w:tcPr>
            <w:tcW w:w="24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r>
      <w:tr>
        <w:trPr>
          <w:trHeight w:val="210"/>
        </w:trPr>
        <w:tc>
          <w:tcPr>
            <w:tcW w:w="4900" w:type="dxa"/>
            <w:vAlign w:val="bottom"/>
            <w:shd w:val="clear" w:color="auto" w:fill="CCEECC"/>
          </w:tcPr>
          <w:p>
            <w:pPr>
              <w:spacing w:after="0"/>
              <w:rPr>
                <w:sz w:val="20"/>
                <w:szCs w:val="20"/>
                <w:color w:val="auto"/>
              </w:rPr>
            </w:pPr>
            <w:r>
              <w:rPr>
                <w:rFonts w:ascii="Arial" w:cs="Arial" w:eastAsia="Arial" w:hAnsi="Arial"/>
                <w:sz w:val="18"/>
                <w:szCs w:val="18"/>
                <w:color w:val="auto"/>
              </w:rPr>
              <w:t>Loan servicing and subservicing fees:</w:t>
            </w:r>
          </w:p>
        </w:tc>
        <w:tc>
          <w:tcPr>
            <w:tcW w:w="9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4900" w:type="dxa"/>
            <w:vAlign w:val="bottom"/>
          </w:tcPr>
          <w:p>
            <w:pPr>
              <w:ind w:left="160"/>
              <w:spacing w:after="0"/>
              <w:rPr>
                <w:sz w:val="20"/>
                <w:szCs w:val="20"/>
                <w:color w:val="auto"/>
              </w:rPr>
            </w:pPr>
            <w:r>
              <w:rPr>
                <w:rFonts w:ascii="Arial" w:cs="Arial" w:eastAsia="Arial" w:hAnsi="Arial"/>
                <w:sz w:val="18"/>
                <w:szCs w:val="18"/>
                <w:color w:val="auto"/>
              </w:rPr>
              <w:t>Servicing</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335,884</w:t>
            </w:r>
          </w:p>
        </w:tc>
        <w:tc>
          <w:tcPr>
            <w:tcW w:w="240" w:type="dxa"/>
            <w:vAlign w:val="bottom"/>
          </w:tcPr>
          <w:p>
            <w:pPr>
              <w:spacing w:after="0"/>
              <w:rPr>
                <w:sz w:val="18"/>
                <w:szCs w:val="18"/>
                <w:color w:val="auto"/>
              </w:rPr>
            </w:pP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145,861</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887,500</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394,454</w:t>
            </w:r>
          </w:p>
        </w:tc>
        <w:tc>
          <w:tcPr>
            <w:tcW w:w="80" w:type="dxa"/>
            <w:vAlign w:val="bottom"/>
          </w:tcPr>
          <w:p>
            <w:pPr>
              <w:spacing w:after="0"/>
              <w:rPr>
                <w:sz w:val="18"/>
                <w:szCs w:val="18"/>
                <w:color w:val="auto"/>
              </w:rPr>
            </w:pPr>
          </w:p>
        </w:tc>
      </w:tr>
      <w:tr>
        <w:trPr>
          <w:trHeight w:val="230"/>
        </w:trPr>
        <w:tc>
          <w:tcPr>
            <w:tcW w:w="49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Subservicing</w:t>
            </w:r>
          </w:p>
        </w:tc>
        <w:tc>
          <w:tcPr>
            <w:tcW w:w="94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35,286</w:t>
            </w:r>
          </w:p>
        </w:tc>
        <w:tc>
          <w:tcPr>
            <w:tcW w:w="24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14,257</w:t>
            </w:r>
          </w:p>
        </w:tc>
        <w:tc>
          <w:tcPr>
            <w:tcW w:w="2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115,437</w:t>
            </w:r>
          </w:p>
        </w:tc>
        <w:tc>
          <w:tcPr>
            <w:tcW w:w="2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7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27,619</w:t>
            </w:r>
          </w:p>
        </w:tc>
        <w:tc>
          <w:tcPr>
            <w:tcW w:w="80" w:type="dxa"/>
            <w:vAlign w:val="bottom"/>
            <w:shd w:val="clear" w:color="auto" w:fill="CCEECC"/>
          </w:tcPr>
          <w:p>
            <w:pPr>
              <w:spacing w:after="0"/>
              <w:rPr>
                <w:sz w:val="19"/>
                <w:szCs w:val="19"/>
                <w:color w:val="auto"/>
              </w:rPr>
            </w:pPr>
          </w:p>
        </w:tc>
      </w:tr>
      <w:tr>
        <w:trPr>
          <w:trHeight w:val="210"/>
        </w:trPr>
        <w:tc>
          <w:tcPr>
            <w:tcW w:w="4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371,170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1,002,937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422,073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shd w:val="clear" w:color="auto" w:fill="CCEECC"/>
          </w:tcPr>
          <w:p>
            <w:pPr>
              <w:spacing w:after="0"/>
              <w:rPr>
                <w:sz w:val="20"/>
                <w:szCs w:val="20"/>
                <w:color w:val="auto"/>
              </w:rPr>
            </w:pPr>
            <w:r>
              <w:rPr>
                <w:rFonts w:ascii="Arial" w:cs="Arial" w:eastAsia="Arial" w:hAnsi="Arial"/>
                <w:sz w:val="18"/>
                <w:szCs w:val="18"/>
                <w:color w:val="auto"/>
              </w:rPr>
              <w:t>Home Affordable Modification Program (HAMP) fees</w:t>
            </w:r>
          </w:p>
        </w:tc>
        <w:tc>
          <w:tcPr>
            <w:tcW w:w="9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40,213</w:t>
            </w: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21,687</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118,412</w:t>
            </w: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55,761</w:t>
            </w:r>
          </w:p>
        </w:tc>
        <w:tc>
          <w:tcPr>
            <w:tcW w:w="80" w:type="dxa"/>
            <w:vAlign w:val="bottom"/>
            <w:shd w:val="clear" w:color="auto" w:fill="CCEEC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Late charges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30,445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16,370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85,930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52,891</w:t>
            </w:r>
          </w:p>
        </w:tc>
        <w:tc>
          <w:tcPr>
            <w:tcW w:w="80" w:type="dxa"/>
            <w:vAlign w:val="bottom"/>
          </w:tcPr>
          <w:p>
            <w:pPr>
              <w:spacing w:after="0"/>
              <w:rPr>
                <w:sz w:val="18"/>
                <w:szCs w:val="18"/>
                <w:color w:val="auto"/>
              </w:rPr>
            </w:pPr>
          </w:p>
        </w:tc>
      </w:tr>
      <w:tr>
        <w:trPr>
          <w:trHeight w:val="216"/>
        </w:trPr>
        <w:tc>
          <w:tcPr>
            <w:tcW w:w="4900" w:type="dxa"/>
            <w:vAlign w:val="bottom"/>
            <w:shd w:val="clear" w:color="auto" w:fill="CCEECC"/>
          </w:tcPr>
          <w:p>
            <w:pPr>
              <w:spacing w:after="0"/>
              <w:rPr>
                <w:sz w:val="20"/>
                <w:szCs w:val="20"/>
                <w:color w:val="auto"/>
              </w:rPr>
            </w:pPr>
            <w:r>
              <w:rPr>
                <w:rFonts w:ascii="Arial" w:cs="Arial" w:eastAsia="Arial" w:hAnsi="Arial"/>
                <w:sz w:val="18"/>
                <w:szCs w:val="18"/>
                <w:color w:val="auto"/>
              </w:rPr>
              <w:t>Loan collection fees</w:t>
            </w:r>
          </w:p>
        </w:tc>
        <w:tc>
          <w:tcPr>
            <w:tcW w:w="9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8,387</w:t>
            </w:r>
          </w:p>
        </w:tc>
        <w:tc>
          <w:tcPr>
            <w:tcW w:w="2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4,102</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22,524</w:t>
            </w: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11,271</w:t>
            </w:r>
          </w:p>
        </w:tc>
        <w:tc>
          <w:tcPr>
            <w:tcW w:w="80" w:type="dxa"/>
            <w:vAlign w:val="bottom"/>
            <w:shd w:val="clear" w:color="auto" w:fill="CCEEC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Custodial accounts (float earnings)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743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4,533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2,393</w:t>
            </w:r>
          </w:p>
        </w:tc>
        <w:tc>
          <w:tcPr>
            <w:tcW w:w="80" w:type="dxa"/>
            <w:vAlign w:val="bottom"/>
          </w:tcPr>
          <w:p>
            <w:pPr>
              <w:spacing w:after="0"/>
              <w:rPr>
                <w:sz w:val="18"/>
                <w:szCs w:val="18"/>
                <w:color w:val="auto"/>
              </w:rPr>
            </w:pPr>
          </w:p>
        </w:tc>
      </w:tr>
      <w:tr>
        <w:trPr>
          <w:trHeight w:val="230"/>
        </w:trPr>
        <w:tc>
          <w:tcPr>
            <w:tcW w:w="490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32,309</w:t>
            </w:r>
          </w:p>
        </w:tc>
        <w:tc>
          <w:tcPr>
            <w:tcW w:w="24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19,792</w:t>
            </w:r>
          </w:p>
        </w:tc>
        <w:tc>
          <w:tcPr>
            <w:tcW w:w="2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99,056</w:t>
            </w:r>
          </w:p>
        </w:tc>
        <w:tc>
          <w:tcPr>
            <w:tcW w:w="2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7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34,046</w:t>
            </w:r>
          </w:p>
        </w:tc>
        <w:tc>
          <w:tcPr>
            <w:tcW w:w="80" w:type="dxa"/>
            <w:vAlign w:val="bottom"/>
            <w:shd w:val="clear" w:color="auto" w:fill="CCEECC"/>
          </w:tcPr>
          <w:p>
            <w:pPr>
              <w:spacing w:after="0"/>
              <w:rPr>
                <w:sz w:val="19"/>
                <w:szCs w:val="19"/>
                <w:color w:val="auto"/>
              </w:rPr>
            </w:pPr>
          </w:p>
        </w:tc>
      </w:tr>
      <w:tr>
        <w:trPr>
          <w:trHeight w:val="223"/>
        </w:trPr>
        <w:tc>
          <w:tcPr>
            <w:tcW w:w="4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483,267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1,333,392</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578,435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8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presents the composition of our servicing and subservicing portfolios by type of asset serviced as measured by UPB. The servicing portfolio represents loans for which we own the MSRs while subservicing represents all other loans.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9"/>
              </w:rPr>
              <w:t>Residential</w:t>
            </w: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Commercial</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UPB at September 30, 2013</w:t>
            </w:r>
          </w:p>
        </w:tc>
        <w:tc>
          <w:tcPr>
            <w:tcW w:w="26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spacing w:after="0"/>
              <w:rPr>
                <w:sz w:val="18"/>
                <w:szCs w:val="18"/>
                <w:color w:val="auto"/>
              </w:rPr>
            </w:pPr>
          </w:p>
        </w:tc>
        <w:tc>
          <w:tcPr>
            <w:tcW w:w="44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spacing w:after="0"/>
              <w:rPr>
                <w:sz w:val="18"/>
                <w:szCs w:val="18"/>
                <w:color w:val="auto"/>
              </w:rPr>
            </w:pPr>
          </w:p>
        </w:tc>
        <w:tc>
          <w:tcPr>
            <w:tcW w:w="44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spacing w:after="0"/>
              <w:rPr>
                <w:sz w:val="18"/>
                <w:szCs w:val="18"/>
                <w:color w:val="auto"/>
              </w:rPr>
            </w:pPr>
          </w:p>
        </w:tc>
        <w:tc>
          <w:tcPr>
            <w:tcW w:w="960" w:type="dxa"/>
            <w:vAlign w:val="bottom"/>
            <w:tcBorders>
              <w:top w:val="single" w:sz="8" w:color="auto"/>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Servicing (1)</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362,792,312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362,792,312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Subservicing</w:t>
            </w:r>
          </w:p>
        </w:tc>
        <w:tc>
          <w:tcPr>
            <w:tcW w:w="26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4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72,027,114</w:t>
            </w:r>
          </w:p>
        </w:tc>
        <w:tc>
          <w:tcPr>
            <w:tcW w:w="260" w:type="dxa"/>
            <w:vAlign w:val="bottom"/>
            <w:shd w:val="clear" w:color="auto" w:fill="CCEECC"/>
          </w:tcPr>
          <w:p>
            <w:pPr>
              <w:spacing w:after="0"/>
              <w:rPr>
                <w:sz w:val="19"/>
                <w:szCs w:val="19"/>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495,312</w:t>
            </w:r>
          </w:p>
        </w:tc>
        <w:tc>
          <w:tcPr>
            <w:tcW w:w="44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9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72,522,426</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434,819,426</w:t>
            </w: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495,312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435,314,738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CC"/>
          </w:tcPr>
          <w:p>
            <w:pPr>
              <w:spacing w:after="0"/>
              <w:rPr>
                <w:sz w:val="20"/>
                <w:szCs w:val="20"/>
                <w:color w:val="auto"/>
              </w:rPr>
            </w:pPr>
            <w:r>
              <w:rPr>
                <w:rFonts w:ascii="Arial" w:cs="Arial" w:eastAsia="Arial" w:hAnsi="Arial"/>
                <w:sz w:val="18"/>
                <w:szCs w:val="18"/>
                <w:color w:val="auto"/>
              </w:rPr>
              <w:t>UPB at December 31, 2012</w:t>
            </w:r>
          </w:p>
        </w:tc>
        <w:tc>
          <w:tcPr>
            <w:tcW w:w="26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Servicing (1)</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175,762,161</w:t>
            </w:r>
          </w:p>
        </w:tc>
        <w:tc>
          <w:tcPr>
            <w:tcW w:w="4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175,762,161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Subservicing</w:t>
            </w:r>
          </w:p>
        </w:tc>
        <w:tc>
          <w:tcPr>
            <w:tcW w:w="26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44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27,903,555</w:t>
            </w:r>
          </w:p>
        </w:tc>
        <w:tc>
          <w:tcPr>
            <w:tcW w:w="260" w:type="dxa"/>
            <w:vAlign w:val="bottom"/>
            <w:shd w:val="clear" w:color="auto" w:fill="CCEECC"/>
          </w:tcPr>
          <w:p>
            <w:pPr>
              <w:spacing w:after="0"/>
              <w:rPr>
                <w:sz w:val="19"/>
                <w:szCs w:val="19"/>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401,031</w:t>
            </w:r>
          </w:p>
        </w:tc>
        <w:tc>
          <w:tcPr>
            <w:tcW w:w="44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9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28,304,586</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203,665,716</w:t>
            </w: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401,031</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204,066,747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8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UPB of $177.1 billion and $79.4 billion at September 30, 2013 and December 31, 2012, respectively, for which the Rights to MSRs have been sold to HLSS.</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Residential assets serviced consist principally of residential mortgage loans, but also include foreclosed real estate. Residential assets serviced also include small-balance commercial assets with a UPB of $2.5 billion and $2.1 billion at September 30, 2013 and December 31, 2012, respectively, that are managed using the REALServicing™ application. Commercial assets consist of large-balance foreclosed real estate. The UPB of assets serviced for others are not included on our unaudited Consolidated Balance Sheets.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ind w:right="720" w:firstLine="324"/>
        <w:spacing w:after="0" w:line="264" w:lineRule="auto"/>
        <w:rPr>
          <w:sz w:val="20"/>
          <w:szCs w:val="20"/>
          <w:color w:val="auto"/>
        </w:rPr>
      </w:pPr>
      <w:r>
        <w:rPr>
          <w:rFonts w:ascii="Arial" w:cs="Arial" w:eastAsia="Arial" w:hAnsi="Arial"/>
          <w:sz w:val="18"/>
          <w:szCs w:val="18"/>
          <w:color w:val="auto"/>
        </w:rPr>
        <w:t>Custodial accounts, which hold funds representing collections of principal and interest that we receive from borrowers, are held in escrow by an unaffiliated bank and are excluded from our unaudited Consolidated Balance Sheets. Custodial accounts amounted to $3.5 billion and $1.3 billion at September 30, 2013 and December 31, 2012,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NOTE 10</w:t>
            </w:r>
          </w:p>
        </w:tc>
        <w:tc>
          <w:tcPr>
            <w:tcW w:w="6520" w:type="dxa"/>
            <w:vAlign w:val="bottom"/>
            <w:gridSpan w:val="4"/>
          </w:tcPr>
          <w:p>
            <w:pPr>
              <w:jc w:val="right"/>
              <w:ind w:right="5070"/>
              <w:spacing w:after="0"/>
              <w:rPr>
                <w:sz w:val="20"/>
                <w:szCs w:val="20"/>
                <w:color w:val="auto"/>
              </w:rPr>
            </w:pPr>
            <w:r>
              <w:rPr>
                <w:rFonts w:ascii="Arial" w:cs="Arial" w:eastAsia="Arial" w:hAnsi="Arial"/>
                <w:sz w:val="18"/>
                <w:szCs w:val="18"/>
                <w:b w:val="1"/>
                <w:bCs w:val="1"/>
                <w:color w:val="auto"/>
              </w:rPr>
              <w:t>RECEIVABLES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560" w:type="dxa"/>
            <w:vAlign w:val="bottom"/>
            <w:gridSpan w:val="5"/>
          </w:tcPr>
          <w:p>
            <w:pPr>
              <w:jc w:val="right"/>
              <w:ind w:right="2750"/>
              <w:spacing w:after="0"/>
              <w:rPr>
                <w:sz w:val="20"/>
                <w:szCs w:val="20"/>
                <w:color w:val="auto"/>
              </w:rPr>
            </w:pPr>
            <w:r>
              <w:rPr>
                <w:rFonts w:ascii="Arial" w:cs="Arial" w:eastAsia="Arial" w:hAnsi="Arial"/>
                <w:sz w:val="18"/>
                <w:szCs w:val="18"/>
                <w:color w:val="auto"/>
                <w:w w:val="96"/>
              </w:rPr>
              <w:t>Receivables consisted of the following at the dates indicated: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4"/>
          </w:tcPr>
          <w:p>
            <w:pPr>
              <w:ind w:left="220"/>
              <w:spacing w:after="0"/>
              <w:rPr>
                <w:sz w:val="20"/>
                <w:szCs w:val="20"/>
                <w:color w:val="auto"/>
              </w:rPr>
            </w:pPr>
            <w:r>
              <w:rPr>
                <w:rFonts w:ascii="Arial" w:cs="Arial" w:eastAsia="Arial" w:hAnsi="Arial"/>
                <w:sz w:val="18"/>
                <w:szCs w:val="18"/>
                <w:b w:val="1"/>
                <w:bCs w:val="1"/>
                <w:color w:val="auto"/>
              </w:rPr>
              <w:t>Allowance for</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Receivables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3"/>
              </w:rPr>
              <w:t>Losses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ind w:left="1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tcBorders>
              <w:top w:val="single" w:sz="8" w:color="CCEECC"/>
              <w:bottom w:val="single" w:sz="8" w:color="auto"/>
            </w:tcBorders>
            <w:gridSpan w:val="3"/>
            <w:shd w:val="clear" w:color="auto" w:fill="CCEECC"/>
          </w:tcPr>
          <w:p>
            <w:pPr>
              <w:spacing w:after="0" w:line="170" w:lineRule="exact"/>
              <w:rPr>
                <w:sz w:val="20"/>
                <w:szCs w:val="20"/>
                <w:color w:val="auto"/>
              </w:rPr>
            </w:pPr>
            <w:r>
              <w:rPr>
                <w:rFonts w:ascii="Arial" w:cs="Arial" w:eastAsia="Arial" w:hAnsi="Arial"/>
                <w:sz w:val="18"/>
                <w:szCs w:val="18"/>
                <w:b w:val="1"/>
                <w:bCs w:val="1"/>
                <w:color w:val="auto"/>
                <w:w w:val="88"/>
              </w:rPr>
              <w:t>September 30, 2013</w:t>
            </w:r>
          </w:p>
        </w:tc>
        <w:tc>
          <w:tcPr>
            <w:tcW w:w="5800" w:type="dxa"/>
            <w:vAlign w:val="bottom"/>
            <w:tcBorders>
              <w:top w:val="single" w:sz="8" w:color="CCEECC"/>
              <w:bottom w:val="single" w:sz="8" w:color="CCEECC"/>
            </w:tcBorders>
            <w:shd w:val="clear" w:color="auto" w:fill="CCEECC"/>
          </w:tcPr>
          <w:p>
            <w:pPr>
              <w:spacing w:after="0"/>
              <w:rPr>
                <w:sz w:val="16"/>
                <w:szCs w:val="16"/>
                <w:color w:val="auto"/>
              </w:rPr>
            </w:pPr>
          </w:p>
        </w:tc>
        <w:tc>
          <w:tcPr>
            <w:tcW w:w="260" w:type="dxa"/>
            <w:vAlign w:val="bottom"/>
            <w:tcBorders>
              <w:top w:val="single" w:sz="8" w:color="auto"/>
              <w:bottom w:val="single" w:sz="8" w:color="CCEECC"/>
            </w:tcBorders>
            <w:shd w:val="clear" w:color="auto" w:fill="CCEECC"/>
          </w:tcPr>
          <w:p>
            <w:pPr>
              <w:spacing w:after="0"/>
              <w:rPr>
                <w:sz w:val="16"/>
                <w:szCs w:val="16"/>
                <w:color w:val="auto"/>
              </w:rPr>
            </w:pPr>
          </w:p>
        </w:tc>
        <w:tc>
          <w:tcPr>
            <w:tcW w:w="760" w:type="dxa"/>
            <w:vAlign w:val="bottom"/>
            <w:tcBorders>
              <w:top w:val="single" w:sz="8" w:color="auto"/>
              <w:bottom w:val="single" w:sz="8" w:color="CCEECC"/>
            </w:tcBorders>
            <w:shd w:val="clear" w:color="auto" w:fill="CCEECC"/>
          </w:tcPr>
          <w:p>
            <w:pPr>
              <w:spacing w:after="0"/>
              <w:rPr>
                <w:sz w:val="16"/>
                <w:szCs w:val="16"/>
                <w:color w:val="auto"/>
              </w:rPr>
            </w:pPr>
          </w:p>
        </w:tc>
        <w:tc>
          <w:tcPr>
            <w:tcW w:w="220" w:type="dxa"/>
            <w:vAlign w:val="bottom"/>
            <w:tcBorders>
              <w:top w:val="single" w:sz="8" w:color="CCEECC"/>
              <w:bottom w:val="single" w:sz="8" w:color="CCEECC"/>
            </w:tcBorders>
            <w:shd w:val="clear" w:color="auto" w:fill="CCEECC"/>
          </w:tcPr>
          <w:p>
            <w:pPr>
              <w:spacing w:after="0"/>
              <w:rPr>
                <w:sz w:val="16"/>
                <w:szCs w:val="16"/>
                <w:color w:val="auto"/>
              </w:rPr>
            </w:pPr>
          </w:p>
        </w:tc>
        <w:tc>
          <w:tcPr>
            <w:tcW w:w="220" w:type="dxa"/>
            <w:vAlign w:val="bottom"/>
            <w:tcBorders>
              <w:top w:val="single" w:sz="8" w:color="CCEECC"/>
              <w:bottom w:val="single" w:sz="8" w:color="CCEECC"/>
            </w:tcBorders>
            <w:shd w:val="clear" w:color="auto" w:fill="CCEECC"/>
          </w:tcPr>
          <w:p>
            <w:pPr>
              <w:spacing w:after="0"/>
              <w:rPr>
                <w:sz w:val="16"/>
                <w:szCs w:val="16"/>
                <w:color w:val="auto"/>
              </w:rPr>
            </w:pPr>
          </w:p>
        </w:tc>
        <w:tc>
          <w:tcPr>
            <w:tcW w:w="200" w:type="dxa"/>
            <w:vAlign w:val="bottom"/>
            <w:tcBorders>
              <w:top w:val="single" w:sz="8" w:color="auto"/>
              <w:bottom w:val="single" w:sz="8" w:color="CCEECC"/>
            </w:tcBorders>
            <w:shd w:val="clear" w:color="auto" w:fill="CCEECC"/>
          </w:tcPr>
          <w:p>
            <w:pPr>
              <w:spacing w:after="0"/>
              <w:rPr>
                <w:sz w:val="16"/>
                <w:szCs w:val="16"/>
                <w:color w:val="auto"/>
              </w:rPr>
            </w:pPr>
          </w:p>
        </w:tc>
        <w:tc>
          <w:tcPr>
            <w:tcW w:w="880" w:type="dxa"/>
            <w:vAlign w:val="bottom"/>
            <w:tcBorders>
              <w:top w:val="single" w:sz="8" w:color="auto"/>
              <w:bottom w:val="single" w:sz="8" w:color="CCEECC"/>
            </w:tcBorders>
            <w:shd w:val="clear" w:color="auto" w:fill="CCEECC"/>
          </w:tcPr>
          <w:p>
            <w:pPr>
              <w:spacing w:after="0"/>
              <w:rPr>
                <w:sz w:val="16"/>
                <w:szCs w:val="16"/>
                <w:color w:val="auto"/>
              </w:rPr>
            </w:pPr>
          </w:p>
        </w:tc>
        <w:tc>
          <w:tcPr>
            <w:tcW w:w="440" w:type="dxa"/>
            <w:vAlign w:val="bottom"/>
            <w:tcBorders>
              <w:top w:val="single" w:sz="8" w:color="CCEECC"/>
              <w:bottom w:val="single" w:sz="8" w:color="CCEECC"/>
            </w:tcBorders>
            <w:shd w:val="clear" w:color="auto" w:fill="CCEECC"/>
          </w:tcPr>
          <w:p>
            <w:pPr>
              <w:spacing w:after="0"/>
              <w:rPr>
                <w:sz w:val="16"/>
                <w:szCs w:val="16"/>
                <w:color w:val="auto"/>
              </w:rPr>
            </w:pPr>
          </w:p>
        </w:tc>
        <w:tc>
          <w:tcPr>
            <w:tcW w:w="20" w:type="dxa"/>
            <w:vAlign w:val="bottom"/>
            <w:tcBorders>
              <w:top w:val="single" w:sz="8" w:color="CCEECC"/>
              <w:bottom w:val="single" w:sz="8" w:color="CCEECC"/>
            </w:tcBorders>
            <w:shd w:val="clear" w:color="auto" w:fill="CCEECC"/>
          </w:tcPr>
          <w:p>
            <w:pPr>
              <w:spacing w:after="0"/>
              <w:rPr>
                <w:sz w:val="16"/>
                <w:szCs w:val="16"/>
                <w:color w:val="auto"/>
              </w:rPr>
            </w:pPr>
          </w:p>
        </w:tc>
        <w:tc>
          <w:tcPr>
            <w:tcW w:w="200" w:type="dxa"/>
            <w:vAlign w:val="bottom"/>
            <w:tcBorders>
              <w:top w:val="single" w:sz="8" w:color="auto"/>
              <w:bottom w:val="single" w:sz="8" w:color="CCEECC"/>
            </w:tcBorders>
            <w:shd w:val="clear" w:color="auto" w:fill="CCEECC"/>
          </w:tcPr>
          <w:p>
            <w:pPr>
              <w:spacing w:after="0"/>
              <w:rPr>
                <w:sz w:val="16"/>
                <w:szCs w:val="16"/>
                <w:color w:val="auto"/>
              </w:rPr>
            </w:pPr>
          </w:p>
        </w:tc>
        <w:tc>
          <w:tcPr>
            <w:tcW w:w="800" w:type="dxa"/>
            <w:vAlign w:val="bottom"/>
            <w:tcBorders>
              <w:top w:val="single" w:sz="8" w:color="auto"/>
              <w:bottom w:val="single" w:sz="8" w:color="CCEECC"/>
            </w:tcBorders>
            <w:shd w:val="clear" w:color="auto" w:fill="CCEECC"/>
          </w:tcPr>
          <w:p>
            <w:pPr>
              <w:spacing w:after="0"/>
              <w:rPr>
                <w:sz w:val="16"/>
                <w:szCs w:val="16"/>
                <w:color w:val="auto"/>
              </w:rPr>
            </w:pPr>
          </w:p>
        </w:tc>
        <w:tc>
          <w:tcPr>
            <w:tcW w:w="20" w:type="dxa"/>
            <w:vAlign w:val="bottom"/>
            <w:tcBorders>
              <w:top w:val="single" w:sz="8" w:color="CCEECC"/>
              <w:bottom w:val="single" w:sz="8" w:color="CCEECC"/>
            </w:tcBorders>
            <w:shd w:val="clear" w:color="auto" w:fill="CCEECC"/>
          </w:tcPr>
          <w:p>
            <w:pPr>
              <w:spacing w:after="0"/>
              <w:rPr>
                <w:sz w:val="16"/>
                <w:szCs w:val="16"/>
                <w:color w:val="auto"/>
              </w:rPr>
            </w:pPr>
          </w:p>
        </w:tc>
        <w:tc>
          <w:tcPr>
            <w:tcW w:w="80" w:type="dxa"/>
            <w:vAlign w:val="bottom"/>
            <w:tcBorders>
              <w:top w:val="single" w:sz="8" w:color="CCEECC"/>
              <w:bottom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Servicing (1)</w:t>
            </w:r>
          </w:p>
        </w:tc>
        <w:tc>
          <w:tcPr>
            <w:tcW w:w="652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155,076</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(19,413)</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135,663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5"/>
            <w:shd w:val="clear" w:color="auto" w:fill="CCEECC"/>
          </w:tcPr>
          <w:p>
            <w:pPr>
              <w:spacing w:after="0"/>
              <w:rPr>
                <w:sz w:val="20"/>
                <w:szCs w:val="20"/>
                <w:color w:val="auto"/>
              </w:rPr>
            </w:pPr>
            <w:r>
              <w:rPr>
                <w:rFonts w:ascii="Arial" w:cs="Arial" w:eastAsia="Arial" w:hAnsi="Arial"/>
                <w:sz w:val="18"/>
                <w:szCs w:val="18"/>
                <w:color w:val="auto"/>
              </w:rPr>
              <w:t>Due from related parties (2)</w:t>
            </w:r>
          </w:p>
        </w:tc>
        <w:tc>
          <w:tcPr>
            <w:tcW w:w="9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35,383</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35,383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5"/>
          </w:tcPr>
          <w:p>
            <w:pPr>
              <w:spacing w:after="0"/>
              <w:rPr>
                <w:sz w:val="20"/>
                <w:szCs w:val="20"/>
                <w:color w:val="auto"/>
              </w:rPr>
            </w:pPr>
            <w:r>
              <w:rPr>
                <w:rFonts w:ascii="Arial" w:cs="Arial" w:eastAsia="Arial" w:hAnsi="Arial"/>
                <w:sz w:val="18"/>
                <w:szCs w:val="18"/>
                <w:color w:val="auto"/>
              </w:rPr>
              <w:t>Income taxes receivable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23,955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23,955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4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580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9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30,372</w:t>
            </w:r>
          </w:p>
        </w:tc>
        <w:tc>
          <w:tcPr>
            <w:tcW w:w="2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(1,969)</w:t>
            </w: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28,403</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244,786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(21,382</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60" w:type="dxa"/>
            <w:vAlign w:val="bottom"/>
            <w:gridSpan w:val="5"/>
            <w:shd w:val="clear" w:color="auto" w:fill="CCEECC"/>
          </w:tcPr>
          <w:p>
            <w:pPr>
              <w:spacing w:after="0" w:line="176" w:lineRule="exact"/>
              <w:rPr>
                <w:sz w:val="20"/>
                <w:szCs w:val="20"/>
                <w:color w:val="auto"/>
              </w:rPr>
            </w:pPr>
            <w:r>
              <w:rPr>
                <w:rFonts w:ascii="Arial" w:cs="Arial" w:eastAsia="Arial" w:hAnsi="Arial"/>
                <w:sz w:val="18"/>
                <w:szCs w:val="18"/>
                <w:b w:val="1"/>
                <w:bCs w:val="1"/>
                <w:color w:val="auto"/>
              </w:rPr>
              <w:t>December 31, 2012</w:t>
            </w:r>
          </w:p>
        </w:tc>
        <w:tc>
          <w:tcPr>
            <w:tcW w:w="7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Servicing (1)</w:t>
            </w:r>
          </w:p>
        </w:tc>
        <w:tc>
          <w:tcPr>
            <w:tcW w:w="400" w:type="dxa"/>
            <w:vAlign w:val="bottom"/>
            <w:tcBorders>
              <w:top w:val="single" w:sz="8" w:color="auto"/>
            </w:tcBorders>
          </w:tcPr>
          <w:p>
            <w:pPr>
              <w:spacing w:after="0"/>
              <w:rPr>
                <w:sz w:val="18"/>
                <w:szCs w:val="18"/>
                <w:color w:val="auto"/>
              </w:rPr>
            </w:pPr>
          </w:p>
        </w:tc>
        <w:tc>
          <w:tcPr>
            <w:tcW w:w="6120" w:type="dxa"/>
            <w:vAlign w:val="bottom"/>
            <w:tcBorders>
              <w:top w:val="single" w:sz="8" w:color="CCEECC"/>
            </w:tcBorders>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CC"/>
            </w:tcBorders>
            <w:gridSpan w:val="2"/>
          </w:tcPr>
          <w:p>
            <w:pPr>
              <w:jc w:val="right"/>
              <w:ind w:right="220"/>
              <w:spacing w:after="0"/>
              <w:rPr>
                <w:sz w:val="20"/>
                <w:szCs w:val="20"/>
                <w:color w:val="auto"/>
              </w:rPr>
            </w:pPr>
            <w:r>
              <w:rPr>
                <w:rFonts w:ascii="Arial" w:cs="Arial" w:eastAsia="Arial" w:hAnsi="Arial"/>
                <w:sz w:val="18"/>
                <w:szCs w:val="18"/>
                <w:color w:val="auto"/>
              </w:rPr>
              <w:t>84,870</w:t>
            </w:r>
          </w:p>
        </w:tc>
        <w:tc>
          <w:tcPr>
            <w:tcW w:w="420" w:type="dxa"/>
            <w:vAlign w:val="bottom"/>
            <w:tcBorders>
              <w:top w:val="single" w:sz="8" w:color="CCEECC"/>
            </w:tcBorders>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CC"/>
            </w:tcBorders>
            <w:gridSpan w:val="2"/>
          </w:tcPr>
          <w:p>
            <w:pPr>
              <w:jc w:val="right"/>
              <w:ind w:right="300"/>
              <w:spacing w:after="0"/>
              <w:rPr>
                <w:sz w:val="20"/>
                <w:szCs w:val="20"/>
                <w:color w:val="auto"/>
              </w:rPr>
            </w:pPr>
            <w:r>
              <w:rPr>
                <w:rFonts w:ascii="Arial" w:cs="Arial" w:eastAsia="Arial" w:hAnsi="Arial"/>
                <w:sz w:val="18"/>
                <w:szCs w:val="18"/>
                <w:color w:val="auto"/>
              </w:rPr>
              <w:t>(1,647)</w:t>
            </w:r>
          </w:p>
        </w:tc>
        <w:tc>
          <w:tcPr>
            <w:tcW w:w="220" w:type="dxa"/>
            <w:vAlign w:val="bottom"/>
            <w:tcBorders>
              <w:top w:val="single" w:sz="8" w:color="CCEECC"/>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CC"/>
            </w:tcBorders>
            <w:gridSpan w:val="2"/>
          </w:tcPr>
          <w:p>
            <w:pPr>
              <w:jc w:val="right"/>
              <w:ind w:right="20"/>
              <w:spacing w:after="0"/>
              <w:rPr>
                <w:sz w:val="20"/>
                <w:szCs w:val="20"/>
                <w:color w:val="auto"/>
              </w:rPr>
            </w:pPr>
            <w:r>
              <w:rPr>
                <w:rFonts w:ascii="Arial" w:cs="Arial" w:eastAsia="Arial" w:hAnsi="Arial"/>
                <w:sz w:val="18"/>
                <w:szCs w:val="18"/>
                <w:color w:val="auto"/>
              </w:rPr>
              <w:t>83,223</w:t>
            </w:r>
          </w:p>
        </w:tc>
        <w:tc>
          <w:tcPr>
            <w:tcW w:w="80" w:type="dxa"/>
            <w:vAlign w:val="bottom"/>
            <w:tcBorders>
              <w:top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5"/>
            <w:shd w:val="clear" w:color="auto" w:fill="CCEECC"/>
          </w:tcPr>
          <w:p>
            <w:pPr>
              <w:spacing w:after="0"/>
              <w:rPr>
                <w:sz w:val="20"/>
                <w:szCs w:val="20"/>
                <w:color w:val="auto"/>
              </w:rPr>
            </w:pPr>
            <w:r>
              <w:rPr>
                <w:rFonts w:ascii="Arial" w:cs="Arial" w:eastAsia="Arial" w:hAnsi="Arial"/>
                <w:sz w:val="18"/>
                <w:szCs w:val="18"/>
                <w:color w:val="auto"/>
              </w:rPr>
              <w:t>Income taxes receivable</w:t>
            </w:r>
          </w:p>
        </w:tc>
        <w:tc>
          <w:tcPr>
            <w:tcW w:w="9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25,546</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25,546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5"/>
          </w:tcPr>
          <w:p>
            <w:pPr>
              <w:spacing w:after="0"/>
              <w:rPr>
                <w:sz w:val="20"/>
                <w:szCs w:val="20"/>
                <w:color w:val="auto"/>
              </w:rPr>
            </w:pPr>
            <w:r>
              <w:rPr>
                <w:rFonts w:ascii="Arial" w:cs="Arial" w:eastAsia="Arial" w:hAnsi="Arial"/>
                <w:sz w:val="18"/>
                <w:szCs w:val="18"/>
                <w:color w:val="auto"/>
              </w:rPr>
              <w:t>Due from related parties (2)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12,361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4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580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9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18,577</w:t>
            </w:r>
          </w:p>
        </w:tc>
        <w:tc>
          <w:tcPr>
            <w:tcW w:w="2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(1,994)</w:t>
            </w: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16,583</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340" w:right="180" w:hanging="332"/>
        <w:spacing w:after="0" w:line="286"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receivable balances arise from our Servicing business and include reimbursable expenditures due from investors and amounts to be recovered from the custodial accounts of the trustees. The balances at September 30, 2013 also include $67.4 million of receivables and $16.2 million of allowance for losses related to defaulted FHA or VA insured loans repurchased from Ginnie Mae guaranteed securitizations.</w:t>
      </w:r>
    </w:p>
    <w:p>
      <w:pPr>
        <w:spacing w:after="0" w:line="138" w:lineRule="exact"/>
        <w:rPr>
          <w:rFonts w:ascii="Arial" w:cs="Arial" w:eastAsia="Arial" w:hAnsi="Arial"/>
          <w:sz w:val="17"/>
          <w:szCs w:val="17"/>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See </w:t>
      </w:r>
      <w:hyperlink w:anchor="page42">
        <w:r>
          <w:rPr>
            <w:rFonts w:ascii="Arial" w:cs="Arial" w:eastAsia="Arial" w:hAnsi="Arial"/>
            <w:sz w:val="18"/>
            <w:szCs w:val="18"/>
            <w:u w:val="single" w:color="auto"/>
            <w:color w:val="0000EE"/>
          </w:rPr>
          <w:t>Note 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Related Party Transactions for additional information regarding transactions with Altisource and HLSS.</w:t>
      </w:r>
    </w:p>
    <w:p>
      <w:pPr>
        <w:spacing w:after="0" w:line="18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activity in the carrying value of goodwill during the nine months ended September 30, 2013:</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2012</w:t>
      </w:r>
    </w:p>
    <w:p>
      <w:pPr>
        <w:spacing w:after="0" w:line="23" w:lineRule="exact"/>
        <w:rPr>
          <w:sz w:val="20"/>
          <w:szCs w:val="20"/>
          <w:color w:val="auto"/>
        </w:rPr>
      </w:pPr>
    </w:p>
    <w:p>
      <w:pPr>
        <w:ind w:left="320" w:hanging="155"/>
        <w:spacing w:after="0" w:line="250" w:lineRule="auto"/>
        <w:rPr>
          <w:sz w:val="20"/>
          <w:szCs w:val="20"/>
          <w:color w:val="auto"/>
        </w:rPr>
      </w:pPr>
      <w:r>
        <w:rPr>
          <w:rFonts w:ascii="Arial" w:cs="Arial" w:eastAsia="Arial" w:hAnsi="Arial"/>
          <w:sz w:val="18"/>
          <w:szCs w:val="18"/>
          <w:color w:val="auto"/>
        </w:rPr>
        <w:t>Derecognition of goodwill in connection with the sale of a business (1) (2)</w:t>
      </w:r>
    </w:p>
    <w:p>
      <w:pPr>
        <w:spacing w:after="0" w:line="1" w:lineRule="exact"/>
        <w:rPr>
          <w:sz w:val="20"/>
          <w:szCs w:val="20"/>
          <w:color w:val="auto"/>
        </w:rPr>
      </w:pPr>
    </w:p>
    <w:p>
      <w:pPr>
        <w:ind w:right="1460" w:firstLine="156"/>
        <w:spacing w:after="0" w:line="334" w:lineRule="auto"/>
        <w:rPr>
          <w:sz w:val="20"/>
          <w:szCs w:val="20"/>
          <w:color w:val="auto"/>
        </w:rPr>
      </w:pPr>
      <w:r>
        <w:rPr>
          <w:rFonts w:ascii="Arial" w:cs="Arial" w:eastAsia="Arial" w:hAnsi="Arial"/>
          <w:sz w:val="16"/>
          <w:szCs w:val="16"/>
          <w:color w:val="auto"/>
        </w:rPr>
        <w:t>ResCap Acquisition (2) Balance at September 30, 2013</w:t>
      </w:r>
    </w:p>
    <w:p>
      <w:pPr>
        <w:ind w:left="160"/>
        <w:spacing w:after="0"/>
        <w:rPr>
          <w:sz w:val="20"/>
          <w:szCs w:val="20"/>
          <w:color w:val="auto"/>
        </w:rPr>
      </w:pPr>
      <w:r>
        <w:rPr>
          <w:rFonts w:ascii="Arial" w:cs="Arial" w:eastAsia="Arial" w:hAnsi="Arial"/>
          <w:sz w:val="18"/>
          <w:szCs w:val="18"/>
          <w:color w:val="auto"/>
        </w:rPr>
        <w:t>Liberty Acquisition (2) (3)</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Correspondent One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September 30, 2013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95"/>
              </w:rPr>
              <w:t>ResCap</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Homeward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Litton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5"/>
              </w:rPr>
              <w:t>HomEq</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w w:val="95"/>
              </w:rPr>
              <w:t>Acquisition</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5"/>
              </w:rPr>
              <w:t>Acquisition</w:t>
            </w:r>
          </w:p>
        </w:tc>
        <w:tc>
          <w:tcPr>
            <w:tcW w:w="20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Acquisition</w:t>
            </w:r>
          </w:p>
        </w:tc>
        <w:tc>
          <w:tcPr>
            <w:tcW w:w="220" w:type="dxa"/>
            <w:vAlign w:val="bottom"/>
          </w:tcPr>
          <w:p>
            <w:pPr>
              <w:spacing w:after="0"/>
              <w:rPr>
                <w:sz w:val="20"/>
                <w:szCs w:val="20"/>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Acquisition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342,626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412,866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14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(128,750)</w:t>
            </w: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(81,607)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(210,357)</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201,810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201,810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73,060</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261,019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57,430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12,810</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404,319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3,200</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407,620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-1217295</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-796925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-479425</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-179705</wp:posOffset>
            </wp:positionV>
            <wp:extent cx="72466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720" w:space="640"/>
            <w:col w:w="7060"/>
          </w:cols>
          <w:pgMar w:left="240" w:top="665" w:right="239" w:bottom="1440" w:gutter="0" w:footer="0" w:header="0"/>
          <w:type w:val="continuous"/>
        </w:sectPr>
      </w:pPr>
    </w:p>
    <w:p>
      <w:pPr>
        <w:ind w:left="340" w:right="10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March 29, 2013, we sold the diversified fee-based business acquired in the Homeward Acquisition to Altisource and derecognized the assigned goodwill. On April 12, 2013, we sold the diversified fee-based business acquired in the ResCap Acquisition to Altisource and derecognized the assigned goodwill.</w:t>
      </w:r>
    </w:p>
    <w:p>
      <w:pPr>
        <w:spacing w:after="0" w:line="14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See </w:t>
      </w:r>
      <w:hyperlink w:anchor="page16">
        <w:r>
          <w:rPr>
            <w:rFonts w:ascii="Arial" w:cs="Arial" w:eastAsia="Arial" w:hAnsi="Arial"/>
            <w:sz w:val="18"/>
            <w:szCs w:val="18"/>
            <w:u w:val="single" w:color="auto"/>
            <w:color w:val="0000EE"/>
          </w:rPr>
          <w:t>Note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Business Acquisitions for additional information regarding this transaction.</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Acquired intangible asset related to licenses. The useful life is considered indefinite and therefore the intangible asset is not amortized.</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the ResCap Acquisition, the $73.1 million of remaining goodwill is assigned to the Servicing segment. For the Homeward Acquisition, $140.7 million of the remaining goodwill is assigned to the Servicing segment and $120.3 million is assigned to the Lending segment. The assignment of goodwill in the ResCap, Homeward and Liberty Acquisitions is preliminary pending the final purchase price allocation. For the Litton and HomEq Acquisitions, the entire balance of goodwill pertains to the Servicing segment.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29" w:name="page30"/>
    <w:bookmarkEnd w:id="29"/>
    <w:p>
      <w:pPr>
        <w:ind w:right="60" w:firstLine="324"/>
        <w:spacing w:after="0" w:line="277" w:lineRule="auto"/>
        <w:rPr>
          <w:sz w:val="20"/>
          <w:szCs w:val="20"/>
          <w:color w:val="auto"/>
        </w:rPr>
      </w:pPr>
      <w:r>
        <w:rPr>
          <w:rFonts w:ascii="Arial" w:cs="Arial" w:eastAsia="Arial" w:hAnsi="Arial"/>
          <w:sz w:val="18"/>
          <w:szCs w:val="18"/>
          <w:color w:val="auto"/>
        </w:rPr>
        <w:t>We perform an annual impairment test of goodwill as of August 31 of each year. Based on our 2013 annual assessment, we determined that goodwill was not impaired.</w:t>
      </w:r>
    </w:p>
    <w:p>
      <w:pPr>
        <w:spacing w:after="0" w:line="12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DEBT SERVICE ACCOUNTS</w:t>
      </w:r>
    </w:p>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and certain of our warehouse lines to provide for possible shortfalls in the funds available to pay certain expenses and interest. These funds are held in interest earning accounts in the name of the SPE created in connection with the match funded financing facility. The balance of such debt service accounts at September 30, 2013 and December 31, 2012 was $45.5 million and $88.7 million, respectively.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NOTE 13</w:t>
            </w:r>
          </w:p>
        </w:tc>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Other assets consisted of the following at the dates indicated:</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11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320" w:type="dxa"/>
            <w:vAlign w:val="bottom"/>
            <w:gridSpan w:val="4"/>
          </w:tcPr>
          <w:p>
            <w:pPr>
              <w:ind w:left="200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gridSpan w:val="4"/>
          </w:tcPr>
          <w:p>
            <w:pPr>
              <w:ind w:left="22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1120" w:type="dxa"/>
            <w:vAlign w:val="bottom"/>
            <w:tcBorders>
              <w:bottom w:val="single" w:sz="8" w:color="CCEECC"/>
            </w:tcBorders>
          </w:tcPr>
          <w:p>
            <w:pPr>
              <w:spacing w:after="0"/>
              <w:rPr>
                <w:sz w:val="20"/>
                <w:szCs w:val="20"/>
                <w:color w:val="auto"/>
              </w:rPr>
            </w:pPr>
          </w:p>
        </w:tc>
        <w:tc>
          <w:tcPr>
            <w:tcW w:w="5620" w:type="dxa"/>
            <w:vAlign w:val="bottom"/>
            <w:tcBorders>
              <w:bottom w:val="single" w:sz="8" w:color="CCEECC"/>
            </w:tcBorders>
          </w:tcPr>
          <w:p>
            <w:pPr>
              <w:spacing w:after="0"/>
              <w:rPr>
                <w:sz w:val="20"/>
                <w:szCs w:val="20"/>
                <w:color w:val="auto"/>
              </w:rPr>
            </w:pPr>
          </w:p>
        </w:tc>
        <w:tc>
          <w:tcPr>
            <w:tcW w:w="200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r>
      <w:tr>
        <w:trPr>
          <w:trHeight w:val="210"/>
        </w:trPr>
        <w:tc>
          <w:tcPr>
            <w:tcW w:w="67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Loans – restricted for securitization investors, at fair value (1)</w:t>
            </w:r>
          </w:p>
        </w:tc>
        <w:tc>
          <w:tcPr>
            <w:tcW w:w="20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290,853</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Loans held for sale, at lower of cost or fair value (2)</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86,753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82,866</w:t>
            </w:r>
          </w:p>
        </w:tc>
      </w:tr>
      <w:tr>
        <w:trPr>
          <w:trHeight w:val="216"/>
        </w:trPr>
        <w:tc>
          <w:tcPr>
            <w:tcW w:w="67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Prepaid lender fees and debt issuance costs, net (3)</w:t>
            </w:r>
          </w:p>
        </w:tc>
        <w:tc>
          <w:tcPr>
            <w:tcW w:w="20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25,197</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14,389</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Prepaid income taxes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23,112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23,112</w:t>
            </w:r>
          </w:p>
        </w:tc>
      </w:tr>
      <w:tr>
        <w:trPr>
          <w:trHeight w:val="216"/>
        </w:trPr>
        <w:tc>
          <w:tcPr>
            <w:tcW w:w="67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Derivatives, at fair value (4)</w:t>
            </w:r>
          </w:p>
        </w:tc>
        <w:tc>
          <w:tcPr>
            <w:tcW w:w="20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12,849</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10,795</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Investment in unconsolidated entities (5)</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11,767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25,187</w:t>
            </w:r>
          </w:p>
        </w:tc>
      </w:tr>
      <w:tr>
        <w:trPr>
          <w:trHeight w:val="216"/>
        </w:trPr>
        <w:tc>
          <w:tcPr>
            <w:tcW w:w="1120" w:type="dxa"/>
            <w:vAlign w:val="bottom"/>
            <w:shd w:val="clear" w:color="auto" w:fill="CCEECC"/>
          </w:tcPr>
          <w:p>
            <w:pPr>
              <w:spacing w:after="0"/>
              <w:rPr>
                <w:sz w:val="20"/>
                <w:szCs w:val="20"/>
                <w:color w:val="auto"/>
              </w:rPr>
            </w:pPr>
            <w:r>
              <w:rPr>
                <w:rFonts w:ascii="Arial" w:cs="Arial" w:eastAsia="Arial" w:hAnsi="Arial"/>
                <w:sz w:val="18"/>
                <w:szCs w:val="18"/>
                <w:color w:val="auto"/>
                <w:w w:val="87"/>
              </w:rPr>
              <w:t>Real estate, net</w:t>
            </w:r>
          </w:p>
        </w:tc>
        <w:tc>
          <w:tcPr>
            <w:tcW w:w="5620" w:type="dxa"/>
            <w:vAlign w:val="bottom"/>
            <w:shd w:val="clear" w:color="auto" w:fill="CCEECC"/>
          </w:tcPr>
          <w:p>
            <w:pPr>
              <w:spacing w:after="0"/>
              <w:rPr>
                <w:sz w:val="18"/>
                <w:szCs w:val="18"/>
                <w:color w:val="auto"/>
              </w:rPr>
            </w:pPr>
          </w:p>
        </w:tc>
        <w:tc>
          <w:tcPr>
            <w:tcW w:w="20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8,346</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6,205</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Interest earning collateral deposits (6)</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6,533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31,710</w:t>
            </w:r>
          </w:p>
        </w:tc>
      </w:tr>
      <w:tr>
        <w:trPr>
          <w:trHeight w:val="216"/>
        </w:trPr>
        <w:tc>
          <w:tcPr>
            <w:tcW w:w="67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Acquisition deposits (7)</w:t>
            </w:r>
          </w:p>
        </w:tc>
        <w:tc>
          <w:tcPr>
            <w:tcW w:w="20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57,000</w:t>
            </w: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Prepaid expenses and other</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13,123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22,314</w:t>
            </w:r>
          </w:p>
        </w:tc>
      </w:tr>
      <w:tr>
        <w:trPr>
          <w:trHeight w:val="223"/>
        </w:trPr>
        <w:tc>
          <w:tcPr>
            <w:tcW w:w="1120" w:type="dxa"/>
            <w:vAlign w:val="bottom"/>
            <w:tcBorders>
              <w:top w:val="single" w:sz="8" w:color="CCEECC"/>
              <w:bottom w:val="single" w:sz="8" w:color="CCEECC"/>
            </w:tcBorders>
            <w:shd w:val="clear" w:color="auto" w:fill="CCEECC"/>
          </w:tcPr>
          <w:p>
            <w:pPr>
              <w:spacing w:after="0"/>
              <w:rPr>
                <w:sz w:val="19"/>
                <w:szCs w:val="19"/>
                <w:color w:val="auto"/>
              </w:rPr>
            </w:pPr>
          </w:p>
        </w:tc>
        <w:tc>
          <w:tcPr>
            <w:tcW w:w="5620" w:type="dxa"/>
            <w:vAlign w:val="bottom"/>
            <w:tcBorders>
              <w:top w:val="single" w:sz="8" w:color="CCEECC"/>
              <w:bottom w:val="single" w:sz="8" w:color="CCEECC"/>
            </w:tcBorders>
            <w:shd w:val="clear" w:color="auto" w:fill="CCEECC"/>
          </w:tcPr>
          <w:p>
            <w:pPr>
              <w:spacing w:after="0"/>
              <w:rPr>
                <w:sz w:val="19"/>
                <w:szCs w:val="19"/>
                <w:color w:val="auto"/>
              </w:rPr>
            </w:pPr>
          </w:p>
        </w:tc>
        <w:tc>
          <w:tcPr>
            <w:tcW w:w="200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478,533</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273,578</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58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Loans sold into Ginnie Mae guaranteed securitizations that we include in our Consolidated Financial Statements because the transfers of reverse mortgage loans to the trusts did not qualify for sale accounting treatment. See </w:t>
      </w:r>
      <w:hyperlink w:anchor="page13">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Securitizations and Variable Interest Entities for additional information.</w:t>
      </w:r>
    </w:p>
    <w:p>
      <w:pPr>
        <w:spacing w:after="0" w:line="140" w:lineRule="exact"/>
        <w:rPr>
          <w:rFonts w:ascii="Arial" w:cs="Arial" w:eastAsia="Arial" w:hAnsi="Arial"/>
          <w:sz w:val="18"/>
          <w:szCs w:val="18"/>
          <w:color w:val="auto"/>
        </w:rPr>
      </w:pPr>
    </w:p>
    <w:p>
      <w:pPr>
        <w:ind w:left="340" w:right="80" w:hanging="332"/>
        <w:spacing w:after="0" w:line="297"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carrying values at September 30, 2013 and December 31, 2012 are net of valuation allowances of $27.0 million and $14.7 million, respectively. The balances include non-performing subprime single-family residential loans that we do not intend to hold to maturity. The balance at September 30, 2013 includes $67.8 million of loans that we are required to repurchase from Ginnie Mae guaranteed securitizations in connection with loan modifications and loan resolutions. The balance at December 31, 2012 includes non-performing mortgage loans with a carrying value of $65.4 million that we acquired in December 2012 and sold to Altisource Residential, LP in February 2013 for an insignificant gain.</w:t>
      </w:r>
    </w:p>
    <w:p>
      <w:pPr>
        <w:spacing w:after="0" w:line="131"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balances relate to match funded liabilities and other secured borrowings.</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See </w:t>
      </w:r>
      <w:hyperlink w:anchor="page36">
        <w:r>
          <w:rPr>
            <w:rFonts w:ascii="Arial" w:cs="Arial" w:eastAsia="Arial" w:hAnsi="Arial"/>
            <w:sz w:val="18"/>
            <w:szCs w:val="18"/>
            <w:u w:val="single" w:color="auto"/>
            <w:color w:val="0000EE"/>
          </w:rPr>
          <w:t>Note 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Derivative Financial Instruments and Hedging Activities for additional information.</w:t>
      </w:r>
    </w:p>
    <w:p>
      <w:pPr>
        <w:spacing w:after="0" w:line="184" w:lineRule="exact"/>
        <w:rPr>
          <w:rFonts w:ascii="Arial" w:cs="Arial" w:eastAsia="Arial" w:hAnsi="Arial"/>
          <w:sz w:val="18"/>
          <w:szCs w:val="18"/>
          <w:color w:val="auto"/>
        </w:rPr>
      </w:pPr>
    </w:p>
    <w:p>
      <w:pPr>
        <w:ind w:left="340" w:right="120" w:hanging="332"/>
        <w:spacing w:after="0" w:line="286"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balance at December 31, 2012 includes an investment of $13.4 million that represented our 49% equity interest in Correspondent One. As disclosed in Note 4 – Business Acquisitions, we increased our ownership to 100% on March 31, 2013. Effective on that date, we began including the accounts of Correspondent One in our consolidated financial statements and eliminated our current investment in consolidation.</w:t>
      </w:r>
    </w:p>
    <w:p>
      <w:pPr>
        <w:spacing w:after="0" w:line="138" w:lineRule="exact"/>
        <w:rPr>
          <w:rFonts w:ascii="Arial" w:cs="Arial" w:eastAsia="Arial" w:hAnsi="Arial"/>
          <w:sz w:val="17"/>
          <w:szCs w:val="17"/>
          <w:color w:val="auto"/>
        </w:rPr>
      </w:pPr>
    </w:p>
    <w:p>
      <w:pPr>
        <w:ind w:left="340" w:right="1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balances include $1.5 million and $25.8 million of cash collateral held by the counterparties to certain of our derivative agreements at September 30, 2013 and December 31, 2012, respectively.</w:t>
      </w:r>
    </w:p>
    <w:p>
      <w:pPr>
        <w:spacing w:after="0" w:line="129" w:lineRule="exact"/>
        <w:rPr>
          <w:rFonts w:ascii="Arial" w:cs="Arial" w:eastAsia="Arial" w:hAnsi="Arial"/>
          <w:sz w:val="18"/>
          <w:szCs w:val="18"/>
          <w:color w:val="auto"/>
        </w:rPr>
      </w:pPr>
    </w:p>
    <w:p>
      <w:pPr>
        <w:ind w:left="340" w:right="8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balance at December 31, 2012 represents an earnest money cash deposit we made in connection with the ResCap Acquisition. This deposit was subsequently applied towards the purchase price upon closing of the transaction on February 15, 2013. See </w:t>
      </w:r>
      <w:hyperlink w:anchor="page16">
        <w:r>
          <w:rPr>
            <w:rFonts w:ascii="Arial" w:cs="Arial" w:eastAsia="Arial" w:hAnsi="Arial"/>
            <w:sz w:val="18"/>
            <w:szCs w:val="18"/>
            <w:u w:val="single" w:color="auto"/>
            <w:color w:val="0000EE"/>
          </w:rPr>
          <w:t>Note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Business Acquisitions for additional information.</w:t>
      </w:r>
    </w:p>
    <w:p>
      <w:pPr>
        <w:spacing w:after="0" w:line="18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NOTE 14</w:t>
            </w:r>
          </w:p>
        </w:tc>
        <w:tc>
          <w:tcPr>
            <w:tcW w:w="28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MATCH FUNDED LIABILITIES</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260" w:type="dxa"/>
            <w:vAlign w:val="bottom"/>
            <w:gridSpan w:val="7"/>
          </w:tcPr>
          <w:p>
            <w:pPr>
              <w:ind w:left="340"/>
              <w:spacing w:after="0"/>
              <w:rPr>
                <w:sz w:val="20"/>
                <w:szCs w:val="20"/>
                <w:color w:val="auto"/>
              </w:rPr>
            </w:pPr>
            <w:r>
              <w:rPr>
                <w:rFonts w:ascii="Arial" w:cs="Arial" w:eastAsia="Arial" w:hAnsi="Arial"/>
                <w:sz w:val="18"/>
                <w:szCs w:val="18"/>
                <w:color w:val="auto"/>
                <w:w w:val="97"/>
              </w:rPr>
              <w:t>Match funded liabilities are comprised of the following at the dates indicated:</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Available</w:t>
            </w:r>
          </w:p>
        </w:tc>
        <w:tc>
          <w:tcPr>
            <w:tcW w:w="220" w:type="dxa"/>
            <w:vAlign w:val="bottom"/>
          </w:tcPr>
          <w:p>
            <w:pPr>
              <w:spacing w:after="0"/>
              <w:rPr>
                <w:sz w:val="24"/>
                <w:szCs w:val="24"/>
                <w:color w:val="auto"/>
              </w:rPr>
            </w:pPr>
          </w:p>
        </w:tc>
        <w:tc>
          <w:tcPr>
            <w:tcW w:w="2340" w:type="dxa"/>
            <w:vAlign w:val="bottom"/>
            <w:gridSpan w:val="6"/>
          </w:tcPr>
          <w:p>
            <w:pPr>
              <w:ind w:left="200"/>
              <w:spacing w:after="0"/>
              <w:rPr>
                <w:sz w:val="20"/>
                <w:szCs w:val="20"/>
                <w:color w:val="auto"/>
              </w:rPr>
            </w:pPr>
            <w:r>
              <w:rPr>
                <w:rFonts w:ascii="Arial" w:cs="Arial" w:eastAsia="Arial" w:hAnsi="Arial"/>
                <w:sz w:val="18"/>
                <w:szCs w:val="18"/>
                <w:b w:val="1"/>
                <w:bCs w:val="1"/>
                <w:color w:val="auto"/>
              </w:rPr>
              <w:t>Balance Outstanding</w:t>
            </w:r>
          </w:p>
        </w:tc>
      </w:tr>
      <w:tr>
        <w:trPr>
          <w:trHeight w:val="205"/>
        </w:trPr>
        <w:tc>
          <w:tcPr>
            <w:tcW w:w="10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9"/>
              </w:rPr>
              <w:t>Maturity</w:t>
            </w:r>
          </w:p>
        </w:tc>
        <w:tc>
          <w:tcPr>
            <w:tcW w:w="126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17"/>
                <w:szCs w:val="17"/>
                <w:color w:val="auto"/>
              </w:rPr>
            </w:pPr>
          </w:p>
        </w:tc>
        <w:tc>
          <w:tcPr>
            <w:tcW w:w="1260" w:type="dxa"/>
            <w:vAlign w:val="bottom"/>
            <w:gridSpan w:val="2"/>
          </w:tcPr>
          <w:p>
            <w:pPr>
              <w:jc w:val="center"/>
              <w:ind w:right="400"/>
              <w:spacing w:after="0" w:line="205" w:lineRule="exact"/>
              <w:rPr>
                <w:sz w:val="20"/>
                <w:szCs w:val="20"/>
                <w:color w:val="auto"/>
              </w:rPr>
            </w:pPr>
            <w:r>
              <w:rPr>
                <w:rFonts w:ascii="Arial" w:cs="Arial" w:eastAsia="Arial" w:hAnsi="Arial"/>
                <w:sz w:val="18"/>
                <w:szCs w:val="18"/>
                <w:b w:val="1"/>
                <w:bCs w:val="1"/>
                <w:color w:val="auto"/>
                <w:w w:val="91"/>
              </w:rPr>
              <w:t>Borrowing</w:t>
            </w:r>
          </w:p>
        </w:tc>
        <w:tc>
          <w:tcPr>
            <w:tcW w:w="1260" w:type="dxa"/>
            <w:vAlign w:val="bottom"/>
            <w:tcBorders>
              <w:top w:val="single" w:sz="8" w:color="auto"/>
            </w:tcBorders>
            <w:gridSpan w:val="3"/>
          </w:tcPr>
          <w:p>
            <w:pPr>
              <w:spacing w:after="0" w:line="205" w:lineRule="exact"/>
              <w:rPr>
                <w:sz w:val="20"/>
                <w:szCs w:val="20"/>
                <w:color w:val="auto"/>
              </w:rPr>
            </w:pPr>
            <w:r>
              <w:rPr>
                <w:rFonts w:ascii="Arial" w:cs="Arial" w:eastAsia="Arial" w:hAnsi="Arial"/>
                <w:sz w:val="18"/>
                <w:szCs w:val="18"/>
                <w:b w:val="1"/>
                <w:bCs w:val="1"/>
                <w:color w:val="auto"/>
              </w:rPr>
              <w:t>September 30,</w:t>
            </w:r>
          </w:p>
        </w:tc>
        <w:tc>
          <w:tcPr>
            <w:tcW w:w="1200" w:type="dxa"/>
            <w:vAlign w:val="bottom"/>
            <w:tcBorders>
              <w:top w:val="single" w:sz="8" w:color="auto"/>
            </w:tcBorders>
            <w:gridSpan w:val="3"/>
          </w:tcPr>
          <w:p>
            <w:pPr>
              <w:ind w:left="160"/>
              <w:spacing w:after="0" w:line="205" w:lineRule="exact"/>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7"/>
                <w:szCs w:val="17"/>
                <w:color w:val="auto"/>
              </w:rPr>
            </w:pPr>
          </w:p>
        </w:tc>
      </w:tr>
      <w:tr>
        <w:trPr>
          <w:trHeight w:val="234"/>
        </w:trPr>
        <w:tc>
          <w:tcPr>
            <w:tcW w:w="1040" w:type="dxa"/>
            <w:vAlign w:val="bottom"/>
          </w:tcPr>
          <w:p>
            <w:pPr>
              <w:spacing w:after="0"/>
              <w:rPr>
                <w:sz w:val="20"/>
                <w:szCs w:val="20"/>
                <w:color w:val="auto"/>
              </w:rPr>
            </w:pPr>
          </w:p>
        </w:tc>
        <w:tc>
          <w:tcPr>
            <w:tcW w:w="2840" w:type="dxa"/>
            <w:vAlign w:val="bottom"/>
            <w:gridSpan w:val="2"/>
          </w:tcPr>
          <w:p>
            <w:pPr>
              <w:ind w:left="160"/>
              <w:spacing w:after="0"/>
              <w:rPr>
                <w:sz w:val="20"/>
                <w:szCs w:val="20"/>
                <w:color w:val="auto"/>
              </w:rPr>
            </w:pPr>
            <w:r>
              <w:rPr>
                <w:rFonts w:ascii="Arial" w:cs="Arial" w:eastAsia="Arial" w:hAnsi="Arial"/>
                <w:sz w:val="18"/>
                <w:szCs w:val="18"/>
                <w:b w:val="1"/>
                <w:bCs w:val="1"/>
                <w:color w:val="auto"/>
              </w:rPr>
              <w:t>Borrowing Type</w:t>
            </w: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Interest Rate</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(1)</w:t>
            </w:r>
          </w:p>
        </w:tc>
        <w:tc>
          <w:tcPr>
            <w:tcW w:w="2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Date (1)</w:t>
            </w: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Capacity (2)</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3660" w:type="dxa"/>
            <w:vAlign w:val="bottom"/>
            <w:tcBorders>
              <w:top w:val="single" w:sz="8" w:color="auto"/>
            </w:tcBorders>
            <w:gridSpan w:val="2"/>
            <w:shd w:val="clear" w:color="auto" w:fill="CCEECC"/>
          </w:tcPr>
          <w:p>
            <w:pPr>
              <w:spacing w:after="0"/>
              <w:rPr>
                <w:sz w:val="20"/>
                <w:szCs w:val="20"/>
                <w:color w:val="auto"/>
              </w:rPr>
            </w:pPr>
            <w:r>
              <w:rPr>
                <w:rFonts w:ascii="Arial" w:cs="Arial" w:eastAsia="Arial" w:hAnsi="Arial"/>
                <w:sz w:val="18"/>
                <w:szCs w:val="18"/>
                <w:color w:val="auto"/>
              </w:rPr>
              <w:t>2011-Servicer Advance Revolving Trust 1 (3)</w:t>
            </w:r>
          </w:p>
        </w:tc>
        <w:tc>
          <w:tcPr>
            <w:tcW w:w="220" w:type="dxa"/>
            <w:vAlign w:val="bottom"/>
            <w:tcBorders>
              <w:top w:val="single" w:sz="8" w:color="CCEECC"/>
            </w:tcBorders>
            <w:shd w:val="clear" w:color="auto" w:fill="CCEECC"/>
          </w:tcPr>
          <w:p>
            <w:pPr>
              <w:spacing w:after="0"/>
              <w:rPr>
                <w:sz w:val="18"/>
                <w:szCs w:val="18"/>
                <w:color w:val="auto"/>
              </w:rPr>
            </w:pPr>
          </w:p>
        </w:tc>
        <w:tc>
          <w:tcPr>
            <w:tcW w:w="106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2.23%</w:t>
            </w:r>
          </w:p>
        </w:tc>
        <w:tc>
          <w:tcPr>
            <w:tcW w:w="220" w:type="dxa"/>
            <w:vAlign w:val="bottom"/>
            <w:tcBorders>
              <w:top w:val="single" w:sz="8" w:color="CCEECC"/>
            </w:tcBorders>
            <w:shd w:val="clear" w:color="auto" w:fill="CCEECC"/>
          </w:tcPr>
          <w:p>
            <w:pPr>
              <w:spacing w:after="0"/>
              <w:rPr>
                <w:sz w:val="18"/>
                <w:szCs w:val="18"/>
                <w:color w:val="auto"/>
              </w:rPr>
            </w:pPr>
          </w:p>
        </w:tc>
        <w:tc>
          <w:tcPr>
            <w:tcW w:w="88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91"/>
              </w:rPr>
              <w:t>May 2043</w:t>
            </w:r>
          </w:p>
        </w:tc>
        <w:tc>
          <w:tcPr>
            <w:tcW w:w="220" w:type="dxa"/>
            <w:vAlign w:val="bottom"/>
            <w:tcBorders>
              <w:top w:val="single" w:sz="8" w:color="CCEECC"/>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91"/>
              </w:rPr>
              <w:t>May 2013</w:t>
            </w:r>
          </w:p>
        </w:tc>
        <w:tc>
          <w:tcPr>
            <w:tcW w:w="2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tcBorders>
              <w:top w:val="single" w:sz="8" w:color="CCEECC"/>
            </w:tcBorders>
            <w:shd w:val="clear" w:color="auto" w:fill="CCEECC"/>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2011-Servicer Advance Revolving Trust 1 (3)</w:t>
            </w:r>
          </w:p>
        </w:tc>
        <w:tc>
          <w:tcPr>
            <w:tcW w:w="1280" w:type="dxa"/>
            <w:vAlign w:val="bottom"/>
            <w:gridSpan w:val="2"/>
          </w:tcPr>
          <w:p>
            <w:pPr>
              <w:spacing w:after="0"/>
              <w:rPr>
                <w:sz w:val="20"/>
                <w:szCs w:val="20"/>
                <w:color w:val="auto"/>
              </w:rPr>
            </w:pPr>
            <w:r>
              <w:rPr>
                <w:rFonts w:ascii="Arial" w:cs="Arial" w:eastAsia="Arial" w:hAnsi="Arial"/>
                <w:sz w:val="18"/>
                <w:szCs w:val="18"/>
                <w:color w:val="auto"/>
              </w:rPr>
              <w:t>3.37 – 5.92%</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2043</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2013</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525,000</w:t>
            </w:r>
          </w:p>
        </w:tc>
      </w:tr>
      <w:tr>
        <w:trPr>
          <w:trHeight w:val="216"/>
        </w:trPr>
        <w:tc>
          <w:tcPr>
            <w:tcW w:w="388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2012-Servicing Advance Revolving Trust 2 (3)</w:t>
            </w:r>
          </w:p>
        </w:tc>
        <w:tc>
          <w:tcPr>
            <w:tcW w:w="128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3.27 – 6.90%</w:t>
            </w:r>
          </w:p>
        </w:tc>
        <w:tc>
          <w:tcPr>
            <w:tcW w:w="110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87"/>
              </w:rPr>
              <w:t>Sep. 2043</w:t>
            </w:r>
          </w:p>
        </w:tc>
        <w:tc>
          <w:tcPr>
            <w:tcW w:w="126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87"/>
              </w:rPr>
              <w:t>Sept. 2013</w:t>
            </w:r>
          </w:p>
        </w:tc>
        <w:tc>
          <w:tcPr>
            <w:tcW w:w="8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2012-Servicing Advance Revolving Trust 3 (3)</w:t>
            </w:r>
          </w:p>
        </w:tc>
        <w:tc>
          <w:tcPr>
            <w:tcW w:w="1060" w:type="dxa"/>
            <w:vAlign w:val="bottom"/>
          </w:tcPr>
          <w:p>
            <w:pPr>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Mar. 2043</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Mar. 2013</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248,999</w:t>
            </w:r>
          </w:p>
        </w:tc>
      </w:tr>
      <w:tr>
        <w:trPr>
          <w:trHeight w:val="230"/>
        </w:trPr>
        <w:tc>
          <w:tcPr>
            <w:tcW w:w="388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2012-Servicing Advance Revolving Trust 3 (3)</w:t>
            </w:r>
          </w:p>
        </w:tc>
        <w:tc>
          <w:tcPr>
            <w:tcW w:w="128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3.72 – 7.04%</w:t>
            </w:r>
          </w:p>
        </w:tc>
        <w:tc>
          <w:tcPr>
            <w:tcW w:w="1100" w:type="dxa"/>
            <w:vAlign w:val="bottom"/>
            <w:gridSpan w:val="2"/>
            <w:shd w:val="clear" w:color="auto" w:fill="CCEECC"/>
          </w:tcPr>
          <w:p>
            <w:pPr>
              <w:jc w:val="center"/>
              <w:ind w:right="240"/>
              <w:spacing w:after="0"/>
              <w:rPr>
                <w:sz w:val="20"/>
                <w:szCs w:val="20"/>
                <w:color w:val="auto"/>
              </w:rPr>
            </w:pPr>
            <w:r>
              <w:rPr>
                <w:rFonts w:ascii="Arial" w:cs="Arial" w:eastAsia="Arial" w:hAnsi="Arial"/>
                <w:sz w:val="18"/>
                <w:szCs w:val="18"/>
                <w:color w:val="auto"/>
                <w:w w:val="91"/>
              </w:rPr>
              <w:t>Mar. 2044</w:t>
            </w:r>
          </w:p>
        </w:tc>
        <w:tc>
          <w:tcPr>
            <w:tcW w:w="1260" w:type="dxa"/>
            <w:vAlign w:val="bottom"/>
            <w:gridSpan w:val="2"/>
            <w:shd w:val="clear" w:color="auto" w:fill="CCEECC"/>
          </w:tcPr>
          <w:p>
            <w:pPr>
              <w:jc w:val="center"/>
              <w:ind w:right="200"/>
              <w:spacing w:after="0"/>
              <w:rPr>
                <w:sz w:val="20"/>
                <w:szCs w:val="20"/>
                <w:color w:val="auto"/>
              </w:rPr>
            </w:pPr>
            <w:r>
              <w:rPr>
                <w:rFonts w:ascii="Arial" w:cs="Arial" w:eastAsia="Arial" w:hAnsi="Arial"/>
                <w:sz w:val="18"/>
                <w:szCs w:val="18"/>
                <w:color w:val="auto"/>
                <w:w w:val="91"/>
              </w:rPr>
              <w:t>Mar. 2014</w:t>
            </w:r>
          </w:p>
        </w:tc>
        <w:tc>
          <w:tcPr>
            <w:tcW w:w="8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299,278</w:t>
            </w:r>
          </w:p>
        </w:tc>
      </w:tr>
      <w:tr>
        <w:trPr>
          <w:trHeight w:val="210"/>
        </w:trPr>
        <w:tc>
          <w:tcPr>
            <w:tcW w:w="3880" w:type="dxa"/>
            <w:vAlign w:val="bottom"/>
            <w:tcBorders>
              <w:bottom w:val="single" w:sz="8" w:color="CCEECC"/>
            </w:tcBorders>
            <w:gridSpan w:val="3"/>
          </w:tcPr>
          <w:p>
            <w:pPr>
              <w:ind w:left="320"/>
              <w:spacing w:after="0"/>
              <w:rPr>
                <w:sz w:val="20"/>
                <w:szCs w:val="20"/>
                <w:color w:val="auto"/>
              </w:rPr>
            </w:pPr>
            <w:r>
              <w:rPr>
                <w:rFonts w:ascii="Arial" w:cs="Arial" w:eastAsia="Arial" w:hAnsi="Arial"/>
                <w:sz w:val="18"/>
                <w:szCs w:val="18"/>
                <w:color w:val="auto"/>
              </w:rPr>
              <w:t>Total fixed rate</w:t>
            </w:r>
          </w:p>
        </w:tc>
        <w:tc>
          <w:tcPr>
            <w:tcW w:w="106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88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104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CC"/>
            </w:tcBorders>
          </w:tcPr>
          <w:p>
            <w:pPr>
              <w:spacing w:after="0"/>
              <w:rPr>
                <w:sz w:val="18"/>
                <w:szCs w:val="18"/>
                <w:color w:val="auto"/>
              </w:rPr>
            </w:pPr>
          </w:p>
        </w:tc>
        <w:tc>
          <w:tcPr>
            <w:tcW w:w="16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1,648,277</w:t>
            </w:r>
          </w:p>
        </w:tc>
        <w:tc>
          <w:tcPr>
            <w:tcW w:w="100" w:type="dxa"/>
            <w:vAlign w:val="bottom"/>
            <w:tcBorders>
              <w:bottom w:val="single" w:sz="8" w:color="CCEECC"/>
            </w:tcBorders>
          </w:tcPr>
          <w:p>
            <w:pPr>
              <w:spacing w:after="0"/>
              <w:rPr>
                <w:sz w:val="18"/>
                <w:szCs w:val="18"/>
                <w:color w:val="auto"/>
              </w:rPr>
            </w:pPr>
          </w:p>
        </w:tc>
      </w:tr>
      <w:tr>
        <w:trPr>
          <w:trHeight w:val="182"/>
        </w:trPr>
        <w:tc>
          <w:tcPr>
            <w:tcW w:w="1040" w:type="dxa"/>
            <w:vAlign w:val="bottom"/>
            <w:shd w:val="clear" w:color="auto" w:fill="CCEECC"/>
          </w:tcPr>
          <w:p>
            <w:pPr>
              <w:spacing w:after="0"/>
              <w:rPr>
                <w:sz w:val="15"/>
                <w:szCs w:val="15"/>
                <w:color w:val="auto"/>
              </w:rPr>
            </w:pPr>
          </w:p>
        </w:tc>
        <w:tc>
          <w:tcPr>
            <w:tcW w:w="262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1280" w:type="dxa"/>
            <w:vAlign w:val="bottom"/>
            <w:gridSpan w:val="2"/>
            <w:shd w:val="clear" w:color="auto" w:fill="CCEECC"/>
          </w:tcPr>
          <w:p>
            <w:pPr>
              <w:spacing w:after="0" w:line="182" w:lineRule="exact"/>
              <w:rPr>
                <w:sz w:val="20"/>
                <w:szCs w:val="20"/>
                <w:color w:val="auto"/>
              </w:rPr>
            </w:pPr>
            <w:r>
              <w:rPr>
                <w:rFonts w:ascii="Arial" w:cs="Arial" w:eastAsia="Arial" w:hAnsi="Arial"/>
                <w:sz w:val="18"/>
                <w:szCs w:val="18"/>
                <w:color w:val="auto"/>
              </w:rPr>
              <w:t>1-month</w:t>
            </w:r>
          </w:p>
        </w:tc>
        <w:tc>
          <w:tcPr>
            <w:tcW w:w="88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104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920" w:type="dxa"/>
            <w:vAlign w:val="bottom"/>
            <w:shd w:val="clear" w:color="auto" w:fill="CCEECC"/>
          </w:tcPr>
          <w:p>
            <w:pPr>
              <w:spacing w:after="0"/>
              <w:rPr>
                <w:sz w:val="15"/>
                <w:szCs w:val="15"/>
                <w:color w:val="auto"/>
              </w:rPr>
            </w:pPr>
          </w:p>
        </w:tc>
        <w:tc>
          <w:tcPr>
            <w:tcW w:w="34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86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0" w:type="dxa"/>
            <w:vAlign w:val="bottom"/>
            <w:shd w:val="clear" w:color="auto" w:fill="CCEECC"/>
          </w:tcPr>
          <w:p>
            <w:pPr>
              <w:spacing w:after="0"/>
              <w:rPr>
                <w:sz w:val="15"/>
                <w:szCs w:val="15"/>
                <w:color w:val="auto"/>
              </w:rPr>
            </w:pPr>
          </w:p>
        </w:tc>
        <w:tc>
          <w:tcPr>
            <w:tcW w:w="200" w:type="dxa"/>
            <w:vAlign w:val="bottom"/>
            <w:shd w:val="clear" w:color="auto" w:fill="CCEECC"/>
          </w:tcPr>
          <w:p>
            <w:pPr>
              <w:spacing w:after="0"/>
              <w:rPr>
                <w:sz w:val="15"/>
                <w:szCs w:val="15"/>
                <w:color w:val="auto"/>
              </w:rPr>
            </w:pPr>
          </w:p>
        </w:tc>
        <w:tc>
          <w:tcPr>
            <w:tcW w:w="840" w:type="dxa"/>
            <w:vAlign w:val="bottom"/>
            <w:shd w:val="clear" w:color="auto" w:fill="CCEECC"/>
          </w:tcPr>
          <w:p>
            <w:pPr>
              <w:spacing w:after="0"/>
              <w:rPr>
                <w:sz w:val="15"/>
                <w:szCs w:val="15"/>
                <w:color w:val="auto"/>
              </w:rPr>
            </w:pPr>
          </w:p>
        </w:tc>
        <w:tc>
          <w:tcPr>
            <w:tcW w:w="100" w:type="dxa"/>
            <w:vAlign w:val="bottom"/>
            <w:shd w:val="clear" w:color="auto" w:fill="CCEECC"/>
          </w:tcPr>
          <w:p>
            <w:pPr>
              <w:spacing w:after="0"/>
              <w:rPr>
                <w:sz w:val="15"/>
                <w:szCs w:val="15"/>
                <w:color w:val="auto"/>
              </w:rPr>
            </w:pPr>
          </w:p>
        </w:tc>
      </w:tr>
      <w:tr>
        <w:trPr>
          <w:trHeight w:val="216"/>
        </w:trPr>
        <w:tc>
          <w:tcPr>
            <w:tcW w:w="1040" w:type="dxa"/>
            <w:vAlign w:val="bottom"/>
            <w:shd w:val="clear" w:color="auto" w:fill="CCEECC"/>
          </w:tcPr>
          <w:p>
            <w:pPr>
              <w:spacing w:after="0"/>
              <w:rPr>
                <w:sz w:val="18"/>
                <w:szCs w:val="18"/>
                <w:color w:val="auto"/>
              </w:rPr>
            </w:pPr>
          </w:p>
        </w:tc>
        <w:tc>
          <w:tcPr>
            <w:tcW w:w="26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LIBOR (1ML)</w:t>
            </w:r>
          </w:p>
        </w:tc>
        <w:tc>
          <w:tcPr>
            <w:tcW w:w="8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30"/>
        </w:trPr>
        <w:tc>
          <w:tcPr>
            <w:tcW w:w="388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Advance Receivable Backed Notes (4)</w:t>
            </w:r>
          </w:p>
        </w:tc>
        <w:tc>
          <w:tcPr>
            <w:tcW w:w="128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+ 285 bps</w:t>
            </w:r>
          </w:p>
        </w:tc>
        <w:tc>
          <w:tcPr>
            <w:tcW w:w="110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92"/>
              </w:rPr>
              <w:t>Apr. 2015</w:t>
            </w:r>
          </w:p>
        </w:tc>
        <w:tc>
          <w:tcPr>
            <w:tcW w:w="126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92"/>
              </w:rPr>
              <w:t>Apr. 2014</w:t>
            </w:r>
          </w:p>
        </w:tc>
        <w:tc>
          <w:tcPr>
            <w:tcW w:w="80" w:type="dxa"/>
            <w:vAlign w:val="bottom"/>
            <w:shd w:val="clear" w:color="auto" w:fill="CCEECC"/>
          </w:tcPr>
          <w:p>
            <w:pPr>
              <w:spacing w:after="0"/>
              <w:rPr>
                <w:sz w:val="20"/>
                <w:szCs w:val="20"/>
                <w:color w:val="auto"/>
              </w:rPr>
            </w:pPr>
          </w:p>
        </w:tc>
        <w:tc>
          <w:tcPr>
            <w:tcW w:w="126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20"/>
                <w:szCs w:val="20"/>
                <w:color w:val="auto"/>
              </w:rPr>
            </w:pPr>
          </w:p>
        </w:tc>
        <w:tc>
          <w:tcPr>
            <w:tcW w:w="10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205,016</w:t>
            </w:r>
          </w:p>
        </w:tc>
      </w:tr>
      <w:tr>
        <w:trPr>
          <w:trHeight w:val="202"/>
        </w:trPr>
        <w:tc>
          <w:tcPr>
            <w:tcW w:w="10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Commercial</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paper (CP)</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w w:val="99"/>
              </w:rPr>
              <w:t>Advance Receivable Backed Notes Series 2012-</w:t>
            </w:r>
          </w:p>
        </w:tc>
        <w:tc>
          <w:tcPr>
            <w:tcW w:w="1280" w:type="dxa"/>
            <w:vAlign w:val="bottom"/>
            <w:gridSpan w:val="2"/>
          </w:tcPr>
          <w:p>
            <w:pPr>
              <w:spacing w:after="0"/>
              <w:rPr>
                <w:sz w:val="20"/>
                <w:szCs w:val="20"/>
                <w:color w:val="auto"/>
              </w:rPr>
            </w:pPr>
            <w:r>
              <w:rPr>
                <w:rFonts w:ascii="Arial" w:cs="Arial" w:eastAsia="Arial" w:hAnsi="Arial"/>
                <w:sz w:val="18"/>
                <w:szCs w:val="18"/>
                <w:color w:val="auto"/>
              </w:rPr>
              <w:t>rate + 225 or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40" w:type="dxa"/>
            <w:vAlign w:val="bottom"/>
          </w:tcPr>
          <w:p>
            <w:pPr>
              <w:ind w:left="160"/>
              <w:spacing w:after="0"/>
              <w:rPr>
                <w:sz w:val="20"/>
                <w:szCs w:val="20"/>
                <w:color w:val="auto"/>
              </w:rPr>
            </w:pPr>
            <w:r>
              <w:rPr>
                <w:rFonts w:ascii="Arial" w:cs="Arial" w:eastAsia="Arial" w:hAnsi="Arial"/>
                <w:sz w:val="18"/>
                <w:szCs w:val="18"/>
                <w:color w:val="auto"/>
              </w:rPr>
              <w:t>ADV1 (5)</w:t>
            </w: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335 bps</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 2043</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2013</w:t>
            </w:r>
          </w:p>
        </w:tc>
        <w:tc>
          <w:tcPr>
            <w:tcW w:w="8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18,959</w:t>
            </w:r>
          </w:p>
        </w:tc>
        <w:tc>
          <w:tcPr>
            <w:tcW w:w="2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81,041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232,712</w:t>
            </w:r>
          </w:p>
        </w:tc>
      </w:tr>
      <w:tr>
        <w:trPr>
          <w:trHeight w:val="202"/>
        </w:trPr>
        <w:tc>
          <w:tcPr>
            <w:tcW w:w="3880" w:type="dxa"/>
            <w:vAlign w:val="bottom"/>
            <w:gridSpan w:val="3"/>
            <w:shd w:val="clear" w:color="auto" w:fill="CCEECC"/>
          </w:tcPr>
          <w:p>
            <w:pPr>
              <w:spacing w:after="0" w:line="201" w:lineRule="exact"/>
              <w:rPr>
                <w:sz w:val="20"/>
                <w:szCs w:val="20"/>
                <w:color w:val="auto"/>
              </w:rPr>
            </w:pPr>
            <w:r>
              <w:rPr>
                <w:rFonts w:ascii="Arial" w:cs="Arial" w:eastAsia="Arial" w:hAnsi="Arial"/>
                <w:sz w:val="18"/>
                <w:szCs w:val="18"/>
                <w:color w:val="auto"/>
                <w:w w:val="99"/>
              </w:rPr>
              <w:t>Advance Receivable Backed Notes Series 2012-</w:t>
            </w:r>
          </w:p>
        </w:tc>
        <w:tc>
          <w:tcPr>
            <w:tcW w:w="1280" w:type="dxa"/>
            <w:vAlign w:val="bottom"/>
            <w:gridSpan w:val="2"/>
            <w:shd w:val="clear" w:color="auto" w:fill="CCEECC"/>
          </w:tcPr>
          <w:p>
            <w:pPr>
              <w:spacing w:after="0" w:line="201" w:lineRule="exact"/>
              <w:rPr>
                <w:sz w:val="20"/>
                <w:szCs w:val="20"/>
                <w:color w:val="auto"/>
              </w:rPr>
            </w:pPr>
            <w:r>
              <w:rPr>
                <w:rFonts w:ascii="Arial" w:cs="Arial" w:eastAsia="Arial" w:hAnsi="Arial"/>
                <w:sz w:val="18"/>
                <w:szCs w:val="18"/>
                <w:color w:val="auto"/>
              </w:rPr>
              <w:t>1ML + 250</w:t>
            </w:r>
          </w:p>
        </w:tc>
        <w:tc>
          <w:tcPr>
            <w:tcW w:w="8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r>
      <w:tr>
        <w:trPr>
          <w:trHeight w:val="230"/>
        </w:trPr>
        <w:tc>
          <w:tcPr>
            <w:tcW w:w="10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ADV1</w:t>
            </w:r>
          </w:p>
        </w:tc>
        <w:tc>
          <w:tcPr>
            <w:tcW w:w="262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128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bps</w:t>
            </w:r>
          </w:p>
        </w:tc>
        <w:tc>
          <w:tcPr>
            <w:tcW w:w="110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85"/>
              </w:rPr>
              <w:t>June 2016</w:t>
            </w:r>
          </w:p>
        </w:tc>
        <w:tc>
          <w:tcPr>
            <w:tcW w:w="126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85"/>
              </w:rPr>
              <w:t>June 2014</w:t>
            </w:r>
          </w:p>
        </w:tc>
        <w:tc>
          <w:tcPr>
            <w:tcW w:w="80" w:type="dxa"/>
            <w:vAlign w:val="bottom"/>
            <w:shd w:val="clear" w:color="auto" w:fill="CCEECC"/>
          </w:tcPr>
          <w:p>
            <w:pPr>
              <w:spacing w:after="0"/>
              <w:rPr>
                <w:sz w:val="20"/>
                <w:szCs w:val="20"/>
                <w:color w:val="auto"/>
              </w:rPr>
            </w:pPr>
          </w:p>
        </w:tc>
        <w:tc>
          <w:tcPr>
            <w:tcW w:w="126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20"/>
                <w:szCs w:val="20"/>
                <w:color w:val="auto"/>
              </w:rPr>
            </w:pPr>
          </w:p>
        </w:tc>
        <w:tc>
          <w:tcPr>
            <w:tcW w:w="10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225,000</w:t>
            </w:r>
          </w:p>
        </w:tc>
        <w:tc>
          <w:tcPr>
            <w:tcW w:w="16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94,095</w:t>
            </w:r>
          </w:p>
        </w:tc>
      </w:tr>
      <w:tr>
        <w:trPr>
          <w:trHeight w:val="202"/>
        </w:trPr>
        <w:tc>
          <w:tcPr>
            <w:tcW w:w="10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1ML + 300</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Advance Receivable Backed Note</w:t>
            </w:r>
          </w:p>
        </w:tc>
        <w:tc>
          <w:tcPr>
            <w:tcW w:w="1280" w:type="dxa"/>
            <w:vAlign w:val="bottom"/>
            <w:gridSpan w:val="2"/>
          </w:tcPr>
          <w:p>
            <w:pPr>
              <w:spacing w:after="0"/>
              <w:rPr>
                <w:sz w:val="20"/>
                <w:szCs w:val="20"/>
                <w:color w:val="auto"/>
              </w:rPr>
            </w:pPr>
            <w:r>
              <w:rPr>
                <w:rFonts w:ascii="Arial" w:cs="Arial" w:eastAsia="Arial" w:hAnsi="Arial"/>
                <w:sz w:val="18"/>
                <w:szCs w:val="18"/>
                <w:color w:val="auto"/>
              </w:rPr>
              <w:t>bps</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 2015</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2014</w:t>
            </w:r>
          </w:p>
        </w:tc>
        <w:tc>
          <w:tcPr>
            <w:tcW w:w="8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12,383</w:t>
            </w:r>
          </w:p>
        </w:tc>
        <w:tc>
          <w:tcPr>
            <w:tcW w:w="2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37,617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49,138</w:t>
            </w:r>
          </w:p>
        </w:tc>
      </w:tr>
      <w:tr>
        <w:trPr>
          <w:trHeight w:val="202"/>
        </w:trPr>
        <w:tc>
          <w:tcPr>
            <w:tcW w:w="1040" w:type="dxa"/>
            <w:vAlign w:val="bottom"/>
            <w:shd w:val="clear" w:color="auto" w:fill="CCEECC"/>
          </w:tcPr>
          <w:p>
            <w:pPr>
              <w:spacing w:after="0"/>
              <w:rPr>
                <w:sz w:val="17"/>
                <w:szCs w:val="17"/>
                <w:color w:val="auto"/>
              </w:rPr>
            </w:pPr>
          </w:p>
        </w:tc>
        <w:tc>
          <w:tcPr>
            <w:tcW w:w="26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280" w:type="dxa"/>
            <w:vAlign w:val="bottom"/>
            <w:gridSpan w:val="2"/>
            <w:shd w:val="clear" w:color="auto" w:fill="CCEECC"/>
          </w:tcPr>
          <w:p>
            <w:pPr>
              <w:spacing w:after="0" w:line="201" w:lineRule="exact"/>
              <w:rPr>
                <w:sz w:val="20"/>
                <w:szCs w:val="20"/>
                <w:color w:val="auto"/>
              </w:rPr>
            </w:pPr>
            <w:r>
              <w:rPr>
                <w:rFonts w:ascii="Arial" w:cs="Arial" w:eastAsia="Arial" w:hAnsi="Arial"/>
                <w:sz w:val="18"/>
                <w:szCs w:val="18"/>
                <w:color w:val="auto"/>
              </w:rPr>
              <w:t>1ML + 300</w:t>
            </w:r>
          </w:p>
        </w:tc>
        <w:tc>
          <w:tcPr>
            <w:tcW w:w="8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r>
      <w:tr>
        <w:trPr>
          <w:trHeight w:val="230"/>
        </w:trPr>
        <w:tc>
          <w:tcPr>
            <w:tcW w:w="388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2011-Servicing Advance Revolving Trust 1 (3)</w:t>
            </w:r>
          </w:p>
        </w:tc>
        <w:tc>
          <w:tcPr>
            <w:tcW w:w="128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bps</w:t>
            </w:r>
          </w:p>
        </w:tc>
        <w:tc>
          <w:tcPr>
            <w:tcW w:w="110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91"/>
              </w:rPr>
              <w:t>May 2043</w:t>
            </w:r>
          </w:p>
        </w:tc>
        <w:tc>
          <w:tcPr>
            <w:tcW w:w="126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91"/>
              </w:rPr>
              <w:t>May 2013</w:t>
            </w:r>
          </w:p>
        </w:tc>
        <w:tc>
          <w:tcPr>
            <w:tcW w:w="80" w:type="dxa"/>
            <w:vAlign w:val="bottom"/>
            <w:shd w:val="clear" w:color="auto" w:fill="CCEECC"/>
          </w:tcPr>
          <w:p>
            <w:pPr>
              <w:spacing w:after="0"/>
              <w:rPr>
                <w:sz w:val="20"/>
                <w:szCs w:val="20"/>
                <w:color w:val="auto"/>
              </w:rPr>
            </w:pPr>
          </w:p>
        </w:tc>
        <w:tc>
          <w:tcPr>
            <w:tcW w:w="126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20"/>
                <w:szCs w:val="20"/>
                <w:color w:val="auto"/>
              </w:rPr>
            </w:pPr>
          </w:p>
        </w:tc>
        <w:tc>
          <w:tcPr>
            <w:tcW w:w="10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204,633</w:t>
            </w:r>
          </w:p>
        </w:tc>
      </w:tr>
      <w:tr>
        <w:trPr>
          <w:trHeight w:val="202"/>
        </w:trPr>
        <w:tc>
          <w:tcPr>
            <w:tcW w:w="10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1ML + 315</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2012-Servicing Advance Revolving Trust 2 (3)</w:t>
            </w:r>
          </w:p>
        </w:tc>
        <w:tc>
          <w:tcPr>
            <w:tcW w:w="1280" w:type="dxa"/>
            <w:vAlign w:val="bottom"/>
            <w:gridSpan w:val="2"/>
          </w:tcPr>
          <w:p>
            <w:pPr>
              <w:spacing w:after="0"/>
              <w:rPr>
                <w:sz w:val="20"/>
                <w:szCs w:val="20"/>
                <w:color w:val="auto"/>
              </w:rPr>
            </w:pPr>
            <w:r>
              <w:rPr>
                <w:rFonts w:ascii="Arial" w:cs="Arial" w:eastAsia="Arial" w:hAnsi="Arial"/>
                <w:sz w:val="18"/>
                <w:szCs w:val="18"/>
                <w:color w:val="auto"/>
              </w:rPr>
              <w:t>bps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 2043</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 2013</w:t>
            </w:r>
          </w:p>
        </w:tc>
        <w:tc>
          <w:tcPr>
            <w:tcW w:w="8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22,003</w:t>
            </w:r>
          </w:p>
        </w:tc>
      </w:tr>
      <w:tr>
        <w:trPr>
          <w:trHeight w:val="202"/>
        </w:trPr>
        <w:tc>
          <w:tcPr>
            <w:tcW w:w="1040" w:type="dxa"/>
            <w:vAlign w:val="bottom"/>
            <w:shd w:val="clear" w:color="auto" w:fill="CCEECC"/>
          </w:tcPr>
          <w:p>
            <w:pPr>
              <w:spacing w:after="0"/>
              <w:rPr>
                <w:sz w:val="17"/>
                <w:szCs w:val="17"/>
                <w:color w:val="auto"/>
              </w:rPr>
            </w:pPr>
          </w:p>
        </w:tc>
        <w:tc>
          <w:tcPr>
            <w:tcW w:w="26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280" w:type="dxa"/>
            <w:vAlign w:val="bottom"/>
            <w:gridSpan w:val="2"/>
            <w:shd w:val="clear" w:color="auto" w:fill="CCEECC"/>
          </w:tcPr>
          <w:p>
            <w:pPr>
              <w:spacing w:after="0" w:line="201" w:lineRule="exact"/>
              <w:rPr>
                <w:sz w:val="20"/>
                <w:szCs w:val="20"/>
                <w:color w:val="auto"/>
              </w:rPr>
            </w:pPr>
            <w:r>
              <w:rPr>
                <w:rFonts w:ascii="Arial" w:cs="Arial" w:eastAsia="Arial" w:hAnsi="Arial"/>
                <w:sz w:val="18"/>
                <w:szCs w:val="18"/>
                <w:color w:val="auto"/>
              </w:rPr>
              <w:t>1ML + 300</w:t>
            </w:r>
          </w:p>
        </w:tc>
        <w:tc>
          <w:tcPr>
            <w:tcW w:w="8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r>
      <w:tr>
        <w:trPr>
          <w:trHeight w:val="230"/>
        </w:trPr>
        <w:tc>
          <w:tcPr>
            <w:tcW w:w="388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2012-Servicing Advance Revolving Trust 3 (3)</w:t>
            </w:r>
          </w:p>
        </w:tc>
        <w:tc>
          <w:tcPr>
            <w:tcW w:w="128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bps – 675 bps</w:t>
            </w:r>
          </w:p>
        </w:tc>
        <w:tc>
          <w:tcPr>
            <w:tcW w:w="1100" w:type="dxa"/>
            <w:vAlign w:val="bottom"/>
            <w:gridSpan w:val="2"/>
            <w:shd w:val="clear" w:color="auto" w:fill="CCEECC"/>
          </w:tcPr>
          <w:p>
            <w:pPr>
              <w:jc w:val="center"/>
              <w:ind w:right="240"/>
              <w:spacing w:after="0"/>
              <w:rPr>
                <w:sz w:val="20"/>
                <w:szCs w:val="20"/>
                <w:color w:val="auto"/>
              </w:rPr>
            </w:pPr>
            <w:r>
              <w:rPr>
                <w:rFonts w:ascii="Arial" w:cs="Arial" w:eastAsia="Arial" w:hAnsi="Arial"/>
                <w:sz w:val="18"/>
                <w:szCs w:val="18"/>
                <w:color w:val="auto"/>
                <w:w w:val="91"/>
              </w:rPr>
              <w:t>Mar. 2044</w:t>
            </w:r>
          </w:p>
        </w:tc>
        <w:tc>
          <w:tcPr>
            <w:tcW w:w="1260" w:type="dxa"/>
            <w:vAlign w:val="bottom"/>
            <w:gridSpan w:val="2"/>
            <w:shd w:val="clear" w:color="auto" w:fill="CCEECC"/>
          </w:tcPr>
          <w:p>
            <w:pPr>
              <w:jc w:val="center"/>
              <w:ind w:right="200"/>
              <w:spacing w:after="0"/>
              <w:rPr>
                <w:sz w:val="20"/>
                <w:szCs w:val="20"/>
                <w:color w:val="auto"/>
              </w:rPr>
            </w:pPr>
            <w:r>
              <w:rPr>
                <w:rFonts w:ascii="Arial" w:cs="Arial" w:eastAsia="Arial" w:hAnsi="Arial"/>
                <w:sz w:val="18"/>
                <w:szCs w:val="18"/>
                <w:color w:val="auto"/>
                <w:w w:val="91"/>
              </w:rPr>
              <w:t>Mar. 2014</w:t>
            </w:r>
          </w:p>
        </w:tc>
        <w:tc>
          <w:tcPr>
            <w:tcW w:w="80" w:type="dxa"/>
            <w:vAlign w:val="bottom"/>
            <w:shd w:val="clear" w:color="auto" w:fill="CCEECC"/>
          </w:tcPr>
          <w:p>
            <w:pPr>
              <w:spacing w:after="0"/>
              <w:rPr>
                <w:sz w:val="20"/>
                <w:szCs w:val="20"/>
                <w:color w:val="auto"/>
              </w:rPr>
            </w:pPr>
          </w:p>
        </w:tc>
        <w:tc>
          <w:tcPr>
            <w:tcW w:w="126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20"/>
                <w:szCs w:val="20"/>
                <w:color w:val="auto"/>
              </w:rPr>
            </w:pPr>
          </w:p>
        </w:tc>
        <w:tc>
          <w:tcPr>
            <w:tcW w:w="10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40,626</w:t>
            </w:r>
          </w:p>
        </w:tc>
      </w:tr>
      <w:tr>
        <w:trPr>
          <w:trHeight w:val="202"/>
        </w:trPr>
        <w:tc>
          <w:tcPr>
            <w:tcW w:w="3880" w:type="dxa"/>
            <w:vAlign w:val="bottom"/>
            <w:gridSpan w:val="3"/>
          </w:tcPr>
          <w:p>
            <w:pPr>
              <w:spacing w:after="0" w:line="201" w:lineRule="exact"/>
              <w:rPr>
                <w:sz w:val="20"/>
                <w:szCs w:val="20"/>
                <w:color w:val="auto"/>
              </w:rPr>
            </w:pPr>
            <w:r>
              <w:rPr>
                <w:rFonts w:ascii="Arial" w:cs="Arial" w:eastAsia="Arial" w:hAnsi="Arial"/>
                <w:sz w:val="18"/>
                <w:szCs w:val="18"/>
                <w:color w:val="auto"/>
                <w:w w:val="99"/>
              </w:rPr>
              <w:t>2012-Homeward Agency Advance Funding Trust</w:t>
            </w:r>
          </w:p>
        </w:tc>
        <w:tc>
          <w:tcPr>
            <w:tcW w:w="1280" w:type="dxa"/>
            <w:vAlign w:val="bottom"/>
            <w:gridSpan w:val="2"/>
          </w:tcPr>
          <w:p>
            <w:pPr>
              <w:spacing w:after="0" w:line="201" w:lineRule="exact"/>
              <w:rPr>
                <w:sz w:val="20"/>
                <w:szCs w:val="20"/>
                <w:color w:val="auto"/>
              </w:rPr>
            </w:pPr>
            <w:r>
              <w:rPr>
                <w:rFonts w:ascii="Arial" w:cs="Arial" w:eastAsia="Arial" w:hAnsi="Arial"/>
                <w:sz w:val="18"/>
                <w:szCs w:val="18"/>
                <w:color w:val="auto"/>
              </w:rPr>
              <w:t>1ML + 300</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040" w:type="dxa"/>
            <w:vAlign w:val="bottom"/>
          </w:tcPr>
          <w:p>
            <w:pPr>
              <w:ind w:left="160"/>
              <w:spacing w:after="0"/>
              <w:rPr>
                <w:sz w:val="20"/>
                <w:szCs w:val="20"/>
                <w:color w:val="auto"/>
              </w:rPr>
            </w:pPr>
            <w:r>
              <w:rPr>
                <w:rFonts w:ascii="Arial" w:cs="Arial" w:eastAsia="Arial" w:hAnsi="Arial"/>
                <w:sz w:val="18"/>
                <w:szCs w:val="18"/>
                <w:color w:val="auto"/>
              </w:rPr>
              <w:t>2012-1 (6)</w:t>
            </w: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bps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Nov. 2013</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Nov. 2013</w:t>
            </w:r>
          </w:p>
        </w:tc>
        <w:tc>
          <w:tcPr>
            <w:tcW w:w="8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5,646</w:t>
            </w:r>
          </w:p>
        </w:tc>
        <w:tc>
          <w:tcPr>
            <w:tcW w:w="2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19,354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16,094</w:t>
            </w:r>
          </w:p>
        </w:tc>
      </w:tr>
      <w:tr>
        <w:trPr>
          <w:trHeight w:val="202"/>
        </w:trPr>
        <w:tc>
          <w:tcPr>
            <w:tcW w:w="3880" w:type="dxa"/>
            <w:vAlign w:val="bottom"/>
            <w:gridSpan w:val="3"/>
            <w:shd w:val="clear" w:color="auto" w:fill="CCEECC"/>
          </w:tcPr>
          <w:p>
            <w:pPr>
              <w:spacing w:after="0" w:line="201" w:lineRule="exact"/>
              <w:rPr>
                <w:sz w:val="20"/>
                <w:szCs w:val="20"/>
                <w:color w:val="auto"/>
              </w:rPr>
            </w:pPr>
            <w:r>
              <w:rPr>
                <w:rFonts w:ascii="Arial" w:cs="Arial" w:eastAsia="Arial" w:hAnsi="Arial"/>
                <w:sz w:val="18"/>
                <w:szCs w:val="18"/>
                <w:color w:val="auto"/>
              </w:rPr>
              <w:t>2012-Homeward DSF Advance Revolving Trust</w:t>
            </w:r>
          </w:p>
        </w:tc>
        <w:tc>
          <w:tcPr>
            <w:tcW w:w="1280" w:type="dxa"/>
            <w:vAlign w:val="bottom"/>
            <w:gridSpan w:val="2"/>
            <w:shd w:val="clear" w:color="auto" w:fill="CCEECC"/>
          </w:tcPr>
          <w:p>
            <w:pPr>
              <w:spacing w:after="0" w:line="201" w:lineRule="exact"/>
              <w:rPr>
                <w:sz w:val="20"/>
                <w:szCs w:val="20"/>
                <w:color w:val="auto"/>
              </w:rPr>
            </w:pPr>
            <w:r>
              <w:rPr>
                <w:rFonts w:ascii="Arial" w:cs="Arial" w:eastAsia="Arial" w:hAnsi="Arial"/>
                <w:sz w:val="18"/>
                <w:szCs w:val="18"/>
                <w:color w:val="auto"/>
              </w:rPr>
              <w:t>1ML + 450</w:t>
            </w:r>
          </w:p>
        </w:tc>
        <w:tc>
          <w:tcPr>
            <w:tcW w:w="8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r>
      <w:tr>
        <w:trPr>
          <w:trHeight w:val="244"/>
        </w:trPr>
        <w:tc>
          <w:tcPr>
            <w:tcW w:w="10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2012-1 (3)</w:t>
            </w:r>
          </w:p>
        </w:tc>
        <w:tc>
          <w:tcPr>
            <w:tcW w:w="2620" w:type="dxa"/>
            <w:vAlign w:val="bottom"/>
            <w:shd w:val="clear" w:color="auto" w:fill="CCEECC"/>
          </w:tcPr>
          <w:p>
            <w:pPr>
              <w:spacing w:after="0"/>
              <w:rPr>
                <w:sz w:val="21"/>
                <w:szCs w:val="21"/>
                <w:color w:val="auto"/>
              </w:rPr>
            </w:pPr>
          </w:p>
        </w:tc>
        <w:tc>
          <w:tcPr>
            <w:tcW w:w="220" w:type="dxa"/>
            <w:vAlign w:val="bottom"/>
            <w:shd w:val="clear" w:color="auto" w:fill="CCEECC"/>
          </w:tcPr>
          <w:p>
            <w:pPr>
              <w:spacing w:after="0"/>
              <w:rPr>
                <w:sz w:val="21"/>
                <w:szCs w:val="21"/>
                <w:color w:val="auto"/>
              </w:rPr>
            </w:pPr>
          </w:p>
        </w:tc>
        <w:tc>
          <w:tcPr>
            <w:tcW w:w="128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bps</w:t>
            </w:r>
          </w:p>
        </w:tc>
        <w:tc>
          <w:tcPr>
            <w:tcW w:w="110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88"/>
              </w:rPr>
              <w:t>Feb. 2013</w:t>
            </w:r>
          </w:p>
        </w:tc>
        <w:tc>
          <w:tcPr>
            <w:tcW w:w="1260" w:type="dxa"/>
            <w:vAlign w:val="bottom"/>
            <w:gridSpan w:val="2"/>
            <w:shd w:val="clear" w:color="auto" w:fill="CCEECC"/>
          </w:tcPr>
          <w:p>
            <w:pPr>
              <w:jc w:val="center"/>
              <w:ind w:right="220"/>
              <w:spacing w:after="0"/>
              <w:rPr>
                <w:sz w:val="20"/>
                <w:szCs w:val="20"/>
                <w:color w:val="auto"/>
              </w:rPr>
            </w:pPr>
            <w:r>
              <w:rPr>
                <w:rFonts w:ascii="Arial" w:cs="Arial" w:eastAsia="Arial" w:hAnsi="Arial"/>
                <w:sz w:val="18"/>
                <w:szCs w:val="18"/>
                <w:color w:val="auto"/>
                <w:w w:val="88"/>
              </w:rPr>
              <w:t>Feb. 2013</w:t>
            </w:r>
          </w:p>
        </w:tc>
        <w:tc>
          <w:tcPr>
            <w:tcW w:w="80" w:type="dxa"/>
            <w:vAlign w:val="bottom"/>
            <w:shd w:val="clear" w:color="auto" w:fill="CCEECC"/>
          </w:tcPr>
          <w:p>
            <w:pPr>
              <w:spacing w:after="0"/>
              <w:rPr>
                <w:sz w:val="21"/>
                <w:szCs w:val="21"/>
                <w:color w:val="auto"/>
              </w:rPr>
            </w:pPr>
          </w:p>
        </w:tc>
        <w:tc>
          <w:tcPr>
            <w:tcW w:w="126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21"/>
                <w:szCs w:val="21"/>
                <w:color w:val="auto"/>
              </w:rPr>
            </w:pPr>
          </w:p>
        </w:tc>
        <w:tc>
          <w:tcPr>
            <w:tcW w:w="10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CC"/>
          </w:tcPr>
          <w:p>
            <w:pPr>
              <w:spacing w:after="0"/>
              <w:rPr>
                <w:sz w:val="21"/>
                <w:szCs w:val="21"/>
                <w:color w:val="auto"/>
              </w:rPr>
            </w:pPr>
          </w:p>
        </w:tc>
        <w:tc>
          <w:tcPr>
            <w:tcW w:w="200" w:type="dxa"/>
            <w:vAlign w:val="bottom"/>
            <w:shd w:val="clear" w:color="auto" w:fill="CCEECC"/>
          </w:tcPr>
          <w:p>
            <w:pPr>
              <w:spacing w:after="0"/>
              <w:rPr>
                <w:sz w:val="21"/>
                <w:szCs w:val="21"/>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20,151</w:t>
            </w:r>
          </w:p>
        </w:tc>
      </w:tr>
      <w:tr>
        <w:trPr>
          <w:trHeight w:val="210"/>
        </w:trPr>
        <w:tc>
          <w:tcPr>
            <w:tcW w:w="3880" w:type="dxa"/>
            <w:vAlign w:val="bottom"/>
            <w:tcBorders>
              <w:bottom w:val="single" w:sz="8" w:color="CCEECC"/>
            </w:tcBorders>
            <w:gridSpan w:val="3"/>
          </w:tcPr>
          <w:p>
            <w:pPr>
              <w:ind w:left="320"/>
              <w:spacing w:after="0"/>
              <w:rPr>
                <w:sz w:val="20"/>
                <w:szCs w:val="20"/>
                <w:color w:val="auto"/>
              </w:rPr>
            </w:pPr>
            <w:r>
              <w:rPr>
                <w:rFonts w:ascii="Arial" w:cs="Arial" w:eastAsia="Arial" w:hAnsi="Arial"/>
                <w:sz w:val="18"/>
                <w:szCs w:val="18"/>
                <w:color w:val="auto"/>
              </w:rPr>
              <w:t>Total variable rate</w:t>
            </w:r>
          </w:p>
        </w:tc>
        <w:tc>
          <w:tcPr>
            <w:tcW w:w="106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88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1040" w:type="dxa"/>
            <w:vAlign w:val="bottom"/>
            <w:tcBorders>
              <w:bottom w:val="single" w:sz="8" w:color="CCEECC"/>
            </w:tcBorders>
          </w:tcPr>
          <w:p>
            <w:pPr>
              <w:spacing w:after="0"/>
              <w:rPr>
                <w:sz w:val="18"/>
                <w:szCs w:val="18"/>
                <w:color w:val="auto"/>
              </w:rPr>
            </w:pPr>
          </w:p>
        </w:tc>
        <w:tc>
          <w:tcPr>
            <w:tcW w:w="220" w:type="dxa"/>
            <w:vAlign w:val="bottom"/>
            <w:tcBorders>
              <w:bottom w:val="single" w:sz="8" w:color="CCEEC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36,988</w:t>
            </w:r>
          </w:p>
        </w:tc>
        <w:tc>
          <w:tcPr>
            <w:tcW w:w="340" w:type="dxa"/>
            <w:vAlign w:val="bottom"/>
            <w:tcBorders>
              <w:bottom w:val="single" w:sz="8" w:color="CCEE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363,012</w:t>
            </w:r>
          </w:p>
        </w:tc>
        <w:tc>
          <w:tcPr>
            <w:tcW w:w="180" w:type="dxa"/>
            <w:vAlign w:val="bottom"/>
            <w:tcBorders>
              <w:bottom w:val="single" w:sz="8" w:color="CCEECC"/>
            </w:tcBorders>
          </w:tcPr>
          <w:p>
            <w:pPr>
              <w:spacing w:after="0"/>
              <w:rPr>
                <w:sz w:val="18"/>
                <w:szCs w:val="18"/>
                <w:color w:val="auto"/>
              </w:rPr>
            </w:pPr>
          </w:p>
        </w:tc>
        <w:tc>
          <w:tcPr>
            <w:tcW w:w="16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884,468</w:t>
            </w:r>
          </w:p>
        </w:tc>
        <w:tc>
          <w:tcPr>
            <w:tcW w:w="100" w:type="dxa"/>
            <w:vAlign w:val="bottom"/>
            <w:tcBorders>
              <w:bottom w:val="single" w:sz="8" w:color="CCEECC"/>
            </w:tcBorders>
          </w:tcPr>
          <w:p>
            <w:pPr>
              <w:spacing w:after="0"/>
              <w:rPr>
                <w:sz w:val="18"/>
                <w:szCs w:val="18"/>
                <w:color w:val="auto"/>
              </w:rPr>
            </w:pPr>
          </w:p>
        </w:tc>
      </w:tr>
      <w:tr>
        <w:trPr>
          <w:trHeight w:val="223"/>
        </w:trPr>
        <w:tc>
          <w:tcPr>
            <w:tcW w:w="1040" w:type="dxa"/>
            <w:vAlign w:val="bottom"/>
            <w:tcBorders>
              <w:bottom w:val="single" w:sz="8" w:color="CCEECC"/>
            </w:tcBorders>
            <w:shd w:val="clear" w:color="auto" w:fill="CCEECC"/>
          </w:tcPr>
          <w:p>
            <w:pPr>
              <w:spacing w:after="0"/>
              <w:rPr>
                <w:sz w:val="19"/>
                <w:szCs w:val="19"/>
                <w:color w:val="auto"/>
              </w:rPr>
            </w:pPr>
          </w:p>
        </w:tc>
        <w:tc>
          <w:tcPr>
            <w:tcW w:w="262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CCEECC"/>
            </w:tcBorders>
            <w:shd w:val="clear" w:color="auto" w:fill="CCEECC"/>
          </w:tcPr>
          <w:p>
            <w:pPr>
              <w:spacing w:after="0"/>
              <w:rPr>
                <w:sz w:val="19"/>
                <w:szCs w:val="19"/>
                <w:color w:val="auto"/>
              </w:rPr>
            </w:pPr>
          </w:p>
        </w:tc>
        <w:tc>
          <w:tcPr>
            <w:tcW w:w="106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CCEECC"/>
            </w:tcBorders>
            <w:shd w:val="clear" w:color="auto" w:fill="CCEECC"/>
          </w:tcPr>
          <w:p>
            <w:pPr>
              <w:spacing w:after="0"/>
              <w:rPr>
                <w:sz w:val="19"/>
                <w:szCs w:val="19"/>
                <w:color w:val="auto"/>
              </w:rPr>
            </w:pPr>
          </w:p>
        </w:tc>
        <w:tc>
          <w:tcPr>
            <w:tcW w:w="88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CCEECC"/>
            </w:tcBorders>
            <w:shd w:val="clear" w:color="auto" w:fill="CCEECC"/>
          </w:tcPr>
          <w:p>
            <w:pPr>
              <w:spacing w:after="0"/>
              <w:rPr>
                <w:sz w:val="19"/>
                <w:szCs w:val="19"/>
                <w:color w:val="auto"/>
              </w:rPr>
            </w:pPr>
          </w:p>
        </w:tc>
        <w:tc>
          <w:tcPr>
            <w:tcW w:w="104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36,988</w:t>
            </w:r>
          </w:p>
        </w:tc>
        <w:tc>
          <w:tcPr>
            <w:tcW w:w="34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363,012</w:t>
            </w:r>
          </w:p>
        </w:tc>
        <w:tc>
          <w:tcPr>
            <w:tcW w:w="180" w:type="dxa"/>
            <w:vAlign w:val="bottom"/>
            <w:tcBorders>
              <w:bottom w:val="single" w:sz="8" w:color="CCEECC"/>
            </w:tcBorders>
            <w:shd w:val="clear" w:color="auto" w:fill="CCEECC"/>
          </w:tcPr>
          <w:p>
            <w:pPr>
              <w:spacing w:after="0"/>
              <w:rPr>
                <w:sz w:val="19"/>
                <w:szCs w:val="19"/>
                <w:color w:val="auto"/>
              </w:rPr>
            </w:pPr>
          </w:p>
        </w:tc>
        <w:tc>
          <w:tcPr>
            <w:tcW w:w="16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2,532,745</w:t>
            </w:r>
          </w:p>
        </w:tc>
        <w:tc>
          <w:tcPr>
            <w:tcW w:w="100" w:type="dxa"/>
            <w:vAlign w:val="bottom"/>
            <w:tcBorders>
              <w:bottom w:val="single" w:sz="8" w:color="CCEECC"/>
            </w:tcBorders>
            <w:shd w:val="clear" w:color="auto" w:fill="CCEECC"/>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0" w:hanging="332"/>
        <w:spacing w:after="0" w:line="30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two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13" w:lineRule="exact"/>
        <w:rPr>
          <w:rFonts w:ascii="Arial" w:cs="Arial" w:eastAsia="Arial" w:hAnsi="Arial"/>
          <w:sz w:val="16"/>
          <w:szCs w:val="16"/>
          <w:color w:val="auto"/>
        </w:rPr>
      </w:pPr>
    </w:p>
    <w:p>
      <w:pPr>
        <w:ind w:left="340" w:right="36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Borrowing capacity is available to us provided that we have additional eligible collateral to pledge. Collateral may only be pledged to one facility. At September 30, 2013, $0.1 million of the available borrowing capacity could be used based on the amount of eligible collateral.</w:t>
      </w:r>
    </w:p>
    <w:p>
      <w:pPr>
        <w:spacing w:after="0" w:line="10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Facility was repaid in February 2013 from the proceeds of a new $1.4 billion bridge facility (Homeward Residential Bridge Loan Trust – 2013) with an amortization date of August 14, 2013. On July 1, 2013, we repaid the new bridge facility in full from proceeds received on the sale of servicing advances to HLSS.</w:t>
      </w:r>
    </w:p>
    <w:p>
      <w:pPr>
        <w:spacing w:after="0" w:line="154"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repaid this facility in full in July 2013.</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August 30, 2013, we amended this facility to reduce the maximum borrowing capacity to $100 million from $450 million.</w:t>
      </w:r>
    </w:p>
    <w:p>
      <w:pPr>
        <w:spacing w:after="0" w:line="184"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October 21, 2013, we extended the maturity date of this facility to November 29, 2013 with two optional six-month extensions subject to lender approval.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NOTE 15</w:t>
            </w:r>
          </w:p>
        </w:tc>
        <w:tc>
          <w:tcPr>
            <w:tcW w:w="3100" w:type="dxa"/>
            <w:vAlign w:val="bottom"/>
            <w:gridSpan w:val="5"/>
          </w:tcPr>
          <w:p>
            <w:pPr>
              <w:spacing w:after="0"/>
              <w:rPr>
                <w:sz w:val="20"/>
                <w:szCs w:val="20"/>
                <w:color w:val="auto"/>
              </w:rPr>
            </w:pPr>
            <w:r>
              <w:rPr>
                <w:rFonts w:ascii="Arial" w:cs="Arial" w:eastAsia="Arial" w:hAnsi="Arial"/>
                <w:sz w:val="18"/>
                <w:szCs w:val="18"/>
                <w:b w:val="1"/>
                <w:bCs w:val="1"/>
                <w:color w:val="auto"/>
              </w:rPr>
              <w:t>OTHER BORROWINGS</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500" w:type="dxa"/>
            <w:vAlign w:val="bottom"/>
            <w:gridSpan w:val="15"/>
          </w:tcPr>
          <w:p>
            <w:pPr>
              <w:spacing w:after="0"/>
              <w:rPr>
                <w:sz w:val="20"/>
                <w:szCs w:val="20"/>
                <w:color w:val="auto"/>
              </w:rPr>
            </w:pPr>
            <w:r>
              <w:rPr>
                <w:rFonts w:ascii="Arial" w:cs="Arial" w:eastAsia="Arial" w:hAnsi="Arial"/>
                <w:sz w:val="18"/>
                <w:szCs w:val="18"/>
                <w:color w:val="auto"/>
                <w:w w:val="93"/>
              </w:rPr>
              <w:t>Lines of credit and other secured and unsecured borrowings are comprised of the following at the dates indicated: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Available</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Balance Outstanding</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93"/>
              </w:rPr>
              <w:t>Borrowing</w:t>
            </w:r>
          </w:p>
        </w:tc>
        <w:tc>
          <w:tcPr>
            <w:tcW w:w="240" w:type="dxa"/>
            <w:vAlign w:val="bottom"/>
          </w:tcPr>
          <w:p>
            <w:pPr>
              <w:spacing w:after="0"/>
              <w:rPr>
                <w:sz w:val="17"/>
                <w:szCs w:val="17"/>
                <w:color w:val="auto"/>
              </w:rPr>
            </w:pPr>
          </w:p>
        </w:tc>
        <w:tc>
          <w:tcPr>
            <w:tcW w:w="1340" w:type="dxa"/>
            <w:vAlign w:val="bottom"/>
            <w:tcBorders>
              <w:top w:val="single" w:sz="8" w:color="auto"/>
            </w:tcBorders>
            <w:gridSpan w:val="3"/>
          </w:tcPr>
          <w:p>
            <w:pPr>
              <w:jc w:val="right"/>
              <w:ind w:right="240"/>
              <w:spacing w:after="0" w:line="205" w:lineRule="exact"/>
              <w:rPr>
                <w:sz w:val="20"/>
                <w:szCs w:val="20"/>
                <w:color w:val="auto"/>
              </w:rPr>
            </w:pPr>
            <w:r>
              <w:rPr>
                <w:rFonts w:ascii="Arial" w:cs="Arial" w:eastAsia="Arial" w:hAnsi="Arial"/>
                <w:sz w:val="18"/>
                <w:szCs w:val="18"/>
                <w:b w:val="1"/>
                <w:bCs w:val="1"/>
                <w:color w:val="auto"/>
                <w:w w:val="87"/>
              </w:rPr>
              <w:t>September 30,</w:t>
            </w:r>
          </w:p>
        </w:tc>
        <w:tc>
          <w:tcPr>
            <w:tcW w:w="1240" w:type="dxa"/>
            <w:vAlign w:val="bottom"/>
            <w:tcBorders>
              <w:top w:val="single" w:sz="8" w:color="auto"/>
            </w:tcBorders>
            <w:gridSpan w:val="3"/>
          </w:tcPr>
          <w:p>
            <w:pPr>
              <w:jc w:val="right"/>
              <w:spacing w:after="0" w:line="205"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gridSpan w:val="4"/>
          </w:tcPr>
          <w:p>
            <w:pPr>
              <w:ind w:left="80"/>
              <w:spacing w:after="0"/>
              <w:rPr>
                <w:sz w:val="20"/>
                <w:szCs w:val="20"/>
                <w:color w:val="auto"/>
              </w:rPr>
            </w:pPr>
            <w:r>
              <w:rPr>
                <w:rFonts w:ascii="Arial" w:cs="Arial" w:eastAsia="Arial" w:hAnsi="Arial"/>
                <w:sz w:val="18"/>
                <w:szCs w:val="18"/>
                <w:b w:val="1"/>
                <w:bCs w:val="1"/>
                <w:color w:val="auto"/>
              </w:rPr>
              <w:t>Borrowings</w:t>
            </w: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Collateral</w:t>
            </w:r>
          </w:p>
        </w:tc>
        <w:tc>
          <w:tcPr>
            <w:tcW w:w="1200" w:type="dxa"/>
            <w:vAlign w:val="bottom"/>
          </w:tcPr>
          <w:p>
            <w:pPr>
              <w:ind w:left="100"/>
              <w:spacing w:after="0"/>
              <w:rPr>
                <w:sz w:val="20"/>
                <w:szCs w:val="20"/>
                <w:color w:val="auto"/>
              </w:rPr>
            </w:pPr>
            <w:r>
              <w:rPr>
                <w:rFonts w:ascii="Arial" w:cs="Arial" w:eastAsia="Arial" w:hAnsi="Arial"/>
                <w:sz w:val="18"/>
                <w:szCs w:val="18"/>
                <w:b w:val="1"/>
                <w:bCs w:val="1"/>
                <w:color w:val="auto"/>
                <w:w w:val="99"/>
              </w:rPr>
              <w:t>Interest Rate</w:t>
            </w:r>
          </w:p>
        </w:tc>
        <w:tc>
          <w:tcPr>
            <w:tcW w:w="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Capacity</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60" w:type="dxa"/>
            <w:vAlign w:val="bottom"/>
            <w:tcBorders>
              <w:top w:val="single" w:sz="8" w:color="auto"/>
            </w:tcBorders>
            <w:gridSpan w:val="3"/>
            <w:shd w:val="clear" w:color="auto" w:fill="CCEECC"/>
          </w:tcPr>
          <w:p>
            <w:pPr>
              <w:spacing w:after="0" w:line="170" w:lineRule="exact"/>
              <w:rPr>
                <w:sz w:val="20"/>
                <w:szCs w:val="20"/>
                <w:color w:val="auto"/>
              </w:rPr>
            </w:pPr>
            <w:r>
              <w:rPr>
                <w:rFonts w:ascii="Arial" w:cs="Arial" w:eastAsia="Arial" w:hAnsi="Arial"/>
                <w:sz w:val="18"/>
                <w:szCs w:val="18"/>
                <w:color w:val="auto"/>
              </w:rPr>
              <w:t>Servicing:</w:t>
            </w:r>
          </w:p>
        </w:tc>
        <w:tc>
          <w:tcPr>
            <w:tcW w:w="780" w:type="dxa"/>
            <w:vAlign w:val="bottom"/>
            <w:tcBorders>
              <w:top w:val="single" w:sz="8" w:color="auto"/>
            </w:tcBorders>
            <w:shd w:val="clear" w:color="auto" w:fill="CCEECC"/>
          </w:tcPr>
          <w:p>
            <w:pPr>
              <w:spacing w:after="0"/>
              <w:rPr>
                <w:sz w:val="14"/>
                <w:szCs w:val="14"/>
                <w:color w:val="auto"/>
              </w:rPr>
            </w:pPr>
          </w:p>
        </w:tc>
        <w:tc>
          <w:tcPr>
            <w:tcW w:w="520" w:type="dxa"/>
            <w:vAlign w:val="bottom"/>
            <w:tcBorders>
              <w:top w:val="single" w:sz="8" w:color="auto"/>
            </w:tcBorders>
            <w:shd w:val="clear" w:color="auto" w:fill="CCEECC"/>
          </w:tcPr>
          <w:p>
            <w:pPr>
              <w:spacing w:after="0"/>
              <w:rPr>
                <w:sz w:val="14"/>
                <w:szCs w:val="14"/>
                <w:color w:val="auto"/>
              </w:rPr>
            </w:pPr>
          </w:p>
        </w:tc>
        <w:tc>
          <w:tcPr>
            <w:tcW w:w="340" w:type="dxa"/>
            <w:vAlign w:val="bottom"/>
            <w:tcBorders>
              <w:top w:val="single" w:sz="8" w:color="CCEECC"/>
            </w:tcBorders>
            <w:shd w:val="clear" w:color="auto" w:fill="CCEECC"/>
          </w:tcPr>
          <w:p>
            <w:pPr>
              <w:spacing w:after="0"/>
              <w:rPr>
                <w:sz w:val="14"/>
                <w:szCs w:val="14"/>
                <w:color w:val="auto"/>
              </w:rPr>
            </w:pPr>
          </w:p>
        </w:tc>
        <w:tc>
          <w:tcPr>
            <w:tcW w:w="1120" w:type="dxa"/>
            <w:vAlign w:val="bottom"/>
            <w:tcBorders>
              <w:top w:val="single" w:sz="8" w:color="auto"/>
            </w:tcBorders>
            <w:shd w:val="clear" w:color="auto" w:fill="CCEECC"/>
          </w:tcPr>
          <w:p>
            <w:pPr>
              <w:spacing w:after="0"/>
              <w:rPr>
                <w:sz w:val="14"/>
                <w:szCs w:val="14"/>
                <w:color w:val="auto"/>
              </w:rPr>
            </w:pPr>
          </w:p>
        </w:tc>
        <w:tc>
          <w:tcPr>
            <w:tcW w:w="340" w:type="dxa"/>
            <w:vAlign w:val="bottom"/>
            <w:tcBorders>
              <w:top w:val="single" w:sz="8" w:color="CCEECC"/>
            </w:tcBorders>
            <w:shd w:val="clear" w:color="auto" w:fill="CCEECC"/>
          </w:tcPr>
          <w:p>
            <w:pPr>
              <w:spacing w:after="0"/>
              <w:rPr>
                <w:sz w:val="14"/>
                <w:szCs w:val="14"/>
                <w:color w:val="auto"/>
              </w:rPr>
            </w:pPr>
          </w:p>
        </w:tc>
        <w:tc>
          <w:tcPr>
            <w:tcW w:w="1200" w:type="dxa"/>
            <w:vAlign w:val="bottom"/>
            <w:tcBorders>
              <w:top w:val="single" w:sz="8" w:color="auto"/>
            </w:tcBorders>
            <w:shd w:val="clear" w:color="auto" w:fill="CCEECC"/>
          </w:tcPr>
          <w:p>
            <w:pPr>
              <w:spacing w:after="0"/>
              <w:rPr>
                <w:sz w:val="14"/>
                <w:szCs w:val="14"/>
                <w:color w:val="auto"/>
              </w:rPr>
            </w:pPr>
          </w:p>
        </w:tc>
        <w:tc>
          <w:tcPr>
            <w:tcW w:w="340" w:type="dxa"/>
            <w:vAlign w:val="bottom"/>
            <w:tcBorders>
              <w:top w:val="single" w:sz="8" w:color="CCEECC"/>
            </w:tcBorders>
            <w:shd w:val="clear" w:color="auto" w:fill="CCEECC"/>
          </w:tcPr>
          <w:p>
            <w:pPr>
              <w:spacing w:after="0"/>
              <w:rPr>
                <w:sz w:val="14"/>
                <w:szCs w:val="14"/>
                <w:color w:val="auto"/>
              </w:rPr>
            </w:pPr>
          </w:p>
        </w:tc>
        <w:tc>
          <w:tcPr>
            <w:tcW w:w="1140" w:type="dxa"/>
            <w:vAlign w:val="bottom"/>
            <w:tcBorders>
              <w:top w:val="single" w:sz="8" w:color="auto"/>
            </w:tcBorders>
            <w:shd w:val="clear" w:color="auto" w:fill="CCEECC"/>
          </w:tcPr>
          <w:p>
            <w:pPr>
              <w:spacing w:after="0"/>
              <w:rPr>
                <w:sz w:val="14"/>
                <w:szCs w:val="14"/>
                <w:color w:val="auto"/>
              </w:rPr>
            </w:pPr>
          </w:p>
        </w:tc>
        <w:tc>
          <w:tcPr>
            <w:tcW w:w="340" w:type="dxa"/>
            <w:vAlign w:val="bottom"/>
            <w:tcBorders>
              <w:top w:val="single" w:sz="8" w:color="CCEECC"/>
            </w:tcBorders>
            <w:shd w:val="clear" w:color="auto" w:fill="CCEECC"/>
          </w:tcPr>
          <w:p>
            <w:pPr>
              <w:spacing w:after="0"/>
              <w:rPr>
                <w:sz w:val="14"/>
                <w:szCs w:val="14"/>
                <w:color w:val="auto"/>
              </w:rPr>
            </w:pPr>
          </w:p>
        </w:tc>
        <w:tc>
          <w:tcPr>
            <w:tcW w:w="80" w:type="dxa"/>
            <w:vAlign w:val="bottom"/>
            <w:tcBorders>
              <w:top w:val="single" w:sz="8" w:color="auto"/>
            </w:tcBorders>
            <w:shd w:val="clear" w:color="auto" w:fill="CCEECC"/>
          </w:tcPr>
          <w:p>
            <w:pPr>
              <w:spacing w:after="0"/>
              <w:rPr>
                <w:sz w:val="14"/>
                <w:szCs w:val="14"/>
                <w:color w:val="auto"/>
              </w:rPr>
            </w:pPr>
          </w:p>
        </w:tc>
        <w:tc>
          <w:tcPr>
            <w:tcW w:w="920" w:type="dxa"/>
            <w:vAlign w:val="bottom"/>
            <w:tcBorders>
              <w:top w:val="single" w:sz="8" w:color="auto"/>
            </w:tcBorders>
            <w:shd w:val="clear" w:color="auto" w:fill="CCEECC"/>
          </w:tcPr>
          <w:p>
            <w:pPr>
              <w:spacing w:after="0"/>
              <w:rPr>
                <w:sz w:val="14"/>
                <w:szCs w:val="14"/>
                <w:color w:val="auto"/>
              </w:rPr>
            </w:pPr>
          </w:p>
        </w:tc>
        <w:tc>
          <w:tcPr>
            <w:tcW w:w="220" w:type="dxa"/>
            <w:vAlign w:val="bottom"/>
            <w:tcBorders>
              <w:top w:val="single" w:sz="8" w:color="CCEECC"/>
            </w:tcBorders>
            <w:shd w:val="clear" w:color="auto" w:fill="CCEECC"/>
          </w:tcPr>
          <w:p>
            <w:pPr>
              <w:spacing w:after="0"/>
              <w:rPr>
                <w:sz w:val="14"/>
                <w:szCs w:val="14"/>
                <w:color w:val="auto"/>
              </w:rPr>
            </w:pPr>
          </w:p>
        </w:tc>
        <w:tc>
          <w:tcPr>
            <w:tcW w:w="240" w:type="dxa"/>
            <w:vAlign w:val="bottom"/>
            <w:tcBorders>
              <w:top w:val="single" w:sz="8" w:color="CCEECC"/>
            </w:tcBorders>
            <w:shd w:val="clear" w:color="auto" w:fill="CCEECC"/>
          </w:tcPr>
          <w:p>
            <w:pPr>
              <w:spacing w:after="0"/>
              <w:rPr>
                <w:sz w:val="14"/>
                <w:szCs w:val="14"/>
                <w:color w:val="auto"/>
              </w:rPr>
            </w:pPr>
          </w:p>
        </w:tc>
        <w:tc>
          <w:tcPr>
            <w:tcW w:w="220" w:type="dxa"/>
            <w:vAlign w:val="bottom"/>
            <w:tcBorders>
              <w:top w:val="single" w:sz="8" w:color="auto"/>
            </w:tcBorders>
            <w:shd w:val="clear" w:color="auto" w:fill="CCEECC"/>
          </w:tcPr>
          <w:p>
            <w:pPr>
              <w:spacing w:after="0"/>
              <w:rPr>
                <w:sz w:val="14"/>
                <w:szCs w:val="14"/>
                <w:color w:val="auto"/>
              </w:rPr>
            </w:pPr>
          </w:p>
        </w:tc>
        <w:tc>
          <w:tcPr>
            <w:tcW w:w="860" w:type="dxa"/>
            <w:vAlign w:val="bottom"/>
            <w:tcBorders>
              <w:top w:val="single" w:sz="8" w:color="auto"/>
            </w:tcBorders>
            <w:shd w:val="clear" w:color="auto" w:fill="CCEECC"/>
          </w:tcPr>
          <w:p>
            <w:pPr>
              <w:spacing w:after="0"/>
              <w:rPr>
                <w:sz w:val="14"/>
                <w:szCs w:val="14"/>
                <w:color w:val="auto"/>
              </w:rPr>
            </w:pPr>
          </w:p>
        </w:tc>
        <w:tc>
          <w:tcPr>
            <w:tcW w:w="260" w:type="dxa"/>
            <w:vAlign w:val="bottom"/>
            <w:tcBorders>
              <w:top w:val="single" w:sz="8" w:color="CCEECC"/>
            </w:tcBorders>
            <w:shd w:val="clear" w:color="auto" w:fill="CCEECC"/>
          </w:tcPr>
          <w:p>
            <w:pPr>
              <w:spacing w:after="0"/>
              <w:rPr>
                <w:sz w:val="14"/>
                <w:szCs w:val="14"/>
                <w:color w:val="auto"/>
              </w:rPr>
            </w:pPr>
          </w:p>
        </w:tc>
        <w:tc>
          <w:tcPr>
            <w:tcW w:w="200" w:type="dxa"/>
            <w:vAlign w:val="bottom"/>
            <w:tcBorders>
              <w:top w:val="single" w:sz="8" w:color="CCEECC"/>
            </w:tcBorders>
            <w:shd w:val="clear" w:color="auto" w:fill="CCEECC"/>
          </w:tcPr>
          <w:p>
            <w:pPr>
              <w:spacing w:after="0"/>
              <w:rPr>
                <w:sz w:val="14"/>
                <w:szCs w:val="14"/>
                <w:color w:val="auto"/>
              </w:rPr>
            </w:pPr>
          </w:p>
        </w:tc>
        <w:tc>
          <w:tcPr>
            <w:tcW w:w="200" w:type="dxa"/>
            <w:vAlign w:val="bottom"/>
            <w:tcBorders>
              <w:top w:val="single" w:sz="8" w:color="auto"/>
            </w:tcBorders>
            <w:shd w:val="clear" w:color="auto" w:fill="CCEECC"/>
          </w:tcPr>
          <w:p>
            <w:pPr>
              <w:spacing w:after="0"/>
              <w:rPr>
                <w:sz w:val="14"/>
                <w:szCs w:val="14"/>
                <w:color w:val="auto"/>
              </w:rPr>
            </w:pPr>
          </w:p>
        </w:tc>
        <w:tc>
          <w:tcPr>
            <w:tcW w:w="840" w:type="dxa"/>
            <w:vAlign w:val="bottom"/>
            <w:tcBorders>
              <w:top w:val="single" w:sz="8" w:color="auto"/>
            </w:tcBorders>
            <w:shd w:val="clear" w:color="auto" w:fill="CCEECC"/>
          </w:tcPr>
          <w:p>
            <w:pPr>
              <w:spacing w:after="0"/>
              <w:rPr>
                <w:sz w:val="14"/>
                <w:szCs w:val="14"/>
                <w:color w:val="auto"/>
              </w:rPr>
            </w:pPr>
          </w:p>
        </w:tc>
        <w:tc>
          <w:tcPr>
            <w:tcW w:w="100" w:type="dxa"/>
            <w:vAlign w:val="bottom"/>
            <w:tcBorders>
              <w:top w:val="single" w:sz="8" w:color="CCEECC"/>
            </w:tcBorders>
            <w:shd w:val="clear" w:color="auto" w:fill="CCEEC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shd w:val="clear" w:color="auto" w:fill="CCEECC"/>
          </w:tcPr>
          <w:p>
            <w:pPr>
              <w:spacing w:after="0" w:line="20" w:lineRule="exact"/>
              <w:rPr>
                <w:sz w:val="1"/>
                <w:szCs w:val="1"/>
                <w:color w:val="auto"/>
              </w:rPr>
            </w:pPr>
          </w:p>
        </w:tc>
        <w:tc>
          <w:tcPr>
            <w:tcW w:w="40" w:type="dxa"/>
            <w:vAlign w:val="bottom"/>
            <w:tcBorders>
              <w:top w:val="single" w:sz="8" w:color="auto"/>
            </w:tcBorders>
            <w:shd w:val="clear" w:color="auto" w:fill="CCEECC"/>
          </w:tcPr>
          <w:p>
            <w:pPr>
              <w:spacing w:after="0" w:line="20" w:lineRule="exact"/>
              <w:rPr>
                <w:sz w:val="1"/>
                <w:szCs w:val="1"/>
                <w:color w:val="auto"/>
              </w:rPr>
            </w:pPr>
          </w:p>
        </w:tc>
        <w:tc>
          <w:tcPr>
            <w:tcW w:w="460" w:type="dxa"/>
            <w:vAlign w:val="bottom"/>
            <w:tcBorders>
              <w:top w:val="single" w:sz="8" w:color="CCEECC"/>
            </w:tcBorders>
            <w:shd w:val="clear" w:color="auto" w:fill="CCEECC"/>
          </w:tcPr>
          <w:p>
            <w:pPr>
              <w:spacing w:after="0" w:line="20" w:lineRule="exact"/>
              <w:rPr>
                <w:sz w:val="1"/>
                <w:szCs w:val="1"/>
                <w:color w:val="auto"/>
              </w:rPr>
            </w:pPr>
          </w:p>
        </w:tc>
        <w:tc>
          <w:tcPr>
            <w:tcW w:w="780" w:type="dxa"/>
            <w:vAlign w:val="bottom"/>
            <w:tcBorders>
              <w:top w:val="single" w:sz="8" w:color="CCEECC"/>
            </w:tcBorders>
            <w:shd w:val="clear" w:color="auto" w:fill="CCEECC"/>
          </w:tcPr>
          <w:p>
            <w:pPr>
              <w:spacing w:after="0" w:line="20" w:lineRule="exact"/>
              <w:rPr>
                <w:sz w:val="1"/>
                <w:szCs w:val="1"/>
                <w:color w:val="auto"/>
              </w:rPr>
            </w:pPr>
          </w:p>
        </w:tc>
        <w:tc>
          <w:tcPr>
            <w:tcW w:w="52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112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120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114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92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24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860" w:type="dxa"/>
            <w:vAlign w:val="bottom"/>
            <w:tcBorders>
              <w:top w:val="single" w:sz="8" w:color="CCEECC"/>
            </w:tcBorders>
            <w:shd w:val="clear" w:color="auto" w:fill="CCEECC"/>
          </w:tcPr>
          <w:p>
            <w:pPr>
              <w:spacing w:after="0" w:line="20" w:lineRule="exact"/>
              <w:rPr>
                <w:sz w:val="1"/>
                <w:szCs w:val="1"/>
                <w:color w:val="auto"/>
              </w:rPr>
            </w:pPr>
          </w:p>
        </w:tc>
        <w:tc>
          <w:tcPr>
            <w:tcW w:w="260" w:type="dxa"/>
            <w:vAlign w:val="bottom"/>
            <w:tcBorders>
              <w:top w:val="single" w:sz="8" w:color="CCEECC"/>
            </w:tcBorders>
            <w:shd w:val="clear" w:color="auto" w:fill="CCEECC"/>
          </w:tcPr>
          <w:p>
            <w:pPr>
              <w:spacing w:after="0" w:line="20" w:lineRule="exact"/>
              <w:rPr>
                <w:sz w:val="1"/>
                <w:szCs w:val="1"/>
                <w:color w:val="auto"/>
              </w:rPr>
            </w:pPr>
          </w:p>
        </w:tc>
        <w:tc>
          <w:tcPr>
            <w:tcW w:w="200" w:type="dxa"/>
            <w:vAlign w:val="bottom"/>
            <w:tcBorders>
              <w:top w:val="single" w:sz="8" w:color="CCEECC"/>
            </w:tcBorders>
            <w:shd w:val="clear" w:color="auto" w:fill="CCEECC"/>
          </w:tcPr>
          <w:p>
            <w:pPr>
              <w:spacing w:after="0" w:line="20" w:lineRule="exact"/>
              <w:rPr>
                <w:sz w:val="1"/>
                <w:szCs w:val="1"/>
                <w:color w:val="auto"/>
              </w:rPr>
            </w:pPr>
          </w:p>
        </w:tc>
        <w:tc>
          <w:tcPr>
            <w:tcW w:w="200" w:type="dxa"/>
            <w:vAlign w:val="bottom"/>
            <w:tcBorders>
              <w:top w:val="single" w:sz="8" w:color="CCEECC"/>
            </w:tcBorders>
            <w:shd w:val="clear" w:color="auto" w:fill="CCEECC"/>
          </w:tcPr>
          <w:p>
            <w:pPr>
              <w:spacing w:after="0" w:line="20" w:lineRule="exact"/>
              <w:rPr>
                <w:sz w:val="1"/>
                <w:szCs w:val="1"/>
                <w:color w:val="auto"/>
              </w:rPr>
            </w:pPr>
          </w:p>
        </w:tc>
        <w:tc>
          <w:tcPr>
            <w:tcW w:w="840" w:type="dxa"/>
            <w:vAlign w:val="bottom"/>
            <w:tcBorders>
              <w:top w:val="single" w:sz="8" w:color="CCEECC"/>
            </w:tcBorders>
            <w:shd w:val="clear" w:color="auto" w:fill="CCEECC"/>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6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SSTL (1)</w:t>
            </w: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line="201" w:lineRule="exact"/>
              <w:rPr>
                <w:sz w:val="20"/>
                <w:szCs w:val="20"/>
                <w:color w:val="auto"/>
              </w:rPr>
            </w:pPr>
            <w:r>
              <w:rPr>
                <w:rFonts w:ascii="Arial" w:cs="Arial" w:eastAsia="Arial" w:hAnsi="Arial"/>
                <w:sz w:val="18"/>
                <w:szCs w:val="18"/>
                <w:color w:val="auto"/>
                <w:w w:val="94"/>
              </w:rPr>
              <w:t>1ML + 550 bps;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LIBOR floor of</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150 bps (1)</w:t>
            </w:r>
          </w:p>
        </w:tc>
        <w:tc>
          <w:tcPr>
            <w:tcW w:w="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Sept. 2016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314,229</w:t>
            </w: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SSTL (2)</w:t>
            </w:r>
          </w:p>
        </w:tc>
        <w:tc>
          <w:tcPr>
            <w:tcW w:w="78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20" w:type="dxa"/>
            <w:vAlign w:val="bottom"/>
            <w:shd w:val="clear" w:color="auto" w:fill="CCEECC"/>
          </w:tcPr>
          <w:p>
            <w:pPr>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CC"/>
          </w:tcPr>
          <w:p>
            <w:pPr>
              <w:spacing w:after="0"/>
              <w:rPr>
                <w:sz w:val="18"/>
                <w:szCs w:val="18"/>
                <w:color w:val="auto"/>
              </w:rPr>
            </w:pPr>
          </w:p>
        </w:tc>
        <w:tc>
          <w:tcPr>
            <w:tcW w:w="11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Feb. 2018</w:t>
            </w:r>
          </w:p>
        </w:tc>
        <w:tc>
          <w:tcPr>
            <w:tcW w:w="3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1,293,500</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800" w:type="dxa"/>
            <w:vAlign w:val="bottom"/>
            <w:gridSpan w:val="6"/>
          </w:tcPr>
          <w:p>
            <w:pPr>
              <w:ind w:left="160"/>
              <w:spacing w:after="0"/>
              <w:rPr>
                <w:sz w:val="20"/>
                <w:szCs w:val="20"/>
                <w:color w:val="auto"/>
              </w:rPr>
            </w:pPr>
            <w:r>
              <w:rPr>
                <w:rFonts w:ascii="Arial" w:cs="Arial" w:eastAsia="Arial" w:hAnsi="Arial"/>
                <w:sz w:val="18"/>
                <w:szCs w:val="18"/>
                <w:color w:val="auto"/>
              </w:rPr>
              <w:t>Senior unsecured term loan (3)</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1-Month Euro-</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90"/>
              </w:rPr>
              <w:t>dollar rate + 675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bps with a</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96"/>
              </w:rPr>
              <w:t>Eurodollar floor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of 150 bps</w:t>
            </w:r>
          </w:p>
        </w:tc>
        <w:tc>
          <w:tcPr>
            <w:tcW w:w="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Mar. 2017</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02"/>
        </w:trPr>
        <w:tc>
          <w:tcPr>
            <w:tcW w:w="2800" w:type="dxa"/>
            <w:vAlign w:val="bottom"/>
            <w:gridSpan w:val="6"/>
            <w:shd w:val="clear" w:color="auto" w:fill="CCEECC"/>
          </w:tcPr>
          <w:p>
            <w:pPr>
              <w:ind w:left="160"/>
              <w:spacing w:after="0" w:line="201" w:lineRule="exact"/>
              <w:rPr>
                <w:sz w:val="20"/>
                <w:szCs w:val="20"/>
                <w:color w:val="auto"/>
              </w:rPr>
            </w:pPr>
            <w:r>
              <w:rPr>
                <w:rFonts w:ascii="Arial" w:cs="Arial" w:eastAsia="Arial" w:hAnsi="Arial"/>
                <w:sz w:val="18"/>
                <w:szCs w:val="18"/>
                <w:color w:val="auto"/>
              </w:rPr>
              <w:t>Financing liability – MSRs</w:t>
            </w:r>
          </w:p>
        </w:tc>
        <w:tc>
          <w:tcPr>
            <w:tcW w:w="11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2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gridSpan w:val="3"/>
            <w:shd w:val="clear" w:color="auto" w:fill="CCEECC"/>
          </w:tcPr>
          <w:p>
            <w:pPr>
              <w:ind w:left="320"/>
              <w:spacing w:after="0"/>
              <w:rPr>
                <w:sz w:val="20"/>
                <w:szCs w:val="20"/>
                <w:color w:val="auto"/>
              </w:rPr>
            </w:pPr>
            <w:r>
              <w:rPr>
                <w:rFonts w:ascii="Arial" w:cs="Arial" w:eastAsia="Arial" w:hAnsi="Arial"/>
                <w:sz w:val="18"/>
                <w:szCs w:val="18"/>
                <w:color w:val="auto"/>
                <w:w w:val="90"/>
              </w:rPr>
              <w:t>pledged (4)</w:t>
            </w:r>
          </w:p>
        </w:tc>
        <w:tc>
          <w:tcPr>
            <w:tcW w:w="780" w:type="dxa"/>
            <w:vAlign w:val="bottom"/>
            <w:shd w:val="clear" w:color="auto" w:fill="CCEECC"/>
          </w:tcPr>
          <w:p>
            <w:pPr>
              <w:spacing w:after="0"/>
              <w:rPr>
                <w:sz w:val="20"/>
                <w:szCs w:val="20"/>
                <w:color w:val="auto"/>
              </w:rPr>
            </w:pPr>
          </w:p>
        </w:tc>
        <w:tc>
          <w:tcPr>
            <w:tcW w:w="520" w:type="dxa"/>
            <w:vAlign w:val="bottom"/>
            <w:shd w:val="clear" w:color="auto" w:fill="CCEECC"/>
          </w:tcPr>
          <w:p>
            <w:pPr>
              <w:spacing w:after="0"/>
              <w:rPr>
                <w:sz w:val="20"/>
                <w:szCs w:val="20"/>
                <w:color w:val="auto"/>
              </w:rPr>
            </w:pPr>
          </w:p>
        </w:tc>
        <w:tc>
          <w:tcPr>
            <w:tcW w:w="340" w:type="dxa"/>
            <w:vAlign w:val="bottom"/>
            <w:shd w:val="clear" w:color="auto" w:fill="CCEECC"/>
          </w:tcPr>
          <w:p>
            <w:pPr>
              <w:spacing w:after="0"/>
              <w:rPr>
                <w:sz w:val="20"/>
                <w:szCs w:val="20"/>
                <w:color w:val="auto"/>
              </w:rPr>
            </w:pPr>
          </w:p>
        </w:tc>
        <w:tc>
          <w:tcPr>
            <w:tcW w:w="14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MSRs (4)</w:t>
            </w:r>
          </w:p>
        </w:tc>
        <w:tc>
          <w:tcPr>
            <w:tcW w:w="1200" w:type="dxa"/>
            <w:vAlign w:val="bottom"/>
            <w:shd w:val="clear" w:color="auto" w:fill="CCEECC"/>
          </w:tcPr>
          <w:p>
            <w:pPr>
              <w:spacing w:after="0"/>
              <w:rPr>
                <w:sz w:val="20"/>
                <w:szCs w:val="20"/>
                <w:color w:val="auto"/>
              </w:rPr>
            </w:pPr>
            <w:r>
              <w:rPr>
                <w:rFonts w:ascii="Arial" w:cs="Arial" w:eastAsia="Arial" w:hAnsi="Arial"/>
                <w:sz w:val="18"/>
                <w:szCs w:val="18"/>
                <w:color w:val="auto"/>
              </w:rPr>
              <w:t>(4)</w:t>
            </w:r>
          </w:p>
        </w:tc>
        <w:tc>
          <w:tcPr>
            <w:tcW w:w="1480" w:type="dxa"/>
            <w:vAlign w:val="bottom"/>
            <w:gridSpan w:val="2"/>
            <w:shd w:val="clear" w:color="auto" w:fill="CCEECC"/>
          </w:tcPr>
          <w:p>
            <w:pPr>
              <w:jc w:val="center"/>
              <w:ind w:left="250"/>
              <w:spacing w:after="0"/>
              <w:rPr>
                <w:sz w:val="20"/>
                <w:szCs w:val="20"/>
                <w:color w:val="auto"/>
              </w:rPr>
            </w:pPr>
            <w:r>
              <w:rPr>
                <w:rFonts w:ascii="Arial" w:cs="Arial" w:eastAsia="Arial" w:hAnsi="Arial"/>
                <w:sz w:val="18"/>
                <w:szCs w:val="18"/>
                <w:color w:val="auto"/>
                <w:w w:val="99"/>
              </w:rPr>
              <w:t>(4)</w:t>
            </w:r>
          </w:p>
        </w:tc>
        <w:tc>
          <w:tcPr>
            <w:tcW w:w="3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643,595</w:t>
            </w:r>
          </w:p>
        </w:tc>
        <w:tc>
          <w:tcPr>
            <w:tcW w:w="20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303,705</w:t>
            </w:r>
          </w:p>
        </w:tc>
        <w:tc>
          <w:tcPr>
            <w:tcW w:w="0" w:type="dxa"/>
            <w:vAlign w:val="bottom"/>
          </w:tcPr>
          <w:p>
            <w:pPr>
              <w:spacing w:after="0"/>
              <w:rPr>
                <w:sz w:val="1"/>
                <w:szCs w:val="1"/>
                <w:color w:val="auto"/>
              </w:rPr>
            </w:pPr>
          </w:p>
        </w:tc>
      </w:tr>
      <w:tr>
        <w:trPr>
          <w:trHeight w:val="202"/>
        </w:trPr>
        <w:tc>
          <w:tcPr>
            <w:tcW w:w="2800" w:type="dxa"/>
            <w:vAlign w:val="bottom"/>
            <w:gridSpan w:val="6"/>
          </w:tcPr>
          <w:p>
            <w:pPr>
              <w:ind w:left="160"/>
              <w:spacing w:after="0" w:line="201" w:lineRule="exact"/>
              <w:rPr>
                <w:sz w:val="20"/>
                <w:szCs w:val="20"/>
                <w:color w:val="auto"/>
              </w:rPr>
            </w:pPr>
            <w:r>
              <w:rPr>
                <w:rFonts w:ascii="Arial" w:cs="Arial" w:eastAsia="Arial" w:hAnsi="Arial"/>
                <w:sz w:val="18"/>
                <w:szCs w:val="18"/>
                <w:color w:val="auto"/>
              </w:rPr>
              <w:t>Financing liability – MSRs</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gridSpan w:val="3"/>
          </w:tcPr>
          <w:p>
            <w:pPr>
              <w:ind w:left="320"/>
              <w:spacing w:after="0"/>
              <w:rPr>
                <w:sz w:val="20"/>
                <w:szCs w:val="20"/>
                <w:color w:val="auto"/>
              </w:rPr>
            </w:pPr>
            <w:r>
              <w:rPr>
                <w:rFonts w:ascii="Arial" w:cs="Arial" w:eastAsia="Arial" w:hAnsi="Arial"/>
                <w:sz w:val="18"/>
                <w:szCs w:val="18"/>
                <w:color w:val="auto"/>
                <w:w w:val="90"/>
              </w:rPr>
              <w:t>pledged (5)</w:t>
            </w: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MSRs (5)</w:t>
            </w:r>
          </w:p>
        </w:tc>
        <w:tc>
          <w:tcPr>
            <w:tcW w:w="1200" w:type="dxa"/>
            <w:vAlign w:val="bottom"/>
          </w:tcPr>
          <w:p>
            <w:pPr>
              <w:spacing w:after="0"/>
              <w:rPr>
                <w:sz w:val="20"/>
                <w:szCs w:val="20"/>
                <w:color w:val="auto"/>
              </w:rPr>
            </w:pPr>
            <w:r>
              <w:rPr>
                <w:rFonts w:ascii="Arial" w:cs="Arial" w:eastAsia="Arial" w:hAnsi="Arial"/>
                <w:sz w:val="18"/>
                <w:szCs w:val="18"/>
                <w:color w:val="auto"/>
              </w:rPr>
              <w:t>(5)</w:t>
            </w:r>
          </w:p>
        </w:tc>
        <w:tc>
          <w:tcPr>
            <w:tcW w:w="148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2800" w:type="dxa"/>
            <w:vAlign w:val="bottom"/>
            <w:gridSpan w:val="6"/>
            <w:shd w:val="clear" w:color="auto" w:fill="CCEECC"/>
          </w:tcPr>
          <w:p>
            <w:pPr>
              <w:ind w:left="160"/>
              <w:spacing w:after="0"/>
              <w:rPr>
                <w:sz w:val="20"/>
                <w:szCs w:val="20"/>
                <w:color w:val="auto"/>
              </w:rPr>
            </w:pPr>
            <w:r>
              <w:rPr>
                <w:rFonts w:ascii="Arial" w:cs="Arial" w:eastAsia="Arial" w:hAnsi="Arial"/>
                <w:sz w:val="18"/>
                <w:szCs w:val="18"/>
                <w:color w:val="auto"/>
              </w:rPr>
              <w:t>Promissory note (6)</w:t>
            </w:r>
          </w:p>
        </w:tc>
        <w:tc>
          <w:tcPr>
            <w:tcW w:w="14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MSRs</w:t>
            </w:r>
          </w:p>
        </w:tc>
        <w:tc>
          <w:tcPr>
            <w:tcW w:w="1200" w:type="dxa"/>
            <w:vAlign w:val="bottom"/>
            <w:shd w:val="clear" w:color="auto" w:fill="CCEECC"/>
          </w:tcPr>
          <w:p>
            <w:pPr>
              <w:spacing w:after="0"/>
              <w:rPr>
                <w:sz w:val="20"/>
                <w:szCs w:val="20"/>
                <w:color w:val="auto"/>
              </w:rPr>
            </w:pPr>
            <w:r>
              <w:rPr>
                <w:rFonts w:ascii="Arial" w:cs="Arial" w:eastAsia="Arial" w:hAnsi="Arial"/>
                <w:sz w:val="18"/>
                <w:szCs w:val="18"/>
                <w:color w:val="auto"/>
                <w:w w:val="98"/>
              </w:rPr>
              <w:t>1ML + 350 bps</w:t>
            </w:r>
          </w:p>
        </w:tc>
        <w:tc>
          <w:tcPr>
            <w:tcW w:w="340" w:type="dxa"/>
            <w:vAlign w:val="bottom"/>
            <w:shd w:val="clear" w:color="auto" w:fill="CCEECC"/>
          </w:tcPr>
          <w:p>
            <w:pPr>
              <w:spacing w:after="0"/>
              <w:rPr>
                <w:sz w:val="18"/>
                <w:szCs w:val="18"/>
                <w:color w:val="auto"/>
              </w:rPr>
            </w:pPr>
          </w:p>
        </w:tc>
        <w:tc>
          <w:tcPr>
            <w:tcW w:w="11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3"/>
              </w:rPr>
              <w:t>May 2017</w:t>
            </w:r>
          </w:p>
        </w:tc>
        <w:tc>
          <w:tcPr>
            <w:tcW w:w="3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17,163</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18,466</w:t>
            </w:r>
          </w:p>
        </w:tc>
        <w:tc>
          <w:tcPr>
            <w:tcW w:w="0" w:type="dxa"/>
            <w:vAlign w:val="bottom"/>
          </w:tcPr>
          <w:p>
            <w:pPr>
              <w:spacing w:after="0"/>
              <w:rPr>
                <w:sz w:val="1"/>
                <w:szCs w:val="1"/>
                <w:color w:val="auto"/>
              </w:rPr>
            </w:pPr>
          </w:p>
        </w:tc>
      </w:tr>
      <w:tr>
        <w:trPr>
          <w:trHeight w:val="202"/>
        </w:trPr>
        <w:tc>
          <w:tcPr>
            <w:tcW w:w="2800" w:type="dxa"/>
            <w:vAlign w:val="bottom"/>
            <w:gridSpan w:val="6"/>
          </w:tcPr>
          <w:p>
            <w:pPr>
              <w:ind w:left="160"/>
              <w:spacing w:after="0" w:line="201" w:lineRule="exact"/>
              <w:rPr>
                <w:sz w:val="20"/>
                <w:szCs w:val="20"/>
                <w:color w:val="auto"/>
              </w:rPr>
            </w:pPr>
            <w:r>
              <w:rPr>
                <w:rFonts w:ascii="Arial" w:cs="Arial" w:eastAsia="Arial" w:hAnsi="Arial"/>
                <w:sz w:val="18"/>
                <w:szCs w:val="18"/>
                <w:color w:val="auto"/>
              </w:rPr>
              <w:t>Repurchase agreement</w:t>
            </w:r>
          </w:p>
        </w:tc>
        <w:tc>
          <w:tcPr>
            <w:tcW w:w="1460" w:type="dxa"/>
            <w:vAlign w:val="bottom"/>
            <w:gridSpan w:val="2"/>
          </w:tcPr>
          <w:p>
            <w:pPr>
              <w:spacing w:after="0" w:line="201" w:lineRule="exact"/>
              <w:rPr>
                <w:sz w:val="20"/>
                <w:szCs w:val="20"/>
                <w:color w:val="auto"/>
              </w:rPr>
            </w:pPr>
            <w:r>
              <w:rPr>
                <w:rFonts w:ascii="Arial" w:cs="Arial" w:eastAsia="Arial" w:hAnsi="Arial"/>
                <w:sz w:val="18"/>
                <w:szCs w:val="18"/>
                <w:color w:val="auto"/>
              </w:rPr>
              <w:t>Loans held</w:t>
            </w: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1 ML + 250 –</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for sale</w:t>
            </w:r>
          </w:p>
        </w:tc>
        <w:tc>
          <w:tcPr>
            <w:tcW w:w="1200" w:type="dxa"/>
            <w:vAlign w:val="bottom"/>
          </w:tcPr>
          <w:p>
            <w:pPr>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(LHFS)</w:t>
            </w:r>
          </w:p>
        </w:tc>
        <w:tc>
          <w:tcPr>
            <w:tcW w:w="1200" w:type="dxa"/>
            <w:vAlign w:val="bottom"/>
          </w:tcPr>
          <w:p>
            <w:pPr>
              <w:spacing w:after="0"/>
              <w:rPr>
                <w:sz w:val="20"/>
                <w:szCs w:val="20"/>
                <w:color w:val="auto"/>
              </w:rPr>
            </w:pPr>
            <w:r>
              <w:rPr>
                <w:rFonts w:ascii="Arial" w:cs="Arial" w:eastAsia="Arial" w:hAnsi="Arial"/>
                <w:sz w:val="18"/>
                <w:szCs w:val="18"/>
                <w:color w:val="auto"/>
              </w:rPr>
              <w:t>bps</w:t>
            </w:r>
          </w:p>
        </w:tc>
        <w:tc>
          <w:tcPr>
            <w:tcW w:w="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Apr. 2014</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47,878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52,122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460" w:type="dxa"/>
            <w:vAlign w:val="bottom"/>
            <w:tcBorders>
              <w:top w:val="single" w:sz="8" w:color="CCEECC"/>
            </w:tcBorders>
            <w:shd w:val="clear" w:color="auto" w:fill="CCEECC"/>
          </w:tcPr>
          <w:p>
            <w:pPr>
              <w:spacing w:after="0"/>
              <w:rPr>
                <w:sz w:val="18"/>
                <w:szCs w:val="18"/>
                <w:color w:val="auto"/>
              </w:rPr>
            </w:pPr>
          </w:p>
        </w:tc>
        <w:tc>
          <w:tcPr>
            <w:tcW w:w="780" w:type="dxa"/>
            <w:vAlign w:val="bottom"/>
            <w:tcBorders>
              <w:top w:val="single" w:sz="8" w:color="CCEECC"/>
            </w:tcBorders>
            <w:shd w:val="clear" w:color="auto" w:fill="CCEECC"/>
          </w:tcPr>
          <w:p>
            <w:pPr>
              <w:spacing w:after="0"/>
              <w:rPr>
                <w:sz w:val="18"/>
                <w:szCs w:val="18"/>
                <w:color w:val="auto"/>
              </w:rPr>
            </w:pPr>
          </w:p>
        </w:tc>
        <w:tc>
          <w:tcPr>
            <w:tcW w:w="52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CCEECC"/>
            </w:tcBorders>
            <w:shd w:val="clear" w:color="auto" w:fill="CCEECC"/>
          </w:tcPr>
          <w:p>
            <w:pPr>
              <w:spacing w:after="0"/>
              <w:rPr>
                <w:sz w:val="18"/>
                <w:szCs w:val="18"/>
                <w:color w:val="auto"/>
              </w:rPr>
            </w:pPr>
          </w:p>
        </w:tc>
        <w:tc>
          <w:tcPr>
            <w:tcW w:w="112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CCEECC"/>
            </w:tcBorders>
            <w:shd w:val="clear" w:color="auto" w:fill="CCEECC"/>
          </w:tcPr>
          <w:p>
            <w:pPr>
              <w:spacing w:after="0"/>
              <w:rPr>
                <w:sz w:val="18"/>
                <w:szCs w:val="18"/>
                <w:color w:val="auto"/>
              </w:rPr>
            </w:pPr>
          </w:p>
        </w:tc>
        <w:tc>
          <w:tcPr>
            <w:tcW w:w="120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CCEECC"/>
            </w:tcBorders>
            <w:shd w:val="clear" w:color="auto" w:fill="CCEECC"/>
          </w:tcPr>
          <w:p>
            <w:pPr>
              <w:spacing w:after="0"/>
              <w:rPr>
                <w:sz w:val="18"/>
                <w:szCs w:val="18"/>
                <w:color w:val="auto"/>
              </w:rPr>
            </w:pPr>
          </w:p>
        </w:tc>
        <w:tc>
          <w:tcPr>
            <w:tcW w:w="114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47,878</w:t>
            </w:r>
          </w:p>
        </w:tc>
        <w:tc>
          <w:tcPr>
            <w:tcW w:w="220" w:type="dxa"/>
            <w:vAlign w:val="bottom"/>
            <w:tcBorders>
              <w:top w:val="single" w:sz="8" w:color="CCEECC"/>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2,006,380</w:t>
            </w:r>
          </w:p>
        </w:tc>
        <w:tc>
          <w:tcPr>
            <w:tcW w:w="2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714,003</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160" w:type="dxa"/>
            <w:vAlign w:val="bottom"/>
            <w:gridSpan w:val="3"/>
          </w:tcPr>
          <w:p>
            <w:pPr>
              <w:spacing w:after="0"/>
              <w:rPr>
                <w:sz w:val="20"/>
                <w:szCs w:val="20"/>
                <w:color w:val="auto"/>
              </w:rPr>
            </w:pPr>
            <w:r>
              <w:rPr>
                <w:rFonts w:ascii="Arial" w:cs="Arial" w:eastAsia="Arial" w:hAnsi="Arial"/>
                <w:sz w:val="18"/>
                <w:szCs w:val="18"/>
                <w:color w:val="auto"/>
              </w:rPr>
              <w:t>Lending:</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00" w:type="dxa"/>
            <w:vAlign w:val="bottom"/>
            <w:gridSpan w:val="6"/>
            <w:shd w:val="clear" w:color="auto" w:fill="CCEECC"/>
          </w:tcPr>
          <w:p>
            <w:pPr>
              <w:ind w:left="160"/>
              <w:spacing w:after="0" w:line="201" w:lineRule="exact"/>
              <w:rPr>
                <w:sz w:val="20"/>
                <w:szCs w:val="20"/>
                <w:color w:val="auto"/>
              </w:rPr>
            </w:pPr>
            <w:r>
              <w:rPr>
                <w:rFonts w:ascii="Arial" w:cs="Arial" w:eastAsia="Arial" w:hAnsi="Arial"/>
                <w:sz w:val="18"/>
                <w:szCs w:val="18"/>
                <w:color w:val="auto"/>
              </w:rPr>
              <w:t>Master repurchase agreement</w:t>
            </w:r>
          </w:p>
        </w:tc>
        <w:tc>
          <w:tcPr>
            <w:tcW w:w="11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2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CC"/>
          </w:tcPr>
          <w:p>
            <w:pPr>
              <w:spacing w:after="0"/>
              <w:rPr>
                <w:sz w:val="20"/>
                <w:szCs w:val="20"/>
                <w:color w:val="auto"/>
              </w:rPr>
            </w:pPr>
          </w:p>
        </w:tc>
        <w:tc>
          <w:tcPr>
            <w:tcW w:w="460" w:type="dxa"/>
            <w:vAlign w:val="bottom"/>
            <w:shd w:val="clear" w:color="auto" w:fill="CCEECC"/>
          </w:tcPr>
          <w:p>
            <w:pPr>
              <w:spacing w:after="0"/>
              <w:rPr>
                <w:sz w:val="20"/>
                <w:szCs w:val="20"/>
                <w:color w:val="auto"/>
              </w:rPr>
            </w:pPr>
          </w:p>
        </w:tc>
        <w:tc>
          <w:tcPr>
            <w:tcW w:w="780" w:type="dxa"/>
            <w:vAlign w:val="bottom"/>
            <w:shd w:val="clear" w:color="auto" w:fill="CCEECC"/>
          </w:tcPr>
          <w:p>
            <w:pPr>
              <w:spacing w:after="0"/>
              <w:rPr>
                <w:sz w:val="20"/>
                <w:szCs w:val="20"/>
                <w:color w:val="auto"/>
              </w:rPr>
            </w:pPr>
          </w:p>
        </w:tc>
        <w:tc>
          <w:tcPr>
            <w:tcW w:w="520" w:type="dxa"/>
            <w:vAlign w:val="bottom"/>
            <w:shd w:val="clear" w:color="auto" w:fill="CCEECC"/>
          </w:tcPr>
          <w:p>
            <w:pPr>
              <w:spacing w:after="0"/>
              <w:rPr>
                <w:sz w:val="20"/>
                <w:szCs w:val="20"/>
                <w:color w:val="auto"/>
              </w:rPr>
            </w:pPr>
          </w:p>
        </w:tc>
        <w:tc>
          <w:tcPr>
            <w:tcW w:w="340" w:type="dxa"/>
            <w:vAlign w:val="bottom"/>
            <w:shd w:val="clear" w:color="auto" w:fill="CCEECC"/>
          </w:tcPr>
          <w:p>
            <w:pPr>
              <w:spacing w:after="0"/>
              <w:rPr>
                <w:sz w:val="20"/>
                <w:szCs w:val="20"/>
                <w:color w:val="auto"/>
              </w:rPr>
            </w:pPr>
          </w:p>
        </w:tc>
        <w:tc>
          <w:tcPr>
            <w:tcW w:w="14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LHFS</w:t>
            </w:r>
          </w:p>
        </w:tc>
        <w:tc>
          <w:tcPr>
            <w:tcW w:w="1200" w:type="dxa"/>
            <w:vAlign w:val="bottom"/>
            <w:shd w:val="clear" w:color="auto" w:fill="CCEECC"/>
          </w:tcPr>
          <w:p>
            <w:pPr>
              <w:spacing w:after="0"/>
              <w:rPr>
                <w:sz w:val="20"/>
                <w:szCs w:val="20"/>
                <w:color w:val="auto"/>
              </w:rPr>
            </w:pPr>
            <w:r>
              <w:rPr>
                <w:rFonts w:ascii="Arial" w:cs="Arial" w:eastAsia="Arial" w:hAnsi="Arial"/>
                <w:sz w:val="18"/>
                <w:szCs w:val="18"/>
                <w:color w:val="auto"/>
                <w:w w:val="98"/>
              </w:rPr>
              <w:t>1ML + 175 bps</w:t>
            </w:r>
          </w:p>
        </w:tc>
        <w:tc>
          <w:tcPr>
            <w:tcW w:w="340" w:type="dxa"/>
            <w:vAlign w:val="bottom"/>
            <w:shd w:val="clear" w:color="auto" w:fill="CCEECC"/>
          </w:tcPr>
          <w:p>
            <w:pPr>
              <w:spacing w:after="0"/>
              <w:rPr>
                <w:sz w:val="20"/>
                <w:szCs w:val="20"/>
                <w:color w:val="auto"/>
              </w:rPr>
            </w:pPr>
          </w:p>
        </w:tc>
        <w:tc>
          <w:tcPr>
            <w:tcW w:w="11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1"/>
              </w:rPr>
              <w:t>Mar. 2014</w:t>
            </w:r>
          </w:p>
        </w:tc>
        <w:tc>
          <w:tcPr>
            <w:tcW w:w="3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230,085</w:t>
            </w:r>
          </w:p>
        </w:tc>
        <w:tc>
          <w:tcPr>
            <w:tcW w:w="24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69,915</w:t>
            </w:r>
          </w:p>
        </w:tc>
        <w:tc>
          <w:tcPr>
            <w:tcW w:w="20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88,122</w:t>
            </w:r>
          </w:p>
        </w:tc>
        <w:tc>
          <w:tcPr>
            <w:tcW w:w="0" w:type="dxa"/>
            <w:vAlign w:val="bottom"/>
          </w:tcPr>
          <w:p>
            <w:pPr>
              <w:spacing w:after="0"/>
              <w:rPr>
                <w:sz w:val="1"/>
                <w:szCs w:val="1"/>
                <w:color w:val="auto"/>
              </w:rPr>
            </w:pPr>
          </w:p>
        </w:tc>
      </w:tr>
      <w:tr>
        <w:trPr>
          <w:trHeight w:val="216"/>
        </w:trPr>
        <w:tc>
          <w:tcPr>
            <w:tcW w:w="2800" w:type="dxa"/>
            <w:vAlign w:val="bottom"/>
            <w:gridSpan w:val="6"/>
          </w:tcPr>
          <w:p>
            <w:pPr>
              <w:ind w:left="160"/>
              <w:spacing w:after="0"/>
              <w:rPr>
                <w:sz w:val="20"/>
                <w:szCs w:val="20"/>
                <w:color w:val="auto"/>
              </w:rPr>
            </w:pPr>
            <w:r>
              <w:rPr>
                <w:rFonts w:ascii="Arial" w:cs="Arial" w:eastAsia="Arial" w:hAnsi="Arial"/>
                <w:sz w:val="18"/>
                <w:szCs w:val="18"/>
                <w:color w:val="auto"/>
              </w:rPr>
              <w:t>Participation agreement (8)</w:t>
            </w:r>
          </w:p>
        </w:tc>
        <w:tc>
          <w:tcPr>
            <w:tcW w:w="1460" w:type="dxa"/>
            <w:vAlign w:val="bottom"/>
            <w:gridSpan w:val="2"/>
          </w:tcPr>
          <w:p>
            <w:pPr>
              <w:spacing w:after="0"/>
              <w:rPr>
                <w:sz w:val="20"/>
                <w:szCs w:val="20"/>
                <w:color w:val="auto"/>
              </w:rPr>
            </w:pPr>
            <w:r>
              <w:rPr>
                <w:rFonts w:ascii="Arial" w:cs="Arial" w:eastAsia="Arial" w:hAnsi="Arial"/>
                <w:sz w:val="18"/>
                <w:szCs w:val="18"/>
                <w:color w:val="auto"/>
              </w:rPr>
              <w:t>LHFS</w:t>
            </w:r>
          </w:p>
        </w:tc>
        <w:tc>
          <w:tcPr>
            <w:tcW w:w="1200" w:type="dxa"/>
            <w:vAlign w:val="bottom"/>
          </w:tcPr>
          <w:p>
            <w:pPr>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May 2014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19,588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58,938</w:t>
            </w:r>
          </w:p>
        </w:tc>
        <w:tc>
          <w:tcPr>
            <w:tcW w:w="0" w:type="dxa"/>
            <w:vAlign w:val="bottom"/>
          </w:tcPr>
          <w:p>
            <w:pPr>
              <w:spacing w:after="0"/>
              <w:rPr>
                <w:sz w:val="1"/>
                <w:szCs w:val="1"/>
                <w:color w:val="auto"/>
              </w:rPr>
            </w:pPr>
          </w:p>
        </w:tc>
      </w:tr>
      <w:tr>
        <w:trPr>
          <w:trHeight w:val="202"/>
        </w:trPr>
        <w:tc>
          <w:tcPr>
            <w:tcW w:w="2800" w:type="dxa"/>
            <w:vAlign w:val="bottom"/>
            <w:gridSpan w:val="6"/>
            <w:shd w:val="clear" w:color="auto" w:fill="CCEECC"/>
          </w:tcPr>
          <w:p>
            <w:pPr>
              <w:ind w:left="160"/>
              <w:spacing w:after="0" w:line="201" w:lineRule="exact"/>
              <w:rPr>
                <w:sz w:val="20"/>
                <w:szCs w:val="20"/>
                <w:color w:val="auto"/>
              </w:rPr>
            </w:pPr>
            <w:r>
              <w:rPr>
                <w:rFonts w:ascii="Arial" w:cs="Arial" w:eastAsia="Arial" w:hAnsi="Arial"/>
                <w:sz w:val="18"/>
                <w:szCs w:val="18"/>
                <w:color w:val="auto"/>
              </w:rPr>
              <w:t>Master repurchase agreement</w:t>
            </w:r>
          </w:p>
        </w:tc>
        <w:tc>
          <w:tcPr>
            <w:tcW w:w="11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20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1ML + 175 to</w:t>
            </w:r>
          </w:p>
        </w:tc>
        <w:tc>
          <w:tcPr>
            <w:tcW w:w="3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CC"/>
          </w:tcPr>
          <w:p>
            <w:pPr>
              <w:spacing w:after="0"/>
              <w:rPr>
                <w:sz w:val="18"/>
                <w:szCs w:val="18"/>
                <w:color w:val="auto"/>
              </w:rPr>
            </w:pPr>
          </w:p>
        </w:tc>
        <w:tc>
          <w:tcPr>
            <w:tcW w:w="46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20"/>
                <w:szCs w:val="20"/>
                <w:color w:val="auto"/>
              </w:rPr>
            </w:pPr>
            <w:r>
              <w:rPr>
                <w:rFonts w:ascii="Arial" w:cs="Arial" w:eastAsia="Arial" w:hAnsi="Arial"/>
                <w:sz w:val="18"/>
                <w:szCs w:val="18"/>
                <w:color w:val="auto"/>
              </w:rPr>
              <w:t>275</w:t>
            </w:r>
          </w:p>
        </w:tc>
        <w:tc>
          <w:tcPr>
            <w:tcW w:w="3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460" w:type="dxa"/>
            <w:vAlign w:val="bottom"/>
            <w:shd w:val="clear" w:color="auto" w:fill="CCEECC"/>
          </w:tcPr>
          <w:p>
            <w:pPr>
              <w:spacing w:after="0"/>
              <w:rPr>
                <w:sz w:val="20"/>
                <w:szCs w:val="20"/>
                <w:color w:val="auto"/>
              </w:rPr>
            </w:pPr>
          </w:p>
        </w:tc>
        <w:tc>
          <w:tcPr>
            <w:tcW w:w="780" w:type="dxa"/>
            <w:vAlign w:val="bottom"/>
            <w:shd w:val="clear" w:color="auto" w:fill="CCEECC"/>
          </w:tcPr>
          <w:p>
            <w:pPr>
              <w:spacing w:after="0"/>
              <w:rPr>
                <w:sz w:val="20"/>
                <w:szCs w:val="20"/>
                <w:color w:val="auto"/>
              </w:rPr>
            </w:pPr>
          </w:p>
        </w:tc>
        <w:tc>
          <w:tcPr>
            <w:tcW w:w="520" w:type="dxa"/>
            <w:vAlign w:val="bottom"/>
            <w:shd w:val="clear" w:color="auto" w:fill="CCEECC"/>
          </w:tcPr>
          <w:p>
            <w:pPr>
              <w:spacing w:after="0"/>
              <w:rPr>
                <w:sz w:val="20"/>
                <w:szCs w:val="20"/>
                <w:color w:val="auto"/>
              </w:rPr>
            </w:pPr>
          </w:p>
        </w:tc>
        <w:tc>
          <w:tcPr>
            <w:tcW w:w="340" w:type="dxa"/>
            <w:vAlign w:val="bottom"/>
            <w:shd w:val="clear" w:color="auto" w:fill="CCEECC"/>
          </w:tcPr>
          <w:p>
            <w:pPr>
              <w:spacing w:after="0"/>
              <w:rPr>
                <w:sz w:val="20"/>
                <w:szCs w:val="20"/>
                <w:color w:val="auto"/>
              </w:rPr>
            </w:pPr>
          </w:p>
        </w:tc>
        <w:tc>
          <w:tcPr>
            <w:tcW w:w="14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LHFS</w:t>
            </w:r>
          </w:p>
        </w:tc>
        <w:tc>
          <w:tcPr>
            <w:tcW w:w="1200" w:type="dxa"/>
            <w:vAlign w:val="bottom"/>
            <w:shd w:val="clear" w:color="auto" w:fill="CCEECC"/>
          </w:tcPr>
          <w:p>
            <w:pPr>
              <w:spacing w:after="0"/>
              <w:rPr>
                <w:sz w:val="20"/>
                <w:szCs w:val="20"/>
                <w:color w:val="auto"/>
              </w:rPr>
            </w:pPr>
            <w:r>
              <w:rPr>
                <w:rFonts w:ascii="Arial" w:cs="Arial" w:eastAsia="Arial" w:hAnsi="Arial"/>
                <w:sz w:val="18"/>
                <w:szCs w:val="18"/>
                <w:color w:val="auto"/>
              </w:rPr>
              <w:t>bps</w:t>
            </w:r>
          </w:p>
        </w:tc>
        <w:tc>
          <w:tcPr>
            <w:tcW w:w="340" w:type="dxa"/>
            <w:vAlign w:val="bottom"/>
            <w:shd w:val="clear" w:color="auto" w:fill="CCEECC"/>
          </w:tcPr>
          <w:p>
            <w:pPr>
              <w:spacing w:after="0"/>
              <w:rPr>
                <w:sz w:val="20"/>
                <w:szCs w:val="20"/>
                <w:color w:val="auto"/>
              </w:rPr>
            </w:pPr>
          </w:p>
        </w:tc>
        <w:tc>
          <w:tcPr>
            <w:tcW w:w="11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2"/>
              </w:rPr>
              <w:t>Aug. 2014</w:t>
            </w:r>
          </w:p>
        </w:tc>
        <w:tc>
          <w:tcPr>
            <w:tcW w:w="3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60,989</w:t>
            </w:r>
          </w:p>
        </w:tc>
        <w:tc>
          <w:tcPr>
            <w:tcW w:w="24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89,011</w:t>
            </w:r>
          </w:p>
        </w:tc>
        <w:tc>
          <w:tcPr>
            <w:tcW w:w="20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133,995</w:t>
            </w:r>
          </w:p>
        </w:tc>
        <w:tc>
          <w:tcPr>
            <w:tcW w:w="0" w:type="dxa"/>
            <w:vAlign w:val="bottom"/>
          </w:tcPr>
          <w:p>
            <w:pPr>
              <w:spacing w:after="0"/>
              <w:rPr>
                <w:sz w:val="1"/>
                <w:szCs w:val="1"/>
                <w:color w:val="auto"/>
              </w:rPr>
            </w:pPr>
          </w:p>
        </w:tc>
      </w:tr>
      <w:tr>
        <w:trPr>
          <w:trHeight w:val="202"/>
        </w:trPr>
        <w:tc>
          <w:tcPr>
            <w:tcW w:w="2800" w:type="dxa"/>
            <w:vAlign w:val="bottom"/>
            <w:gridSpan w:val="6"/>
          </w:tcPr>
          <w:p>
            <w:pPr>
              <w:ind w:left="160"/>
              <w:spacing w:after="0" w:line="201" w:lineRule="exact"/>
              <w:rPr>
                <w:sz w:val="20"/>
                <w:szCs w:val="20"/>
                <w:color w:val="auto"/>
              </w:rPr>
            </w:pPr>
            <w:r>
              <w:rPr>
                <w:rFonts w:ascii="Arial" w:cs="Arial" w:eastAsia="Arial" w:hAnsi="Arial"/>
                <w:sz w:val="18"/>
                <w:szCs w:val="18"/>
                <w:color w:val="auto"/>
              </w:rPr>
              <w:t>Master repurchase agreement</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1ML + 175 to</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ind w:left="320"/>
              <w:spacing w:after="0"/>
              <w:rPr>
                <w:sz w:val="20"/>
                <w:szCs w:val="20"/>
                <w:color w:val="auto"/>
              </w:rPr>
            </w:pPr>
            <w:r>
              <w:rPr>
                <w:rFonts w:ascii="Arial" w:cs="Arial" w:eastAsia="Arial" w:hAnsi="Arial"/>
                <w:sz w:val="18"/>
                <w:szCs w:val="18"/>
                <w:color w:val="auto"/>
                <w:w w:val="99"/>
              </w:rPr>
              <w:t>(10)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LHFS</w:t>
            </w:r>
          </w:p>
        </w:tc>
        <w:tc>
          <w:tcPr>
            <w:tcW w:w="1200" w:type="dxa"/>
            <w:vAlign w:val="bottom"/>
          </w:tcPr>
          <w:p>
            <w:pPr>
              <w:spacing w:after="0"/>
              <w:rPr>
                <w:sz w:val="20"/>
                <w:szCs w:val="20"/>
                <w:color w:val="auto"/>
              </w:rPr>
            </w:pPr>
            <w:r>
              <w:rPr>
                <w:rFonts w:ascii="Arial" w:cs="Arial" w:eastAsia="Arial" w:hAnsi="Arial"/>
                <w:sz w:val="18"/>
                <w:szCs w:val="18"/>
                <w:color w:val="auto"/>
              </w:rPr>
              <w:t>bps</w:t>
            </w:r>
          </w:p>
        </w:tc>
        <w:tc>
          <w:tcPr>
            <w:tcW w:w="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Sep. 2014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265,898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34,102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107,020</w:t>
            </w:r>
          </w:p>
        </w:tc>
        <w:tc>
          <w:tcPr>
            <w:tcW w:w="0" w:type="dxa"/>
            <w:vAlign w:val="bottom"/>
          </w:tcPr>
          <w:p>
            <w:pPr>
              <w:spacing w:after="0"/>
              <w:rPr>
                <w:sz w:val="1"/>
                <w:szCs w:val="1"/>
                <w:color w:val="auto"/>
              </w:rPr>
            </w:pPr>
          </w:p>
        </w:tc>
      </w:tr>
      <w:tr>
        <w:trPr>
          <w:trHeight w:val="202"/>
        </w:trPr>
        <w:tc>
          <w:tcPr>
            <w:tcW w:w="2800" w:type="dxa"/>
            <w:vAlign w:val="bottom"/>
            <w:gridSpan w:val="6"/>
            <w:shd w:val="clear" w:color="auto" w:fill="CCEECC"/>
          </w:tcPr>
          <w:p>
            <w:pPr>
              <w:ind w:left="160"/>
              <w:spacing w:after="0" w:line="201" w:lineRule="exact"/>
              <w:rPr>
                <w:sz w:val="20"/>
                <w:szCs w:val="20"/>
                <w:color w:val="auto"/>
              </w:rPr>
            </w:pPr>
            <w:r>
              <w:rPr>
                <w:rFonts w:ascii="Arial" w:cs="Arial" w:eastAsia="Arial" w:hAnsi="Arial"/>
                <w:sz w:val="18"/>
                <w:szCs w:val="18"/>
                <w:color w:val="auto"/>
              </w:rPr>
              <w:t>Master repurchase agreement</w:t>
            </w:r>
          </w:p>
        </w:tc>
        <w:tc>
          <w:tcPr>
            <w:tcW w:w="11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2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CC"/>
          </w:tcPr>
          <w:p>
            <w:pPr>
              <w:ind w:left="320"/>
              <w:spacing w:after="0"/>
              <w:rPr>
                <w:sz w:val="20"/>
                <w:szCs w:val="20"/>
                <w:color w:val="auto"/>
              </w:rPr>
            </w:pPr>
            <w:r>
              <w:rPr>
                <w:rFonts w:ascii="Arial" w:cs="Arial" w:eastAsia="Arial" w:hAnsi="Arial"/>
                <w:sz w:val="18"/>
                <w:szCs w:val="18"/>
                <w:color w:val="auto"/>
                <w:w w:val="99"/>
              </w:rPr>
              <w:t>(11)</w:t>
            </w:r>
          </w:p>
        </w:tc>
        <w:tc>
          <w:tcPr>
            <w:tcW w:w="40" w:type="dxa"/>
            <w:vAlign w:val="bottom"/>
            <w:shd w:val="clear" w:color="auto" w:fill="CCEECC"/>
          </w:tcPr>
          <w:p>
            <w:pPr>
              <w:spacing w:after="0"/>
              <w:rPr>
                <w:sz w:val="20"/>
                <w:szCs w:val="20"/>
                <w:color w:val="auto"/>
              </w:rPr>
            </w:pPr>
          </w:p>
        </w:tc>
        <w:tc>
          <w:tcPr>
            <w:tcW w:w="460" w:type="dxa"/>
            <w:vAlign w:val="bottom"/>
            <w:shd w:val="clear" w:color="auto" w:fill="CCEECC"/>
          </w:tcPr>
          <w:p>
            <w:pPr>
              <w:spacing w:after="0"/>
              <w:rPr>
                <w:sz w:val="20"/>
                <w:szCs w:val="20"/>
                <w:color w:val="auto"/>
              </w:rPr>
            </w:pPr>
          </w:p>
        </w:tc>
        <w:tc>
          <w:tcPr>
            <w:tcW w:w="780" w:type="dxa"/>
            <w:vAlign w:val="bottom"/>
            <w:shd w:val="clear" w:color="auto" w:fill="CCEECC"/>
          </w:tcPr>
          <w:p>
            <w:pPr>
              <w:spacing w:after="0"/>
              <w:rPr>
                <w:sz w:val="20"/>
                <w:szCs w:val="20"/>
                <w:color w:val="auto"/>
              </w:rPr>
            </w:pPr>
          </w:p>
        </w:tc>
        <w:tc>
          <w:tcPr>
            <w:tcW w:w="520" w:type="dxa"/>
            <w:vAlign w:val="bottom"/>
            <w:shd w:val="clear" w:color="auto" w:fill="CCEECC"/>
          </w:tcPr>
          <w:p>
            <w:pPr>
              <w:spacing w:after="0"/>
              <w:rPr>
                <w:sz w:val="20"/>
                <w:szCs w:val="20"/>
                <w:color w:val="auto"/>
              </w:rPr>
            </w:pPr>
          </w:p>
        </w:tc>
        <w:tc>
          <w:tcPr>
            <w:tcW w:w="340" w:type="dxa"/>
            <w:vAlign w:val="bottom"/>
            <w:shd w:val="clear" w:color="auto" w:fill="CCEECC"/>
          </w:tcPr>
          <w:p>
            <w:pPr>
              <w:spacing w:after="0"/>
              <w:rPr>
                <w:sz w:val="20"/>
                <w:szCs w:val="20"/>
                <w:color w:val="auto"/>
              </w:rPr>
            </w:pPr>
          </w:p>
        </w:tc>
        <w:tc>
          <w:tcPr>
            <w:tcW w:w="14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LHFS</w:t>
            </w:r>
          </w:p>
        </w:tc>
        <w:tc>
          <w:tcPr>
            <w:tcW w:w="1200" w:type="dxa"/>
            <w:vAlign w:val="bottom"/>
            <w:shd w:val="clear" w:color="auto" w:fill="CCEECC"/>
          </w:tcPr>
          <w:p>
            <w:pPr>
              <w:spacing w:after="0"/>
              <w:rPr>
                <w:sz w:val="20"/>
                <w:szCs w:val="20"/>
                <w:color w:val="auto"/>
              </w:rPr>
            </w:pPr>
            <w:r>
              <w:rPr>
                <w:rFonts w:ascii="Arial" w:cs="Arial" w:eastAsia="Arial" w:hAnsi="Arial"/>
                <w:sz w:val="18"/>
                <w:szCs w:val="18"/>
                <w:color w:val="auto"/>
                <w:w w:val="98"/>
              </w:rPr>
              <w:t>1ML + 275 bps</w:t>
            </w:r>
          </w:p>
        </w:tc>
        <w:tc>
          <w:tcPr>
            <w:tcW w:w="340" w:type="dxa"/>
            <w:vAlign w:val="bottom"/>
            <w:shd w:val="clear" w:color="auto" w:fill="CCEECC"/>
          </w:tcPr>
          <w:p>
            <w:pPr>
              <w:spacing w:after="0"/>
              <w:rPr>
                <w:sz w:val="20"/>
                <w:szCs w:val="20"/>
                <w:color w:val="auto"/>
              </w:rPr>
            </w:pPr>
          </w:p>
        </w:tc>
        <w:tc>
          <w:tcPr>
            <w:tcW w:w="11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0"/>
              </w:rPr>
              <w:t>Nov. 2013</w:t>
            </w:r>
          </w:p>
        </w:tc>
        <w:tc>
          <w:tcPr>
            <w:tcW w:w="3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21,873</w:t>
            </w:r>
          </w:p>
        </w:tc>
        <w:tc>
          <w:tcPr>
            <w:tcW w:w="24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78,127</w:t>
            </w:r>
          </w:p>
        </w:tc>
        <w:tc>
          <w:tcPr>
            <w:tcW w:w="20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00" w:type="dxa"/>
            <w:vAlign w:val="bottom"/>
            <w:gridSpan w:val="6"/>
          </w:tcPr>
          <w:p>
            <w:pPr>
              <w:ind w:left="160"/>
              <w:spacing w:after="0" w:line="201" w:lineRule="exact"/>
              <w:rPr>
                <w:sz w:val="20"/>
                <w:szCs w:val="20"/>
                <w:color w:val="auto"/>
              </w:rPr>
            </w:pPr>
            <w:r>
              <w:rPr>
                <w:rFonts w:ascii="Arial" w:cs="Arial" w:eastAsia="Arial" w:hAnsi="Arial"/>
                <w:sz w:val="18"/>
                <w:szCs w:val="18"/>
                <w:color w:val="auto"/>
              </w:rPr>
              <w:t>Financing liability – MSRs</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gridSpan w:val="3"/>
          </w:tcPr>
          <w:p>
            <w:pPr>
              <w:ind w:left="320"/>
              <w:spacing w:after="0"/>
              <w:rPr>
                <w:sz w:val="20"/>
                <w:szCs w:val="20"/>
                <w:color w:val="auto"/>
              </w:rPr>
            </w:pPr>
            <w:r>
              <w:rPr>
                <w:rFonts w:ascii="Arial" w:cs="Arial" w:eastAsia="Arial" w:hAnsi="Arial"/>
                <w:sz w:val="18"/>
                <w:szCs w:val="18"/>
                <w:color w:val="auto"/>
                <w:w w:val="90"/>
              </w:rPr>
              <w:t>pledged (5)</w:t>
            </w: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MSRs (5)</w:t>
            </w:r>
          </w:p>
        </w:tc>
        <w:tc>
          <w:tcPr>
            <w:tcW w:w="1200" w:type="dxa"/>
            <w:vAlign w:val="bottom"/>
          </w:tcPr>
          <w:p>
            <w:pPr>
              <w:spacing w:after="0"/>
              <w:rPr>
                <w:sz w:val="20"/>
                <w:szCs w:val="20"/>
                <w:color w:val="auto"/>
              </w:rPr>
            </w:pPr>
            <w:r>
              <w:rPr>
                <w:rFonts w:ascii="Arial" w:cs="Arial" w:eastAsia="Arial" w:hAnsi="Arial"/>
                <w:sz w:val="18"/>
                <w:szCs w:val="18"/>
                <w:color w:val="auto"/>
              </w:rPr>
              <w:t>(5)</w:t>
            </w:r>
          </w:p>
        </w:tc>
        <w:tc>
          <w:tcPr>
            <w:tcW w:w="148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10,403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460" w:type="dxa"/>
            <w:vAlign w:val="bottom"/>
            <w:shd w:val="clear" w:color="auto" w:fill="CCEECC"/>
          </w:tcPr>
          <w:p>
            <w:pPr>
              <w:spacing w:after="0"/>
              <w:rPr>
                <w:sz w:val="17"/>
                <w:szCs w:val="17"/>
                <w:color w:val="auto"/>
              </w:rPr>
            </w:pPr>
          </w:p>
        </w:tc>
        <w:tc>
          <w:tcPr>
            <w:tcW w:w="780" w:type="dxa"/>
            <w:vAlign w:val="bottom"/>
            <w:shd w:val="clear" w:color="auto" w:fill="CCEECC"/>
          </w:tcPr>
          <w:p>
            <w:pPr>
              <w:spacing w:after="0"/>
              <w:rPr>
                <w:sz w:val="17"/>
                <w:szCs w:val="17"/>
                <w:color w:val="auto"/>
              </w:rPr>
            </w:pPr>
          </w:p>
        </w:tc>
        <w:tc>
          <w:tcPr>
            <w:tcW w:w="5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12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20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1 ML + 275</w:t>
            </w:r>
          </w:p>
        </w:tc>
        <w:tc>
          <w:tcPr>
            <w:tcW w:w="3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6"/>
            <w:shd w:val="clear" w:color="auto" w:fill="CCEECC"/>
          </w:tcPr>
          <w:p>
            <w:pPr>
              <w:ind w:left="160"/>
              <w:spacing w:after="0"/>
              <w:rPr>
                <w:sz w:val="20"/>
                <w:szCs w:val="20"/>
                <w:color w:val="auto"/>
              </w:rPr>
            </w:pPr>
            <w:r>
              <w:rPr>
                <w:rFonts w:ascii="Arial" w:cs="Arial" w:eastAsia="Arial" w:hAnsi="Arial"/>
                <w:sz w:val="18"/>
                <w:szCs w:val="18"/>
                <w:color w:val="auto"/>
              </w:rPr>
              <w:t>Mortgage warehouse</w:t>
            </w:r>
          </w:p>
        </w:tc>
        <w:tc>
          <w:tcPr>
            <w:tcW w:w="11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20"/>
                <w:szCs w:val="20"/>
                <w:color w:val="auto"/>
              </w:rPr>
            </w:pPr>
            <w:r>
              <w:rPr>
                <w:rFonts w:ascii="Arial" w:cs="Arial" w:eastAsia="Arial" w:hAnsi="Arial"/>
                <w:sz w:val="18"/>
                <w:szCs w:val="18"/>
                <w:color w:val="auto"/>
              </w:rPr>
              <w:t>bps;</w:t>
            </w:r>
          </w:p>
        </w:tc>
        <w:tc>
          <w:tcPr>
            <w:tcW w:w="3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3"/>
            <w:shd w:val="clear" w:color="auto" w:fill="CCEECC"/>
          </w:tcPr>
          <w:p>
            <w:pPr>
              <w:ind w:left="320"/>
              <w:spacing w:after="0"/>
              <w:rPr>
                <w:sz w:val="20"/>
                <w:szCs w:val="20"/>
                <w:color w:val="auto"/>
              </w:rPr>
            </w:pPr>
            <w:r>
              <w:rPr>
                <w:rFonts w:ascii="Arial" w:cs="Arial" w:eastAsia="Arial" w:hAnsi="Arial"/>
                <w:sz w:val="18"/>
                <w:szCs w:val="18"/>
                <w:color w:val="auto"/>
                <w:w w:val="95"/>
              </w:rPr>
              <w:t>agreement</w:t>
            </w:r>
          </w:p>
        </w:tc>
        <w:tc>
          <w:tcPr>
            <w:tcW w:w="780" w:type="dxa"/>
            <w:vAlign w:val="bottom"/>
            <w:shd w:val="clear" w:color="auto" w:fill="CCEECC"/>
          </w:tcPr>
          <w:p>
            <w:pPr>
              <w:spacing w:after="0"/>
              <w:rPr>
                <w:sz w:val="20"/>
                <w:szCs w:val="20"/>
                <w:color w:val="auto"/>
              </w:rPr>
            </w:pPr>
          </w:p>
        </w:tc>
        <w:tc>
          <w:tcPr>
            <w:tcW w:w="520" w:type="dxa"/>
            <w:vAlign w:val="bottom"/>
            <w:shd w:val="clear" w:color="auto" w:fill="CCEECC"/>
          </w:tcPr>
          <w:p>
            <w:pPr>
              <w:spacing w:after="0"/>
              <w:rPr>
                <w:sz w:val="20"/>
                <w:szCs w:val="20"/>
                <w:color w:val="auto"/>
              </w:rPr>
            </w:pPr>
          </w:p>
        </w:tc>
        <w:tc>
          <w:tcPr>
            <w:tcW w:w="340" w:type="dxa"/>
            <w:vAlign w:val="bottom"/>
            <w:shd w:val="clear" w:color="auto" w:fill="CCEECC"/>
          </w:tcPr>
          <w:p>
            <w:pPr>
              <w:spacing w:after="0"/>
              <w:rPr>
                <w:sz w:val="20"/>
                <w:szCs w:val="20"/>
                <w:color w:val="auto"/>
              </w:rPr>
            </w:pPr>
          </w:p>
        </w:tc>
        <w:tc>
          <w:tcPr>
            <w:tcW w:w="14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LHFS</w:t>
            </w:r>
          </w:p>
        </w:tc>
        <w:tc>
          <w:tcPr>
            <w:tcW w:w="1200" w:type="dxa"/>
            <w:vAlign w:val="bottom"/>
            <w:shd w:val="clear" w:color="auto" w:fill="CCEECC"/>
          </w:tcPr>
          <w:p>
            <w:pPr>
              <w:spacing w:after="0"/>
              <w:rPr>
                <w:sz w:val="20"/>
                <w:szCs w:val="20"/>
                <w:color w:val="auto"/>
              </w:rPr>
            </w:pPr>
            <w:r>
              <w:rPr>
                <w:rFonts w:ascii="Arial" w:cs="Arial" w:eastAsia="Arial" w:hAnsi="Arial"/>
                <w:sz w:val="18"/>
                <w:szCs w:val="18"/>
                <w:color w:val="auto"/>
              </w:rPr>
              <w:t>floor of 3.50%</w:t>
            </w:r>
          </w:p>
        </w:tc>
        <w:tc>
          <w:tcPr>
            <w:tcW w:w="340" w:type="dxa"/>
            <w:vAlign w:val="bottom"/>
            <w:shd w:val="clear" w:color="auto" w:fill="CCEECC"/>
          </w:tcPr>
          <w:p>
            <w:pPr>
              <w:spacing w:after="0"/>
              <w:rPr>
                <w:sz w:val="20"/>
                <w:szCs w:val="20"/>
                <w:color w:val="auto"/>
              </w:rPr>
            </w:pPr>
          </w:p>
        </w:tc>
        <w:tc>
          <w:tcPr>
            <w:tcW w:w="11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Jun. 2014</w:t>
            </w:r>
          </w:p>
        </w:tc>
        <w:tc>
          <w:tcPr>
            <w:tcW w:w="3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56,755</w:t>
            </w:r>
          </w:p>
        </w:tc>
        <w:tc>
          <w:tcPr>
            <w:tcW w:w="24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3,245</w:t>
            </w:r>
          </w:p>
        </w:tc>
        <w:tc>
          <w:tcPr>
            <w:tcW w:w="20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spacing w:after="0" w:line="201" w:lineRule="exact"/>
              <w:rPr>
                <w:sz w:val="20"/>
                <w:szCs w:val="20"/>
                <w:color w:val="auto"/>
              </w:rPr>
            </w:pPr>
            <w:r>
              <w:rPr>
                <w:rFonts w:ascii="Arial" w:cs="Arial" w:eastAsia="Arial" w:hAnsi="Arial"/>
                <w:sz w:val="18"/>
                <w:szCs w:val="18"/>
                <w:color w:val="auto"/>
              </w:rPr>
              <w:t>Loans held</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6"/>
          </w:tcPr>
          <w:p>
            <w:pPr>
              <w:ind w:left="160"/>
              <w:spacing w:after="0"/>
              <w:rPr>
                <w:sz w:val="20"/>
                <w:szCs w:val="20"/>
                <w:color w:val="auto"/>
              </w:rPr>
            </w:pPr>
            <w:r>
              <w:rPr>
                <w:rFonts w:ascii="Arial" w:cs="Arial" w:eastAsia="Arial" w:hAnsi="Arial"/>
                <w:sz w:val="18"/>
                <w:szCs w:val="18"/>
                <w:color w:val="auto"/>
              </w:rPr>
              <w:t>Secured borrowings - owed to</w:t>
            </w:r>
          </w:p>
        </w:tc>
        <w:tc>
          <w:tcPr>
            <w:tcW w:w="1460" w:type="dxa"/>
            <w:vAlign w:val="bottom"/>
            <w:gridSpan w:val="2"/>
          </w:tcPr>
          <w:p>
            <w:pPr>
              <w:spacing w:after="0"/>
              <w:rPr>
                <w:sz w:val="20"/>
                <w:szCs w:val="20"/>
                <w:color w:val="auto"/>
              </w:rPr>
            </w:pPr>
            <w:r>
              <w:rPr>
                <w:rFonts w:ascii="Arial" w:cs="Arial" w:eastAsia="Arial" w:hAnsi="Arial"/>
                <w:sz w:val="18"/>
                <w:szCs w:val="18"/>
                <w:color w:val="auto"/>
              </w:rPr>
              <w:t>for</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00" w:type="dxa"/>
            <w:vAlign w:val="bottom"/>
            <w:gridSpan w:val="6"/>
          </w:tcPr>
          <w:p>
            <w:pPr>
              <w:ind w:left="320"/>
              <w:spacing w:after="0"/>
              <w:rPr>
                <w:sz w:val="20"/>
                <w:szCs w:val="20"/>
                <w:color w:val="auto"/>
              </w:rPr>
            </w:pPr>
            <w:r>
              <w:rPr>
                <w:rFonts w:ascii="Arial" w:cs="Arial" w:eastAsia="Arial" w:hAnsi="Arial"/>
                <w:sz w:val="18"/>
                <w:szCs w:val="18"/>
                <w:color w:val="auto"/>
              </w:rPr>
              <w:t>securitization investors (12)</w:t>
            </w:r>
          </w:p>
        </w:tc>
        <w:tc>
          <w:tcPr>
            <w:tcW w:w="146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1200" w:type="dxa"/>
            <w:vAlign w:val="bottom"/>
          </w:tcPr>
          <w:p>
            <w:pPr>
              <w:spacing w:after="0"/>
              <w:rPr>
                <w:sz w:val="20"/>
                <w:szCs w:val="20"/>
                <w:color w:val="auto"/>
              </w:rPr>
            </w:pPr>
            <w:r>
              <w:rPr>
                <w:rFonts w:ascii="Arial" w:cs="Arial" w:eastAsia="Arial" w:hAnsi="Arial"/>
                <w:sz w:val="18"/>
                <w:szCs w:val="18"/>
                <w:color w:val="auto"/>
                <w:w w:val="98"/>
              </w:rPr>
              <w:t>1ML + 220 bps</w:t>
            </w:r>
          </w:p>
        </w:tc>
        <w:tc>
          <w:tcPr>
            <w:tcW w:w="1480" w:type="dxa"/>
            <w:vAlign w:val="bottom"/>
            <w:gridSpan w:val="2"/>
          </w:tcPr>
          <w:p>
            <w:pPr>
              <w:jc w:val="center"/>
              <w:ind w:left="250"/>
              <w:spacing w:after="0"/>
              <w:rPr>
                <w:sz w:val="20"/>
                <w:szCs w:val="20"/>
                <w:color w:val="auto"/>
              </w:rPr>
            </w:pPr>
            <w:r>
              <w:rPr>
                <w:rFonts w:ascii="Arial" w:cs="Arial" w:eastAsia="Arial" w:hAnsi="Arial"/>
                <w:sz w:val="18"/>
                <w:szCs w:val="18"/>
                <w:color w:val="auto"/>
                <w:w w:val="93"/>
              </w:rPr>
              <w:t>(12)</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284,276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460" w:type="dxa"/>
            <w:vAlign w:val="bottom"/>
            <w:tcBorders>
              <w:top w:val="single" w:sz="8" w:color="CCEECC"/>
            </w:tcBorders>
            <w:shd w:val="clear" w:color="auto" w:fill="CCEECC"/>
          </w:tcPr>
          <w:p>
            <w:pPr>
              <w:spacing w:after="0"/>
              <w:rPr>
                <w:sz w:val="18"/>
                <w:szCs w:val="18"/>
                <w:color w:val="auto"/>
              </w:rPr>
            </w:pPr>
          </w:p>
        </w:tc>
        <w:tc>
          <w:tcPr>
            <w:tcW w:w="780" w:type="dxa"/>
            <w:vAlign w:val="bottom"/>
            <w:tcBorders>
              <w:top w:val="single" w:sz="8" w:color="CCEECC"/>
            </w:tcBorders>
            <w:shd w:val="clear" w:color="auto" w:fill="CCEECC"/>
          </w:tcPr>
          <w:p>
            <w:pPr>
              <w:spacing w:after="0"/>
              <w:rPr>
                <w:sz w:val="18"/>
                <w:szCs w:val="18"/>
                <w:color w:val="auto"/>
              </w:rPr>
            </w:pPr>
          </w:p>
        </w:tc>
        <w:tc>
          <w:tcPr>
            <w:tcW w:w="52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CCEECC"/>
            </w:tcBorders>
            <w:shd w:val="clear" w:color="auto" w:fill="CCEECC"/>
          </w:tcPr>
          <w:p>
            <w:pPr>
              <w:spacing w:after="0"/>
              <w:rPr>
                <w:sz w:val="18"/>
                <w:szCs w:val="18"/>
                <w:color w:val="auto"/>
              </w:rPr>
            </w:pPr>
          </w:p>
        </w:tc>
        <w:tc>
          <w:tcPr>
            <w:tcW w:w="112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CCEECC"/>
            </w:tcBorders>
            <w:shd w:val="clear" w:color="auto" w:fill="CCEECC"/>
          </w:tcPr>
          <w:p>
            <w:pPr>
              <w:spacing w:after="0"/>
              <w:rPr>
                <w:sz w:val="18"/>
                <w:szCs w:val="18"/>
                <w:color w:val="auto"/>
              </w:rPr>
            </w:pPr>
          </w:p>
        </w:tc>
        <w:tc>
          <w:tcPr>
            <w:tcW w:w="120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CCEECC"/>
            </w:tcBorders>
            <w:shd w:val="clear" w:color="auto" w:fill="CCEECC"/>
          </w:tcPr>
          <w:p>
            <w:pPr>
              <w:spacing w:after="0"/>
              <w:rPr>
                <w:sz w:val="18"/>
                <w:szCs w:val="18"/>
                <w:color w:val="auto"/>
              </w:rPr>
            </w:pPr>
          </w:p>
        </w:tc>
        <w:tc>
          <w:tcPr>
            <w:tcW w:w="1140" w:type="dxa"/>
            <w:vAlign w:val="bottom"/>
            <w:tcBorders>
              <w:top w:val="single" w:sz="8" w:color="CCEECC"/>
            </w:tcBorders>
            <w:shd w:val="clear" w:color="auto" w:fill="CCEECC"/>
          </w:tcPr>
          <w:p>
            <w:pPr>
              <w:spacing w:after="0"/>
              <w:rPr>
                <w:sz w:val="18"/>
                <w:szCs w:val="18"/>
                <w:color w:val="auto"/>
              </w:rPr>
            </w:pPr>
          </w:p>
        </w:tc>
        <w:tc>
          <w:tcPr>
            <w:tcW w:w="34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635,600</w:t>
            </w:r>
          </w:p>
        </w:tc>
        <w:tc>
          <w:tcPr>
            <w:tcW w:w="220" w:type="dxa"/>
            <w:vAlign w:val="bottom"/>
            <w:tcBorders>
              <w:top w:val="single" w:sz="8" w:color="CCEECC"/>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588,667</w:t>
            </w:r>
          </w:p>
        </w:tc>
        <w:tc>
          <w:tcPr>
            <w:tcW w:w="2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388,075</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800" w:type="dxa"/>
            <w:vAlign w:val="bottom"/>
            <w:gridSpan w:val="6"/>
          </w:tcPr>
          <w:p>
            <w:pPr>
              <w:spacing w:after="0"/>
              <w:rPr>
                <w:sz w:val="20"/>
                <w:szCs w:val="20"/>
                <w:color w:val="auto"/>
              </w:rPr>
            </w:pPr>
            <w:r>
              <w:rPr>
                <w:rFonts w:ascii="Arial" w:cs="Arial" w:eastAsia="Arial" w:hAnsi="Arial"/>
                <w:sz w:val="18"/>
                <w:szCs w:val="18"/>
                <w:color w:val="auto"/>
              </w:rPr>
              <w:t>Corporate Items and Other</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00" w:type="dxa"/>
            <w:vAlign w:val="bottom"/>
            <w:gridSpan w:val="6"/>
            <w:shd w:val="clear" w:color="auto" w:fill="CCEECC"/>
          </w:tcPr>
          <w:p>
            <w:pPr>
              <w:ind w:left="160"/>
              <w:spacing w:after="0" w:line="201" w:lineRule="exact"/>
              <w:rPr>
                <w:sz w:val="20"/>
                <w:szCs w:val="20"/>
                <w:color w:val="auto"/>
              </w:rPr>
            </w:pPr>
            <w:r>
              <w:rPr>
                <w:rFonts w:ascii="Arial" w:cs="Arial" w:eastAsia="Arial" w:hAnsi="Arial"/>
                <w:sz w:val="18"/>
                <w:szCs w:val="18"/>
                <w:color w:val="auto"/>
              </w:rPr>
              <w:t>Securities sold under an</w:t>
            </w:r>
          </w:p>
        </w:tc>
        <w:tc>
          <w:tcPr>
            <w:tcW w:w="1460" w:type="dxa"/>
            <w:vAlign w:val="bottom"/>
            <w:gridSpan w:val="2"/>
            <w:shd w:val="clear" w:color="auto" w:fill="CCEECC"/>
          </w:tcPr>
          <w:p>
            <w:pPr>
              <w:spacing w:after="0" w:line="201" w:lineRule="exact"/>
              <w:rPr>
                <w:sz w:val="20"/>
                <w:szCs w:val="20"/>
                <w:color w:val="auto"/>
              </w:rPr>
            </w:pPr>
            <w:r>
              <w:rPr>
                <w:rFonts w:ascii="Arial" w:cs="Arial" w:eastAsia="Arial" w:hAnsi="Arial"/>
                <w:sz w:val="18"/>
                <w:szCs w:val="18"/>
                <w:color w:val="auto"/>
              </w:rPr>
              <w:t>Ocwen Real</w:t>
            </w:r>
          </w:p>
        </w:tc>
        <w:tc>
          <w:tcPr>
            <w:tcW w:w="12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6"/>
            <w:shd w:val="clear" w:color="auto" w:fill="CCEECC"/>
          </w:tcPr>
          <w:p>
            <w:pPr>
              <w:ind w:left="320"/>
              <w:spacing w:after="0"/>
              <w:rPr>
                <w:sz w:val="20"/>
                <w:szCs w:val="20"/>
                <w:color w:val="auto"/>
              </w:rPr>
            </w:pPr>
            <w:r>
              <w:rPr>
                <w:rFonts w:ascii="Arial" w:cs="Arial" w:eastAsia="Arial" w:hAnsi="Arial"/>
                <w:sz w:val="18"/>
                <w:szCs w:val="18"/>
                <w:color w:val="auto"/>
              </w:rPr>
              <w:t>agreement to repurchase (13)</w:t>
            </w:r>
          </w:p>
        </w:tc>
        <w:tc>
          <w:tcPr>
            <w:tcW w:w="14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Estate Asset</w:t>
            </w:r>
          </w:p>
        </w:tc>
        <w:tc>
          <w:tcPr>
            <w:tcW w:w="1200" w:type="dxa"/>
            <w:vAlign w:val="bottom"/>
            <w:shd w:val="clear" w:color="auto" w:fill="CCEECC"/>
          </w:tcPr>
          <w:p>
            <w:pPr>
              <w:spacing w:after="0"/>
              <w:rPr>
                <w:sz w:val="20"/>
                <w:szCs w:val="20"/>
                <w:color w:val="auto"/>
              </w:rPr>
            </w:pPr>
            <w:r>
              <w:rPr>
                <w:rFonts w:ascii="Arial" w:cs="Arial" w:eastAsia="Arial" w:hAnsi="Arial"/>
                <w:sz w:val="18"/>
                <w:szCs w:val="18"/>
                <w:color w:val="auto"/>
                <w:w w:val="89"/>
              </w:rPr>
              <w:t>Class A-2 notes:</w:t>
            </w:r>
          </w:p>
        </w:tc>
        <w:tc>
          <w:tcPr>
            <w:tcW w:w="3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6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Liquidating</w:t>
            </w:r>
          </w:p>
        </w:tc>
        <w:tc>
          <w:tcPr>
            <w:tcW w:w="1200" w:type="dxa"/>
            <w:vAlign w:val="bottom"/>
            <w:shd w:val="clear" w:color="auto" w:fill="CCEECC"/>
          </w:tcPr>
          <w:p>
            <w:pPr>
              <w:spacing w:after="0"/>
              <w:rPr>
                <w:sz w:val="20"/>
                <w:szCs w:val="20"/>
                <w:color w:val="auto"/>
              </w:rPr>
            </w:pPr>
            <w:r>
              <w:rPr>
                <w:rFonts w:ascii="Arial" w:cs="Arial" w:eastAsia="Arial" w:hAnsi="Arial"/>
                <w:sz w:val="18"/>
                <w:szCs w:val="18"/>
                <w:color w:val="auto"/>
                <w:w w:val="94"/>
              </w:rPr>
              <w:t>1ML + 200 bps;</w:t>
            </w:r>
          </w:p>
        </w:tc>
        <w:tc>
          <w:tcPr>
            <w:tcW w:w="3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6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4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Trust 2007-1</w:t>
            </w:r>
          </w:p>
        </w:tc>
        <w:tc>
          <w:tcPr>
            <w:tcW w:w="1200" w:type="dxa"/>
            <w:vAlign w:val="bottom"/>
            <w:shd w:val="clear" w:color="auto" w:fill="CCEECC"/>
          </w:tcPr>
          <w:p>
            <w:pPr>
              <w:spacing w:after="0"/>
              <w:rPr>
                <w:sz w:val="20"/>
                <w:szCs w:val="20"/>
                <w:color w:val="auto"/>
              </w:rPr>
            </w:pPr>
            <w:r>
              <w:rPr>
                <w:rFonts w:ascii="Arial" w:cs="Arial" w:eastAsia="Arial" w:hAnsi="Arial"/>
                <w:sz w:val="18"/>
                <w:szCs w:val="18"/>
                <w:color w:val="auto"/>
                <w:w w:val="89"/>
              </w:rPr>
              <w:t>Class A-3 notes:</w:t>
            </w:r>
          </w:p>
        </w:tc>
        <w:tc>
          <w:tcPr>
            <w:tcW w:w="3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 w:type="dxa"/>
            <w:vAlign w:val="bottom"/>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460" w:type="dxa"/>
            <w:vAlign w:val="bottom"/>
            <w:shd w:val="clear" w:color="auto" w:fill="CCEECC"/>
          </w:tcPr>
          <w:p>
            <w:pPr>
              <w:spacing w:after="0"/>
              <w:rPr>
                <w:sz w:val="21"/>
                <w:szCs w:val="21"/>
                <w:color w:val="auto"/>
              </w:rPr>
            </w:pPr>
          </w:p>
        </w:tc>
        <w:tc>
          <w:tcPr>
            <w:tcW w:w="780" w:type="dxa"/>
            <w:vAlign w:val="bottom"/>
            <w:shd w:val="clear" w:color="auto" w:fill="CCEECC"/>
          </w:tcPr>
          <w:p>
            <w:pPr>
              <w:spacing w:after="0"/>
              <w:rPr>
                <w:sz w:val="21"/>
                <w:szCs w:val="21"/>
                <w:color w:val="auto"/>
              </w:rPr>
            </w:pPr>
          </w:p>
        </w:tc>
        <w:tc>
          <w:tcPr>
            <w:tcW w:w="520" w:type="dxa"/>
            <w:vAlign w:val="bottom"/>
            <w:shd w:val="clear" w:color="auto" w:fill="CCEECC"/>
          </w:tcPr>
          <w:p>
            <w:pPr>
              <w:spacing w:after="0"/>
              <w:rPr>
                <w:sz w:val="21"/>
                <w:szCs w:val="21"/>
                <w:color w:val="auto"/>
              </w:rPr>
            </w:pPr>
          </w:p>
        </w:tc>
        <w:tc>
          <w:tcPr>
            <w:tcW w:w="340" w:type="dxa"/>
            <w:vAlign w:val="bottom"/>
            <w:shd w:val="clear" w:color="auto" w:fill="CCEECC"/>
          </w:tcPr>
          <w:p>
            <w:pPr>
              <w:spacing w:after="0"/>
              <w:rPr>
                <w:sz w:val="21"/>
                <w:szCs w:val="21"/>
                <w:color w:val="auto"/>
              </w:rPr>
            </w:pPr>
          </w:p>
        </w:tc>
        <w:tc>
          <w:tcPr>
            <w:tcW w:w="14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Notes</w:t>
            </w:r>
          </w:p>
        </w:tc>
        <w:tc>
          <w:tcPr>
            <w:tcW w:w="1200" w:type="dxa"/>
            <w:vAlign w:val="bottom"/>
            <w:shd w:val="clear" w:color="auto" w:fill="CCEECC"/>
          </w:tcPr>
          <w:p>
            <w:pPr>
              <w:spacing w:after="0"/>
              <w:rPr>
                <w:sz w:val="20"/>
                <w:szCs w:val="20"/>
                <w:color w:val="auto"/>
              </w:rPr>
            </w:pPr>
            <w:r>
              <w:rPr>
                <w:rFonts w:ascii="Arial" w:cs="Arial" w:eastAsia="Arial" w:hAnsi="Arial"/>
                <w:sz w:val="18"/>
                <w:szCs w:val="18"/>
                <w:color w:val="auto"/>
                <w:w w:val="98"/>
              </w:rPr>
              <w:t>1ML + 300 bps</w:t>
            </w:r>
          </w:p>
        </w:tc>
        <w:tc>
          <w:tcPr>
            <w:tcW w:w="340" w:type="dxa"/>
            <w:vAlign w:val="bottom"/>
            <w:shd w:val="clear" w:color="auto" w:fill="CCEECC"/>
          </w:tcPr>
          <w:p>
            <w:pPr>
              <w:spacing w:after="0"/>
              <w:rPr>
                <w:sz w:val="21"/>
                <w:szCs w:val="21"/>
                <w:color w:val="auto"/>
              </w:rPr>
            </w:pPr>
          </w:p>
        </w:tc>
        <w:tc>
          <w:tcPr>
            <w:tcW w:w="11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8"/>
              </w:rPr>
              <w:t>Monthly</w:t>
            </w:r>
          </w:p>
        </w:tc>
        <w:tc>
          <w:tcPr>
            <w:tcW w:w="34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CC"/>
          </w:tcPr>
          <w:p>
            <w:pPr>
              <w:spacing w:after="0"/>
              <w:rPr>
                <w:sz w:val="21"/>
                <w:szCs w:val="21"/>
                <w:color w:val="auto"/>
              </w:rPr>
            </w:pPr>
          </w:p>
        </w:tc>
        <w:tc>
          <w:tcPr>
            <w:tcW w:w="220" w:type="dxa"/>
            <w:vAlign w:val="bottom"/>
            <w:shd w:val="clear" w:color="auto" w:fill="CCEECC"/>
          </w:tcPr>
          <w:p>
            <w:pPr>
              <w:spacing w:after="0"/>
              <w:rPr>
                <w:sz w:val="21"/>
                <w:szCs w:val="21"/>
                <w:color w:val="auto"/>
              </w:rPr>
            </w:pPr>
          </w:p>
        </w:tc>
        <w:tc>
          <w:tcPr>
            <w:tcW w:w="112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3,223</w:t>
            </w:r>
          </w:p>
        </w:tc>
        <w:tc>
          <w:tcPr>
            <w:tcW w:w="200" w:type="dxa"/>
            <w:vAlign w:val="bottom"/>
            <w:shd w:val="clear" w:color="auto" w:fill="CCEECC"/>
          </w:tcPr>
          <w:p>
            <w:pPr>
              <w:spacing w:after="0"/>
              <w:rPr>
                <w:sz w:val="21"/>
                <w:szCs w:val="21"/>
                <w:color w:val="auto"/>
              </w:rPr>
            </w:pPr>
          </w:p>
        </w:tc>
        <w:tc>
          <w:tcPr>
            <w:tcW w:w="200" w:type="dxa"/>
            <w:vAlign w:val="bottom"/>
            <w:shd w:val="clear" w:color="auto" w:fill="CCEECC"/>
          </w:tcPr>
          <w:p>
            <w:pPr>
              <w:spacing w:after="0"/>
              <w:rPr>
                <w:sz w:val="21"/>
                <w:szCs w:val="21"/>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683,478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2,598,270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gridSpan w:val="6"/>
            <w:shd w:val="clear" w:color="auto" w:fill="CCEECC"/>
          </w:tcPr>
          <w:p>
            <w:pPr>
              <w:ind w:left="160"/>
              <w:spacing w:after="0"/>
              <w:rPr>
                <w:sz w:val="20"/>
                <w:szCs w:val="20"/>
                <w:color w:val="auto"/>
              </w:rPr>
            </w:pPr>
            <w:r>
              <w:rPr>
                <w:rFonts w:ascii="Arial" w:cs="Arial" w:eastAsia="Arial" w:hAnsi="Arial"/>
                <w:sz w:val="18"/>
                <w:szCs w:val="18"/>
                <w:color w:val="auto"/>
              </w:rPr>
              <w:t>Discount (1)(2)</w:t>
            </w:r>
          </w:p>
        </w:tc>
        <w:tc>
          <w:tcPr>
            <w:tcW w:w="1120" w:type="dxa"/>
            <w:vAlign w:val="bottom"/>
            <w:shd w:val="clear" w:color="auto" w:fill="CCEECC"/>
          </w:tcPr>
          <w:p>
            <w:pPr>
              <w:spacing w:after="0"/>
              <w:rPr>
                <w:sz w:val="19"/>
                <w:szCs w:val="19"/>
                <w:color w:val="auto"/>
              </w:rPr>
            </w:pPr>
          </w:p>
        </w:tc>
        <w:tc>
          <w:tcPr>
            <w:tcW w:w="340" w:type="dxa"/>
            <w:vAlign w:val="bottom"/>
            <w:shd w:val="clear" w:color="auto" w:fill="CCEECC"/>
          </w:tcPr>
          <w:p>
            <w:pPr>
              <w:spacing w:after="0"/>
              <w:rPr>
                <w:sz w:val="19"/>
                <w:szCs w:val="19"/>
                <w:color w:val="auto"/>
              </w:rPr>
            </w:pPr>
          </w:p>
        </w:tc>
        <w:tc>
          <w:tcPr>
            <w:tcW w:w="1200" w:type="dxa"/>
            <w:vAlign w:val="bottom"/>
            <w:shd w:val="clear" w:color="auto" w:fill="CCEECC"/>
          </w:tcPr>
          <w:p>
            <w:pPr>
              <w:spacing w:after="0"/>
              <w:rPr>
                <w:sz w:val="19"/>
                <w:szCs w:val="19"/>
                <w:color w:val="auto"/>
              </w:rPr>
            </w:pPr>
          </w:p>
        </w:tc>
        <w:tc>
          <w:tcPr>
            <w:tcW w:w="340" w:type="dxa"/>
            <w:vAlign w:val="bottom"/>
            <w:shd w:val="clear" w:color="auto" w:fill="CCEECC"/>
          </w:tcPr>
          <w:p>
            <w:pPr>
              <w:spacing w:after="0"/>
              <w:rPr>
                <w:sz w:val="19"/>
                <w:szCs w:val="19"/>
                <w:color w:val="auto"/>
              </w:rPr>
            </w:pPr>
          </w:p>
        </w:tc>
        <w:tc>
          <w:tcPr>
            <w:tcW w:w="1140" w:type="dxa"/>
            <w:vAlign w:val="bottom"/>
            <w:shd w:val="clear" w:color="auto" w:fill="CCEECC"/>
          </w:tcPr>
          <w:p>
            <w:pPr>
              <w:spacing w:after="0"/>
              <w:rPr>
                <w:sz w:val="19"/>
                <w:szCs w:val="19"/>
                <w:color w:val="auto"/>
              </w:rPr>
            </w:pPr>
          </w:p>
        </w:tc>
        <w:tc>
          <w:tcPr>
            <w:tcW w:w="34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(5,679)</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(8,232)</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2,592,591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gridSpan w:val="2"/>
            <w:vMerge w:val="restart"/>
          </w:tcPr>
          <w:p>
            <w:pPr>
              <w:jc w:val="right"/>
              <w:ind w:right="105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2" w:name="page33"/>
    <w:bookmarkEnd w:id="32"/>
    <w:p>
      <w:pPr>
        <w:ind w:left="372" w:hanging="372"/>
        <w:spacing w:after="0"/>
        <w:tabs>
          <w:tab w:leader="none" w:pos="3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February 2013, we repaid this loan in full and wrote off the remaining discount as part of the loss on extinguishment.</w:t>
      </w:r>
    </w:p>
    <w:p>
      <w:pPr>
        <w:spacing w:after="0" w:line="184" w:lineRule="exact"/>
        <w:rPr>
          <w:rFonts w:ascii="Arial" w:cs="Arial" w:eastAsia="Arial" w:hAnsi="Arial"/>
          <w:sz w:val="18"/>
          <w:szCs w:val="18"/>
          <w:color w:val="auto"/>
        </w:rPr>
      </w:pPr>
    </w:p>
    <w:p>
      <w:pPr>
        <w:ind w:left="372" w:hanging="372"/>
        <w:spacing w:after="0" w:line="287" w:lineRule="auto"/>
        <w:tabs>
          <w:tab w:leader="none" w:pos="3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February 15, 2013, we entered into a new SSTL facility agreement and borrowed $1.3 billion that was used principally to fund the ResCap Acquisition and repay the balance of the previous SSTL. The loan was issued with an original issue discount of $6.5 million that we are amortizing over the term of the loan. We are required to repay the principal amount of the borrowings in consecutive quarterly installments of $3.3 million. In addition, we are generally required to use the net cash proceeds (as defined) from any asset sale (as defined) to repay loan principal. Generally, this provision applies to non-operating sales of assets, and net cash proceeds represent the proceeds from the sale of the assets, net of the repayment of any debt secured by a lien on the assets sold. However, for assets sales that are part of an HLSS Transaction, we have the option, within 180 days, either to invest the net cash proceeds in MSRs or related assets, such as advances, or to repay loan principal. The borrowings are secured by a first priority security interest in substantially all of the assets of Ocwen. Borrowings bear interest, at the election of Ocwen, at a rate per annum equal to either (a) the base rate [the greatest of (i) the prime rate in effect on such day, (ii) the federal funds rate in effect on such day plus 0.50% and (iii) the one-month Eurodollar rate (1-Month LIBOR)], plus a margin of 2.75% and a base rate floor of 2.25% or (b) the one month Eurodollar rate, plus a margin of 3.75% with a 1-Month LIBOR floor of 1.25%. To date we have elected option (b) to determine the interest rate.</w:t>
      </w:r>
    </w:p>
    <w:p>
      <w:pPr>
        <w:spacing w:after="0" w:line="172" w:lineRule="exact"/>
        <w:rPr>
          <w:rFonts w:ascii="Arial" w:cs="Arial" w:eastAsia="Arial" w:hAnsi="Arial"/>
          <w:sz w:val="16"/>
          <w:szCs w:val="16"/>
          <w:color w:val="auto"/>
        </w:rPr>
      </w:pPr>
    </w:p>
    <w:p>
      <w:pPr>
        <w:ind w:left="372" w:right="200"/>
        <w:spacing w:after="0" w:line="277" w:lineRule="auto"/>
        <w:rPr>
          <w:rFonts w:ascii="Arial" w:cs="Arial" w:eastAsia="Arial" w:hAnsi="Arial"/>
          <w:sz w:val="16"/>
          <w:szCs w:val="16"/>
          <w:color w:val="auto"/>
        </w:rPr>
      </w:pPr>
      <w:r>
        <w:rPr>
          <w:rFonts w:ascii="Arial" w:cs="Arial" w:eastAsia="Arial" w:hAnsi="Arial"/>
          <w:sz w:val="18"/>
          <w:szCs w:val="18"/>
          <w:color w:val="auto"/>
        </w:rPr>
        <w:t>On September 23, 2013, we entered into Amendment No. 1 to the Senior Secured Term Loan Facility Agreement and Amendment No. 1 to the related Pledge and Security Agreement. These amendments:</w:t>
      </w:r>
    </w:p>
    <w:p>
      <w:pPr>
        <w:spacing w:after="0" w:line="143" w:lineRule="exact"/>
        <w:rPr>
          <w:rFonts w:ascii="Arial" w:cs="Arial" w:eastAsia="Arial" w:hAnsi="Arial"/>
          <w:sz w:val="16"/>
          <w:szCs w:val="16"/>
          <w:color w:val="auto"/>
        </w:rPr>
      </w:pPr>
    </w:p>
    <w:p>
      <w:pPr>
        <w:ind w:left="712" w:right="240" w:hanging="334"/>
        <w:spacing w:after="0" w:line="277" w:lineRule="auto"/>
        <w:tabs>
          <w:tab w:leader="none" w:pos="7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permit repurchases of all of the Preferred Stock, which may be converted to common stock prior to repurchase, and up to $1.5 billion of common stock, subject, in each case, to pro forma financial covenant compliance;</w:t>
      </w:r>
    </w:p>
    <w:p>
      <w:pPr>
        <w:spacing w:after="0" w:line="129" w:lineRule="exact"/>
        <w:rPr>
          <w:rFonts w:ascii="Arial" w:cs="Arial" w:eastAsia="Arial" w:hAnsi="Arial"/>
          <w:sz w:val="18"/>
          <w:szCs w:val="18"/>
          <w:color w:val="auto"/>
        </w:rPr>
      </w:pPr>
    </w:p>
    <w:p>
      <w:pPr>
        <w:ind w:left="712" w:right="80" w:hanging="334"/>
        <w:spacing w:after="0" w:line="277" w:lineRule="auto"/>
        <w:tabs>
          <w:tab w:leader="none" w:pos="7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eliminate the dollar cap on Junior Indebtedness (as defined in the SSTL) but retain the requirement for any such issuance to be subject to pro forma covenant compliance;</w:t>
      </w:r>
    </w:p>
    <w:p>
      <w:pPr>
        <w:spacing w:after="0" w:line="129" w:lineRule="exact"/>
        <w:rPr>
          <w:rFonts w:ascii="Arial" w:cs="Arial" w:eastAsia="Arial" w:hAnsi="Arial"/>
          <w:sz w:val="18"/>
          <w:szCs w:val="18"/>
          <w:color w:val="auto"/>
        </w:rPr>
      </w:pPr>
    </w:p>
    <w:p>
      <w:pPr>
        <w:ind w:left="712" w:right="120" w:hanging="334"/>
        <w:spacing w:after="0" w:line="264" w:lineRule="auto"/>
        <w:tabs>
          <w:tab w:leader="none" w:pos="7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include a value for whole loans (i.e., loans held for sale) in collateral value for purposes of calculating the loan-to-value ratio and include specified deferred servicing fees and the fair value of specified mortgage servicing rights in net worth for purposes of calculating the ratio of consolidated total debt to consolidated tangible net worth; and</w:t>
      </w:r>
    </w:p>
    <w:p>
      <w:pPr>
        <w:spacing w:after="0" w:line="154" w:lineRule="exact"/>
        <w:rPr>
          <w:rFonts w:ascii="Arial" w:cs="Arial" w:eastAsia="Arial" w:hAnsi="Arial"/>
          <w:sz w:val="18"/>
          <w:szCs w:val="18"/>
          <w:color w:val="auto"/>
        </w:rPr>
      </w:pPr>
    </w:p>
    <w:p>
      <w:pPr>
        <w:ind w:left="712" w:right="220" w:hanging="334"/>
        <w:spacing w:after="0" w:line="277" w:lineRule="auto"/>
        <w:tabs>
          <w:tab w:leader="none" w:pos="7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modify the applicable quarterly covenant levels for the corporate leverage ratio, ratio of consolidated total debt to consolidated tangible net worth and loan-to-value ratio.</w:t>
      </w:r>
    </w:p>
    <w:p>
      <w:pPr>
        <w:spacing w:after="0" w:line="129" w:lineRule="exact"/>
        <w:rPr>
          <w:rFonts w:ascii="Arial" w:cs="Arial" w:eastAsia="Arial" w:hAnsi="Arial"/>
          <w:sz w:val="18"/>
          <w:szCs w:val="18"/>
          <w:color w:val="auto"/>
        </w:rPr>
      </w:pPr>
    </w:p>
    <w:p>
      <w:pPr>
        <w:ind w:left="372" w:hanging="372"/>
        <w:spacing w:after="0"/>
        <w:tabs>
          <w:tab w:leader="none" w:pos="3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repaid this loan in full in February 2013.</w:t>
      </w:r>
    </w:p>
    <w:p>
      <w:pPr>
        <w:spacing w:after="0" w:line="184" w:lineRule="exact"/>
        <w:rPr>
          <w:rFonts w:ascii="Arial" w:cs="Arial" w:eastAsia="Arial" w:hAnsi="Arial"/>
          <w:sz w:val="18"/>
          <w:szCs w:val="18"/>
          <w:color w:val="auto"/>
        </w:rPr>
      </w:pPr>
    </w:p>
    <w:p>
      <w:pPr>
        <w:ind w:left="372" w:right="40" w:hanging="372"/>
        <w:spacing w:after="0" w:line="257" w:lineRule="auto"/>
        <w:tabs>
          <w:tab w:leader="none" w:pos="3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As part of the HLSS Transactions, we transfer certain Rights to MSRs to HLSS. Because we have not yet transferred legal title to the MSRs, we account for these transfers as financings with the proceeds from the sale of the Rights to MSRs recorded as a financing liability. The financing liability is amortized using the interest method with the servicing income that is remitted to HLSS representing payments of principal and interest. The liability has no contractual maturity but is amortized over the estimated life of the transferred Rights to MSRs. See </w:t>
      </w:r>
      <w:hyperlink w:anchor="page15">
        <w:r>
          <w:rPr>
            <w:rFonts w:ascii="Arial" w:cs="Arial" w:eastAsia="Arial" w:hAnsi="Arial"/>
            <w:sz w:val="18"/>
            <w:szCs w:val="18"/>
            <w:u w:val="single" w:color="auto"/>
            <w:color w:val="0000EE"/>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–Transfers of Financial Assets for additional information.</w:t>
      </w:r>
    </w:p>
    <w:p>
      <w:pPr>
        <w:spacing w:after="0" w:line="161" w:lineRule="exact"/>
        <w:rPr>
          <w:rFonts w:ascii="Arial" w:cs="Arial" w:eastAsia="Arial" w:hAnsi="Arial"/>
          <w:sz w:val="18"/>
          <w:szCs w:val="18"/>
          <w:color w:val="auto"/>
        </w:rPr>
      </w:pPr>
    </w:p>
    <w:p>
      <w:pPr>
        <w:ind w:left="372" w:hanging="372"/>
        <w:spacing w:after="0" w:line="297" w:lineRule="auto"/>
        <w:tabs>
          <w:tab w:leader="none" w:pos="3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sold MSRs for certain loans to an unrelated third party in December 2012 and June 2013; however, we are required to repurchase the MSRs for any loans that cannot be refinanced by the purchaser under the federal government’s Home Affordable Refinance Program (HARP). As a result, the sale is being accounted for as a financing. The financing liability is being amortized using the interest method with the servicing income that is remitted to the purchaser representing payments of principal and interest. In June 2013 and September 2013, we derecognized the liability from the December 2012 sale related to loans that had been refinanced under HARP and recognized a total gain of $4.5 million gain on the retirement of the financing liability.</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92"/>
          </w:cols>
          <w:pgMar w:left="248" w:top="665" w:right="259" w:bottom="1440" w:gutter="0" w:footer="0" w:header="0"/>
        </w:sectPr>
      </w:pPr>
    </w:p>
    <w:bookmarkStart w:id="33" w:name="page34"/>
    <w:bookmarkEnd w:id="33"/>
    <w:p>
      <w:pPr>
        <w:ind w:left="380" w:hanging="372"/>
        <w:spacing w:after="0"/>
        <w:tabs>
          <w:tab w:leader="none" w:pos="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Prepayments of the balance on this note may be required if the borrowing base, as defined, falls below the amount of the note outstanding.</w:t>
      </w:r>
    </w:p>
    <w:p>
      <w:pPr>
        <w:spacing w:after="0" w:line="196" w:lineRule="exact"/>
        <w:rPr>
          <w:rFonts w:ascii="Arial" w:cs="Arial" w:eastAsia="Arial" w:hAnsi="Arial"/>
          <w:sz w:val="17"/>
          <w:szCs w:val="17"/>
          <w:color w:val="auto"/>
        </w:rPr>
      </w:pPr>
    </w:p>
    <w:p>
      <w:pPr>
        <w:ind w:left="380" w:right="80" w:hanging="372"/>
        <w:spacing w:after="0" w:line="277"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March 19, 2013, the maturity date of the Master Repurchase Agreement was extended to March 18, 2014 and the maximum borrowing capacity was increased from $120.0 million to $300.0 million.</w:t>
      </w:r>
    </w:p>
    <w:p>
      <w:pPr>
        <w:spacing w:after="0" w:line="143" w:lineRule="exact"/>
        <w:rPr>
          <w:rFonts w:ascii="Arial" w:cs="Arial" w:eastAsia="Arial" w:hAnsi="Arial"/>
          <w:sz w:val="18"/>
          <w:szCs w:val="18"/>
          <w:color w:val="auto"/>
        </w:rPr>
      </w:pPr>
    </w:p>
    <w:p>
      <w:pPr>
        <w:ind w:left="380" w:right="80" w:hanging="372"/>
        <w:spacing w:after="0" w:line="257"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this participation agreement, the lender provides financing on an uncommitted basis for up to $100.0 million at the discretion of the lender. The participation agreement allows the lender to acquire a 100% beneficial interest in the underlying mortgage loans. However, the transaction does not qualify for sales accounting treatment and is, therefore, accounted for as a financing. The lender earns the stated interest rate of the underlying mortgage loans while the loans are financed under the participation agreement. In April 2013, we extended the participation agreement maturity date to May 31, 2014.</w:t>
      </w:r>
    </w:p>
    <w:p>
      <w:pPr>
        <w:spacing w:after="0" w:line="147" w:lineRule="exact"/>
        <w:rPr>
          <w:rFonts w:ascii="Arial" w:cs="Arial" w:eastAsia="Arial" w:hAnsi="Arial"/>
          <w:sz w:val="18"/>
          <w:szCs w:val="18"/>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August 3, 2013, we extended the maturity date of this facility to August 2, 2014.</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September 27, 2013, we extended the maturity date of this facility to September 26, 2014,</w:t>
      </w:r>
    </w:p>
    <w:p>
      <w:pPr>
        <w:spacing w:after="0" w:line="198" w:lineRule="exact"/>
        <w:rPr>
          <w:rFonts w:ascii="Arial" w:cs="Arial" w:eastAsia="Arial" w:hAnsi="Arial"/>
          <w:sz w:val="18"/>
          <w:szCs w:val="18"/>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October 28, 2013, we extended the maturity date of this facility to November 12, 2013.</w:t>
      </w:r>
    </w:p>
    <w:p>
      <w:pPr>
        <w:spacing w:after="0" w:line="184" w:lineRule="exact"/>
        <w:rPr>
          <w:rFonts w:ascii="Arial" w:cs="Arial" w:eastAsia="Arial" w:hAnsi="Arial"/>
          <w:sz w:val="18"/>
          <w:szCs w:val="18"/>
          <w:color w:val="auto"/>
        </w:rPr>
      </w:pPr>
    </w:p>
    <w:p>
      <w:pPr>
        <w:jc w:val="both"/>
        <w:ind w:left="380" w:right="180" w:hanging="372"/>
        <w:spacing w:after="0" w:line="26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represents amounts due to the holders of beneficial interests in Ginnie Mae guaranteed securitization that we include in our consolidated financial statements because the transfers of reverse mortgage loans to the trusts did not qualify for sales accounting treatment. There are no maturity dates; the borrowings mature as the related loans are repaid.</w:t>
      </w:r>
    </w:p>
    <w:p>
      <w:pPr>
        <w:spacing w:after="0" w:line="140" w:lineRule="exact"/>
        <w:rPr>
          <w:rFonts w:ascii="Arial" w:cs="Arial" w:eastAsia="Arial" w:hAnsi="Arial"/>
          <w:sz w:val="18"/>
          <w:szCs w:val="18"/>
          <w:color w:val="auto"/>
        </w:rPr>
      </w:pPr>
    </w:p>
    <w:p>
      <w:pPr>
        <w:ind w:left="380" w:right="700" w:hanging="372"/>
        <w:spacing w:after="0" w:line="277"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has no stated credit limit and lending is determined for each transaction based on the acceptability of the securities presented as collateral.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NOTE 16</w:t>
            </w:r>
          </w:p>
        </w:tc>
        <w:tc>
          <w:tcPr>
            <w:tcW w:w="6080" w:type="dxa"/>
            <w:vAlign w:val="bottom"/>
          </w:tcPr>
          <w:p>
            <w:pPr>
              <w:ind w:left="200"/>
              <w:spacing w:after="0"/>
              <w:rPr>
                <w:sz w:val="20"/>
                <w:szCs w:val="20"/>
                <w:color w:val="auto"/>
              </w:rPr>
            </w:pPr>
            <w:r>
              <w:rPr>
                <w:rFonts w:ascii="Arial" w:cs="Arial" w:eastAsia="Arial" w:hAnsi="Arial"/>
                <w:sz w:val="18"/>
                <w:szCs w:val="18"/>
                <w:b w:val="1"/>
                <w:bCs w:val="1"/>
                <w:color w:val="auto"/>
              </w:rPr>
              <w:t>OTHER LIABILITIES</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040" w:type="dxa"/>
            <w:vAlign w:val="bottom"/>
            <w:gridSpan w:val="2"/>
          </w:tcPr>
          <w:p>
            <w:pPr>
              <w:ind w:left="340"/>
              <w:spacing w:after="0"/>
              <w:rPr>
                <w:sz w:val="20"/>
                <w:szCs w:val="20"/>
                <w:color w:val="auto"/>
              </w:rPr>
            </w:pPr>
            <w:r>
              <w:rPr>
                <w:rFonts w:ascii="Arial" w:cs="Arial" w:eastAsia="Arial" w:hAnsi="Arial"/>
                <w:sz w:val="18"/>
                <w:szCs w:val="18"/>
                <w:color w:val="auto"/>
              </w:rPr>
              <w:t>Other liabilities are comprised of the following at the dates indicated:</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9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240" w:type="dxa"/>
            <w:vAlign w:val="bottom"/>
            <w:gridSpan w:val="4"/>
          </w:tcPr>
          <w:p>
            <w:pPr>
              <w:ind w:left="170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960" w:type="dxa"/>
            <w:vAlign w:val="bottom"/>
            <w:tcBorders>
              <w:bottom w:val="single" w:sz="8" w:color="CCEECC"/>
            </w:tcBorders>
          </w:tcPr>
          <w:p>
            <w:pPr>
              <w:spacing w:after="0"/>
              <w:rPr>
                <w:sz w:val="20"/>
                <w:szCs w:val="20"/>
                <w:color w:val="auto"/>
              </w:rPr>
            </w:pPr>
          </w:p>
        </w:tc>
        <w:tc>
          <w:tcPr>
            <w:tcW w:w="6080" w:type="dxa"/>
            <w:vAlign w:val="bottom"/>
            <w:tcBorders>
              <w:bottom w:val="single" w:sz="8" w:color="CCEECC"/>
            </w:tcBorders>
          </w:tcPr>
          <w:p>
            <w:pPr>
              <w:spacing w:after="0"/>
              <w:rPr>
                <w:sz w:val="20"/>
                <w:szCs w:val="20"/>
                <w:color w:val="auto"/>
              </w:rPr>
            </w:pPr>
          </w:p>
        </w:tc>
        <w:tc>
          <w:tcPr>
            <w:tcW w:w="170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r>
      <w:tr>
        <w:trPr>
          <w:trHeight w:val="210"/>
        </w:trPr>
        <w:tc>
          <w:tcPr>
            <w:tcW w:w="70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Liability for indemnification obligations (1)</w:t>
            </w:r>
          </w:p>
        </w:tc>
        <w:tc>
          <w:tcPr>
            <w:tcW w:w="1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206,074</w:t>
            </w:r>
          </w:p>
        </w:tc>
        <w:tc>
          <w:tcPr>
            <w:tcW w:w="4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38,140</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97,497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68,068</w:t>
            </w:r>
          </w:p>
        </w:tc>
        <w:tc>
          <w:tcPr>
            <w:tcW w:w="80" w:type="dxa"/>
            <w:vAlign w:val="bottom"/>
          </w:tcPr>
          <w:p>
            <w:pPr>
              <w:spacing w:after="0"/>
              <w:rPr>
                <w:sz w:val="18"/>
                <w:szCs w:val="18"/>
                <w:color w:val="auto"/>
              </w:rPr>
            </w:pPr>
          </w:p>
        </w:tc>
      </w:tr>
      <w:tr>
        <w:trPr>
          <w:trHeight w:val="216"/>
        </w:trPr>
        <w:tc>
          <w:tcPr>
            <w:tcW w:w="70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Liability for certain foreclosure matters (2)</w:t>
            </w:r>
          </w:p>
        </w:tc>
        <w:tc>
          <w:tcPr>
            <w:tcW w:w="1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66,431</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13,602</w:t>
            </w:r>
          </w:p>
        </w:tc>
        <w:tc>
          <w:tcPr>
            <w:tcW w:w="80" w:type="dxa"/>
            <w:vAlign w:val="bottom"/>
            <w:shd w:val="clear" w:color="auto" w:fill="CCEECC"/>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Payable to servicing and subservicing investors (3)</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27,063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9,973</w:t>
            </w:r>
          </w:p>
        </w:tc>
        <w:tc>
          <w:tcPr>
            <w:tcW w:w="80" w:type="dxa"/>
            <w:vAlign w:val="bottom"/>
          </w:tcPr>
          <w:p>
            <w:pPr>
              <w:spacing w:after="0"/>
              <w:rPr>
                <w:sz w:val="18"/>
                <w:szCs w:val="18"/>
                <w:color w:val="auto"/>
              </w:rPr>
            </w:pPr>
          </w:p>
        </w:tc>
      </w:tr>
      <w:tr>
        <w:trPr>
          <w:trHeight w:val="216"/>
        </w:trPr>
        <w:tc>
          <w:tcPr>
            <w:tcW w:w="70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Checks held for escheat</w:t>
            </w:r>
          </w:p>
        </w:tc>
        <w:tc>
          <w:tcPr>
            <w:tcW w:w="1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24,965</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33,259</w:t>
            </w:r>
          </w:p>
        </w:tc>
        <w:tc>
          <w:tcPr>
            <w:tcW w:w="80" w:type="dxa"/>
            <w:vAlign w:val="bottom"/>
            <w:shd w:val="clear" w:color="auto" w:fill="CCEECC"/>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Liability for selected tax items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22,338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22,702</w:t>
            </w:r>
          </w:p>
        </w:tc>
        <w:tc>
          <w:tcPr>
            <w:tcW w:w="80" w:type="dxa"/>
            <w:vAlign w:val="bottom"/>
          </w:tcPr>
          <w:p>
            <w:pPr>
              <w:spacing w:after="0"/>
              <w:rPr>
                <w:sz w:val="18"/>
                <w:szCs w:val="18"/>
                <w:color w:val="auto"/>
              </w:rPr>
            </w:pPr>
          </w:p>
        </w:tc>
      </w:tr>
      <w:tr>
        <w:trPr>
          <w:trHeight w:val="216"/>
        </w:trPr>
        <w:tc>
          <w:tcPr>
            <w:tcW w:w="70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Due to related parties (4)</w:t>
            </w:r>
          </w:p>
        </w:tc>
        <w:tc>
          <w:tcPr>
            <w:tcW w:w="1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16,535</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45,034</w:t>
            </w:r>
          </w:p>
        </w:tc>
        <w:tc>
          <w:tcPr>
            <w:tcW w:w="80" w:type="dxa"/>
            <w:vAlign w:val="bottom"/>
            <w:shd w:val="clear" w:color="auto" w:fill="CCEECC"/>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Derivatives, at fair value (6)</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11,660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18,658</w:t>
            </w:r>
          </w:p>
        </w:tc>
        <w:tc>
          <w:tcPr>
            <w:tcW w:w="80" w:type="dxa"/>
            <w:vAlign w:val="bottom"/>
          </w:tcPr>
          <w:p>
            <w:pPr>
              <w:spacing w:after="0"/>
              <w:rPr>
                <w:sz w:val="18"/>
                <w:szCs w:val="18"/>
                <w:color w:val="auto"/>
              </w:rPr>
            </w:pPr>
          </w:p>
        </w:tc>
      </w:tr>
      <w:tr>
        <w:trPr>
          <w:trHeight w:val="216"/>
        </w:trPr>
        <w:tc>
          <w:tcPr>
            <w:tcW w:w="70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Servicing liabilities (5)</w:t>
            </w:r>
          </w:p>
        </w:tc>
        <w:tc>
          <w:tcPr>
            <w:tcW w:w="1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11,568</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9,830</w:t>
            </w:r>
          </w:p>
        </w:tc>
        <w:tc>
          <w:tcPr>
            <w:tcW w:w="80" w:type="dxa"/>
            <w:vAlign w:val="bottom"/>
            <w:shd w:val="clear" w:color="auto" w:fill="CCEECC"/>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9,455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5,410</w:t>
            </w:r>
          </w:p>
        </w:tc>
        <w:tc>
          <w:tcPr>
            <w:tcW w:w="80" w:type="dxa"/>
            <w:vAlign w:val="bottom"/>
          </w:tcPr>
          <w:p>
            <w:pPr>
              <w:spacing w:after="0"/>
              <w:rPr>
                <w:sz w:val="18"/>
                <w:szCs w:val="18"/>
                <w:color w:val="auto"/>
              </w:rPr>
            </w:pPr>
          </w:p>
        </w:tc>
      </w:tr>
      <w:tr>
        <w:trPr>
          <w:trHeight w:val="230"/>
        </w:trPr>
        <w:tc>
          <w:tcPr>
            <w:tcW w:w="96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6080" w:type="dxa"/>
            <w:vAlign w:val="bottom"/>
            <w:shd w:val="clear" w:color="auto" w:fill="CCEECC"/>
          </w:tcPr>
          <w:p>
            <w:pPr>
              <w:spacing w:after="0"/>
              <w:rPr>
                <w:sz w:val="19"/>
                <w:szCs w:val="19"/>
                <w:color w:val="auto"/>
              </w:rPr>
            </w:pPr>
          </w:p>
        </w:tc>
        <w:tc>
          <w:tcPr>
            <w:tcW w:w="170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61,122</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23,861</w:t>
            </w:r>
          </w:p>
        </w:tc>
        <w:tc>
          <w:tcPr>
            <w:tcW w:w="80" w:type="dxa"/>
            <w:vAlign w:val="bottom"/>
            <w:shd w:val="clear" w:color="auto" w:fill="CCEECC"/>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554,708</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288,537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34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balance includes origination representation and warranty obligations and compensatory fees for foreclosures that may ultimately exceed investor timelines. These obligations were primarily assumed in connection with the Ally MSR Transaction, the ResCap Acquisition and the Homeward Acquisition. See </w:t>
      </w:r>
      <w:hyperlink w:anchor="page16">
        <w:r>
          <w:rPr>
            <w:rFonts w:ascii="Arial" w:cs="Arial" w:eastAsia="Arial" w:hAnsi="Arial"/>
            <w:sz w:val="18"/>
            <w:szCs w:val="18"/>
            <w:u w:val="single" w:color="auto"/>
            <w:color w:val="0000EE"/>
          </w:rPr>
          <w:t>Note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Business Acquisitions, Note 9 – Mortgage Servicing and Note 25 – Commitments and Contingencies for additional information.</w:t>
      </w:r>
    </w:p>
    <w:p>
      <w:pPr>
        <w:spacing w:after="0" w:line="146"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recognized $52.8 million of expense in Professional services in the second quarter of 2013 to establish the liability. We recognized the remaining</w:t>
      </w:r>
    </w:p>
    <w:p>
      <w:pPr>
        <w:spacing w:after="0" w:line="46" w:lineRule="exact"/>
        <w:rPr>
          <w:rFonts w:ascii="Arial" w:cs="Arial" w:eastAsia="Arial" w:hAnsi="Arial"/>
          <w:sz w:val="16"/>
          <w:szCs w:val="16"/>
          <w:color w:val="auto"/>
        </w:rPr>
      </w:pPr>
    </w:p>
    <w:p>
      <w:pPr>
        <w:ind w:left="340" w:right="1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$13.6 million of the liability as an adjustment to the initial purchase price allocation related to the Homeward Acquisition. We applied this measurement period adjustment retrospectively to our Consolidated Balance Sheet at December 31, 2012 with an offsetting increase in goodwill. See </w:t>
      </w:r>
      <w:hyperlink w:anchor="page44">
        <w:r>
          <w:rPr>
            <w:rFonts w:ascii="Arial" w:cs="Arial" w:eastAsia="Arial" w:hAnsi="Arial"/>
            <w:sz w:val="18"/>
            <w:szCs w:val="18"/>
            <w:u w:val="single" w:color="auto"/>
            <w:color w:val="0000EE"/>
          </w:rPr>
          <w:t>Note 25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Commitments and Contingencies for additional information.</w:t>
      </w:r>
    </w:p>
    <w:p>
      <w:pPr>
        <w:spacing w:after="0" w:line="149"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balance represents amounts due to investors in connection with loans we service under servicing and subservicing agreements.</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See </w:t>
      </w:r>
      <w:hyperlink w:anchor="page42">
        <w:r>
          <w:rPr>
            <w:rFonts w:ascii="Arial" w:cs="Arial" w:eastAsia="Arial" w:hAnsi="Arial"/>
            <w:sz w:val="18"/>
            <w:szCs w:val="18"/>
            <w:u w:val="single" w:color="auto"/>
            <w:color w:val="0000EE"/>
          </w:rPr>
          <w:t>Note 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Related Party Transactions for additional information.</w:t>
      </w:r>
    </w:p>
    <w:p>
      <w:pPr>
        <w:spacing w:after="0" w:line="184" w:lineRule="exact"/>
        <w:rPr>
          <w:rFonts w:ascii="Arial" w:cs="Arial" w:eastAsia="Arial" w:hAnsi="Arial"/>
          <w:sz w:val="18"/>
          <w:szCs w:val="18"/>
          <w:color w:val="auto"/>
        </w:rPr>
      </w:pPr>
    </w:p>
    <w:p>
      <w:pPr>
        <w:ind w:left="340" w:right="2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nine months ended September 30, 2013 and 2012, amortization of servicing liabilities exceeded the amount of charges we recognized to increase our servicing liability obligations by $0.5 million and $1.1 million, respectively. Amortization of mortgage servicing rights is reported net of this amount in the unaudited Consolidated Statement of Operations.</w:t>
      </w:r>
    </w:p>
    <w:p>
      <w:pPr>
        <w:spacing w:after="0" w:line="140"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See </w:t>
      </w:r>
      <w:hyperlink w:anchor="page36">
        <w:r>
          <w:rPr>
            <w:rFonts w:ascii="Arial" w:cs="Arial" w:eastAsia="Arial" w:hAnsi="Arial"/>
            <w:sz w:val="18"/>
            <w:szCs w:val="18"/>
            <w:u w:val="single" w:color="auto"/>
            <w:color w:val="0000EE"/>
          </w:rPr>
          <w:t>Note 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Derivative Financial Instruments and Hedging Activities for additional information.</w:t>
      </w:r>
    </w:p>
    <w:p>
      <w:pPr>
        <w:spacing w:after="0" w:line="22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ind w:left="20"/>
        <w:spacing w:after="0"/>
        <w:tabs>
          <w:tab w:leader="none" w:pos="11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MEZZANINE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December 27, 2012, we issued 162,000 shares of Series A Perpetual Convertible Preferred Stock (the Preferred Shares) having a par value of $0.01 per share and paying dividends at a rate of 3.75% on the liquidation preference of $1,000 per share as part of the consideration for the Homeward Acquisition. The dividends are payable quarterly at the end of each calendar quarter.</w:t>
      </w:r>
    </w:p>
    <w:p>
      <w:pPr>
        <w:spacing w:after="0" w:line="141"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Preferred Shares are accounted for as equity and are classified as “mezzanine” equity in the unaudited Consolidated Balance Sheets. The conversion option of the Preferred Shares represents a Beneficial Conversion Feature (BCF) with an intrinsic value of $8.7 million which we accounted for as a discount on the Preferred Shares with an offsetting increase in additional paid in capital upon issuance. The BCF will be amortizing through the second anniversary of the issue date, the first date at which we can redeem the Preferred Shares.</w:t>
      </w:r>
    </w:p>
    <w:p>
      <w:pPr>
        <w:sectPr>
          <w:pgSz w:w="11900" w:h="16838" w:orient="portrait"/>
          <w:cols w:equalWidth="0" w:num="1">
            <w:col w:w="11420"/>
          </w:cols>
          <w:pgMar w:left="240" w:top="661" w:right="239" w:bottom="1440" w:gutter="0" w:footer="0" w:header="0"/>
        </w:sectPr>
      </w:pP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amortize the BCF discount on the Preferred Shares as a deemed dividend with an offsetting reduction in retained earnings.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our Preferred Shares reflects the following: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Initial issuance price on December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Discount for beneficial conversion feature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Accretion of BCF discount (Deemed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Carrying value at December 31,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Conversion of 100,000 Preferred Shares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Accretion of BCF discount (Deemed dividend)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Carrying value at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21" w:hanging="421"/>
        <w:spacing w:after="0"/>
        <w:tabs>
          <w:tab w:leader="none" w:pos="4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162,000</w:t>
      </w:r>
    </w:p>
    <w:p>
      <w:pPr>
        <w:spacing w:after="0" w:line="23" w:lineRule="exact"/>
        <w:rPr>
          <w:rFonts w:ascii="Arial" w:cs="Arial" w:eastAsia="Arial" w:hAnsi="Arial"/>
          <w:sz w:val="18"/>
          <w:szCs w:val="18"/>
          <w:color w:val="auto"/>
        </w:rPr>
      </w:pPr>
    </w:p>
    <w:p>
      <w:pPr>
        <w:ind w:left="541"/>
        <w:spacing w:after="0"/>
        <w:rPr>
          <w:rFonts w:ascii="Arial" w:cs="Arial" w:eastAsia="Arial" w:hAnsi="Arial"/>
          <w:sz w:val="18"/>
          <w:szCs w:val="18"/>
          <w:color w:val="auto"/>
        </w:rPr>
      </w:pPr>
      <w:r>
        <w:rPr>
          <w:rFonts w:ascii="Arial" w:cs="Arial" w:eastAsia="Arial" w:hAnsi="Arial"/>
          <w:sz w:val="17"/>
          <w:szCs w:val="17"/>
          <w:color w:val="auto"/>
        </w:rPr>
        <w:t>(8,688)</w:t>
      </w:r>
    </w:p>
    <w:p>
      <w:pPr>
        <w:spacing w:after="0" w:line="21" w:lineRule="exact"/>
        <w:rPr>
          <w:sz w:val="20"/>
          <w:szCs w:val="20"/>
          <w:color w:val="auto"/>
        </w:rPr>
      </w:pPr>
    </w:p>
    <w:p>
      <w:pPr>
        <w:ind w:left="841"/>
        <w:spacing w:after="0"/>
        <w:rPr>
          <w:sz w:val="20"/>
          <w:szCs w:val="20"/>
          <w:color w:val="auto"/>
        </w:rPr>
      </w:pPr>
      <w:r>
        <w:rPr>
          <w:rFonts w:ascii="Arial" w:cs="Arial" w:eastAsia="Arial" w:hAnsi="Arial"/>
          <w:sz w:val="18"/>
          <w:szCs w:val="18"/>
          <w:color w:val="auto"/>
        </w:rPr>
        <w:t>60</w:t>
      </w:r>
    </w:p>
    <w:p>
      <w:pPr>
        <w:spacing w:after="0" w:line="23" w:lineRule="exact"/>
        <w:rPr>
          <w:sz w:val="20"/>
          <w:szCs w:val="20"/>
          <w:color w:val="auto"/>
        </w:rPr>
      </w:pPr>
    </w:p>
    <w:p>
      <w:pPr>
        <w:ind w:left="421"/>
        <w:spacing w:after="0"/>
        <w:rPr>
          <w:sz w:val="20"/>
          <w:szCs w:val="20"/>
          <w:color w:val="auto"/>
        </w:rPr>
      </w:pPr>
      <w:r>
        <w:rPr>
          <w:rFonts w:ascii="Arial" w:cs="Arial" w:eastAsia="Arial" w:hAnsi="Arial"/>
          <w:sz w:val="18"/>
          <w:szCs w:val="18"/>
          <w:color w:val="auto"/>
        </w:rPr>
        <w:t>153,372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43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(100,000)</w:t>
      </w:r>
    </w:p>
    <w:p>
      <w:pPr>
        <w:spacing w:after="0" w:line="9" w:lineRule="exact"/>
        <w:rPr>
          <w:sz w:val="20"/>
          <w:szCs w:val="20"/>
          <w:color w:val="auto"/>
        </w:rPr>
      </w:pPr>
    </w:p>
    <w:p>
      <w:pPr>
        <w:ind w:left="601"/>
        <w:spacing w:after="0"/>
        <w:rPr>
          <w:sz w:val="20"/>
          <w:szCs w:val="20"/>
          <w:color w:val="auto"/>
        </w:rPr>
      </w:pPr>
      <w:r>
        <w:rPr>
          <w:rFonts w:ascii="Arial" w:cs="Arial" w:eastAsia="Arial" w:hAnsi="Arial"/>
          <w:sz w:val="18"/>
          <w:szCs w:val="18"/>
          <w:color w:val="auto"/>
        </w:rPr>
        <w:t>6,573</w:t>
      </w:r>
    </w:p>
    <w:p>
      <w:pPr>
        <w:spacing w:after="0" w:line="35" w:lineRule="exact"/>
        <w:rPr>
          <w:sz w:val="20"/>
          <w:szCs w:val="20"/>
          <w:color w:val="auto"/>
        </w:rPr>
      </w:pPr>
    </w:p>
    <w:p>
      <w:pPr>
        <w:ind w:left="521" w:hanging="521"/>
        <w:spacing w:after="0"/>
        <w:tabs>
          <w:tab w:leader="none" w:pos="5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59,945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43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79" w:space="720"/>
            <w:col w:w="1121"/>
          </w:cols>
          <w:pgMar w:left="240" w:top="661" w:right="239" w:bottom="1440" w:gutter="0" w:footer="0" w:header="0"/>
          <w:type w:val="continuous"/>
        </w:sectPr>
      </w:pPr>
    </w:p>
    <w:p>
      <w:pPr>
        <w:spacing w:after="0" w:line="25" w:lineRule="exact"/>
        <w:rPr>
          <w:sz w:val="20"/>
          <w:szCs w:val="20"/>
          <w:color w:val="auto"/>
        </w:rPr>
      </w:pPr>
    </w:p>
    <w:p>
      <w:pPr>
        <w:ind w:left="340" w:right="10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On September 23, 2013, holders elected to convert 100,000 of the Preferred Shares into 3,145,640 shares of common stock. See </w:t>
      </w:r>
      <w:hyperlink w:anchor="page42">
        <w:r>
          <w:rPr>
            <w:rFonts w:ascii="Arial" w:cs="Arial" w:eastAsia="Arial" w:hAnsi="Arial"/>
            <w:sz w:val="18"/>
            <w:szCs w:val="18"/>
            <w:u w:val="single" w:color="auto"/>
            <w:color w:val="0000EE"/>
          </w:rPr>
          <w:t>Note 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Related Party Transactions for additional information.</w:t>
      </w:r>
    </w:p>
    <w:p>
      <w:pPr>
        <w:spacing w:after="0" w:line="143"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Accretion includes a $3.5 million accelerated write-off of the unamortized discount related to the 100,000 Preferred Shares converted on September 23, 2013.</w:t>
      </w:r>
    </w:p>
    <w:p>
      <w:pPr>
        <w:spacing w:after="0" w:line="12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ind w:right="260" w:firstLine="324"/>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On September 23, 2013, Ocwen paid $157.9 million to repurchase from the holders of our Preferred Shares all 3,145,640 shares of common stock that were issued upon their election to convert 100,000 of the Preferred Shares into shares of common stock. See </w:t>
      </w:r>
      <w:hyperlink w:anchor="page42">
        <w:r>
          <w:rPr>
            <w:rFonts w:ascii="Arial" w:cs="Arial" w:eastAsia="Arial" w:hAnsi="Arial"/>
            <w:sz w:val="18"/>
            <w:szCs w:val="18"/>
            <w:u w:val="single" w:color="auto"/>
            <w:color w:val="0000EE"/>
          </w:rPr>
          <w:t>Note 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Related Party Transactions for additional information.</w:t>
      </w:r>
    </w:p>
    <w:p>
      <w:pPr>
        <w:spacing w:after="0" w:line="14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October 31, 2013, we announced that our Board of Directors had authorized a share repurchase program for up to an aggregate of $500.0 million of our issued and outstanding shares of common stock. Repurchases may be made in open market transactions at prevailing market prices or in privately negotiated transactions. Unless we amend the share repurchase program or repurchase the full $500.0 million amount by an earlier date, the share repurchase program will continue through July 2016. No assurances can be given as to the amount of shares, if any, that we may repurchase in any given period. The repurchase of shares issued in connection with the conversion of Preferred Shares is not considered to be part of this repurchase program and, therefore, does not count against the $500.0 million aggregate value limit.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(AOCL), net of income taxes, were as follows at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5880" w:type="dxa"/>
            <w:vAlign w:val="bottom"/>
            <w:gridSpan w:val="4"/>
          </w:tcPr>
          <w:p>
            <w:pPr>
              <w:ind w:left="454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4"/>
          </w:tcPr>
          <w:p>
            <w:pPr>
              <w:ind w:left="20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4200" w:type="dxa"/>
            <w:vAlign w:val="bottom"/>
            <w:tcBorders>
              <w:bottom w:val="single" w:sz="8" w:color="CCEECC"/>
            </w:tcBorders>
          </w:tcPr>
          <w:p>
            <w:pPr>
              <w:spacing w:after="0"/>
              <w:rPr>
                <w:sz w:val="20"/>
                <w:szCs w:val="20"/>
                <w:color w:val="auto"/>
              </w:rPr>
            </w:pPr>
          </w:p>
        </w:tc>
        <w:tc>
          <w:tcPr>
            <w:tcW w:w="454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CC"/>
          </w:tcPr>
          <w:p>
            <w:pPr>
              <w:spacing w:after="0"/>
              <w:rPr>
                <w:sz w:val="20"/>
                <w:szCs w:val="20"/>
                <w:color w:val="auto"/>
              </w:rPr>
            </w:pPr>
            <w:r>
              <w:rPr>
                <w:rFonts w:ascii="Arial" w:cs="Arial" w:eastAsia="Arial" w:hAnsi="Arial"/>
                <w:sz w:val="18"/>
                <w:szCs w:val="18"/>
                <w:color w:val="auto"/>
              </w:rPr>
              <w:t>Unrealized losses on cash flow hedges</w:t>
            </w:r>
          </w:p>
        </w:tc>
        <w:tc>
          <w:tcPr>
            <w:tcW w:w="45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7,649</w:t>
            </w: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6,310</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4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(580)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CC"/>
              <w:bottom w:val="single" w:sz="8" w:color="CCEECC"/>
            </w:tcBorders>
            <w:shd w:val="clear" w:color="auto" w:fill="CCEECC"/>
          </w:tcPr>
          <w:p>
            <w:pPr>
              <w:spacing w:after="0"/>
              <w:rPr>
                <w:sz w:val="19"/>
                <w:szCs w:val="19"/>
                <w:color w:val="auto"/>
              </w:rPr>
            </w:pPr>
          </w:p>
        </w:tc>
        <w:tc>
          <w:tcPr>
            <w:tcW w:w="45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7,069</w:t>
            </w:r>
          </w:p>
        </w:tc>
        <w:tc>
          <w:tcPr>
            <w:tcW w:w="26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6,441</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540" w:type="dxa"/>
            <w:vAlign w:val="bottom"/>
            <w:vMerge w:val="restart"/>
          </w:tcPr>
          <w:p>
            <w:pPr>
              <w:jc w:val="right"/>
              <w:ind w:right="285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2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type w:val="continuous"/>
        </w:sectPr>
      </w:pPr>
    </w:p>
    <w:bookmarkStart w:id="35" w:name="page36"/>
    <w:bookmarkEnd w:id="35"/>
    <w:p>
      <w:pPr>
        <w:ind w:left="20"/>
        <w:spacing w:after="0"/>
        <w:tabs>
          <w:tab w:leader="none" w:pos="114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8"/>
          <w:szCs w:val="18"/>
          <w:b w:val="1"/>
          <w:bCs w:val="1"/>
          <w:color w:val="auto"/>
        </w:rPr>
        <w:t>DERIVATIVE FINANCIAL INSTRUMENTS AND HEDGING ACTIVITIES</w:t>
      </w:r>
    </w:p>
    <w:p>
      <w:pPr>
        <w:spacing w:after="0" w:line="189"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Because many of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summarizes the changes in the notional balance of our holdings of derivatives during the nine months ended September 30, 2013: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Forward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Treasury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MBS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Interest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IRLCs</w:t>
            </w: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Futures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Trades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Rate Caps</w:t>
            </w:r>
          </w:p>
        </w:tc>
        <w:tc>
          <w:tcPr>
            <w:tcW w:w="200" w:type="dxa"/>
            <w:vAlign w:val="bottom"/>
          </w:tcPr>
          <w:p>
            <w:pPr>
              <w:spacing w:after="0"/>
              <w:rPr>
                <w:sz w:val="20"/>
                <w:szCs w:val="20"/>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2"/>
              </w:rPr>
              <w:t>Rate Swaps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CC"/>
          </w:tcPr>
          <w:p>
            <w:pPr>
              <w:spacing w:after="0"/>
              <w:rPr>
                <w:sz w:val="20"/>
                <w:szCs w:val="20"/>
                <w:color w:val="auto"/>
              </w:rPr>
            </w:pPr>
            <w:r>
              <w:rPr>
                <w:rFonts w:ascii="Arial" w:cs="Arial" w:eastAsia="Arial" w:hAnsi="Arial"/>
                <w:sz w:val="18"/>
                <w:szCs w:val="18"/>
                <w:color w:val="auto"/>
              </w:rPr>
              <w:t>Balance at December 31, 2012</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1,112,519</w:t>
            </w:r>
          </w:p>
        </w:tc>
        <w:tc>
          <w:tcPr>
            <w:tcW w:w="1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109,000</w:t>
            </w:r>
          </w:p>
        </w:tc>
        <w:tc>
          <w:tcPr>
            <w:tcW w:w="280" w:type="dxa"/>
            <w:vAlign w:val="bottom"/>
            <w:shd w:val="clear" w:color="auto" w:fill="CCEECC"/>
          </w:tcPr>
          <w:p>
            <w:pPr>
              <w:spacing w:after="0"/>
              <w:rPr>
                <w:sz w:val="18"/>
                <w:szCs w:val="18"/>
                <w:color w:val="auto"/>
              </w:rPr>
            </w:pPr>
          </w:p>
        </w:tc>
        <w:tc>
          <w:tcPr>
            <w:tcW w:w="3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1,638,979</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1,025,000</w:t>
            </w:r>
          </w:p>
        </w:tc>
        <w:tc>
          <w:tcPr>
            <w:tcW w:w="3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1,495,955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4,062,236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85,000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9,316,350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CC"/>
          </w:tcPr>
          <w:p>
            <w:pPr>
              <w:spacing w:after="0"/>
              <w:rPr>
                <w:sz w:val="18"/>
                <w:szCs w:val="18"/>
                <w:color w:val="auto"/>
              </w:rPr>
            </w:pPr>
          </w:p>
        </w:tc>
        <w:tc>
          <w:tcPr>
            <w:tcW w:w="1380" w:type="dxa"/>
            <w:vAlign w:val="bottom"/>
            <w:gridSpan w:val="2"/>
            <w:shd w:val="clear" w:color="auto" w:fill="CCEECC"/>
          </w:tcPr>
          <w:p>
            <w:pPr>
              <w:jc w:val="right"/>
              <w:ind w:right="400"/>
              <w:spacing w:after="0"/>
              <w:rPr>
                <w:sz w:val="20"/>
                <w:szCs w:val="20"/>
                <w:color w:val="auto"/>
              </w:rPr>
            </w:pPr>
            <w:r>
              <w:rPr>
                <w:rFonts w:ascii="Arial" w:cs="Arial" w:eastAsia="Arial" w:hAnsi="Arial"/>
                <w:sz w:val="18"/>
                <w:szCs w:val="18"/>
                <w:color w:val="auto"/>
              </w:rPr>
              <w:t>(228,806)</w:t>
            </w:r>
          </w:p>
        </w:tc>
        <w:tc>
          <w:tcPr>
            <w:tcW w:w="1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(33,372)</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(24,000)</w:t>
            </w: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Maturities</w:t>
            </w: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(3,709,513)</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(4,558,971)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(295,604)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CC"/>
          </w:tcPr>
          <w:p>
            <w:pPr>
              <w:ind w:left="140"/>
              <w:spacing w:after="0"/>
              <w:rPr>
                <w:sz w:val="20"/>
                <w:szCs w:val="20"/>
                <w:color w:val="auto"/>
              </w:rPr>
            </w:pPr>
            <w:r>
              <w:rPr>
                <w:rFonts w:ascii="Arial" w:cs="Arial" w:eastAsia="Arial" w:hAnsi="Arial"/>
                <w:sz w:val="18"/>
                <w:szCs w:val="18"/>
                <w:color w:val="auto"/>
              </w:rPr>
              <w:t>Terminations</w:t>
            </w:r>
          </w:p>
        </w:tc>
        <w:tc>
          <w:tcPr>
            <w:tcW w:w="120" w:type="dxa"/>
            <w:vAlign w:val="bottom"/>
            <w:shd w:val="clear" w:color="auto" w:fill="CCEECC"/>
          </w:tcPr>
          <w:p>
            <w:pPr>
              <w:spacing w:after="0"/>
              <w:rPr>
                <w:sz w:val="19"/>
                <w:szCs w:val="19"/>
                <w:color w:val="auto"/>
              </w:rPr>
            </w:pPr>
          </w:p>
        </w:tc>
        <w:tc>
          <w:tcPr>
            <w:tcW w:w="1380" w:type="dxa"/>
            <w:vAlign w:val="bottom"/>
            <w:gridSpan w:val="2"/>
            <w:shd w:val="clear" w:color="auto" w:fill="CCEECC"/>
          </w:tcPr>
          <w:p>
            <w:pPr>
              <w:jc w:val="right"/>
              <w:ind w:right="400"/>
              <w:spacing w:after="0"/>
              <w:rPr>
                <w:sz w:val="20"/>
                <w:szCs w:val="20"/>
                <w:color w:val="auto"/>
              </w:rPr>
            </w:pPr>
            <w:r>
              <w:rPr>
                <w:rFonts w:ascii="Arial" w:cs="Arial" w:eastAsia="Arial" w:hAnsi="Arial"/>
                <w:sz w:val="18"/>
                <w:szCs w:val="18"/>
                <w:color w:val="auto"/>
              </w:rPr>
              <w:t>(549,877)</w:t>
            </w:r>
          </w:p>
        </w:tc>
        <w:tc>
          <w:tcPr>
            <w:tcW w:w="14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(194,000)</w:t>
            </w:r>
          </w:p>
        </w:tc>
        <w:tc>
          <w:tcPr>
            <w:tcW w:w="2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1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(5,627,670)</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(1,001,000)</w:t>
            </w:r>
          </w:p>
        </w:tc>
        <w:tc>
          <w:tcPr>
            <w:tcW w:w="20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9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9"/>
              </w:rPr>
              <w:t>(2,480,351)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Balance at September 30, 2013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686,559</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735,316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CC"/>
          </w:tcPr>
          <w:p>
            <w:pPr>
              <w:spacing w:after="0"/>
              <w:rPr>
                <w:sz w:val="20"/>
                <w:szCs w:val="20"/>
                <w:color w:val="auto"/>
              </w:rPr>
            </w:pPr>
            <w:r>
              <w:rPr>
                <w:rFonts w:ascii="Arial" w:cs="Arial" w:eastAsia="Arial" w:hAnsi="Arial"/>
                <w:sz w:val="18"/>
                <w:szCs w:val="18"/>
                <w:color w:val="auto"/>
              </w:rPr>
              <w:t>Fair value of net derivative assets (liabilities) at:</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6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September 30, 2013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13,491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Borders>
              <w:top w:val="single" w:sz="8" w:color="CCEECC"/>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December 31, 2012</w:t>
            </w: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5,781</w:t>
            </w:r>
          </w:p>
        </w:tc>
        <w:tc>
          <w:tcPr>
            <w:tcW w:w="460" w:type="dxa"/>
            <w:vAlign w:val="bottom"/>
            <w:tcBorders>
              <w:top w:val="single" w:sz="8" w:color="CCEECC"/>
              <w:bottom w:val="single" w:sz="8" w:color="CCEECC"/>
            </w:tcBorders>
            <w:shd w:val="clear" w:color="auto" w:fill="CCEECC"/>
          </w:tcPr>
          <w:p>
            <w:pPr>
              <w:spacing w:after="0"/>
              <w:rPr>
                <w:sz w:val="17"/>
                <w:szCs w:val="17"/>
                <w:color w:val="auto"/>
              </w:rPr>
            </w:pPr>
          </w:p>
        </w:tc>
        <w:tc>
          <w:tcPr>
            <w:tcW w:w="1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(1,258</w:t>
            </w:r>
          </w:p>
        </w:tc>
        <w:tc>
          <w:tcPr>
            <w:tcW w:w="280" w:type="dxa"/>
            <w:vAlign w:val="bottom"/>
            <w:tcBorders>
              <w:top w:val="single" w:sz="8" w:color="CCEECC"/>
              <w:bottom w:val="single" w:sz="8" w:color="CCEECC"/>
            </w:tcBorders>
            <w:shd w:val="clear" w:color="auto" w:fill="CCEECC"/>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(1,719</w:t>
            </w:r>
          </w:p>
        </w:tc>
        <w:tc>
          <w:tcPr>
            <w:tcW w:w="240" w:type="dxa"/>
            <w:vAlign w:val="bottom"/>
            <w:tcBorders>
              <w:top w:val="single" w:sz="8" w:color="CCEECC"/>
              <w:bottom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bottom w:val="single" w:sz="8" w:color="CCEECC"/>
            </w:tcBorders>
            <w:shd w:val="clear" w:color="auto" w:fill="CCEECC"/>
          </w:tcPr>
          <w:p>
            <w:pPr>
              <w:spacing w:after="0"/>
              <w:rPr>
                <w:sz w:val="17"/>
                <w:szCs w:val="17"/>
                <w:color w:val="auto"/>
              </w:rPr>
            </w:pPr>
          </w:p>
        </w:tc>
        <w:tc>
          <w:tcPr>
            <w:tcW w:w="10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168</w:t>
            </w:r>
          </w:p>
        </w:tc>
        <w:tc>
          <w:tcPr>
            <w:tcW w:w="24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CCEECC"/>
              <w:bottom w:val="single" w:sz="8" w:color="CCEECC"/>
            </w:tcBorders>
            <w:shd w:val="clear" w:color="auto" w:fill="CCEECC"/>
          </w:tcPr>
          <w:p>
            <w:pPr>
              <w:spacing w:after="0"/>
              <w:rPr>
                <w:sz w:val="17"/>
                <w:szCs w:val="17"/>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(10,836</w:t>
            </w:r>
          </w:p>
        </w:tc>
        <w:tc>
          <w:tcPr>
            <w:tcW w:w="10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Oct. 2013 –</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Oct. 2013 –</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Jan. 2014</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Nov. 2013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8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have previously entered into interest rate swaps in order to hedge against the effects of changes in interest rates on our borrowings under our advance funding facilities. These interest rate swap agreements required us to pay a fixed rate and receive a variable interest rate based on one-month LIBOR. At the time that we entered into the agreements, these swaps were designated as hedges for accounting purposes. As disclosed in Note 5 – Fair Value of Financial Instruments, we terminated these interest rate swaps on May 31, 2013 primarily because the custodial account float balances, which earn a variable rate of interest, are well in excess of variable rate borrowings under advance facilities. The earnings on these deposits reduce our exposure to changes in interest rates. We also purchased interest rate caps to minimize future interest rate exposure from increases in one-month LIBOR interest rates, as required by the certain of our advance financing arrangements. These caps were terminated with the payoff and termination of the related financing facilities.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trades to provide an economic hedge against those changes in fair value on mortgage loans held for sale. Forward trades are primarily used to fix the forward sales price that will be realized upon the sale of mortgage loans into the secondary market.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8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applicant, whereby the interest rate is set prior to funding. The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derivatives, including forward contracts. We enter into forward contracts with respect to fixed rate loan commitments.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MSRs at Fair Value</w:t>
      </w:r>
    </w:p>
    <w:p>
      <w:pPr>
        <w:spacing w:after="0" w:line="18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MSRs which we measure at fair value are subject to interest rate risk as the mortgage loans underlying the MSRs permit the borrowers to prepay the loans. Therefore, the fair value of these MSRs generally tends to diminish in periods of declining interest rates (as prepayments increase) and increase in periods of rising interest rates (as prepayments decrease). Although the level of interest rates is a key driver of prepayment activity, there are other factors that influence prepayments, including home prices, underwriting standards and product characteristics. Effective April 1, 2013, we terminated our hedging program for fair value MSRs. Prior to their termination, we used economic hedges including interest rate swaps, U.S. Treasury futures and forward contracts to minimize the effects of loss in value of these MSRs associated with increased prepayment activity that generally results from declining interest rates.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Acquisitions</w:t>
      </w:r>
    </w:p>
    <w:p>
      <w:pPr>
        <w:spacing w:after="0" w:line="185" w:lineRule="exact"/>
        <w:rPr>
          <w:sz w:val="20"/>
          <w:szCs w:val="20"/>
          <w:color w:val="auto"/>
        </w:rPr>
      </w:pPr>
    </w:p>
    <w:p>
      <w:pPr>
        <w:ind w:right="100" w:firstLine="324"/>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In March 2013, we entered into an interest rate swap to hedge the impact on cash flows of changes in the purchase price to be paid for MSRs acquired in the Ally MSR Transaction. This purchase was forecasted to occur in stages with the purchase price subject to adjustment based on changes in the 10-year swap rate between the date of the MSR purchase agreement and the date of each closing. We entered into an interest rate swap with a notional amount sufficient to yield changes in the fair value of the interest rate swap in response to changes in the swap rate that were essentially equal to and offsetting to changes in the purchase price of the MSRs. We designated the swap as a hedge for accounting purposes. We completed the transaction in April 2013 and terminated the swap agreement at the same time. See </w:t>
      </w:r>
      <w:hyperlink w:anchor="page27">
        <w:r>
          <w:rPr>
            <w:rFonts w:ascii="Arial" w:cs="Arial" w:eastAsia="Arial" w:hAnsi="Arial"/>
            <w:sz w:val="16"/>
            <w:szCs w:val="16"/>
            <w:u w:val="single" w:color="auto"/>
            <w:color w:val="0000EE"/>
          </w:rPr>
          <w:t>Note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Mortgage Servicing for additional information regarding the Ally MSR Transaction.</w:t>
      </w:r>
    </w:p>
    <w:p>
      <w:pPr>
        <w:spacing w:after="0" w:line="12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summarizes our use of derivatives at September 30, 2013 and the gains (losses) on those derivatives for the nine months then ended. None of these derivatives was designated as a hedge for accounting purposes at September 30, 2013: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Statement of</w:t>
            </w:r>
          </w:p>
        </w:tc>
      </w:tr>
      <w:tr>
        <w:trPr>
          <w:trHeight w:val="216"/>
        </w:trPr>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Expiration</w:t>
            </w:r>
          </w:p>
        </w:tc>
        <w:tc>
          <w:tcPr>
            <w:tcW w:w="1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Notional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0"/>
              </w:rPr>
              <w:t>Fair Value</w:t>
            </w:r>
          </w:p>
        </w:tc>
        <w:tc>
          <w:tcPr>
            <w:tcW w:w="14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Gains /</w:t>
            </w:r>
          </w:p>
        </w:tc>
        <w:tc>
          <w:tcPr>
            <w:tcW w:w="4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4120" w:type="dxa"/>
            <w:vAlign w:val="bottom"/>
            <w:gridSpan w:val="2"/>
          </w:tcPr>
          <w:p>
            <w:pPr>
              <w:ind w:left="1580"/>
              <w:spacing w:after="0"/>
              <w:rPr>
                <w:sz w:val="20"/>
                <w:szCs w:val="20"/>
                <w:color w:val="auto"/>
              </w:rPr>
            </w:pPr>
            <w:r>
              <w:rPr>
                <w:rFonts w:ascii="Arial" w:cs="Arial" w:eastAsia="Arial" w:hAnsi="Arial"/>
                <w:sz w:val="18"/>
                <w:szCs w:val="18"/>
                <w:b w:val="1"/>
                <w:bCs w:val="1"/>
                <w:color w:val="auto"/>
              </w:rPr>
              <w:t>Purpose</w:t>
            </w: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c>
          <w:tcPr>
            <w:tcW w:w="1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(Losses)</w:t>
            </w:r>
          </w:p>
        </w:tc>
        <w:tc>
          <w:tcPr>
            <w:tcW w:w="4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195"/>
        </w:trPr>
        <w:tc>
          <w:tcPr>
            <w:tcW w:w="3780" w:type="dxa"/>
            <w:vAlign w:val="bottom"/>
            <w:tcBorders>
              <w:top w:val="single" w:sz="8" w:color="auto"/>
            </w:tcBorders>
            <w:shd w:val="clear" w:color="auto" w:fill="CCEECC"/>
          </w:tcPr>
          <w:p>
            <w:pPr>
              <w:spacing w:after="0" w:line="195" w:lineRule="exact"/>
              <w:rPr>
                <w:sz w:val="20"/>
                <w:szCs w:val="20"/>
                <w:color w:val="auto"/>
              </w:rPr>
            </w:pPr>
            <w:r>
              <w:rPr>
                <w:rFonts w:ascii="Arial" w:cs="Arial" w:eastAsia="Arial" w:hAnsi="Arial"/>
                <w:sz w:val="18"/>
                <w:szCs w:val="18"/>
                <w:b w:val="1"/>
                <w:bCs w:val="1"/>
                <w:i w:val="1"/>
                <w:iCs w:val="1"/>
                <w:color w:val="auto"/>
                <w:w w:val="91"/>
              </w:rPr>
              <w:t>Interest rate risk of mortgage loans held for sale</w:t>
            </w:r>
          </w:p>
        </w:tc>
        <w:tc>
          <w:tcPr>
            <w:tcW w:w="340" w:type="dxa"/>
            <w:vAlign w:val="bottom"/>
            <w:tcBorders>
              <w:top w:val="single" w:sz="8" w:color="CCEECC"/>
            </w:tcBorders>
            <w:shd w:val="clear" w:color="auto" w:fill="CCEECC"/>
          </w:tcPr>
          <w:p>
            <w:pPr>
              <w:spacing w:after="0"/>
              <w:rPr>
                <w:sz w:val="16"/>
                <w:szCs w:val="16"/>
                <w:color w:val="auto"/>
              </w:rPr>
            </w:pPr>
          </w:p>
        </w:tc>
        <w:tc>
          <w:tcPr>
            <w:tcW w:w="1040" w:type="dxa"/>
            <w:vAlign w:val="bottom"/>
            <w:tcBorders>
              <w:top w:val="single" w:sz="8" w:color="auto"/>
            </w:tcBorders>
            <w:shd w:val="clear" w:color="auto" w:fill="CCEECC"/>
          </w:tcPr>
          <w:p>
            <w:pPr>
              <w:spacing w:after="0"/>
              <w:rPr>
                <w:sz w:val="16"/>
                <w:szCs w:val="16"/>
                <w:color w:val="auto"/>
              </w:rPr>
            </w:pPr>
          </w:p>
        </w:tc>
        <w:tc>
          <w:tcPr>
            <w:tcW w:w="48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46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44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880" w:type="dxa"/>
            <w:vAlign w:val="bottom"/>
            <w:tcBorders>
              <w:top w:val="single" w:sz="8" w:color="auto"/>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420" w:type="dxa"/>
            <w:vAlign w:val="bottom"/>
            <w:tcBorders>
              <w:top w:val="single" w:sz="8" w:color="CCEECC"/>
            </w:tcBorders>
            <w:shd w:val="clear" w:color="auto" w:fill="CCEECC"/>
          </w:tcPr>
          <w:p>
            <w:pPr>
              <w:spacing w:after="0"/>
              <w:rPr>
                <w:sz w:val="16"/>
                <w:szCs w:val="16"/>
                <w:color w:val="auto"/>
              </w:rPr>
            </w:pPr>
          </w:p>
        </w:tc>
        <w:tc>
          <w:tcPr>
            <w:tcW w:w="1360" w:type="dxa"/>
            <w:vAlign w:val="bottom"/>
            <w:tcBorders>
              <w:top w:val="single" w:sz="8" w:color="auto"/>
            </w:tcBorders>
            <w:shd w:val="clear" w:color="auto" w:fill="CCEECC"/>
          </w:tcPr>
          <w:p>
            <w:pPr>
              <w:spacing w:after="0"/>
              <w:rPr>
                <w:sz w:val="16"/>
                <w:szCs w:val="16"/>
                <w:color w:val="auto"/>
              </w:rPr>
            </w:pPr>
          </w:p>
        </w:tc>
      </w:tr>
      <w:tr>
        <w:trPr>
          <w:trHeight w:val="230"/>
        </w:trPr>
        <w:tc>
          <w:tcPr>
            <w:tcW w:w="4120" w:type="dxa"/>
            <w:vAlign w:val="bottom"/>
            <w:gridSpan w:val="2"/>
            <w:shd w:val="clear" w:color="auto" w:fill="CCEECC"/>
          </w:tcPr>
          <w:p>
            <w:pPr>
              <w:ind w:left="160"/>
              <w:spacing w:after="0"/>
              <w:rPr>
                <w:sz w:val="20"/>
                <w:szCs w:val="20"/>
                <w:color w:val="auto"/>
              </w:rPr>
            </w:pPr>
            <w:r>
              <w:rPr>
                <w:rFonts w:ascii="Arial" w:cs="Arial" w:eastAsia="Arial" w:hAnsi="Arial"/>
                <w:sz w:val="18"/>
                <w:szCs w:val="18"/>
                <w:b w:val="1"/>
                <w:bCs w:val="1"/>
                <w:i w:val="1"/>
                <w:iCs w:val="1"/>
                <w:color w:val="auto"/>
              </w:rPr>
              <w:t>and IRLCs</w:t>
            </w:r>
          </w:p>
        </w:tc>
        <w:tc>
          <w:tcPr>
            <w:tcW w:w="1040" w:type="dxa"/>
            <w:vAlign w:val="bottom"/>
            <w:shd w:val="clear" w:color="auto" w:fill="CCEECC"/>
          </w:tcPr>
          <w:p>
            <w:pPr>
              <w:spacing w:after="0"/>
              <w:rPr>
                <w:sz w:val="20"/>
                <w:szCs w:val="20"/>
                <w:color w:val="auto"/>
              </w:rPr>
            </w:pPr>
          </w:p>
        </w:tc>
        <w:tc>
          <w:tcPr>
            <w:tcW w:w="48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900" w:type="dxa"/>
            <w:vAlign w:val="bottom"/>
            <w:shd w:val="clear" w:color="auto" w:fill="CCEECC"/>
          </w:tcPr>
          <w:p>
            <w:pPr>
              <w:spacing w:after="0"/>
              <w:rPr>
                <w:sz w:val="20"/>
                <w:szCs w:val="20"/>
                <w:color w:val="auto"/>
              </w:rPr>
            </w:pPr>
          </w:p>
        </w:tc>
        <w:tc>
          <w:tcPr>
            <w:tcW w:w="4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4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420" w:type="dxa"/>
            <w:vAlign w:val="bottom"/>
            <w:shd w:val="clear" w:color="auto" w:fill="CCEECC"/>
          </w:tcPr>
          <w:p>
            <w:pPr>
              <w:spacing w:after="0"/>
              <w:rPr>
                <w:sz w:val="20"/>
                <w:szCs w:val="20"/>
                <w:color w:val="auto"/>
              </w:rPr>
            </w:pPr>
          </w:p>
        </w:tc>
        <w:tc>
          <w:tcPr>
            <w:tcW w:w="1360" w:type="dxa"/>
            <w:vAlign w:val="bottom"/>
            <w:shd w:val="clear" w:color="auto" w:fill="CCEECC"/>
          </w:tcPr>
          <w:p>
            <w:pPr>
              <w:spacing w:after="0"/>
              <w:rPr>
                <w:sz w:val="20"/>
                <w:szCs w:val="20"/>
                <w:color w:val="auto"/>
              </w:rPr>
            </w:pPr>
          </w:p>
        </w:tc>
      </w:tr>
      <w:tr>
        <w:trPr>
          <w:trHeight w:val="202"/>
        </w:trPr>
        <w:tc>
          <w:tcPr>
            <w:tcW w:w="3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0"/>
              </w:rPr>
              <w:t>Gain on loans held</w:t>
            </w:r>
          </w:p>
        </w:tc>
      </w:tr>
      <w:tr>
        <w:trPr>
          <w:trHeight w:val="216"/>
        </w:trPr>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for sale, net and</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Forward MBS trades</w:t>
            </w:r>
          </w:p>
        </w:tc>
        <w:tc>
          <w:tcPr>
            <w:tcW w:w="1040" w:type="dxa"/>
            <w:vAlign w:val="bottom"/>
          </w:tcPr>
          <w:p>
            <w:pPr>
              <w:jc w:val="right"/>
              <w:spacing w:after="0"/>
              <w:rPr>
                <w:sz w:val="20"/>
                <w:szCs w:val="20"/>
                <w:color w:val="auto"/>
              </w:rPr>
            </w:pPr>
            <w:r>
              <w:rPr>
                <w:rFonts w:ascii="Arial" w:cs="Arial" w:eastAsia="Arial" w:hAnsi="Arial"/>
                <w:sz w:val="18"/>
                <w:szCs w:val="18"/>
                <w:color w:val="auto"/>
              </w:rPr>
              <w:t>2014</w:t>
            </w:r>
          </w:p>
        </w:tc>
        <w:tc>
          <w:tcPr>
            <w:tcW w:w="4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735,316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(12,185)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30,989</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Other, net</w:t>
            </w:r>
          </w:p>
        </w:tc>
      </w:tr>
      <w:tr>
        <w:trPr>
          <w:trHeight w:val="216"/>
        </w:trPr>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378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4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4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20" w:type="dxa"/>
            <w:vAlign w:val="bottom"/>
            <w:shd w:val="clear" w:color="auto" w:fill="CCEECC"/>
          </w:tcPr>
          <w:p>
            <w:pPr>
              <w:spacing w:after="0"/>
              <w:rPr>
                <w:sz w:val="17"/>
                <w:szCs w:val="17"/>
                <w:color w:val="auto"/>
              </w:rPr>
            </w:pPr>
          </w:p>
        </w:tc>
        <w:tc>
          <w:tcPr>
            <w:tcW w:w="1360" w:type="dxa"/>
            <w:vAlign w:val="bottom"/>
            <w:shd w:val="clear" w:color="auto" w:fill="CCEECC"/>
          </w:tcPr>
          <w:p>
            <w:pPr>
              <w:jc w:val="center"/>
              <w:spacing w:after="0" w:line="201" w:lineRule="exact"/>
              <w:rPr>
                <w:sz w:val="20"/>
                <w:szCs w:val="20"/>
                <w:color w:val="auto"/>
              </w:rPr>
            </w:pPr>
            <w:r>
              <w:rPr>
                <w:rFonts w:ascii="Arial" w:cs="Arial" w:eastAsia="Arial" w:hAnsi="Arial"/>
                <w:sz w:val="18"/>
                <w:szCs w:val="18"/>
                <w:color w:val="auto"/>
                <w:w w:val="90"/>
              </w:rPr>
              <w:t>Gain on loans held</w:t>
            </w:r>
          </w:p>
        </w:tc>
      </w:tr>
      <w:tr>
        <w:trPr>
          <w:trHeight w:val="244"/>
        </w:trPr>
        <w:tc>
          <w:tcPr>
            <w:tcW w:w="412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IRLCs</w:t>
            </w:r>
          </w:p>
        </w:tc>
        <w:tc>
          <w:tcPr>
            <w:tcW w:w="1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2013</w:t>
            </w:r>
          </w:p>
        </w:tc>
        <w:tc>
          <w:tcPr>
            <w:tcW w:w="480" w:type="dxa"/>
            <w:vAlign w:val="bottom"/>
            <w:shd w:val="clear" w:color="auto" w:fill="CCEECC"/>
          </w:tcPr>
          <w:p>
            <w:pPr>
              <w:spacing w:after="0"/>
              <w:rPr>
                <w:sz w:val="21"/>
                <w:szCs w:val="21"/>
                <w:color w:val="auto"/>
              </w:rPr>
            </w:pPr>
          </w:p>
        </w:tc>
        <w:tc>
          <w:tcPr>
            <w:tcW w:w="140" w:type="dxa"/>
            <w:vAlign w:val="bottom"/>
            <w:shd w:val="clear" w:color="auto" w:fill="CCEECC"/>
          </w:tcPr>
          <w:p>
            <w:pPr>
              <w:spacing w:after="0"/>
              <w:rPr>
                <w:sz w:val="21"/>
                <w:szCs w:val="21"/>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686,559</w:t>
            </w:r>
          </w:p>
        </w:tc>
        <w:tc>
          <w:tcPr>
            <w:tcW w:w="460" w:type="dxa"/>
            <w:vAlign w:val="bottom"/>
            <w:shd w:val="clear" w:color="auto" w:fill="CCEECC"/>
          </w:tcPr>
          <w:p>
            <w:pPr>
              <w:spacing w:after="0"/>
              <w:rPr>
                <w:sz w:val="21"/>
                <w:szCs w:val="21"/>
                <w:color w:val="auto"/>
              </w:rPr>
            </w:pPr>
          </w:p>
        </w:tc>
        <w:tc>
          <w:tcPr>
            <w:tcW w:w="100" w:type="dxa"/>
            <w:vAlign w:val="bottom"/>
            <w:shd w:val="clear" w:color="auto" w:fill="CCEECC"/>
          </w:tcPr>
          <w:p>
            <w:pPr>
              <w:spacing w:after="0"/>
              <w:rPr>
                <w:sz w:val="21"/>
                <w:szCs w:val="21"/>
                <w:color w:val="auto"/>
              </w:rPr>
            </w:pPr>
          </w:p>
        </w:tc>
        <w:tc>
          <w:tcPr>
            <w:tcW w:w="13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13,491</w:t>
            </w:r>
          </w:p>
        </w:tc>
        <w:tc>
          <w:tcPr>
            <w:tcW w:w="140" w:type="dxa"/>
            <w:vAlign w:val="bottom"/>
            <w:shd w:val="clear" w:color="auto" w:fill="CCEECC"/>
          </w:tcPr>
          <w:p>
            <w:pPr>
              <w:spacing w:after="0"/>
              <w:rPr>
                <w:sz w:val="21"/>
                <w:szCs w:val="21"/>
                <w:color w:val="auto"/>
              </w:rPr>
            </w:pPr>
          </w:p>
        </w:tc>
        <w:tc>
          <w:tcPr>
            <w:tcW w:w="9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5,918</w:t>
            </w:r>
          </w:p>
        </w:tc>
        <w:tc>
          <w:tcPr>
            <w:tcW w:w="420" w:type="dxa"/>
            <w:vAlign w:val="bottom"/>
            <w:shd w:val="clear" w:color="auto" w:fill="CCEECC"/>
          </w:tcPr>
          <w:p>
            <w:pPr>
              <w:spacing w:after="0"/>
              <w:rPr>
                <w:sz w:val="21"/>
                <w:szCs w:val="21"/>
                <w:color w:val="auto"/>
              </w:rPr>
            </w:pPr>
          </w:p>
        </w:tc>
        <w:tc>
          <w:tcPr>
            <w:tcW w:w="1360" w:type="dxa"/>
            <w:vAlign w:val="bottom"/>
            <w:shd w:val="clear" w:color="auto" w:fill="CCEECC"/>
          </w:tcPr>
          <w:p>
            <w:pPr>
              <w:spacing w:after="0"/>
              <w:rPr>
                <w:sz w:val="20"/>
                <w:szCs w:val="20"/>
                <w:color w:val="auto"/>
              </w:rPr>
            </w:pPr>
            <w:r>
              <w:rPr>
                <w:rFonts w:ascii="Arial" w:cs="Arial" w:eastAsia="Arial" w:hAnsi="Arial"/>
                <w:sz w:val="18"/>
                <w:szCs w:val="18"/>
                <w:color w:val="auto"/>
              </w:rPr>
              <w:t>for sale, net</w:t>
            </w:r>
          </w:p>
        </w:tc>
      </w:tr>
      <w:tr>
        <w:trPr>
          <w:trHeight w:val="223"/>
        </w:trPr>
        <w:tc>
          <w:tcPr>
            <w:tcW w:w="412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derivatives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36,907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Derivatives are reported at fair value in Receivables, Other assets or in Other liabilities on our unaudited Consolidated Balance Sheets.</w:t>
      </w:r>
    </w:p>
    <w:p>
      <w:pPr>
        <w:spacing w:after="0" w:line="18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Included in AOCL at September 30, 2013 and December 31, 2012, respectively, were $12.1 million and $9.9 million of deferred unrealized losses, before taxes of $4.5 million and $3.6 million, respectively, on interest rate swaps that we designated as cash flow hedges. Changes in the losses on cash flow hedges included in AOCL during the nine months ended September 30, 2013 were as follows:</w:t>
      </w:r>
    </w:p>
    <w:p>
      <w:pPr>
        <w:sectPr>
          <w:pgSz w:w="11900" w:h="16838" w:orient="portrait"/>
          <w:cols w:equalWidth="0" w:num="1">
            <w:col w:w="11420"/>
          </w:cols>
          <w:pgMar w:left="240" w:top="665" w:right="2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Accumulated losses on cash flow hedges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Additional net losses on cash flow hedges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Ineffectiveness of cash flow hedges reclassified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Losses on terminated hedging relationships amortized to earnings (1)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Accumulated losses on cash flow hedges at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601" w:hanging="601"/>
        <w:spacing w:after="0"/>
        <w:tabs>
          <w:tab w:leader="none" w:pos="6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9,878</w:t>
      </w:r>
    </w:p>
    <w:p>
      <w:pPr>
        <w:spacing w:after="0" w:line="23" w:lineRule="exact"/>
        <w:rPr>
          <w:rFonts w:ascii="Arial" w:cs="Arial" w:eastAsia="Arial" w:hAnsi="Arial"/>
          <w:sz w:val="18"/>
          <w:szCs w:val="18"/>
          <w:color w:val="auto"/>
        </w:rPr>
      </w:pPr>
    </w:p>
    <w:p>
      <w:pPr>
        <w:ind w:left="521"/>
        <w:spacing w:after="0"/>
        <w:rPr>
          <w:rFonts w:ascii="Arial" w:cs="Arial" w:eastAsia="Arial" w:hAnsi="Arial"/>
          <w:sz w:val="18"/>
          <w:szCs w:val="18"/>
          <w:color w:val="auto"/>
        </w:rPr>
      </w:pPr>
      <w:r>
        <w:rPr>
          <w:rFonts w:ascii="Arial" w:cs="Arial" w:eastAsia="Arial" w:hAnsi="Arial"/>
          <w:sz w:val="18"/>
          <w:szCs w:val="18"/>
          <w:color w:val="auto"/>
        </w:rPr>
        <w:t>12,363</w:t>
      </w:r>
    </w:p>
    <w:p>
      <w:pPr>
        <w:spacing w:after="0" w:line="9" w:lineRule="exact"/>
        <w:rPr>
          <w:rFonts w:ascii="Arial" w:cs="Arial" w:eastAsia="Arial" w:hAnsi="Arial"/>
          <w:sz w:val="18"/>
          <w:szCs w:val="18"/>
          <w:color w:val="auto"/>
        </w:rPr>
      </w:pPr>
    </w:p>
    <w:p>
      <w:pPr>
        <w:ind w:left="681"/>
        <w:spacing w:after="0"/>
        <w:rPr>
          <w:rFonts w:ascii="Arial" w:cs="Arial" w:eastAsia="Arial" w:hAnsi="Arial"/>
          <w:sz w:val="18"/>
          <w:szCs w:val="18"/>
          <w:color w:val="auto"/>
        </w:rPr>
      </w:pPr>
      <w:r>
        <w:rPr>
          <w:rFonts w:ascii="Arial" w:cs="Arial" w:eastAsia="Arial" w:hAnsi="Arial"/>
          <w:sz w:val="17"/>
          <w:szCs w:val="17"/>
          <w:color w:val="auto"/>
        </w:rPr>
        <w:t>(657)</w:t>
      </w:r>
    </w:p>
    <w:p>
      <w:pPr>
        <w:spacing w:after="0" w:line="20" w:lineRule="exact"/>
        <w:rPr>
          <w:rFonts w:ascii="Arial" w:cs="Arial" w:eastAsia="Arial" w:hAnsi="Arial"/>
          <w:sz w:val="18"/>
          <w:szCs w:val="18"/>
          <w:color w:val="auto"/>
        </w:rPr>
      </w:pPr>
    </w:p>
    <w:p>
      <w:pPr>
        <w:ind w:left="541"/>
        <w:spacing w:after="0"/>
        <w:rPr>
          <w:rFonts w:ascii="Arial" w:cs="Arial" w:eastAsia="Arial" w:hAnsi="Arial"/>
          <w:sz w:val="18"/>
          <w:szCs w:val="18"/>
          <w:color w:val="auto"/>
        </w:rPr>
      </w:pPr>
      <w:r>
        <w:rPr>
          <w:rFonts w:ascii="Arial" w:cs="Arial" w:eastAsia="Arial" w:hAnsi="Arial"/>
          <w:sz w:val="17"/>
          <w:szCs w:val="17"/>
          <w:color w:val="auto"/>
        </w:rPr>
        <w:t>(9,434)</w:t>
      </w:r>
    </w:p>
    <w:p>
      <w:pPr>
        <w:spacing w:after="0" w:line="47" w:lineRule="exact"/>
        <w:rPr>
          <w:sz w:val="20"/>
          <w:szCs w:val="20"/>
          <w:color w:val="auto"/>
        </w:rPr>
      </w:pPr>
    </w:p>
    <w:p>
      <w:pPr>
        <w:ind w:left="521" w:hanging="521"/>
        <w:spacing w:after="0"/>
        <w:tabs>
          <w:tab w:leader="none" w:pos="521" w:val="left"/>
        </w:tabs>
        <w:numPr>
          <w:ilvl w:val="0"/>
          <w:numId w:val="36"/>
        </w:numPr>
        <w:rPr>
          <w:rFonts w:ascii="Arial" w:cs="Arial" w:eastAsia="Arial" w:hAnsi="Arial"/>
          <w:sz w:val="18"/>
          <w:szCs w:val="18"/>
          <w:color w:val="auto"/>
        </w:rPr>
      </w:pPr>
      <w:r>
        <w:rPr>
          <w:rFonts w:ascii="Arial" w:cs="Arial" w:eastAsia="Arial" w:hAnsi="Arial"/>
          <w:sz w:val="18"/>
          <w:szCs w:val="18"/>
          <w:color w:val="auto"/>
        </w:rPr>
        <w:t>12,150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43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79" w:space="720"/>
            <w:col w:w="1121"/>
          </w:cols>
          <w:pgMar w:left="240" w:top="665" w:right="239" w:bottom="1440" w:gutter="0" w:footer="0" w:header="0"/>
          <w:type w:val="continuous"/>
        </w:sectPr>
      </w:pPr>
    </w:p>
    <w:p>
      <w:pPr>
        <w:spacing w:after="0" w:line="25" w:lineRule="exact"/>
        <w:rPr>
          <w:sz w:val="20"/>
          <w:szCs w:val="20"/>
          <w:color w:val="auto"/>
        </w:rPr>
      </w:pPr>
    </w:p>
    <w:p>
      <w:pPr>
        <w:ind w:left="340" w:right="140" w:hanging="332"/>
        <w:spacing w:after="0" w:line="259"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the hedging relationship has been terminated but the hedged transaction is still forecast to occur, losses on the hedging relationship that are included in AOCL are amortized to earnings in the periods in which earnings are affected by the hedged transaction. Amortization in the third quarter included $4.1 million of accelerated amortization as a result of the early repayment and termination of four advance financing facilities as a result of the July 1, 2013 HLSS Transaction.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37" w:name="page38"/>
    <w:bookmarkEnd w:id="37"/>
    <w:p>
      <w:pPr>
        <w:ind w:left="260"/>
        <w:spacing w:after="0"/>
        <w:rPr>
          <w:sz w:val="20"/>
          <w:szCs w:val="20"/>
          <w:color w:val="auto"/>
        </w:rPr>
      </w:pPr>
      <w:r>
        <w:rPr>
          <w:rFonts w:ascii="Arial" w:cs="Arial" w:eastAsia="Arial" w:hAnsi="Arial"/>
          <w:sz w:val="18"/>
          <w:szCs w:val="18"/>
          <w:color w:val="auto"/>
        </w:rPr>
        <w:t>The statements of operations include the following related to derivative financial instruments for the periods ended September 30: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160" w:type="dxa"/>
            <w:vAlign w:val="bottom"/>
            <w:tcBorders>
              <w:bottom w:val="single" w:sz="8" w:color="CCEECC"/>
            </w:tcBorders>
          </w:tcPr>
          <w:p>
            <w:pPr>
              <w:spacing w:after="0"/>
              <w:rPr>
                <w:sz w:val="19"/>
                <w:szCs w:val="19"/>
                <w:color w:val="auto"/>
              </w:rPr>
            </w:pPr>
          </w:p>
        </w:tc>
        <w:tc>
          <w:tcPr>
            <w:tcW w:w="500" w:type="dxa"/>
            <w:vAlign w:val="bottom"/>
            <w:tcBorders>
              <w:bottom w:val="single" w:sz="8" w:color="CCEECC"/>
            </w:tcBorders>
          </w:tcPr>
          <w:p>
            <w:pPr>
              <w:spacing w:after="0"/>
              <w:rPr>
                <w:sz w:val="19"/>
                <w:szCs w:val="19"/>
                <w:color w:val="auto"/>
              </w:rPr>
            </w:pPr>
          </w:p>
        </w:tc>
        <w:tc>
          <w:tcPr>
            <w:tcW w:w="3980" w:type="dxa"/>
            <w:vAlign w:val="bottom"/>
            <w:tcBorders>
              <w:bottom w:val="single" w:sz="8" w:color="CCEECC"/>
            </w:tcBorders>
          </w:tcPr>
          <w:p>
            <w:pPr>
              <w:spacing w:after="0"/>
              <w:rPr>
                <w:sz w:val="19"/>
                <w:szCs w:val="19"/>
                <w:color w:val="auto"/>
              </w:rPr>
            </w:pPr>
          </w:p>
        </w:tc>
        <w:tc>
          <w:tcPr>
            <w:tcW w:w="20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Borders>
              <w:bottom w:val="single" w:sz="8" w:color="CCEECC"/>
            </w:tcBorders>
          </w:tcPr>
          <w:p>
            <w:pPr>
              <w:spacing w:after="0"/>
              <w:rPr>
                <w:sz w:val="19"/>
                <w:szCs w:val="19"/>
                <w:color w:val="auto"/>
              </w:rPr>
            </w:pPr>
          </w:p>
        </w:tc>
        <w:tc>
          <w:tcPr>
            <w:tcW w:w="20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r>
      <w:tr>
        <w:trPr>
          <w:trHeight w:val="210"/>
        </w:trPr>
        <w:tc>
          <w:tcPr>
            <w:tcW w:w="56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Servicing and origination expense</w:t>
            </w: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5640" w:type="dxa"/>
            <w:vAlign w:val="bottom"/>
            <w:gridSpan w:val="3"/>
          </w:tcPr>
          <w:p>
            <w:pPr>
              <w:ind w:left="160"/>
              <w:spacing w:after="0"/>
              <w:rPr>
                <w:sz w:val="20"/>
                <w:szCs w:val="20"/>
                <w:color w:val="auto"/>
              </w:rPr>
            </w:pPr>
            <w:r>
              <w:rPr>
                <w:rFonts w:ascii="Arial" w:cs="Arial" w:eastAsia="Arial" w:hAnsi="Arial"/>
                <w:sz w:val="18"/>
                <w:szCs w:val="18"/>
                <w:color w:val="auto"/>
              </w:rPr>
              <w:t>Gains on economic hedges</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1,017</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Gain on loans held for sale, net</w:t>
            </w: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5640" w:type="dxa"/>
            <w:vAlign w:val="bottom"/>
            <w:gridSpan w:val="3"/>
          </w:tcPr>
          <w:p>
            <w:pPr>
              <w:ind w:left="160"/>
              <w:spacing w:after="0"/>
              <w:rPr>
                <w:sz w:val="20"/>
                <w:szCs w:val="20"/>
                <w:color w:val="auto"/>
              </w:rPr>
            </w:pPr>
            <w:r>
              <w:rPr>
                <w:rFonts w:ascii="Arial" w:cs="Arial" w:eastAsia="Arial" w:hAnsi="Arial"/>
                <w:sz w:val="18"/>
                <w:szCs w:val="18"/>
                <w:color w:val="auto"/>
              </w:rPr>
              <w:t>Gains on economic hedges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36,907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5640" w:type="dxa"/>
            <w:vAlign w:val="bottom"/>
            <w:gridSpan w:val="3"/>
          </w:tcPr>
          <w:p>
            <w:pPr>
              <w:ind w:left="160"/>
              <w:spacing w:after="0"/>
              <w:rPr>
                <w:sz w:val="20"/>
                <w:szCs w:val="20"/>
                <w:color w:val="auto"/>
              </w:rPr>
            </w:pPr>
            <w:r>
              <w:rPr>
                <w:rFonts w:ascii="Arial" w:cs="Arial" w:eastAsia="Arial" w:hAnsi="Arial"/>
                <w:sz w:val="18"/>
                <w:szCs w:val="18"/>
                <w:color w:val="auto"/>
              </w:rPr>
              <w:t>Gains (losses) on economic hedges (1)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(3,822)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6,645</w:t>
            </w:r>
          </w:p>
        </w:tc>
        <w:tc>
          <w:tcPr>
            <w:tcW w:w="80" w:type="dxa"/>
            <w:vAlign w:val="bottom"/>
          </w:tcPr>
          <w:p>
            <w:pPr>
              <w:spacing w:after="0"/>
              <w:rPr>
                <w:sz w:val="18"/>
                <w:szCs w:val="18"/>
                <w:color w:val="auto"/>
              </w:rPr>
            </w:pPr>
          </w:p>
        </w:tc>
      </w:tr>
      <w:tr>
        <w:trPr>
          <w:trHeight w:val="216"/>
        </w:trPr>
        <w:tc>
          <w:tcPr>
            <w:tcW w:w="564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Ineffectiveness of cash flow hedges</w:t>
            </w:r>
          </w:p>
        </w:tc>
        <w:tc>
          <w:tcPr>
            <w:tcW w:w="2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(657)</w:t>
            </w: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CC"/>
          </w:tcPr>
          <w:p>
            <w:pPr>
              <w:spacing w:after="0"/>
              <w:rPr>
                <w:sz w:val="18"/>
                <w:szCs w:val="18"/>
                <w:color w:val="auto"/>
              </w:rPr>
            </w:pPr>
          </w:p>
        </w:tc>
      </w:tr>
      <w:tr>
        <w:trPr>
          <w:trHeight w:val="216"/>
        </w:trPr>
        <w:tc>
          <w:tcPr>
            <w:tcW w:w="5640" w:type="dxa"/>
            <w:vAlign w:val="bottom"/>
            <w:gridSpan w:val="3"/>
          </w:tcPr>
          <w:p>
            <w:pPr>
              <w:ind w:left="160"/>
              <w:spacing w:after="0"/>
              <w:rPr>
                <w:sz w:val="20"/>
                <w:szCs w:val="20"/>
                <w:color w:val="auto"/>
              </w:rPr>
            </w:pPr>
            <w:r>
              <w:rPr>
                <w:rFonts w:ascii="Arial" w:cs="Arial" w:eastAsia="Arial" w:hAnsi="Arial"/>
                <w:sz w:val="18"/>
                <w:szCs w:val="18"/>
                <w:color w:val="auto"/>
              </w:rPr>
              <w:t>Write-off of losses in AOCL for a discontinued hedge relationship</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(7,780)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(9,434)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(4,633)</w:t>
            </w:r>
          </w:p>
        </w:tc>
      </w:tr>
      <w:tr>
        <w:trPr>
          <w:trHeight w:val="202"/>
        </w:trPr>
        <w:tc>
          <w:tcPr>
            <w:tcW w:w="5640" w:type="dxa"/>
            <w:vAlign w:val="bottom"/>
            <w:gridSpan w:val="3"/>
            <w:shd w:val="clear" w:color="auto" w:fill="CCEECC"/>
          </w:tcPr>
          <w:p>
            <w:pPr>
              <w:ind w:left="160"/>
              <w:spacing w:after="0" w:line="201" w:lineRule="exact"/>
              <w:rPr>
                <w:sz w:val="20"/>
                <w:szCs w:val="20"/>
                <w:color w:val="auto"/>
              </w:rPr>
            </w:pPr>
            <w:r>
              <w:rPr>
                <w:rFonts w:ascii="Arial" w:cs="Arial" w:eastAsia="Arial" w:hAnsi="Arial"/>
                <w:sz w:val="18"/>
                <w:szCs w:val="18"/>
                <w:color w:val="auto"/>
                <w:w w:val="96"/>
              </w:rPr>
              <w:t>Write-off of losses in AOCL for hedge of a financing facility assumed by</w:t>
            </w:r>
          </w:p>
        </w:tc>
        <w:tc>
          <w:tcPr>
            <w:tcW w:w="20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2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72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4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7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r>
      <w:tr>
        <w:trPr>
          <w:trHeight w:val="244"/>
        </w:trPr>
        <w:tc>
          <w:tcPr>
            <w:tcW w:w="5640" w:type="dxa"/>
            <w:vAlign w:val="bottom"/>
            <w:gridSpan w:val="3"/>
            <w:shd w:val="clear" w:color="auto" w:fill="CCEECC"/>
          </w:tcPr>
          <w:p>
            <w:pPr>
              <w:ind w:left="320"/>
              <w:spacing w:after="0" w:line="170" w:lineRule="exact"/>
              <w:rPr>
                <w:rFonts w:ascii="Arial" w:cs="Arial" w:eastAsia="Arial" w:hAnsi="Arial"/>
                <w:sz w:val="18"/>
                <w:szCs w:val="18"/>
                <w:color w:val="auto"/>
              </w:rPr>
            </w:pPr>
            <w:r>
              <w:rPr>
                <w:rFonts w:ascii="Arial" w:cs="Arial" w:eastAsia="Arial" w:hAnsi="Arial"/>
                <w:sz w:val="18"/>
                <w:szCs w:val="18"/>
                <w:color w:val="auto"/>
              </w:rPr>
              <w:t xml:space="preserve">HLSS (See </w:t>
            </w:r>
            <w:hyperlink w:anchor="page15">
              <w:r>
                <w:rPr>
                  <w:rFonts w:ascii="Arial" w:cs="Arial" w:eastAsia="Arial" w:hAnsi="Arial"/>
                  <w:sz w:val="18"/>
                  <w:szCs w:val="18"/>
                  <w:color w:val="0000EE"/>
                </w:rPr>
                <w:t>Note 3</w:t>
              </w:r>
              <w:r>
                <w:rPr>
                  <w:rFonts w:ascii="Arial" w:cs="Arial" w:eastAsia="Arial" w:hAnsi="Arial"/>
                  <w:sz w:val="18"/>
                  <w:szCs w:val="18"/>
                  <w:color w:val="auto"/>
                </w:rPr>
                <w:t xml:space="preserve"> </w:t>
              </w:r>
            </w:hyperlink>
            <w:r>
              <w:rPr>
                <w:rFonts w:ascii="Arial" w:cs="Arial" w:eastAsia="Arial" w:hAnsi="Arial"/>
                <w:sz w:val="18"/>
                <w:szCs w:val="18"/>
                <w:color w:val="auto"/>
              </w:rPr>
              <w:t>–Transfers of Financial Assets)</w:t>
            </w:r>
          </w:p>
        </w:tc>
        <w:tc>
          <w:tcPr>
            <w:tcW w:w="200" w:type="dxa"/>
            <w:vAlign w:val="bottom"/>
            <w:shd w:val="clear" w:color="auto" w:fill="CCEECC"/>
          </w:tcPr>
          <w:p>
            <w:pPr>
              <w:spacing w:after="0"/>
              <w:rPr>
                <w:sz w:val="21"/>
                <w:szCs w:val="21"/>
                <w:color w:val="auto"/>
              </w:rPr>
            </w:pPr>
          </w:p>
        </w:tc>
        <w:tc>
          <w:tcPr>
            <w:tcW w:w="220" w:type="dxa"/>
            <w:vAlign w:val="bottom"/>
            <w:shd w:val="clear" w:color="auto" w:fill="CCEECC"/>
          </w:tcPr>
          <w:p>
            <w:pPr>
              <w:spacing w:after="0"/>
              <w:rPr>
                <w:sz w:val="21"/>
                <w:szCs w:val="21"/>
                <w:color w:val="auto"/>
              </w:rPr>
            </w:pPr>
          </w:p>
        </w:tc>
        <w:tc>
          <w:tcPr>
            <w:tcW w:w="1080" w:type="dxa"/>
            <w:vAlign w:val="bottom"/>
            <w:gridSpan w:val="2"/>
            <w:shd w:val="clear" w:color="auto" w:fill="CCEECC"/>
          </w:tcPr>
          <w:p>
            <w:pPr>
              <w:jc w:val="right"/>
              <w:ind w:right="260"/>
              <w:spacing w:after="0" w:line="17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21"/>
                <w:szCs w:val="21"/>
                <w:color w:val="auto"/>
              </w:rPr>
            </w:pPr>
          </w:p>
        </w:tc>
        <w:tc>
          <w:tcPr>
            <w:tcW w:w="320" w:type="dxa"/>
            <w:vAlign w:val="bottom"/>
            <w:shd w:val="clear" w:color="auto" w:fill="CCEECC"/>
          </w:tcPr>
          <w:p>
            <w:pPr>
              <w:spacing w:after="0"/>
              <w:rPr>
                <w:sz w:val="21"/>
                <w:szCs w:val="21"/>
                <w:color w:val="auto"/>
              </w:rPr>
            </w:pPr>
          </w:p>
        </w:tc>
        <w:tc>
          <w:tcPr>
            <w:tcW w:w="960" w:type="dxa"/>
            <w:vAlign w:val="bottom"/>
            <w:gridSpan w:val="2"/>
            <w:shd w:val="clear" w:color="auto" w:fill="CCEECC"/>
          </w:tcPr>
          <w:p>
            <w:pPr>
              <w:jc w:val="right"/>
              <w:ind w:right="160"/>
              <w:spacing w:after="0" w:line="170" w:lineRule="exact"/>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21"/>
                <w:szCs w:val="21"/>
                <w:color w:val="auto"/>
              </w:rPr>
            </w:pPr>
          </w:p>
        </w:tc>
        <w:tc>
          <w:tcPr>
            <w:tcW w:w="200" w:type="dxa"/>
            <w:vAlign w:val="bottom"/>
            <w:shd w:val="clear" w:color="auto" w:fill="CCEECC"/>
          </w:tcPr>
          <w:p>
            <w:pPr>
              <w:spacing w:after="0"/>
              <w:rPr>
                <w:sz w:val="21"/>
                <w:szCs w:val="21"/>
                <w:color w:val="auto"/>
              </w:rPr>
            </w:pPr>
          </w:p>
        </w:tc>
        <w:tc>
          <w:tcPr>
            <w:tcW w:w="1260" w:type="dxa"/>
            <w:vAlign w:val="bottom"/>
            <w:gridSpan w:val="2"/>
            <w:shd w:val="clear" w:color="auto" w:fill="CCEECC"/>
          </w:tcPr>
          <w:p>
            <w:pPr>
              <w:jc w:val="right"/>
              <w:ind w:right="440"/>
              <w:spacing w:after="0" w:line="170" w:lineRule="exact"/>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21"/>
                <w:szCs w:val="21"/>
                <w:color w:val="auto"/>
              </w:rPr>
            </w:pPr>
          </w:p>
        </w:tc>
        <w:tc>
          <w:tcPr>
            <w:tcW w:w="280" w:type="dxa"/>
            <w:vAlign w:val="bottom"/>
            <w:shd w:val="clear" w:color="auto" w:fill="CCEECC"/>
          </w:tcPr>
          <w:p>
            <w:pPr>
              <w:spacing w:after="0"/>
              <w:rPr>
                <w:sz w:val="21"/>
                <w:szCs w:val="21"/>
                <w:color w:val="auto"/>
              </w:rPr>
            </w:pPr>
          </w:p>
        </w:tc>
        <w:tc>
          <w:tcPr>
            <w:tcW w:w="820" w:type="dxa"/>
            <w:vAlign w:val="bottom"/>
            <w:gridSpan w:val="3"/>
            <w:shd w:val="clear" w:color="auto" w:fill="CCEECC"/>
          </w:tcPr>
          <w:p>
            <w:pPr>
              <w:jc w:val="right"/>
              <w:ind w:right="40"/>
              <w:spacing w:after="0" w:line="170" w:lineRule="exact"/>
              <w:rPr>
                <w:sz w:val="20"/>
                <w:szCs w:val="20"/>
                <w:color w:val="auto"/>
              </w:rPr>
            </w:pPr>
            <w:r>
              <w:rPr>
                <w:rFonts w:ascii="Arial" w:cs="Arial" w:eastAsia="Arial" w:hAnsi="Arial"/>
                <w:sz w:val="18"/>
                <w:szCs w:val="18"/>
                <w:color w:val="auto"/>
              </w:rPr>
              <w:t>(5,958)</w:t>
            </w:r>
          </w:p>
        </w:tc>
      </w:tr>
      <w:tr>
        <w:trPr>
          <w:trHeight w:val="223"/>
        </w:trPr>
        <w:tc>
          <w:tcPr>
            <w:tcW w:w="1160" w:type="dxa"/>
            <w:vAlign w:val="bottom"/>
            <w:tcBorders>
              <w:top w:val="single" w:sz="8" w:color="CCEECC"/>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980" w:type="dxa"/>
            <w:vAlign w:val="bottom"/>
            <w:tcBorders>
              <w:top w:val="single" w:sz="8" w:color="CCEECC"/>
            </w:tcBorders>
          </w:tcPr>
          <w:p>
            <w:pPr>
              <w:spacing w:after="0"/>
              <w:rPr>
                <w:sz w:val="19"/>
                <w:szCs w:val="19"/>
                <w:color w:val="auto"/>
              </w:rPr>
            </w:pPr>
          </w:p>
        </w:tc>
        <w:tc>
          <w:tcPr>
            <w:tcW w:w="200" w:type="dxa"/>
            <w:vAlign w:val="bottom"/>
            <w:tcBorders>
              <w:top w:val="single" w:sz="8" w:color="CCEECC"/>
            </w:tcBorders>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260" w:type="dxa"/>
            <w:vAlign w:val="bottom"/>
            <w:tcBorders>
              <w:top w:val="single" w:sz="8" w:color="CCEECC"/>
            </w:tcBorders>
          </w:tcPr>
          <w:p>
            <w:pPr>
              <w:spacing w:after="0"/>
              <w:rPr>
                <w:sz w:val="19"/>
                <w:szCs w:val="19"/>
                <w:color w:val="auto"/>
              </w:rPr>
            </w:pPr>
          </w:p>
        </w:tc>
        <w:tc>
          <w:tcPr>
            <w:tcW w:w="220" w:type="dxa"/>
            <w:vAlign w:val="bottom"/>
            <w:tcBorders>
              <w:top w:val="single" w:sz="8" w:color="CCEECC"/>
            </w:tcBorders>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240" w:type="dxa"/>
            <w:vAlign w:val="bottom"/>
            <w:tcBorders>
              <w:top w:val="single" w:sz="8" w:color="CCEE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24,011</w:t>
            </w:r>
          </w:p>
        </w:tc>
        <w:tc>
          <w:tcPr>
            <w:tcW w:w="440" w:type="dxa"/>
            <w:vAlign w:val="bottom"/>
            <w:tcBorders>
              <w:top w:val="single" w:sz="8" w:color="CCEECC"/>
            </w:tcBorders>
          </w:tcPr>
          <w:p>
            <w:pPr>
              <w:spacing w:after="0"/>
              <w:rPr>
                <w:sz w:val="19"/>
                <w:szCs w:val="19"/>
                <w:color w:val="auto"/>
              </w:rPr>
            </w:pPr>
          </w:p>
        </w:tc>
        <w:tc>
          <w:tcPr>
            <w:tcW w:w="20" w:type="dxa"/>
            <w:vAlign w:val="bottom"/>
            <w:tcBorders>
              <w:top w:val="single" w:sz="8" w:color="CCEECC"/>
            </w:tcBorders>
          </w:tcPr>
          <w:p>
            <w:pPr>
              <w:spacing w:after="0"/>
              <w:rPr>
                <w:sz w:val="19"/>
                <w:szCs w:val="19"/>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Borders>
              <w:top w:val="single" w:sz="8" w:color="CCEECC"/>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(1)  Includes a gain of $3.4 million recognized during the three months ended March 31, 2012 from the termination of foreign exchange forward contracts.</w:t>
      </w:r>
    </w:p>
    <w:p>
      <w:pPr>
        <w:spacing w:after="0" w:line="204"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INTEREST EXPENSE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expense for the periods ended September 30: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7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00" w:type="dxa"/>
            <w:vAlign w:val="bottom"/>
            <w:tcBorders>
              <w:bottom w:val="single" w:sz="8" w:color="CCEECC"/>
            </w:tcBorders>
          </w:tcPr>
          <w:p>
            <w:pPr>
              <w:spacing w:after="0"/>
              <w:rPr>
                <w:sz w:val="19"/>
                <w:szCs w:val="19"/>
                <w:color w:val="auto"/>
              </w:rPr>
            </w:pPr>
          </w:p>
        </w:tc>
        <w:tc>
          <w:tcPr>
            <w:tcW w:w="16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EECC"/>
            </w:tcBorders>
          </w:tcPr>
          <w:p>
            <w:pPr>
              <w:spacing w:after="0"/>
              <w:rPr>
                <w:sz w:val="19"/>
                <w:szCs w:val="19"/>
                <w:color w:val="auto"/>
              </w:rPr>
            </w:pPr>
          </w:p>
        </w:tc>
        <w:tc>
          <w:tcPr>
            <w:tcW w:w="24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44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EECC"/>
            </w:tcBorders>
          </w:tcPr>
          <w:p>
            <w:pPr>
              <w:spacing w:after="0"/>
              <w:rPr>
                <w:sz w:val="19"/>
                <w:szCs w:val="19"/>
                <w:color w:val="auto"/>
              </w:rPr>
            </w:pPr>
          </w:p>
        </w:tc>
      </w:tr>
      <w:tr>
        <w:trPr>
          <w:trHeight w:val="210"/>
        </w:trPr>
        <w:tc>
          <w:tcPr>
            <w:tcW w:w="4200" w:type="dxa"/>
            <w:vAlign w:val="bottom"/>
            <w:shd w:val="clear" w:color="auto" w:fill="CCEECC"/>
          </w:tcPr>
          <w:p>
            <w:pPr>
              <w:spacing w:after="0"/>
              <w:rPr>
                <w:sz w:val="20"/>
                <w:szCs w:val="20"/>
                <w:color w:val="auto"/>
              </w:rPr>
            </w:pPr>
            <w:r>
              <w:rPr>
                <w:rFonts w:ascii="Arial" w:cs="Arial" w:eastAsia="Arial" w:hAnsi="Arial"/>
                <w:sz w:val="18"/>
                <w:szCs w:val="18"/>
                <w:color w:val="auto"/>
              </w:rPr>
              <w:t>Match funded liabilities</w:t>
            </w:r>
          </w:p>
        </w:tc>
        <w:tc>
          <w:tcPr>
            <w:tcW w:w="16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11,249</w:t>
            </w:r>
          </w:p>
        </w:tc>
        <w:tc>
          <w:tcPr>
            <w:tcW w:w="2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32,359</w:t>
            </w:r>
          </w:p>
        </w:tc>
        <w:tc>
          <w:tcPr>
            <w:tcW w:w="44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66,678</w:t>
            </w:r>
          </w:p>
        </w:tc>
        <w:tc>
          <w:tcPr>
            <w:tcW w:w="44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99,394</w:t>
            </w:r>
          </w:p>
        </w:tc>
        <w:tc>
          <w:tcPr>
            <w:tcW w:w="100" w:type="dxa"/>
            <w:vAlign w:val="bottom"/>
            <w:shd w:val="clear" w:color="auto" w:fill="CCEEC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borrowings (1)</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95,496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24,877</w:t>
            </w: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228,198</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60,160</w:t>
            </w:r>
          </w:p>
        </w:tc>
      </w:tr>
      <w:tr>
        <w:trPr>
          <w:trHeight w:val="216"/>
        </w:trPr>
        <w:tc>
          <w:tcPr>
            <w:tcW w:w="4200" w:type="dxa"/>
            <w:vAlign w:val="bottom"/>
            <w:shd w:val="clear" w:color="auto" w:fill="CCEECC"/>
          </w:tcPr>
          <w:p>
            <w:pPr>
              <w:spacing w:after="0"/>
              <w:rPr>
                <w:sz w:val="20"/>
                <w:szCs w:val="20"/>
                <w:color w:val="auto"/>
              </w:rPr>
            </w:pPr>
            <w:r>
              <w:rPr>
                <w:rFonts w:ascii="Arial" w:cs="Arial" w:eastAsia="Arial" w:hAnsi="Arial"/>
                <w:sz w:val="18"/>
                <w:szCs w:val="18"/>
                <w:color w:val="auto"/>
              </w:rPr>
              <w:t>Debt securities:</w:t>
            </w:r>
          </w:p>
        </w:tc>
        <w:tc>
          <w:tcPr>
            <w:tcW w:w="16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4200" w:type="dxa"/>
            <w:vAlign w:val="bottom"/>
          </w:tcPr>
          <w:p>
            <w:pPr>
              <w:ind w:left="160"/>
              <w:spacing w:after="0"/>
              <w:rPr>
                <w:sz w:val="20"/>
                <w:szCs w:val="20"/>
                <w:color w:val="auto"/>
              </w:rPr>
            </w:pPr>
            <w:r>
              <w:rPr>
                <w:rFonts w:ascii="Arial" w:cs="Arial" w:eastAsia="Arial" w:hAnsi="Arial"/>
                <w:sz w:val="18"/>
                <w:szCs w:val="18"/>
                <w:color w:val="auto"/>
              </w:rPr>
              <w:t>3.25% Convertible Notes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42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10.875% Capital Trust Securities</w:t>
            </w:r>
          </w:p>
        </w:tc>
        <w:tc>
          <w:tcPr>
            <w:tcW w:w="16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1,894</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708</w:t>
            </w: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8,463</w:t>
            </w:r>
          </w:p>
        </w:tc>
        <w:tc>
          <w:tcPr>
            <w:tcW w:w="3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2,059</w:t>
            </w:r>
          </w:p>
        </w:tc>
      </w:tr>
      <w:tr>
        <w:trPr>
          <w:trHeight w:val="223"/>
        </w:trPr>
        <w:tc>
          <w:tcPr>
            <w:tcW w:w="4200" w:type="dxa"/>
            <w:vAlign w:val="bottom"/>
            <w:tcBorders>
              <w:top w:val="single" w:sz="8" w:color="CCEECC"/>
              <w:bottom w:val="single" w:sz="8" w:color="CCEECC"/>
            </w:tcBorders>
            <w:shd w:val="clear" w:color="auto" w:fill="CCEECC"/>
          </w:tcPr>
          <w:p>
            <w:pPr>
              <w:spacing w:after="0"/>
              <w:rPr>
                <w:sz w:val="19"/>
                <w:szCs w:val="19"/>
                <w:color w:val="auto"/>
              </w:rPr>
            </w:pPr>
          </w:p>
        </w:tc>
        <w:tc>
          <w:tcPr>
            <w:tcW w:w="16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110,055</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320" w:type="dxa"/>
            <w:vAlign w:val="bottom"/>
            <w:tcBorders>
              <w:top w:val="single" w:sz="8" w:color="auto"/>
              <w:bottom w:val="single" w:sz="8" w:color="auto"/>
            </w:tcBorders>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58,417</w:t>
            </w:r>
          </w:p>
        </w:tc>
        <w:tc>
          <w:tcPr>
            <w:tcW w:w="44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303,339</w:t>
            </w:r>
          </w:p>
        </w:tc>
        <w:tc>
          <w:tcPr>
            <w:tcW w:w="440" w:type="dxa"/>
            <w:vAlign w:val="bottom"/>
            <w:tcBorders>
              <w:top w:val="single" w:sz="8" w:color="CCEECC"/>
              <w:bottom w:val="single" w:sz="8" w:color="CCEECC"/>
            </w:tcBorders>
            <w:shd w:val="clear" w:color="auto" w:fill="CCEECC"/>
          </w:tcPr>
          <w:p>
            <w:pPr>
              <w:spacing w:after="0"/>
              <w:rPr>
                <w:sz w:val="19"/>
                <w:szCs w:val="19"/>
                <w:color w:val="auto"/>
              </w:rPr>
            </w:pPr>
          </w:p>
        </w:tc>
        <w:tc>
          <w:tcPr>
            <w:tcW w:w="300" w:type="dxa"/>
            <w:vAlign w:val="bottom"/>
            <w:tcBorders>
              <w:top w:val="single" w:sz="8" w:color="auto"/>
              <w:bottom w:val="single" w:sz="8" w:color="auto"/>
            </w:tcBorders>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163,660</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340" w:right="180" w:hanging="332"/>
        <w:spacing w:after="0" w:line="286"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Includes interest expense of $74.2 million and $14.0 million for the three months ended September 30, 2013 and 2012, respectively, and $168.6 million and $27.6 million for the nine months ended September 30, 2013 and 2012, respectively, related to financing liabilities recorded in connection with the HLSS Transactions. See </w:t>
      </w:r>
      <w:hyperlink w:anchor="page15">
        <w:r>
          <w:rPr>
            <w:rFonts w:ascii="Arial" w:cs="Arial" w:eastAsia="Arial" w:hAnsi="Arial"/>
            <w:sz w:val="17"/>
            <w:szCs w:val="17"/>
            <w:u w:val="single" w:color="auto"/>
            <w:color w:val="0000EE"/>
          </w:rPr>
          <w:t>Note 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–Transfers of Financial Assets and Note 15 – Other Borrowings for additional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ind w:left="20"/>
        <w:spacing w:after="0"/>
        <w:tabs>
          <w:tab w:leader="none" w:pos="114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7"/>
          <w:szCs w:val="17"/>
          <w:b w:val="1"/>
          <w:bCs w:val="1"/>
          <w:color w:val="auto"/>
        </w:rPr>
        <w:t>BASIC AND DILUTED EARNINGS PER SHARE (EPS)</w:t>
      </w:r>
    </w:p>
    <w:p>
      <w:pPr>
        <w:spacing w:after="0" w:line="189"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Basic EPS excludes common stock equivalents and is calculated by dividing net income attributable to Ocwen common stockholders by the weighted average number of common shares outstanding during the year. We calculate diluted EPS by dividing net income attributable to Ocwen, as adjusted to add back preferred stock dividends and interest expense net of income tax on the Convertible Notes, by the weighted average number of common shares outstanding including the potential dilutive common shares related to outstanding stock options, restricted stock awards, the Preferred Shares and the Convertible Notes. The following is a reconciliation of the calculation of basic EPS to diluted EPS for the periods ended September 30: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ind w:left="62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6"/>
          </w:tcPr>
          <w:p>
            <w:pPr>
              <w:ind w:left="64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CCEECC"/>
            </w:tcBorders>
          </w:tcPr>
          <w:p>
            <w:pPr>
              <w:spacing w:after="0"/>
              <w:rPr>
                <w:sz w:val="19"/>
                <w:szCs w:val="19"/>
                <w:color w:val="auto"/>
              </w:rPr>
            </w:pPr>
          </w:p>
        </w:tc>
        <w:tc>
          <w:tcPr>
            <w:tcW w:w="140" w:type="dxa"/>
            <w:vAlign w:val="bottom"/>
            <w:tcBorders>
              <w:bottom w:val="single" w:sz="8" w:color="CCEECC"/>
            </w:tcBorders>
          </w:tcPr>
          <w:p>
            <w:pPr>
              <w:spacing w:after="0"/>
              <w:rPr>
                <w:sz w:val="19"/>
                <w:szCs w:val="19"/>
                <w:color w:val="auto"/>
              </w:rPr>
            </w:pPr>
          </w:p>
        </w:tc>
        <w:tc>
          <w:tcPr>
            <w:tcW w:w="4180" w:type="dxa"/>
            <w:vAlign w:val="bottom"/>
            <w:tcBorders>
              <w:bottom w:val="single" w:sz="8" w:color="CCEECC"/>
            </w:tcBorders>
          </w:tcPr>
          <w:p>
            <w:pPr>
              <w:spacing w:after="0"/>
              <w:rPr>
                <w:sz w:val="19"/>
                <w:szCs w:val="19"/>
                <w:color w:val="auto"/>
              </w:rPr>
            </w:pPr>
          </w:p>
        </w:tc>
        <w:tc>
          <w:tcPr>
            <w:tcW w:w="700" w:type="dxa"/>
            <w:vAlign w:val="bottom"/>
            <w:tcBorders>
              <w:bottom w:val="single" w:sz="8" w:color="CCEE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top w:val="single" w:sz="8" w:color="auto"/>
              <w:bottom w:val="single" w:sz="8" w:color="CCEECC"/>
            </w:tcBorders>
          </w:tcPr>
          <w:p>
            <w:pPr>
              <w:spacing w:after="0"/>
              <w:rPr>
                <w:sz w:val="19"/>
                <w:szCs w:val="19"/>
                <w:color w:val="auto"/>
              </w:rPr>
            </w:pPr>
          </w:p>
        </w:tc>
        <w:tc>
          <w:tcPr>
            <w:tcW w:w="240" w:type="dxa"/>
            <w:vAlign w:val="bottom"/>
            <w:tcBorders>
              <w:top w:val="single" w:sz="8" w:color="auto"/>
              <w:bottom w:val="single" w:sz="8" w:color="CCEE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CCEECC"/>
            </w:tcBorders>
          </w:tcPr>
          <w:p>
            <w:pPr>
              <w:spacing w:after="0"/>
              <w:rPr>
                <w:sz w:val="19"/>
                <w:szCs w:val="19"/>
                <w:color w:val="auto"/>
              </w:rPr>
            </w:pPr>
          </w:p>
        </w:tc>
        <w:tc>
          <w:tcPr>
            <w:tcW w:w="220" w:type="dxa"/>
            <w:vAlign w:val="bottom"/>
            <w:tcBorders>
              <w:top w:val="single" w:sz="8" w:color="auto"/>
              <w:bottom w:val="single" w:sz="8" w:color="CCEE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bottom w:val="single" w:sz="8" w:color="auto"/>
            </w:tcBorders>
            <w:shd w:val="clear" w:color="auto" w:fill="CCEECC"/>
          </w:tcPr>
          <w:p>
            <w:pPr>
              <w:spacing w:after="0" w:line="170" w:lineRule="exact"/>
              <w:rPr>
                <w:sz w:val="20"/>
                <w:szCs w:val="20"/>
                <w:color w:val="auto"/>
              </w:rPr>
            </w:pPr>
            <w:r>
              <w:rPr>
                <w:rFonts w:ascii="Arial" w:cs="Arial" w:eastAsia="Arial" w:hAnsi="Arial"/>
                <w:sz w:val="18"/>
                <w:szCs w:val="18"/>
                <w:color w:val="auto"/>
                <w:w w:val="86"/>
              </w:rPr>
              <w:t>Basic EPS:</w:t>
            </w:r>
          </w:p>
        </w:tc>
        <w:tc>
          <w:tcPr>
            <w:tcW w:w="4320" w:type="dxa"/>
            <w:vAlign w:val="bottom"/>
            <w:tcBorders>
              <w:bottom w:val="single" w:sz="8" w:color="CCEECC"/>
            </w:tcBorders>
            <w:gridSpan w:val="2"/>
            <w:shd w:val="clear" w:color="auto" w:fill="CCEECC"/>
          </w:tcPr>
          <w:p>
            <w:pPr>
              <w:spacing w:after="0"/>
              <w:rPr>
                <w:sz w:val="16"/>
                <w:szCs w:val="16"/>
                <w:color w:val="auto"/>
              </w:rPr>
            </w:pPr>
          </w:p>
        </w:tc>
        <w:tc>
          <w:tcPr>
            <w:tcW w:w="700" w:type="dxa"/>
            <w:vAlign w:val="bottom"/>
            <w:tcBorders>
              <w:bottom w:val="single" w:sz="8" w:color="CCEECC"/>
            </w:tcBorders>
            <w:shd w:val="clear" w:color="auto" w:fill="CCEECC"/>
          </w:tcPr>
          <w:p>
            <w:pPr>
              <w:spacing w:after="0"/>
              <w:rPr>
                <w:sz w:val="16"/>
                <w:szCs w:val="16"/>
                <w:color w:val="auto"/>
              </w:rPr>
            </w:pPr>
          </w:p>
        </w:tc>
        <w:tc>
          <w:tcPr>
            <w:tcW w:w="120" w:type="dxa"/>
            <w:vAlign w:val="bottom"/>
            <w:tcBorders>
              <w:bottom w:val="single" w:sz="8" w:color="CCEECC"/>
            </w:tcBorders>
            <w:shd w:val="clear" w:color="auto" w:fill="CCEECC"/>
          </w:tcPr>
          <w:p>
            <w:pPr>
              <w:spacing w:after="0"/>
              <w:rPr>
                <w:sz w:val="16"/>
                <w:szCs w:val="16"/>
                <w:color w:val="auto"/>
              </w:rPr>
            </w:pPr>
          </w:p>
        </w:tc>
        <w:tc>
          <w:tcPr>
            <w:tcW w:w="920" w:type="dxa"/>
            <w:vAlign w:val="bottom"/>
            <w:tcBorders>
              <w:bottom w:val="single" w:sz="8" w:color="CCEECC"/>
            </w:tcBorders>
            <w:shd w:val="clear" w:color="auto" w:fill="CCEECC"/>
          </w:tcPr>
          <w:p>
            <w:pPr>
              <w:spacing w:after="0"/>
              <w:rPr>
                <w:sz w:val="16"/>
                <w:szCs w:val="16"/>
                <w:color w:val="auto"/>
              </w:rPr>
            </w:pPr>
          </w:p>
        </w:tc>
        <w:tc>
          <w:tcPr>
            <w:tcW w:w="240" w:type="dxa"/>
            <w:vAlign w:val="bottom"/>
            <w:tcBorders>
              <w:bottom w:val="single" w:sz="8" w:color="CCEECC"/>
            </w:tcBorders>
            <w:shd w:val="clear" w:color="auto" w:fill="CCEECC"/>
          </w:tcPr>
          <w:p>
            <w:pPr>
              <w:spacing w:after="0"/>
              <w:rPr>
                <w:sz w:val="16"/>
                <w:szCs w:val="16"/>
                <w:color w:val="auto"/>
              </w:rPr>
            </w:pPr>
          </w:p>
        </w:tc>
        <w:tc>
          <w:tcPr>
            <w:tcW w:w="240" w:type="dxa"/>
            <w:vAlign w:val="bottom"/>
            <w:tcBorders>
              <w:bottom w:val="single" w:sz="8" w:color="CCEECC"/>
            </w:tcBorders>
            <w:shd w:val="clear" w:color="auto" w:fill="CCEECC"/>
          </w:tcPr>
          <w:p>
            <w:pPr>
              <w:spacing w:after="0"/>
              <w:rPr>
                <w:sz w:val="16"/>
                <w:szCs w:val="16"/>
                <w:color w:val="auto"/>
              </w:rPr>
            </w:pPr>
          </w:p>
        </w:tc>
        <w:tc>
          <w:tcPr>
            <w:tcW w:w="100" w:type="dxa"/>
            <w:vAlign w:val="bottom"/>
            <w:tcBorders>
              <w:bottom w:val="single" w:sz="8" w:color="CCEECC"/>
            </w:tcBorders>
            <w:shd w:val="clear" w:color="auto" w:fill="CCEECC"/>
          </w:tcPr>
          <w:p>
            <w:pPr>
              <w:spacing w:after="0"/>
              <w:rPr>
                <w:sz w:val="16"/>
                <w:szCs w:val="16"/>
                <w:color w:val="auto"/>
              </w:rPr>
            </w:pPr>
          </w:p>
        </w:tc>
        <w:tc>
          <w:tcPr>
            <w:tcW w:w="940" w:type="dxa"/>
            <w:vAlign w:val="bottom"/>
            <w:tcBorders>
              <w:bottom w:val="single" w:sz="8" w:color="CCEECC"/>
            </w:tcBorders>
            <w:shd w:val="clear" w:color="auto" w:fill="CCEECC"/>
          </w:tcPr>
          <w:p>
            <w:pPr>
              <w:spacing w:after="0"/>
              <w:rPr>
                <w:sz w:val="16"/>
                <w:szCs w:val="16"/>
                <w:color w:val="auto"/>
              </w:rPr>
            </w:pPr>
          </w:p>
        </w:tc>
        <w:tc>
          <w:tcPr>
            <w:tcW w:w="220" w:type="dxa"/>
            <w:vAlign w:val="bottom"/>
            <w:tcBorders>
              <w:bottom w:val="single" w:sz="8" w:color="CCEECC"/>
            </w:tcBorders>
            <w:shd w:val="clear" w:color="auto" w:fill="CCEECC"/>
          </w:tcPr>
          <w:p>
            <w:pPr>
              <w:spacing w:after="0"/>
              <w:rPr>
                <w:sz w:val="16"/>
                <w:szCs w:val="16"/>
                <w:color w:val="auto"/>
              </w:rPr>
            </w:pPr>
          </w:p>
        </w:tc>
        <w:tc>
          <w:tcPr>
            <w:tcW w:w="220" w:type="dxa"/>
            <w:vAlign w:val="bottom"/>
            <w:tcBorders>
              <w:bottom w:val="single" w:sz="8" w:color="CCEECC"/>
            </w:tcBorders>
            <w:shd w:val="clear" w:color="auto" w:fill="CCEECC"/>
          </w:tcPr>
          <w:p>
            <w:pPr>
              <w:spacing w:after="0"/>
              <w:rPr>
                <w:sz w:val="16"/>
                <w:szCs w:val="16"/>
                <w:color w:val="auto"/>
              </w:rPr>
            </w:pPr>
          </w:p>
        </w:tc>
        <w:tc>
          <w:tcPr>
            <w:tcW w:w="100" w:type="dxa"/>
            <w:vAlign w:val="bottom"/>
            <w:tcBorders>
              <w:bottom w:val="single" w:sz="8" w:color="CCEECC"/>
            </w:tcBorders>
            <w:shd w:val="clear" w:color="auto" w:fill="CCEECC"/>
          </w:tcPr>
          <w:p>
            <w:pPr>
              <w:spacing w:after="0"/>
              <w:rPr>
                <w:sz w:val="16"/>
                <w:szCs w:val="16"/>
                <w:color w:val="auto"/>
              </w:rPr>
            </w:pPr>
          </w:p>
        </w:tc>
        <w:tc>
          <w:tcPr>
            <w:tcW w:w="920" w:type="dxa"/>
            <w:vAlign w:val="bottom"/>
            <w:tcBorders>
              <w:bottom w:val="single" w:sz="8" w:color="CCEECC"/>
            </w:tcBorders>
            <w:shd w:val="clear" w:color="auto" w:fill="CCEECC"/>
          </w:tcPr>
          <w:p>
            <w:pPr>
              <w:spacing w:after="0"/>
              <w:rPr>
                <w:sz w:val="16"/>
                <w:szCs w:val="16"/>
                <w:color w:val="auto"/>
              </w:rPr>
            </w:pPr>
          </w:p>
        </w:tc>
        <w:tc>
          <w:tcPr>
            <w:tcW w:w="220" w:type="dxa"/>
            <w:vAlign w:val="bottom"/>
            <w:tcBorders>
              <w:bottom w:val="single" w:sz="8" w:color="CCEECC"/>
            </w:tcBorders>
            <w:shd w:val="clear" w:color="auto" w:fill="CCEECC"/>
          </w:tcPr>
          <w:p>
            <w:pPr>
              <w:spacing w:after="0"/>
              <w:rPr>
                <w:sz w:val="16"/>
                <w:szCs w:val="16"/>
                <w:color w:val="auto"/>
              </w:rPr>
            </w:pPr>
          </w:p>
        </w:tc>
        <w:tc>
          <w:tcPr>
            <w:tcW w:w="220" w:type="dxa"/>
            <w:vAlign w:val="bottom"/>
            <w:tcBorders>
              <w:bottom w:val="single" w:sz="8" w:color="CCEECC"/>
            </w:tcBorders>
            <w:shd w:val="clear" w:color="auto" w:fill="CCEECC"/>
          </w:tcPr>
          <w:p>
            <w:pPr>
              <w:spacing w:after="0"/>
              <w:rPr>
                <w:sz w:val="16"/>
                <w:szCs w:val="16"/>
                <w:color w:val="auto"/>
              </w:rPr>
            </w:pPr>
          </w:p>
        </w:tc>
        <w:tc>
          <w:tcPr>
            <w:tcW w:w="100" w:type="dxa"/>
            <w:vAlign w:val="bottom"/>
            <w:tcBorders>
              <w:bottom w:val="single" w:sz="8" w:color="CCEECC"/>
            </w:tcBorders>
            <w:shd w:val="clear" w:color="auto" w:fill="CCEECC"/>
          </w:tcPr>
          <w:p>
            <w:pPr>
              <w:spacing w:after="0"/>
              <w:rPr>
                <w:sz w:val="16"/>
                <w:szCs w:val="16"/>
                <w:color w:val="auto"/>
              </w:rPr>
            </w:pPr>
          </w:p>
        </w:tc>
        <w:tc>
          <w:tcPr>
            <w:tcW w:w="920" w:type="dxa"/>
            <w:vAlign w:val="bottom"/>
            <w:tcBorders>
              <w:bottom w:val="single" w:sz="8" w:color="CCEECC"/>
            </w:tcBorders>
            <w:shd w:val="clear" w:color="auto" w:fill="CCEECC"/>
          </w:tcPr>
          <w:p>
            <w:pPr>
              <w:spacing w:after="0"/>
              <w:rPr>
                <w:sz w:val="16"/>
                <w:szCs w:val="16"/>
                <w:color w:val="auto"/>
              </w:rPr>
            </w:pPr>
          </w:p>
        </w:tc>
        <w:tc>
          <w:tcPr>
            <w:tcW w:w="100" w:type="dxa"/>
            <w:vAlign w:val="bottom"/>
            <w:tcBorders>
              <w:bottom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Net income attributable to Ocwen common stockholders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61,155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51,400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177,847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20" w:type="dxa"/>
            <w:vAlign w:val="bottom"/>
            <w:tcBorders>
              <w:bottom w:val="single" w:sz="8" w:color="CCEECC"/>
            </w:tcBorders>
            <w:gridSpan w:val="3"/>
            <w:shd w:val="clear" w:color="auto" w:fill="CCEECC"/>
          </w:tcPr>
          <w:p>
            <w:pPr>
              <w:spacing w:after="0"/>
              <w:rPr>
                <w:sz w:val="20"/>
                <w:szCs w:val="20"/>
                <w:color w:val="auto"/>
              </w:rPr>
            </w:pPr>
            <w:r>
              <w:rPr>
                <w:rFonts w:ascii="Arial" w:cs="Arial" w:eastAsia="Arial" w:hAnsi="Arial"/>
                <w:sz w:val="18"/>
                <w:szCs w:val="18"/>
                <w:color w:val="auto"/>
              </w:rPr>
              <w:t>Weighted average shares of common stock</w:t>
            </w:r>
          </w:p>
        </w:tc>
        <w:tc>
          <w:tcPr>
            <w:tcW w:w="700" w:type="dxa"/>
            <w:vAlign w:val="bottom"/>
            <w:tcBorders>
              <w:bottom w:val="single" w:sz="8" w:color="CCEECC"/>
            </w:tcBorders>
            <w:shd w:val="clear" w:color="auto" w:fill="CCEECC"/>
          </w:tcPr>
          <w:p>
            <w:pPr>
              <w:spacing w:after="0"/>
              <w:rPr>
                <w:sz w:val="21"/>
                <w:szCs w:val="21"/>
                <w:color w:val="auto"/>
              </w:rPr>
            </w:pPr>
          </w:p>
        </w:tc>
        <w:tc>
          <w:tcPr>
            <w:tcW w:w="120" w:type="dxa"/>
            <w:vAlign w:val="bottom"/>
            <w:tcBorders>
              <w:bottom w:val="single" w:sz="8" w:color="auto"/>
            </w:tcBorders>
            <w:shd w:val="clear" w:color="auto" w:fill="CCEECC"/>
          </w:tcPr>
          <w:p>
            <w:pPr>
              <w:spacing w:after="0"/>
              <w:rPr>
                <w:sz w:val="21"/>
                <w:szCs w:val="21"/>
                <w:color w:val="auto"/>
              </w:rPr>
            </w:pP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89"/>
              </w:rPr>
              <w:t>135,787,834</w:t>
            </w:r>
          </w:p>
        </w:tc>
        <w:tc>
          <w:tcPr>
            <w:tcW w:w="240" w:type="dxa"/>
            <w:vAlign w:val="bottom"/>
            <w:tcBorders>
              <w:bottom w:val="single" w:sz="8" w:color="CCEECC"/>
            </w:tcBorders>
            <w:shd w:val="clear" w:color="auto" w:fill="CCEECC"/>
          </w:tcPr>
          <w:p>
            <w:pPr>
              <w:spacing w:after="0"/>
              <w:rPr>
                <w:sz w:val="21"/>
                <w:szCs w:val="21"/>
                <w:color w:val="auto"/>
              </w:rPr>
            </w:pPr>
          </w:p>
        </w:tc>
        <w:tc>
          <w:tcPr>
            <w:tcW w:w="240" w:type="dxa"/>
            <w:vAlign w:val="bottom"/>
            <w:tcBorders>
              <w:bottom w:val="single" w:sz="8" w:color="CCEECC"/>
            </w:tcBorders>
            <w:shd w:val="clear" w:color="auto" w:fill="CCEECC"/>
          </w:tcPr>
          <w:p>
            <w:pPr>
              <w:spacing w:after="0"/>
              <w:rPr>
                <w:sz w:val="21"/>
                <w:szCs w:val="21"/>
                <w:color w:val="auto"/>
              </w:rPr>
            </w:pPr>
          </w:p>
        </w:tc>
        <w:tc>
          <w:tcPr>
            <w:tcW w:w="100" w:type="dxa"/>
            <w:vAlign w:val="bottom"/>
            <w:tcBorders>
              <w:bottom w:val="single" w:sz="8" w:color="auto"/>
            </w:tcBorders>
            <w:shd w:val="clear" w:color="auto" w:fill="CCEECC"/>
          </w:tcPr>
          <w:p>
            <w:pPr>
              <w:spacing w:after="0"/>
              <w:rPr>
                <w:sz w:val="21"/>
                <w:szCs w:val="21"/>
                <w:color w:val="auto"/>
              </w:rPr>
            </w:pPr>
          </w:p>
        </w:tc>
        <w:tc>
          <w:tcPr>
            <w:tcW w:w="9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1"/>
              </w:rPr>
              <w:t>134,928,486</w:t>
            </w:r>
          </w:p>
        </w:tc>
        <w:tc>
          <w:tcPr>
            <w:tcW w:w="220" w:type="dxa"/>
            <w:vAlign w:val="bottom"/>
            <w:tcBorders>
              <w:bottom w:val="single" w:sz="8" w:color="CCEECC"/>
            </w:tcBorders>
            <w:shd w:val="clear" w:color="auto" w:fill="CCEECC"/>
          </w:tcPr>
          <w:p>
            <w:pPr>
              <w:spacing w:after="0"/>
              <w:rPr>
                <w:sz w:val="21"/>
                <w:szCs w:val="21"/>
                <w:color w:val="auto"/>
              </w:rPr>
            </w:pPr>
          </w:p>
        </w:tc>
        <w:tc>
          <w:tcPr>
            <w:tcW w:w="220" w:type="dxa"/>
            <w:vAlign w:val="bottom"/>
            <w:tcBorders>
              <w:bottom w:val="single" w:sz="8" w:color="CCEECC"/>
            </w:tcBorders>
            <w:shd w:val="clear" w:color="auto" w:fill="CCEECC"/>
          </w:tcPr>
          <w:p>
            <w:pPr>
              <w:spacing w:after="0"/>
              <w:rPr>
                <w:sz w:val="21"/>
                <w:szCs w:val="21"/>
                <w:color w:val="auto"/>
              </w:rPr>
            </w:pPr>
          </w:p>
        </w:tc>
        <w:tc>
          <w:tcPr>
            <w:tcW w:w="100" w:type="dxa"/>
            <w:vAlign w:val="bottom"/>
            <w:tcBorders>
              <w:bottom w:val="single" w:sz="8" w:color="auto"/>
            </w:tcBorders>
            <w:shd w:val="clear" w:color="auto" w:fill="CCEECC"/>
          </w:tcPr>
          <w:p>
            <w:pPr>
              <w:spacing w:after="0"/>
              <w:rPr>
                <w:sz w:val="21"/>
                <w:szCs w:val="21"/>
                <w:color w:val="auto"/>
              </w:rPr>
            </w:pP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89"/>
              </w:rPr>
              <w:t>135,705,892</w:t>
            </w:r>
          </w:p>
        </w:tc>
        <w:tc>
          <w:tcPr>
            <w:tcW w:w="220" w:type="dxa"/>
            <w:vAlign w:val="bottom"/>
            <w:tcBorders>
              <w:bottom w:val="single" w:sz="8" w:color="CCEECC"/>
            </w:tcBorders>
            <w:shd w:val="clear" w:color="auto" w:fill="CCEECC"/>
          </w:tcPr>
          <w:p>
            <w:pPr>
              <w:spacing w:after="0"/>
              <w:rPr>
                <w:sz w:val="21"/>
                <w:szCs w:val="21"/>
                <w:color w:val="auto"/>
              </w:rPr>
            </w:pPr>
          </w:p>
        </w:tc>
        <w:tc>
          <w:tcPr>
            <w:tcW w:w="220" w:type="dxa"/>
            <w:vAlign w:val="bottom"/>
            <w:tcBorders>
              <w:bottom w:val="single" w:sz="8" w:color="CCEECC"/>
            </w:tcBorders>
            <w:shd w:val="clear" w:color="auto" w:fill="CCEECC"/>
          </w:tcPr>
          <w:p>
            <w:pPr>
              <w:spacing w:after="0"/>
              <w:rPr>
                <w:sz w:val="21"/>
                <w:szCs w:val="21"/>
                <w:color w:val="auto"/>
              </w:rPr>
            </w:pPr>
          </w:p>
        </w:tc>
        <w:tc>
          <w:tcPr>
            <w:tcW w:w="100" w:type="dxa"/>
            <w:vAlign w:val="bottom"/>
            <w:tcBorders>
              <w:bottom w:val="single" w:sz="8" w:color="auto"/>
            </w:tcBorders>
            <w:shd w:val="clear" w:color="auto" w:fill="CCEECC"/>
          </w:tcPr>
          <w:p>
            <w:pPr>
              <w:spacing w:after="0"/>
              <w:rPr>
                <w:sz w:val="21"/>
                <w:szCs w:val="21"/>
                <w:color w:val="auto"/>
              </w:rPr>
            </w:pP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89"/>
              </w:rPr>
              <w:t>133,483,354</w:t>
            </w:r>
          </w:p>
        </w:tc>
        <w:tc>
          <w:tcPr>
            <w:tcW w:w="100" w:type="dxa"/>
            <w:vAlign w:val="bottom"/>
            <w:tcBorders>
              <w:bottom w:val="single" w:sz="8" w:color="CCEECC"/>
            </w:tcBorders>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spacing w:after="0"/>
              <w:rPr>
                <w:sz w:val="20"/>
                <w:szCs w:val="20"/>
                <w:color w:val="auto"/>
              </w:rPr>
            </w:pPr>
            <w:r>
              <w:rPr>
                <w:rFonts w:ascii="Arial" w:cs="Arial" w:eastAsia="Arial" w:hAnsi="Arial"/>
                <w:sz w:val="18"/>
                <w:szCs w:val="18"/>
                <w:color w:val="auto"/>
              </w:rPr>
              <w:t>Basic EPS</w:t>
            </w: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40" w:type="dxa"/>
            <w:vAlign w:val="bottom"/>
            <w:gridSpan w:val="4"/>
            <w:vMerge w:val="continue"/>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tcBorders>
              <w:bottom w:val="single" w:sz="8" w:color="auto"/>
            </w:tcBorders>
            <w:gridSpan w:val="2"/>
            <w:shd w:val="clear" w:color="auto" w:fill="CCEECC"/>
          </w:tcPr>
          <w:p>
            <w:pPr>
              <w:spacing w:after="0" w:line="176" w:lineRule="exact"/>
              <w:rPr>
                <w:sz w:val="20"/>
                <w:szCs w:val="20"/>
                <w:color w:val="auto"/>
              </w:rPr>
            </w:pPr>
            <w:r>
              <w:rPr>
                <w:rFonts w:ascii="Arial" w:cs="Arial" w:eastAsia="Arial" w:hAnsi="Arial"/>
                <w:sz w:val="18"/>
                <w:szCs w:val="18"/>
                <w:color w:val="auto"/>
                <w:w w:val="90"/>
              </w:rPr>
              <w:t>Diluted EPS:</w:t>
            </w:r>
          </w:p>
        </w:tc>
        <w:tc>
          <w:tcPr>
            <w:tcW w:w="4180" w:type="dxa"/>
            <w:vAlign w:val="bottom"/>
            <w:tcBorders>
              <w:bottom w:val="single" w:sz="8" w:color="CCEECC"/>
            </w:tcBorders>
            <w:shd w:val="clear" w:color="auto" w:fill="CCEECC"/>
          </w:tcPr>
          <w:p>
            <w:pPr>
              <w:spacing w:after="0"/>
              <w:rPr>
                <w:sz w:val="17"/>
                <w:szCs w:val="17"/>
                <w:color w:val="auto"/>
              </w:rPr>
            </w:pPr>
          </w:p>
        </w:tc>
        <w:tc>
          <w:tcPr>
            <w:tcW w:w="70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4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2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Net income attributable to Ocwen common stockholders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61,155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51,400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177,847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Preferred stock dividends (1)</w:t>
            </w:r>
          </w:p>
        </w:tc>
        <w:tc>
          <w:tcPr>
            <w:tcW w:w="7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Interest expense on Convertible Notes, net of income tax (2)</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CEECC"/>
              <w:bottom w:val="single" w:sz="8" w:color="CCEECC"/>
            </w:tcBorders>
            <w:gridSpan w:val="3"/>
            <w:shd w:val="clear" w:color="auto" w:fill="CCEECC"/>
          </w:tcPr>
          <w:p>
            <w:pPr>
              <w:spacing w:after="0"/>
              <w:rPr>
                <w:sz w:val="20"/>
                <w:szCs w:val="20"/>
                <w:color w:val="auto"/>
              </w:rPr>
            </w:pPr>
            <w:r>
              <w:rPr>
                <w:rFonts w:ascii="Arial" w:cs="Arial" w:eastAsia="Arial" w:hAnsi="Arial"/>
                <w:sz w:val="18"/>
                <w:szCs w:val="18"/>
                <w:color w:val="auto"/>
              </w:rPr>
              <w:t>Adjusted net income attributable to Ocwen</w:t>
            </w:r>
          </w:p>
        </w:tc>
        <w:tc>
          <w:tcPr>
            <w:tcW w:w="70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61,155</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51,400</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177,847</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115,680</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gridSpan w:val="4"/>
          </w:tcPr>
          <w:p>
            <w:pPr>
              <w:spacing w:after="0"/>
              <w:rPr>
                <w:sz w:val="20"/>
                <w:szCs w:val="20"/>
                <w:color w:val="auto"/>
              </w:rPr>
            </w:pPr>
            <w:r>
              <w:rPr>
                <w:rFonts w:ascii="Arial" w:cs="Arial" w:eastAsia="Arial" w:hAnsi="Arial"/>
                <w:sz w:val="18"/>
                <w:szCs w:val="18"/>
                <w:color w:val="auto"/>
              </w:rPr>
              <w:t>Weighted average shares of common stock</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135,787,834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134,928,486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135,705,892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133,483,354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Effect of dilutive elements:</w:t>
            </w:r>
          </w:p>
        </w:tc>
        <w:tc>
          <w:tcPr>
            <w:tcW w:w="7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Preferred Shares (1)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CC"/>
          </w:tcPr>
          <w:p>
            <w:pPr>
              <w:ind w:left="140"/>
              <w:spacing w:after="0"/>
              <w:rPr>
                <w:sz w:val="20"/>
                <w:szCs w:val="20"/>
                <w:color w:val="auto"/>
              </w:rPr>
            </w:pPr>
            <w:r>
              <w:rPr>
                <w:rFonts w:ascii="Arial" w:cs="Arial" w:eastAsia="Arial" w:hAnsi="Arial"/>
                <w:sz w:val="18"/>
                <w:szCs w:val="18"/>
                <w:color w:val="auto"/>
              </w:rPr>
              <w:t>Convertible Notes (2)</w:t>
            </w:r>
          </w:p>
        </w:tc>
        <w:tc>
          <w:tcPr>
            <w:tcW w:w="7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1,347,642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Stock options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4,263,965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3,769,099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4,030,297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3,468,156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gridSpan w:val="3"/>
            <w:shd w:val="clear" w:color="auto" w:fill="CCEECC"/>
          </w:tcPr>
          <w:p>
            <w:pPr>
              <w:ind w:left="140"/>
              <w:spacing w:after="0"/>
              <w:rPr>
                <w:sz w:val="20"/>
                <w:szCs w:val="20"/>
                <w:color w:val="auto"/>
              </w:rPr>
            </w:pPr>
            <w:r>
              <w:rPr>
                <w:rFonts w:ascii="Arial" w:cs="Arial" w:eastAsia="Arial" w:hAnsi="Arial"/>
                <w:sz w:val="18"/>
                <w:szCs w:val="18"/>
                <w:color w:val="auto"/>
              </w:rPr>
              <w:t>Common stock awards</w:t>
            </w:r>
          </w:p>
        </w:tc>
        <w:tc>
          <w:tcPr>
            <w:tcW w:w="7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5,396</w:t>
            </w:r>
          </w:p>
        </w:tc>
        <w:tc>
          <w:tcPr>
            <w:tcW w:w="240" w:type="dxa"/>
            <w:vAlign w:val="bottom"/>
            <w:shd w:val="clear" w:color="auto" w:fill="CCEECC"/>
          </w:tcPr>
          <w:p>
            <w:pPr>
              <w:spacing w:after="0"/>
              <w:rPr>
                <w:sz w:val="19"/>
                <w:szCs w:val="19"/>
                <w:color w:val="auto"/>
              </w:rPr>
            </w:pPr>
          </w:p>
        </w:tc>
        <w:tc>
          <w:tcPr>
            <w:tcW w:w="24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5,296</w:t>
            </w:r>
          </w:p>
        </w:tc>
        <w:tc>
          <w:tcPr>
            <w:tcW w:w="2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11,301</w:t>
            </w:r>
          </w:p>
        </w:tc>
        <w:tc>
          <w:tcPr>
            <w:tcW w:w="2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Dilutive weighted average shares of common stock</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140,057,195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138,702,881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139,747,490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138,301,865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2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Diluted EPS</w:t>
            </w:r>
          </w:p>
        </w:tc>
        <w:tc>
          <w:tcPr>
            <w:tcW w:w="700" w:type="dxa"/>
            <w:vAlign w:val="bottom"/>
            <w:shd w:val="clear" w:color="auto" w:fill="CCEECC"/>
          </w:tcPr>
          <w:p>
            <w:pPr>
              <w:spacing w:after="0"/>
              <w:rPr>
                <w:sz w:val="21"/>
                <w:szCs w:val="21"/>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0.44</w:t>
            </w:r>
          </w:p>
        </w:tc>
        <w:tc>
          <w:tcPr>
            <w:tcW w:w="3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0.37</w:t>
            </w:r>
          </w:p>
        </w:tc>
        <w:tc>
          <w:tcPr>
            <w:tcW w:w="3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1.27</w:t>
            </w:r>
          </w:p>
        </w:tc>
        <w:tc>
          <w:tcPr>
            <w:tcW w:w="3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CCEECC"/>
          </w:tcPr>
          <w:p>
            <w:pPr>
              <w:spacing w:after="0" w:line="20" w:lineRule="exact"/>
              <w:rPr>
                <w:sz w:val="1"/>
                <w:szCs w:val="1"/>
                <w:color w:val="auto"/>
              </w:rPr>
            </w:pPr>
          </w:p>
        </w:tc>
        <w:tc>
          <w:tcPr>
            <w:tcW w:w="140" w:type="dxa"/>
            <w:vAlign w:val="bottom"/>
            <w:shd w:val="clear" w:color="auto" w:fill="CCEECC"/>
          </w:tcPr>
          <w:p>
            <w:pPr>
              <w:spacing w:after="0" w:line="20" w:lineRule="exact"/>
              <w:rPr>
                <w:sz w:val="1"/>
                <w:szCs w:val="1"/>
                <w:color w:val="auto"/>
              </w:rPr>
            </w:pPr>
          </w:p>
        </w:tc>
        <w:tc>
          <w:tcPr>
            <w:tcW w:w="4180" w:type="dxa"/>
            <w:vAlign w:val="bottom"/>
            <w:shd w:val="clear" w:color="auto" w:fill="CCEECC"/>
          </w:tcPr>
          <w:p>
            <w:pPr>
              <w:spacing w:after="0" w:line="20" w:lineRule="exact"/>
              <w:rPr>
                <w:sz w:val="1"/>
                <w:szCs w:val="1"/>
                <w:color w:val="auto"/>
              </w:rPr>
            </w:pPr>
          </w:p>
        </w:tc>
        <w:tc>
          <w:tcPr>
            <w:tcW w:w="700" w:type="dxa"/>
            <w:vAlign w:val="bottom"/>
            <w:shd w:val="clear" w:color="auto" w:fill="CCEE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CC"/>
          </w:tcPr>
          <w:p>
            <w:pPr>
              <w:spacing w:after="0" w:line="20" w:lineRule="exact"/>
              <w:rPr>
                <w:sz w:val="1"/>
                <w:szCs w:val="1"/>
                <w:color w:val="auto"/>
              </w:rPr>
            </w:pPr>
          </w:p>
        </w:tc>
        <w:tc>
          <w:tcPr>
            <w:tcW w:w="240" w:type="dxa"/>
            <w:vAlign w:val="bottom"/>
            <w:shd w:val="clear" w:color="auto" w:fill="CCEE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220" w:type="dxa"/>
            <w:vAlign w:val="bottom"/>
            <w:shd w:val="clear" w:color="auto" w:fill="CCEE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40" w:type="dxa"/>
            <w:vAlign w:val="bottom"/>
            <w:gridSpan w:val="4"/>
            <w:vMerge w:val="restart"/>
          </w:tcPr>
          <w:p>
            <w:pPr>
              <w:spacing w:after="0"/>
              <w:rPr>
                <w:sz w:val="20"/>
                <w:szCs w:val="20"/>
                <w:color w:val="auto"/>
              </w:rPr>
            </w:pPr>
            <w:r>
              <w:rPr>
                <w:rFonts w:ascii="Arial" w:cs="Arial" w:eastAsia="Arial" w:hAnsi="Arial"/>
                <w:sz w:val="18"/>
                <w:szCs w:val="18"/>
                <w:color w:val="auto"/>
              </w:rPr>
              <w:t>Stock options excluded from the computation of diluted EPS:</w:t>
            </w: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gridSpan w:val="4"/>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CC"/>
          </w:tcPr>
          <w:p>
            <w:pPr>
              <w:ind w:left="140"/>
              <w:spacing w:after="0"/>
              <w:rPr>
                <w:sz w:val="20"/>
                <w:szCs w:val="20"/>
                <w:color w:val="auto"/>
              </w:rPr>
            </w:pPr>
            <w:r>
              <w:rPr>
                <w:rFonts w:ascii="Arial" w:cs="Arial" w:eastAsia="Arial" w:hAnsi="Arial"/>
                <w:sz w:val="18"/>
                <w:szCs w:val="18"/>
                <w:color w:val="auto"/>
              </w:rPr>
              <w:t>Anti-dilutive (3)</w:t>
            </w:r>
          </w:p>
        </w:tc>
        <w:tc>
          <w:tcPr>
            <w:tcW w:w="7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255,000</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190,833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Market-based (4)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547,500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1,726,250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547,500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1,726,250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right="1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 of our Preferred Shares on diluted EPS is computed using the if-converted method. For the three and nine months ended September 30, 2013, we assumed no conversion to common shares because the effect was anti-dilutive.</w:t>
      </w:r>
    </w:p>
    <w:p>
      <w:pPr>
        <w:spacing w:after="0" w:line="129" w:lineRule="exact"/>
        <w:rPr>
          <w:rFonts w:ascii="Arial" w:cs="Arial" w:eastAsia="Arial" w:hAnsi="Arial"/>
          <w:sz w:val="18"/>
          <w:szCs w:val="18"/>
          <w:color w:val="auto"/>
        </w:rPr>
      </w:pPr>
    </w:p>
    <w:p>
      <w:pPr>
        <w:ind w:left="340" w:right="200" w:hanging="332"/>
        <w:spacing w:after="0" w:line="279"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Prior to the redemption of the 3.25% Convertible Notes in March 2012, we also computed their effect on diluted EPS using the if-converted method. Interest expense and related amortization costs applicable to the Convertible Notes, net of income tax, were added back to net income. We assumed the conversion of the Convertible Notes into shares of common stock for purposes of computing diluted EPS unless the effect was anti-dilutive. We issued 4,635,159 shares of common stock upon conversion of $56.4 million of the Convertible Notes.</w:t>
      </w:r>
    </w:p>
    <w:p>
      <w:pPr>
        <w:spacing w:after="0" w:line="144" w:lineRule="exact"/>
        <w:rPr>
          <w:rFonts w:ascii="Arial" w:cs="Arial" w:eastAsia="Arial" w:hAnsi="Arial"/>
          <w:sz w:val="17"/>
          <w:szCs w:val="17"/>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performance criteria related to OCN’s stock price and an annualized rate of return to investors.</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ind w:left="20"/>
        <w:spacing w:after="0"/>
        <w:tabs>
          <w:tab w:leader="none" w:pos="114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7"/>
          <w:szCs w:val="17"/>
          <w:b w:val="1"/>
          <w:bCs w:val="1"/>
          <w:color w:val="auto"/>
        </w:rPr>
        <w:t>BUSINESS SEGMENT REPORTING</w:t>
      </w:r>
    </w:p>
    <w:p>
      <w:pPr>
        <w:spacing w:after="0" w:line="18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17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both Agency and Non-Agency loans. Non-Agency loans include prime and subprime loans which represent residential loans that generally did not qualify under GSE guidelines or have subsequently become delinquent.</w:t>
      </w:r>
    </w:p>
    <w:p>
      <w:pPr>
        <w:spacing w:after="0" w:line="15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i w:val="1"/>
          <w:iCs w:val="1"/>
          <w:color w:val="auto"/>
        </w:rPr>
        <w:t xml:space="preserve">Lending. </w:t>
      </w:r>
      <w:r>
        <w:rPr>
          <w:rFonts w:ascii="Arial" w:cs="Arial" w:eastAsia="Arial" w:hAnsi="Arial"/>
          <w:sz w:val="17"/>
          <w:szCs w:val="17"/>
          <w:color w:val="auto"/>
        </w:rPr>
        <w:t>The Lending segment is focused on originating and purchasing Agency-conforming residential forward and reverse mortgage loans mainly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correspondent lending arrangements. We also commenced a direct lending business to pursue refinancing opportunities from our existing portfolio, where permitted. The loans are typically sold shortly after origination into a liquid market on a servicing retained basis.</w:t>
      </w:r>
    </w:p>
    <w:p>
      <w:pPr>
        <w:spacing w:after="0" w:line="125" w:lineRule="exact"/>
        <w:rPr>
          <w:sz w:val="20"/>
          <w:szCs w:val="20"/>
          <w:color w:val="auto"/>
        </w:rPr>
      </w:pPr>
    </w:p>
    <w:p>
      <w:pPr>
        <w:ind w:right="320" w:firstLine="324"/>
        <w:spacing w:after="0" w:line="276"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Corporate Items and Other includes items of revenue and expense that are not directly related to a business,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are individually insignificant, interest income on short-term investments of cash, corporate debt and certain corporate expenses. Business activities that are not considered to be of continuing significance include subprime loans held for sale (at lower of cost or fair value), investments in unconsolidated entities and affordable housing investment activities. Corporate Items and Other also included the diversified fee-based businesses that we acquired as part of the Homeward and ResCap Acquisitions and subsequently sold to Altisource.</w:t>
      </w:r>
    </w:p>
    <w:p>
      <w:pPr>
        <w:spacing w:after="0" w:line="13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w w:val="96"/>
              </w:rPr>
              <w:t>Financial information for our segments is as follows: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Items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Corporate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Servicing</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Lending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w:t>
            </w:r>
          </w:p>
        </w:tc>
        <w:tc>
          <w:tcPr>
            <w:tcW w:w="2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CC"/>
            </w:tcBorders>
            <w:gridSpan w:val="2"/>
            <w:shd w:val="clear" w:color="auto" w:fill="CCEECC"/>
          </w:tcPr>
          <w:p>
            <w:pPr>
              <w:spacing w:after="0"/>
              <w:rPr>
                <w:sz w:val="20"/>
                <w:szCs w:val="20"/>
                <w:color w:val="auto"/>
              </w:rPr>
            </w:pPr>
            <w:r>
              <w:rPr>
                <w:rFonts w:ascii="Arial" w:cs="Arial" w:eastAsia="Arial" w:hAnsi="Arial"/>
                <w:sz w:val="18"/>
                <w:szCs w:val="18"/>
                <w:b w:val="1"/>
                <w:bCs w:val="1"/>
                <w:color w:val="auto"/>
              </w:rPr>
              <w:t>Results of Operations</w:t>
            </w:r>
          </w:p>
        </w:tc>
        <w:tc>
          <w:tcPr>
            <w:tcW w:w="12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880" w:type="dxa"/>
            <w:vAlign w:val="bottom"/>
            <w:tcBorders>
              <w:top w:val="single" w:sz="8" w:color="auto"/>
            </w:tcBorders>
            <w:shd w:val="clear" w:color="auto" w:fill="CCEECC"/>
          </w:tcPr>
          <w:p>
            <w:pPr>
              <w:spacing w:after="0"/>
              <w:rPr>
                <w:sz w:val="18"/>
                <w:szCs w:val="18"/>
                <w:color w:val="auto"/>
              </w:rPr>
            </w:pPr>
          </w:p>
        </w:tc>
        <w:tc>
          <w:tcPr>
            <w:tcW w:w="2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90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360" w:type="dxa"/>
            <w:vAlign w:val="bottom"/>
            <w:gridSpan w:val="3"/>
          </w:tcPr>
          <w:p>
            <w:pPr>
              <w:spacing w:after="0"/>
              <w:rPr>
                <w:sz w:val="20"/>
                <w:szCs w:val="20"/>
                <w:color w:val="auto"/>
              </w:rPr>
            </w:pPr>
            <w:r>
              <w:rPr>
                <w:rFonts w:ascii="Arial" w:cs="Arial" w:eastAsia="Arial" w:hAnsi="Arial"/>
                <w:sz w:val="18"/>
                <w:szCs w:val="18"/>
                <w:color w:val="auto"/>
              </w:rPr>
              <w:t>Three Months Ended September 30, 2013: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40" w:type="dxa"/>
            <w:vAlign w:val="bottom"/>
            <w:tcBorders>
              <w:top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496,302</w:t>
            </w:r>
          </w:p>
        </w:tc>
        <w:tc>
          <w:tcPr>
            <w:tcW w:w="140" w:type="dxa"/>
            <w:vAlign w:val="bottom"/>
            <w:shd w:val="clear" w:color="auto" w:fill="CCEECC"/>
          </w:tcPr>
          <w:p>
            <w:pPr>
              <w:spacing w:after="0"/>
              <w:rPr>
                <w:sz w:val="18"/>
                <w:szCs w:val="18"/>
                <w:color w:val="auto"/>
              </w:rPr>
            </w:pPr>
          </w:p>
        </w:tc>
        <w:tc>
          <w:tcPr>
            <w:tcW w:w="4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33,539</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1,801</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(402)</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531,240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Operating expenses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305,654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29,504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11,143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346,260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CC"/>
            </w:tcBorders>
            <w:gridSpan w:val="2"/>
            <w:shd w:val="clear" w:color="auto" w:fill="CCEECC"/>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190,648</w:t>
            </w:r>
          </w:p>
        </w:tc>
        <w:tc>
          <w:tcPr>
            <w:tcW w:w="14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4,035</w:t>
            </w:r>
          </w:p>
        </w:tc>
        <w:tc>
          <w:tcPr>
            <w:tcW w:w="2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(9,342</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184,980</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859</w:t>
            </w:r>
          </w:p>
        </w:tc>
        <w:tc>
          <w:tcPr>
            <w:tcW w:w="32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3,066</w:t>
            </w:r>
          </w:p>
        </w:tc>
        <w:tc>
          <w:tcPr>
            <w:tcW w:w="2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1,454</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Interest expense (1)</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(106,848)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(6,631)</w:t>
            </w:r>
          </w:p>
        </w:tc>
        <w:tc>
          <w:tcPr>
            <w:tcW w:w="32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1,843</w:t>
            </w:r>
          </w:p>
        </w:tc>
        <w:tc>
          <w:tcPr>
            <w:tcW w:w="28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CC"/>
            </w:tcBorders>
            <w:gridSpan w:val="2"/>
          </w:tcPr>
          <w:p>
            <w:pPr>
              <w:ind w:left="30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(112,620</w:t>
            </w:r>
          </w:p>
        </w:tc>
        <w:tc>
          <w:tcPr>
            <w:tcW w:w="14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28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24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(108,705</w:t>
            </w:r>
          </w:p>
        </w:tc>
        <w:tc>
          <w:tcPr>
            <w:tcW w:w="10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CC"/>
            </w:tcBorders>
            <w:gridSpan w:val="2"/>
            <w:shd w:val="clear" w:color="auto" w:fill="CCEECC"/>
          </w:tcPr>
          <w:p>
            <w:pPr>
              <w:ind w:left="14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78,028</w:t>
            </w:r>
          </w:p>
        </w:tc>
        <w:tc>
          <w:tcPr>
            <w:tcW w:w="140" w:type="dxa"/>
            <w:vAlign w:val="bottom"/>
            <w:tcBorders>
              <w:bottom w:val="single" w:sz="8" w:color="CCEECC"/>
            </w:tcBorders>
            <w:shd w:val="clear" w:color="auto" w:fill="CCEECC"/>
          </w:tcPr>
          <w:p>
            <w:pPr>
              <w:spacing w:after="0"/>
              <w:rPr>
                <w:sz w:val="19"/>
                <w:szCs w:val="19"/>
                <w:color w:val="auto"/>
              </w:rPr>
            </w:pPr>
          </w:p>
        </w:tc>
        <w:tc>
          <w:tcPr>
            <w:tcW w:w="320" w:type="dxa"/>
            <w:vAlign w:val="bottom"/>
            <w:tcBorders>
              <w:bottom w:val="single" w:sz="8" w:color="CCEECC"/>
            </w:tcBorders>
            <w:shd w:val="clear" w:color="auto" w:fill="CCEECC"/>
          </w:tcPr>
          <w:p>
            <w:pPr>
              <w:spacing w:after="0"/>
              <w:rPr>
                <w:sz w:val="19"/>
                <w:szCs w:val="19"/>
                <w:color w:val="auto"/>
              </w:rPr>
            </w:pPr>
          </w:p>
        </w:tc>
        <w:tc>
          <w:tcPr>
            <w:tcW w:w="1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5,665</w:t>
            </w:r>
          </w:p>
        </w:tc>
        <w:tc>
          <w:tcPr>
            <w:tcW w:w="28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(7,418</w:t>
            </w:r>
          </w:p>
        </w:tc>
        <w:tc>
          <w:tcPr>
            <w:tcW w:w="240" w:type="dxa"/>
            <w:vAlign w:val="bottom"/>
            <w:tcBorders>
              <w:bottom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CCEECC"/>
            </w:tcBorders>
            <w:shd w:val="clear" w:color="auto" w:fill="CCEECC"/>
          </w:tcPr>
          <w:p>
            <w:pPr>
              <w:spacing w:after="0"/>
              <w:rPr>
                <w:sz w:val="19"/>
                <w:szCs w:val="19"/>
                <w:color w:val="auto"/>
              </w:rPr>
            </w:pPr>
          </w:p>
        </w:tc>
        <w:tc>
          <w:tcPr>
            <w:tcW w:w="12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76,275</w:t>
            </w:r>
          </w:p>
        </w:tc>
        <w:tc>
          <w:tcPr>
            <w:tcW w:w="10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Three Months Ended September 30, 2012:</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40" w:type="dxa"/>
            <w:vAlign w:val="bottom"/>
            <w:tcBorders>
              <w:top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232,104</w:t>
            </w:r>
          </w:p>
        </w:tc>
        <w:tc>
          <w:tcPr>
            <w:tcW w:w="140" w:type="dxa"/>
            <w:vAlign w:val="bottom"/>
            <w:shd w:val="clear" w:color="auto" w:fill="CCEECC"/>
          </w:tcPr>
          <w:p>
            <w:pPr>
              <w:spacing w:after="0"/>
              <w:rPr>
                <w:sz w:val="18"/>
                <w:szCs w:val="18"/>
                <w:color w:val="auto"/>
              </w:rPr>
            </w:pPr>
          </w:p>
        </w:tc>
        <w:tc>
          <w:tcPr>
            <w:tcW w:w="4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873</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(277)</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232,700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Operating expenses (1)</w:t>
            </w: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88,743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92,793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CC"/>
            </w:tcBorders>
            <w:gridSpan w:val="2"/>
            <w:shd w:val="clear" w:color="auto" w:fill="CCEECC"/>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143,361</w:t>
            </w:r>
          </w:p>
        </w:tc>
        <w:tc>
          <w:tcPr>
            <w:tcW w:w="14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(3,289</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139,907</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2,084</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Interest expense (1)</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(58,144)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CEECC"/>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(963)</w:t>
            </w:r>
          </w:p>
        </w:tc>
        <w:tc>
          <w:tcPr>
            <w:tcW w:w="32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(2,030)</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CC"/>
            </w:tcBorders>
            <w:gridSpan w:val="2"/>
          </w:tcPr>
          <w:p>
            <w:pPr>
              <w:ind w:left="30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(59,107</w:t>
            </w:r>
          </w:p>
        </w:tc>
        <w:tc>
          <w:tcPr>
            <w:tcW w:w="14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Borders>
              <w:bottom w:val="single" w:sz="8" w:color="CCEE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(59,161</w:t>
            </w:r>
          </w:p>
        </w:tc>
        <w:tc>
          <w:tcPr>
            <w:tcW w:w="10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CC"/>
            </w:tcBorders>
            <w:gridSpan w:val="2"/>
            <w:shd w:val="clear" w:color="auto" w:fill="CCEECC"/>
          </w:tcPr>
          <w:p>
            <w:pPr>
              <w:ind w:left="14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84,254</w:t>
            </w:r>
          </w:p>
        </w:tc>
        <w:tc>
          <w:tcPr>
            <w:tcW w:w="140" w:type="dxa"/>
            <w:vAlign w:val="bottom"/>
            <w:tcBorders>
              <w:bottom w:val="single" w:sz="8" w:color="CCEECC"/>
            </w:tcBorders>
            <w:shd w:val="clear" w:color="auto" w:fill="CCEECC"/>
          </w:tcPr>
          <w:p>
            <w:pPr>
              <w:spacing w:after="0"/>
              <w:rPr>
                <w:sz w:val="19"/>
                <w:szCs w:val="19"/>
                <w:color w:val="auto"/>
              </w:rPr>
            </w:pPr>
          </w:p>
        </w:tc>
        <w:tc>
          <w:tcPr>
            <w:tcW w:w="320" w:type="dxa"/>
            <w:vAlign w:val="bottom"/>
            <w:tcBorders>
              <w:bottom w:val="single" w:sz="8" w:color="CCEECC"/>
            </w:tcBorders>
            <w:shd w:val="clear" w:color="auto" w:fill="CCEECC"/>
          </w:tcPr>
          <w:p>
            <w:pPr>
              <w:spacing w:after="0"/>
              <w:rPr>
                <w:sz w:val="19"/>
                <w:szCs w:val="19"/>
                <w:color w:val="auto"/>
              </w:rPr>
            </w:pPr>
          </w:p>
        </w:tc>
        <w:tc>
          <w:tcPr>
            <w:tcW w:w="1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(3,508</w:t>
            </w:r>
          </w:p>
        </w:tc>
        <w:tc>
          <w:tcPr>
            <w:tcW w:w="240" w:type="dxa"/>
            <w:vAlign w:val="bottom"/>
            <w:tcBorders>
              <w:bottom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CCEECC"/>
            </w:tcBorders>
            <w:shd w:val="clear" w:color="auto" w:fill="CCEECC"/>
          </w:tcPr>
          <w:p>
            <w:pPr>
              <w:spacing w:after="0"/>
              <w:rPr>
                <w:sz w:val="19"/>
                <w:szCs w:val="19"/>
                <w:color w:val="auto"/>
              </w:rPr>
            </w:pPr>
          </w:p>
        </w:tc>
        <w:tc>
          <w:tcPr>
            <w:tcW w:w="12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80,746</w:t>
            </w:r>
          </w:p>
        </w:tc>
        <w:tc>
          <w:tcPr>
            <w:tcW w:w="10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Items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Servicing</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9"/>
              </w:rPr>
              <w:t>Lending</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w:t>
            </w:r>
          </w:p>
        </w:tc>
        <w:tc>
          <w:tcPr>
            <w:tcW w:w="2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80" w:type="dxa"/>
            <w:vAlign w:val="bottom"/>
            <w:tcBorders>
              <w:top w:val="single" w:sz="8" w:color="CCEECC"/>
              <w:bottom w:val="single" w:sz="8" w:color="auto"/>
            </w:tcBorders>
            <w:shd w:val="clear" w:color="auto" w:fill="CCEECC"/>
          </w:tcPr>
          <w:p>
            <w:pPr>
              <w:spacing w:after="0" w:line="170" w:lineRule="exact"/>
              <w:rPr>
                <w:sz w:val="20"/>
                <w:szCs w:val="20"/>
                <w:color w:val="auto"/>
              </w:rPr>
            </w:pPr>
            <w:r>
              <w:rPr>
                <w:rFonts w:ascii="Arial" w:cs="Arial" w:eastAsia="Arial" w:hAnsi="Arial"/>
                <w:sz w:val="18"/>
                <w:szCs w:val="18"/>
                <w:color w:val="auto"/>
                <w:w w:val="89"/>
              </w:rPr>
              <w:t>Nine Months Ended September 30, 2013:</w:t>
            </w:r>
          </w:p>
        </w:tc>
        <w:tc>
          <w:tcPr>
            <w:tcW w:w="1360" w:type="dxa"/>
            <w:vAlign w:val="bottom"/>
            <w:tcBorders>
              <w:top w:val="single" w:sz="8" w:color="CCEECC"/>
              <w:bottom w:val="single" w:sz="8" w:color="CCEECC"/>
            </w:tcBorders>
            <w:gridSpan w:val="2"/>
            <w:shd w:val="clear" w:color="auto" w:fill="CCEECC"/>
          </w:tcPr>
          <w:p>
            <w:pPr>
              <w:spacing w:after="0"/>
              <w:rPr>
                <w:sz w:val="16"/>
                <w:szCs w:val="16"/>
                <w:color w:val="auto"/>
              </w:rPr>
            </w:pPr>
          </w:p>
        </w:tc>
        <w:tc>
          <w:tcPr>
            <w:tcW w:w="120" w:type="dxa"/>
            <w:vAlign w:val="bottom"/>
            <w:tcBorders>
              <w:top w:val="single" w:sz="8" w:color="auto"/>
              <w:bottom w:val="single" w:sz="8" w:color="CCEECC"/>
            </w:tcBorders>
            <w:shd w:val="clear" w:color="auto" w:fill="CCEECC"/>
          </w:tcPr>
          <w:p>
            <w:pPr>
              <w:spacing w:after="0"/>
              <w:rPr>
                <w:sz w:val="16"/>
                <w:szCs w:val="16"/>
                <w:color w:val="auto"/>
              </w:rPr>
            </w:pPr>
          </w:p>
        </w:tc>
        <w:tc>
          <w:tcPr>
            <w:tcW w:w="920" w:type="dxa"/>
            <w:vAlign w:val="bottom"/>
            <w:tcBorders>
              <w:top w:val="single" w:sz="8" w:color="auto"/>
              <w:bottom w:val="single" w:sz="8" w:color="CCEECC"/>
            </w:tcBorders>
            <w:shd w:val="clear" w:color="auto" w:fill="CCEECC"/>
          </w:tcPr>
          <w:p>
            <w:pPr>
              <w:spacing w:after="0"/>
              <w:rPr>
                <w:sz w:val="16"/>
                <w:szCs w:val="16"/>
                <w:color w:val="auto"/>
              </w:rPr>
            </w:pPr>
          </w:p>
        </w:tc>
        <w:tc>
          <w:tcPr>
            <w:tcW w:w="140" w:type="dxa"/>
            <w:vAlign w:val="bottom"/>
            <w:tcBorders>
              <w:top w:val="single" w:sz="8" w:color="CCEECC"/>
              <w:bottom w:val="single" w:sz="8" w:color="CCEECC"/>
            </w:tcBorders>
            <w:shd w:val="clear" w:color="auto" w:fill="CCEECC"/>
          </w:tcPr>
          <w:p>
            <w:pPr>
              <w:spacing w:after="0"/>
              <w:rPr>
                <w:sz w:val="16"/>
                <w:szCs w:val="16"/>
                <w:color w:val="auto"/>
              </w:rPr>
            </w:pPr>
          </w:p>
        </w:tc>
        <w:tc>
          <w:tcPr>
            <w:tcW w:w="300" w:type="dxa"/>
            <w:vAlign w:val="bottom"/>
            <w:tcBorders>
              <w:top w:val="single" w:sz="8" w:color="CCEECC"/>
              <w:bottom w:val="single" w:sz="8" w:color="CCEECC"/>
            </w:tcBorders>
            <w:shd w:val="clear" w:color="auto" w:fill="CCEECC"/>
          </w:tcPr>
          <w:p>
            <w:pPr>
              <w:spacing w:after="0"/>
              <w:rPr>
                <w:sz w:val="16"/>
                <w:szCs w:val="16"/>
                <w:color w:val="auto"/>
              </w:rPr>
            </w:pPr>
          </w:p>
        </w:tc>
        <w:tc>
          <w:tcPr>
            <w:tcW w:w="20" w:type="dxa"/>
            <w:vAlign w:val="bottom"/>
            <w:tcBorders>
              <w:top w:val="single" w:sz="8" w:color="CCEECC"/>
              <w:bottom w:val="single" w:sz="8" w:color="CCEECC"/>
            </w:tcBorders>
            <w:shd w:val="clear" w:color="auto" w:fill="CCEECC"/>
          </w:tcPr>
          <w:p>
            <w:pPr>
              <w:spacing w:after="0"/>
              <w:rPr>
                <w:sz w:val="16"/>
                <w:szCs w:val="16"/>
                <w:color w:val="auto"/>
              </w:rPr>
            </w:pPr>
          </w:p>
        </w:tc>
        <w:tc>
          <w:tcPr>
            <w:tcW w:w="120" w:type="dxa"/>
            <w:vAlign w:val="bottom"/>
            <w:tcBorders>
              <w:top w:val="single" w:sz="8" w:color="auto"/>
              <w:bottom w:val="single" w:sz="8" w:color="CCEECC"/>
            </w:tcBorders>
            <w:shd w:val="clear" w:color="auto" w:fill="CCEECC"/>
          </w:tcPr>
          <w:p>
            <w:pPr>
              <w:spacing w:after="0"/>
              <w:rPr>
                <w:sz w:val="16"/>
                <w:szCs w:val="16"/>
                <w:color w:val="auto"/>
              </w:rPr>
            </w:pPr>
          </w:p>
        </w:tc>
        <w:tc>
          <w:tcPr>
            <w:tcW w:w="900" w:type="dxa"/>
            <w:vAlign w:val="bottom"/>
            <w:tcBorders>
              <w:top w:val="single" w:sz="8" w:color="auto"/>
              <w:bottom w:val="single" w:sz="8" w:color="CCEECC"/>
            </w:tcBorders>
            <w:shd w:val="clear" w:color="auto" w:fill="CCEECC"/>
          </w:tcPr>
          <w:p>
            <w:pPr>
              <w:spacing w:after="0"/>
              <w:rPr>
                <w:sz w:val="16"/>
                <w:szCs w:val="16"/>
                <w:color w:val="auto"/>
              </w:rPr>
            </w:pPr>
          </w:p>
        </w:tc>
        <w:tc>
          <w:tcPr>
            <w:tcW w:w="20" w:type="dxa"/>
            <w:vAlign w:val="bottom"/>
            <w:tcBorders>
              <w:top w:val="single" w:sz="8" w:color="auto"/>
              <w:bottom w:val="single" w:sz="8" w:color="CCEECC"/>
            </w:tcBorders>
            <w:shd w:val="clear" w:color="auto" w:fill="CCEECC"/>
          </w:tcPr>
          <w:p>
            <w:pPr>
              <w:spacing w:after="0"/>
              <w:rPr>
                <w:sz w:val="16"/>
                <w:szCs w:val="16"/>
                <w:color w:val="auto"/>
              </w:rPr>
            </w:pPr>
          </w:p>
        </w:tc>
        <w:tc>
          <w:tcPr>
            <w:tcW w:w="260" w:type="dxa"/>
            <w:vAlign w:val="bottom"/>
            <w:tcBorders>
              <w:top w:val="single" w:sz="8" w:color="CCEECC"/>
              <w:bottom w:val="single" w:sz="8" w:color="CCEECC"/>
            </w:tcBorders>
            <w:shd w:val="clear" w:color="auto" w:fill="CCEECC"/>
          </w:tcPr>
          <w:p>
            <w:pPr>
              <w:spacing w:after="0"/>
              <w:rPr>
                <w:sz w:val="16"/>
                <w:szCs w:val="16"/>
                <w:color w:val="auto"/>
              </w:rPr>
            </w:pPr>
          </w:p>
        </w:tc>
        <w:tc>
          <w:tcPr>
            <w:tcW w:w="200" w:type="dxa"/>
            <w:vAlign w:val="bottom"/>
            <w:tcBorders>
              <w:top w:val="single" w:sz="8" w:color="CCEECC"/>
              <w:bottom w:val="single" w:sz="8" w:color="CCEECC"/>
            </w:tcBorders>
            <w:shd w:val="clear" w:color="auto" w:fill="CCEECC"/>
          </w:tcPr>
          <w:p>
            <w:pPr>
              <w:spacing w:after="0"/>
              <w:rPr>
                <w:sz w:val="16"/>
                <w:szCs w:val="16"/>
                <w:color w:val="auto"/>
              </w:rPr>
            </w:pPr>
          </w:p>
        </w:tc>
        <w:tc>
          <w:tcPr>
            <w:tcW w:w="20" w:type="dxa"/>
            <w:vAlign w:val="bottom"/>
            <w:tcBorders>
              <w:top w:val="single" w:sz="8" w:color="CCEECC"/>
              <w:bottom w:val="single" w:sz="8" w:color="CCEECC"/>
            </w:tcBorders>
            <w:shd w:val="clear" w:color="auto" w:fill="CCEECC"/>
          </w:tcPr>
          <w:p>
            <w:pPr>
              <w:spacing w:after="0"/>
              <w:rPr>
                <w:sz w:val="16"/>
                <w:szCs w:val="16"/>
                <w:color w:val="auto"/>
              </w:rPr>
            </w:pPr>
          </w:p>
        </w:tc>
        <w:tc>
          <w:tcPr>
            <w:tcW w:w="100" w:type="dxa"/>
            <w:vAlign w:val="bottom"/>
            <w:tcBorders>
              <w:top w:val="single" w:sz="8" w:color="auto"/>
              <w:bottom w:val="single" w:sz="8" w:color="CCEECC"/>
            </w:tcBorders>
            <w:shd w:val="clear" w:color="auto" w:fill="CCEECC"/>
          </w:tcPr>
          <w:p>
            <w:pPr>
              <w:spacing w:after="0"/>
              <w:rPr>
                <w:sz w:val="16"/>
                <w:szCs w:val="16"/>
                <w:color w:val="auto"/>
              </w:rPr>
            </w:pPr>
          </w:p>
        </w:tc>
        <w:tc>
          <w:tcPr>
            <w:tcW w:w="920" w:type="dxa"/>
            <w:vAlign w:val="bottom"/>
            <w:tcBorders>
              <w:top w:val="single" w:sz="8" w:color="auto"/>
              <w:bottom w:val="single" w:sz="8" w:color="CCEECC"/>
            </w:tcBorders>
            <w:shd w:val="clear" w:color="auto" w:fill="CCEECC"/>
          </w:tcPr>
          <w:p>
            <w:pPr>
              <w:spacing w:after="0"/>
              <w:rPr>
                <w:sz w:val="16"/>
                <w:szCs w:val="16"/>
                <w:color w:val="auto"/>
              </w:rPr>
            </w:pPr>
          </w:p>
        </w:tc>
        <w:tc>
          <w:tcPr>
            <w:tcW w:w="240" w:type="dxa"/>
            <w:vAlign w:val="bottom"/>
            <w:tcBorders>
              <w:top w:val="single" w:sz="8" w:color="CCEECC"/>
              <w:bottom w:val="single" w:sz="8" w:color="CCEECC"/>
            </w:tcBorders>
            <w:shd w:val="clear" w:color="auto" w:fill="CCEECC"/>
          </w:tcPr>
          <w:p>
            <w:pPr>
              <w:spacing w:after="0"/>
              <w:rPr>
                <w:sz w:val="16"/>
                <w:szCs w:val="16"/>
                <w:color w:val="auto"/>
              </w:rPr>
            </w:pPr>
          </w:p>
        </w:tc>
        <w:tc>
          <w:tcPr>
            <w:tcW w:w="200" w:type="dxa"/>
            <w:vAlign w:val="bottom"/>
            <w:tcBorders>
              <w:top w:val="single" w:sz="8" w:color="CCEECC"/>
              <w:bottom w:val="single" w:sz="8" w:color="CCEECC"/>
            </w:tcBorders>
            <w:shd w:val="clear" w:color="auto" w:fill="CCEECC"/>
          </w:tcPr>
          <w:p>
            <w:pPr>
              <w:spacing w:after="0"/>
              <w:rPr>
                <w:sz w:val="16"/>
                <w:szCs w:val="16"/>
                <w:color w:val="auto"/>
              </w:rPr>
            </w:pPr>
          </w:p>
        </w:tc>
        <w:tc>
          <w:tcPr>
            <w:tcW w:w="100" w:type="dxa"/>
            <w:vAlign w:val="bottom"/>
            <w:tcBorders>
              <w:top w:val="single" w:sz="8" w:color="auto"/>
              <w:bottom w:val="single" w:sz="8" w:color="CCEECC"/>
            </w:tcBorders>
            <w:shd w:val="clear" w:color="auto" w:fill="CCEECC"/>
          </w:tcPr>
          <w:p>
            <w:pPr>
              <w:spacing w:after="0"/>
              <w:rPr>
                <w:sz w:val="16"/>
                <w:szCs w:val="16"/>
                <w:color w:val="auto"/>
              </w:rPr>
            </w:pPr>
          </w:p>
        </w:tc>
        <w:tc>
          <w:tcPr>
            <w:tcW w:w="920" w:type="dxa"/>
            <w:vAlign w:val="bottom"/>
            <w:tcBorders>
              <w:top w:val="single" w:sz="8" w:color="auto"/>
              <w:bottom w:val="single" w:sz="8" w:color="CCEECC"/>
            </w:tcBorders>
            <w:shd w:val="clear" w:color="auto" w:fill="CCEECC"/>
          </w:tcPr>
          <w:p>
            <w:pPr>
              <w:spacing w:after="0"/>
              <w:rPr>
                <w:sz w:val="16"/>
                <w:szCs w:val="16"/>
                <w:color w:val="auto"/>
              </w:rPr>
            </w:pPr>
          </w:p>
        </w:tc>
        <w:tc>
          <w:tcPr>
            <w:tcW w:w="240" w:type="dxa"/>
            <w:vAlign w:val="bottom"/>
            <w:tcBorders>
              <w:top w:val="single" w:sz="8" w:color="CCEECC"/>
              <w:bottom w:val="single" w:sz="8" w:color="CCEECC"/>
            </w:tcBorders>
            <w:shd w:val="clear" w:color="auto" w:fill="CCEECC"/>
          </w:tcPr>
          <w:p>
            <w:pPr>
              <w:spacing w:after="0"/>
              <w:rPr>
                <w:sz w:val="16"/>
                <w:szCs w:val="16"/>
                <w:color w:val="auto"/>
              </w:rPr>
            </w:pPr>
          </w:p>
        </w:tc>
        <w:tc>
          <w:tcPr>
            <w:tcW w:w="200" w:type="dxa"/>
            <w:vAlign w:val="bottom"/>
            <w:tcBorders>
              <w:top w:val="single" w:sz="8" w:color="CCEECC"/>
              <w:bottom w:val="single" w:sz="8" w:color="CCEECC"/>
            </w:tcBorders>
            <w:shd w:val="clear" w:color="auto" w:fill="CCEECC"/>
          </w:tcPr>
          <w:p>
            <w:pPr>
              <w:spacing w:after="0"/>
              <w:rPr>
                <w:sz w:val="16"/>
                <w:szCs w:val="16"/>
                <w:color w:val="auto"/>
              </w:rPr>
            </w:pPr>
          </w:p>
        </w:tc>
        <w:tc>
          <w:tcPr>
            <w:tcW w:w="120" w:type="dxa"/>
            <w:vAlign w:val="bottom"/>
            <w:tcBorders>
              <w:top w:val="single" w:sz="8" w:color="auto"/>
              <w:bottom w:val="single" w:sz="8" w:color="CCEECC"/>
            </w:tcBorders>
            <w:shd w:val="clear" w:color="auto" w:fill="CCEECC"/>
          </w:tcPr>
          <w:p>
            <w:pPr>
              <w:spacing w:after="0"/>
              <w:rPr>
                <w:sz w:val="16"/>
                <w:szCs w:val="16"/>
                <w:color w:val="auto"/>
              </w:rPr>
            </w:pPr>
          </w:p>
        </w:tc>
        <w:tc>
          <w:tcPr>
            <w:tcW w:w="900" w:type="dxa"/>
            <w:vAlign w:val="bottom"/>
            <w:tcBorders>
              <w:top w:val="single" w:sz="8" w:color="auto"/>
              <w:bottom w:val="single" w:sz="8" w:color="CCEECC"/>
            </w:tcBorders>
            <w:shd w:val="clear" w:color="auto" w:fill="CCEECC"/>
          </w:tcPr>
          <w:p>
            <w:pPr>
              <w:spacing w:after="0"/>
              <w:rPr>
                <w:sz w:val="16"/>
                <w:szCs w:val="16"/>
                <w:color w:val="auto"/>
              </w:rPr>
            </w:pPr>
          </w:p>
        </w:tc>
        <w:tc>
          <w:tcPr>
            <w:tcW w:w="100" w:type="dxa"/>
            <w:vAlign w:val="bottom"/>
            <w:tcBorders>
              <w:top w:val="single" w:sz="8" w:color="CCEECC"/>
              <w:bottom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436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1,381,872</w:t>
            </w:r>
          </w:p>
        </w:tc>
        <w:tc>
          <w:tcPr>
            <w:tcW w:w="14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81,180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19,758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1,482,318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Operating expenses (1)</w:t>
            </w:r>
          </w:p>
        </w:tc>
        <w:tc>
          <w:tcPr>
            <w:tcW w:w="120" w:type="dxa"/>
            <w:vAlign w:val="bottom"/>
            <w:shd w:val="clear" w:color="auto" w:fill="CCEECC"/>
          </w:tcPr>
          <w:p>
            <w:pPr>
              <w:spacing w:after="0"/>
              <w:rPr>
                <w:sz w:val="19"/>
                <w:szCs w:val="19"/>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795,645</w:t>
            </w:r>
          </w:p>
        </w:tc>
        <w:tc>
          <w:tcPr>
            <w:tcW w:w="14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180" w:type="dxa"/>
            <w:vAlign w:val="bottom"/>
            <w:gridSpan w:val="3"/>
            <w:shd w:val="clear" w:color="auto" w:fill="CCEECC"/>
          </w:tcPr>
          <w:p>
            <w:pPr>
              <w:jc w:val="right"/>
              <w:ind w:right="260"/>
              <w:spacing w:after="0"/>
              <w:rPr>
                <w:sz w:val="20"/>
                <w:szCs w:val="20"/>
                <w:color w:val="auto"/>
              </w:rPr>
            </w:pPr>
            <w:r>
              <w:rPr>
                <w:rFonts w:ascii="Arial" w:cs="Arial" w:eastAsia="Arial" w:hAnsi="Arial"/>
                <w:sz w:val="18"/>
                <w:szCs w:val="18"/>
                <w:color w:val="auto"/>
              </w:rPr>
              <w:t>69,543</w:t>
            </w:r>
          </w:p>
        </w:tc>
        <w:tc>
          <w:tcPr>
            <w:tcW w:w="2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95,361</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960,418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CC"/>
            </w:tcBorders>
            <w:gridSpan w:val="3"/>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586,227</w:t>
            </w:r>
          </w:p>
        </w:tc>
        <w:tc>
          <w:tcPr>
            <w:tcW w:w="140" w:type="dxa"/>
            <w:vAlign w:val="bottom"/>
            <w:tcBorders>
              <w:bottom w:val="single" w:sz="8" w:color="CCEECC"/>
            </w:tcBorders>
          </w:tcPr>
          <w:p>
            <w:pPr>
              <w:spacing w:after="0"/>
              <w:rPr>
                <w:sz w:val="18"/>
                <w:szCs w:val="18"/>
                <w:color w:val="auto"/>
              </w:rPr>
            </w:pPr>
          </w:p>
        </w:tc>
        <w:tc>
          <w:tcPr>
            <w:tcW w:w="30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11,637</w:t>
            </w:r>
          </w:p>
        </w:tc>
        <w:tc>
          <w:tcPr>
            <w:tcW w:w="26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(75,603</w:t>
            </w:r>
          </w:p>
        </w:tc>
        <w:tc>
          <w:tcPr>
            <w:tcW w:w="240" w:type="dxa"/>
            <w:vAlign w:val="bottom"/>
            <w:tcBorders>
              <w:bottom w:val="single" w:sz="8" w:color="CCEE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Borders>
              <w:bottom w:val="single" w:sz="8" w:color="CCEE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521,900</w:t>
            </w:r>
          </w:p>
        </w:tc>
        <w:tc>
          <w:tcPr>
            <w:tcW w:w="10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12,432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ind w:left="140"/>
              <w:spacing w:after="0"/>
              <w:rPr>
                <w:sz w:val="20"/>
                <w:szCs w:val="20"/>
                <w:color w:val="auto"/>
              </w:rPr>
            </w:pPr>
            <w:r>
              <w:rPr>
                <w:rFonts w:ascii="Arial" w:cs="Arial" w:eastAsia="Arial" w:hAnsi="Arial"/>
                <w:sz w:val="18"/>
                <w:szCs w:val="18"/>
                <w:color w:val="auto"/>
              </w:rPr>
              <w:t>Interest expense (1)</w:t>
            </w:r>
          </w:p>
        </w:tc>
        <w:tc>
          <w:tcPr>
            <w:tcW w:w="1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(293,381)</w:t>
            </w: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80" w:type="dxa"/>
            <w:vAlign w:val="bottom"/>
            <w:gridSpan w:val="3"/>
            <w:shd w:val="clear" w:color="auto" w:fill="CCEECC"/>
          </w:tcPr>
          <w:p>
            <w:pPr>
              <w:jc w:val="right"/>
              <w:ind w:right="200"/>
              <w:spacing w:after="0"/>
              <w:rPr>
                <w:sz w:val="20"/>
                <w:szCs w:val="20"/>
                <w:color w:val="auto"/>
              </w:rPr>
            </w:pPr>
            <w:r>
              <w:rPr>
                <w:rFonts w:ascii="Arial" w:cs="Arial" w:eastAsia="Arial" w:hAnsi="Arial"/>
                <w:sz w:val="18"/>
                <w:szCs w:val="18"/>
                <w:color w:val="auto"/>
              </w:rPr>
              <w:t>(10,108)</w:t>
            </w: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(303,339)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(30,961)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(20,771)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CC"/>
            </w:tcBorders>
            <w:gridSpan w:val="3"/>
            <w:shd w:val="clear" w:color="auto" w:fill="CCEECC"/>
          </w:tcPr>
          <w:p>
            <w:pPr>
              <w:ind w:left="30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(322,960</w:t>
            </w:r>
          </w:p>
        </w:tc>
        <w:tc>
          <w:tcPr>
            <w:tcW w:w="14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CC"/>
          </w:tcPr>
          <w:p>
            <w:pPr>
              <w:jc w:val="right"/>
              <w:spacing w:after="0"/>
              <w:rPr>
                <w:sz w:val="20"/>
                <w:szCs w:val="20"/>
                <w:color w:val="auto"/>
              </w:rPr>
            </w:pPr>
            <w:r>
              <w:rPr>
                <w:rFonts w:ascii="Arial" w:cs="Arial" w:eastAsia="Arial" w:hAnsi="Arial"/>
                <w:sz w:val="18"/>
                <w:szCs w:val="18"/>
                <w:color w:val="auto"/>
              </w:rPr>
              <w:t>9,176</w:t>
            </w:r>
          </w:p>
        </w:tc>
        <w:tc>
          <w:tcPr>
            <w:tcW w:w="2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6,643</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(306,780</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263,267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20,813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(68,960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tcBorders>
              <w:bottom w:val="single" w:sz="8" w:color="auto"/>
            </w:tcBorders>
            <w:shd w:val="clear" w:color="auto" w:fill="CCEECC"/>
          </w:tcPr>
          <w:p>
            <w:pPr>
              <w:spacing w:after="0" w:line="176" w:lineRule="exact"/>
              <w:rPr>
                <w:sz w:val="20"/>
                <w:szCs w:val="20"/>
                <w:color w:val="auto"/>
              </w:rPr>
            </w:pPr>
            <w:r>
              <w:rPr>
                <w:rFonts w:ascii="Arial" w:cs="Arial" w:eastAsia="Arial" w:hAnsi="Arial"/>
                <w:sz w:val="18"/>
                <w:szCs w:val="18"/>
                <w:color w:val="auto"/>
                <w:w w:val="89"/>
              </w:rPr>
              <w:t>Nine Months Ended September 30, 2012:</w:t>
            </w:r>
          </w:p>
        </w:tc>
        <w:tc>
          <w:tcPr>
            <w:tcW w:w="1360" w:type="dxa"/>
            <w:vAlign w:val="bottom"/>
            <w:tcBorders>
              <w:bottom w:val="single" w:sz="8" w:color="CCEECC"/>
            </w:tcBorders>
            <w:gridSpan w:val="2"/>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300" w:type="dxa"/>
            <w:vAlign w:val="bottom"/>
            <w:tcBorders>
              <w:bottom w:val="single" w:sz="8" w:color="CCEECC"/>
            </w:tcBorders>
            <w:shd w:val="clear" w:color="auto" w:fill="CCEECC"/>
          </w:tcPr>
          <w:p>
            <w:pPr>
              <w:spacing w:after="0"/>
              <w:rPr>
                <w:sz w:val="17"/>
                <w:szCs w:val="17"/>
                <w:color w:val="auto"/>
              </w:rPr>
            </w:pPr>
          </w:p>
        </w:tc>
        <w:tc>
          <w:tcPr>
            <w:tcW w:w="2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900" w:type="dxa"/>
            <w:vAlign w:val="bottom"/>
            <w:tcBorders>
              <w:bottom w:val="single" w:sz="8" w:color="CCEECC"/>
            </w:tcBorders>
            <w:shd w:val="clear" w:color="auto" w:fill="CCEECC"/>
          </w:tcPr>
          <w:p>
            <w:pPr>
              <w:spacing w:after="0"/>
              <w:rPr>
                <w:sz w:val="17"/>
                <w:szCs w:val="17"/>
                <w:color w:val="auto"/>
              </w:rPr>
            </w:pPr>
          </w:p>
        </w:tc>
        <w:tc>
          <w:tcPr>
            <w:tcW w:w="20" w:type="dxa"/>
            <w:vAlign w:val="bottom"/>
            <w:tcBorders>
              <w:bottom w:val="single" w:sz="8" w:color="CCEECC"/>
            </w:tcBorders>
            <w:shd w:val="clear" w:color="auto" w:fill="CCEECC"/>
          </w:tcPr>
          <w:p>
            <w:pPr>
              <w:spacing w:after="0"/>
              <w:rPr>
                <w:sz w:val="17"/>
                <w:szCs w:val="17"/>
                <w:color w:val="auto"/>
              </w:rPr>
            </w:pPr>
          </w:p>
        </w:tc>
        <w:tc>
          <w:tcPr>
            <w:tcW w:w="26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90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36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606,689</w:t>
            </w:r>
          </w:p>
        </w:tc>
        <w:tc>
          <w:tcPr>
            <w:tcW w:w="14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2,736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608,613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Operating expenses (1)</w:t>
            </w:r>
          </w:p>
        </w:tc>
        <w:tc>
          <w:tcPr>
            <w:tcW w:w="120" w:type="dxa"/>
            <w:vAlign w:val="bottom"/>
            <w:shd w:val="clear" w:color="auto" w:fill="CCEECC"/>
          </w:tcPr>
          <w:p>
            <w:pPr>
              <w:spacing w:after="0"/>
              <w:rPr>
                <w:sz w:val="19"/>
                <w:szCs w:val="19"/>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252,542</w:t>
            </w:r>
          </w:p>
        </w:tc>
        <w:tc>
          <w:tcPr>
            <w:tcW w:w="14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180" w:type="dxa"/>
            <w:vAlign w:val="bottom"/>
            <w:gridSpan w:val="3"/>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12,659</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264,810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CC"/>
            </w:tcBorders>
            <w:gridSpan w:val="3"/>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354,147</w:t>
            </w:r>
          </w:p>
        </w:tc>
        <w:tc>
          <w:tcPr>
            <w:tcW w:w="140" w:type="dxa"/>
            <w:vAlign w:val="bottom"/>
            <w:tcBorders>
              <w:bottom w:val="single" w:sz="8" w:color="CCEECC"/>
            </w:tcBorders>
          </w:tcPr>
          <w:p>
            <w:pPr>
              <w:spacing w:after="0"/>
              <w:rPr>
                <w:sz w:val="18"/>
                <w:szCs w:val="18"/>
                <w:color w:val="auto"/>
              </w:rPr>
            </w:pPr>
          </w:p>
        </w:tc>
        <w:tc>
          <w:tcPr>
            <w:tcW w:w="30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CC"/>
            </w:tcBorders>
          </w:tcPr>
          <w:p>
            <w:pPr>
              <w:spacing w:after="0"/>
              <w:rPr>
                <w:sz w:val="18"/>
                <w:szCs w:val="18"/>
                <w:color w:val="auto"/>
              </w:rPr>
            </w:pPr>
          </w:p>
        </w:tc>
        <w:tc>
          <w:tcPr>
            <w:tcW w:w="20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240" w:type="dxa"/>
            <w:vAlign w:val="bottom"/>
            <w:tcBorders>
              <w:bottom w:val="single" w:sz="8" w:color="CCEE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Borders>
              <w:bottom w:val="single" w:sz="8" w:color="CCEE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343,803</w:t>
            </w:r>
          </w:p>
        </w:tc>
        <w:tc>
          <w:tcPr>
            <w:tcW w:w="10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6,434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ind w:left="140"/>
              <w:spacing w:after="0"/>
              <w:rPr>
                <w:sz w:val="20"/>
                <w:szCs w:val="20"/>
                <w:color w:val="auto"/>
              </w:rPr>
            </w:pPr>
            <w:r>
              <w:rPr>
                <w:rFonts w:ascii="Arial" w:cs="Arial" w:eastAsia="Arial" w:hAnsi="Arial"/>
                <w:sz w:val="18"/>
                <w:szCs w:val="18"/>
                <w:color w:val="auto"/>
              </w:rPr>
              <w:t>Interest expense (1)</w:t>
            </w:r>
          </w:p>
        </w:tc>
        <w:tc>
          <w:tcPr>
            <w:tcW w:w="1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(162,810)</w:t>
            </w: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80" w:type="dxa"/>
            <w:vAlign w:val="bottom"/>
            <w:gridSpan w:val="3"/>
            <w:shd w:val="clear" w:color="auto" w:fill="CCEEC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(163,660)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CC"/>
            </w:tcBorders>
            <w:gridSpan w:val="3"/>
            <w:shd w:val="clear" w:color="auto" w:fill="CCEECC"/>
          </w:tcPr>
          <w:p>
            <w:pPr>
              <w:ind w:left="30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(163,014</w:t>
            </w:r>
          </w:p>
        </w:tc>
        <w:tc>
          <w:tcPr>
            <w:tcW w:w="14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(162,774</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September 30, 2013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3,925,510</w:t>
            </w:r>
          </w:p>
        </w:tc>
        <w:tc>
          <w:tcPr>
            <w:tcW w:w="14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778,777</w:t>
            </w:r>
          </w:p>
        </w:tc>
        <w:tc>
          <w:tcPr>
            <w:tcW w:w="26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607,393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5,311,680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ind w:left="140"/>
              <w:spacing w:after="0"/>
              <w:rPr>
                <w:sz w:val="20"/>
                <w:szCs w:val="20"/>
                <w:color w:val="auto"/>
              </w:rPr>
            </w:pPr>
            <w:r>
              <w:rPr>
                <w:rFonts w:ascii="Arial" w:cs="Arial" w:eastAsia="Arial" w:hAnsi="Arial"/>
                <w:sz w:val="18"/>
                <w:szCs w:val="18"/>
                <w:color w:val="auto"/>
              </w:rPr>
              <w:t>December 31, 2012</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4,498,043</w:t>
            </w:r>
          </w:p>
        </w:tc>
        <w:tc>
          <w:tcPr>
            <w:tcW w:w="140" w:type="dxa"/>
            <w:vAlign w:val="bottom"/>
            <w:shd w:val="clear" w:color="auto" w:fill="CCEECC"/>
          </w:tcPr>
          <w:p>
            <w:pPr>
              <w:spacing w:after="0"/>
              <w:rPr>
                <w:sz w:val="18"/>
                <w:szCs w:val="18"/>
                <w:color w:val="auto"/>
              </w:rPr>
            </w:pPr>
          </w:p>
        </w:tc>
        <w:tc>
          <w:tcPr>
            <w:tcW w:w="44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550,569</w:t>
            </w:r>
          </w:p>
        </w:tc>
        <w:tc>
          <w:tcPr>
            <w:tcW w:w="260" w:type="dxa"/>
            <w:vAlign w:val="bottom"/>
            <w:shd w:val="clear" w:color="auto" w:fill="CCEECC"/>
          </w:tcPr>
          <w:p>
            <w:pPr>
              <w:spacing w:after="0"/>
              <w:rPr>
                <w:sz w:val="18"/>
                <w:szCs w:val="18"/>
                <w:color w:val="auto"/>
              </w:rPr>
            </w:pPr>
          </w:p>
        </w:tc>
        <w:tc>
          <w:tcPr>
            <w:tcW w:w="3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634,143</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5,682,755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September 30, 2012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3,611,768</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544,248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4,156,016</w:t>
            </w:r>
          </w:p>
        </w:tc>
        <w:tc>
          <w:tcPr>
            <w:tcW w:w="0" w:type="dxa"/>
            <w:vAlign w:val="bottom"/>
          </w:tcPr>
          <w:p>
            <w:pPr>
              <w:spacing w:after="0"/>
              <w:rPr>
                <w:sz w:val="1"/>
                <w:szCs w:val="1"/>
                <w:color w:val="auto"/>
              </w:rPr>
            </w:pPr>
          </w:p>
        </w:tc>
      </w:tr>
      <w:tr>
        <w:trPr>
          <w:trHeight w:val="392"/>
        </w:trPr>
        <w:tc>
          <w:tcPr>
            <w:tcW w:w="4360" w:type="dxa"/>
            <w:vAlign w:val="bottom"/>
            <w:gridSpan w:val="4"/>
          </w:tcPr>
          <w:p>
            <w:pPr>
              <w:spacing w:after="0"/>
              <w:rPr>
                <w:sz w:val="20"/>
                <w:szCs w:val="20"/>
                <w:color w:val="auto"/>
              </w:rPr>
            </w:pPr>
            <w:r>
              <w:rPr>
                <w:rFonts w:ascii="Arial" w:cs="Arial" w:eastAsia="Arial" w:hAnsi="Arial"/>
                <w:sz w:val="18"/>
                <w:szCs w:val="18"/>
                <w:color w:val="auto"/>
                <w:w w:val="93"/>
              </w:rPr>
              <w:t>(1)  Depreciation and amortization expense are as follows: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Items and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88"/>
              </w:rPr>
              <w:t>Servicing</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Lending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tcBorders>
              <w:top w:val="single" w:sz="8" w:color="CCEECC"/>
            </w:tcBorders>
            <w:gridSpan w:val="3"/>
            <w:shd w:val="clear" w:color="auto" w:fill="CCEECC"/>
          </w:tcPr>
          <w:p>
            <w:pPr>
              <w:spacing w:after="0" w:line="170" w:lineRule="exact"/>
              <w:rPr>
                <w:sz w:val="20"/>
                <w:szCs w:val="20"/>
                <w:color w:val="auto"/>
              </w:rPr>
            </w:pPr>
            <w:r>
              <w:rPr>
                <w:rFonts w:ascii="Arial" w:cs="Arial" w:eastAsia="Arial" w:hAnsi="Arial"/>
                <w:sz w:val="18"/>
                <w:szCs w:val="18"/>
                <w:color w:val="auto"/>
              </w:rPr>
              <w:t>Three Months Ended September 30, 2013:</w:t>
            </w:r>
          </w:p>
        </w:tc>
        <w:tc>
          <w:tcPr>
            <w:tcW w:w="120" w:type="dxa"/>
            <w:vAlign w:val="bottom"/>
            <w:tcBorders>
              <w:top w:val="single" w:sz="8" w:color="CCEECC"/>
            </w:tcBorders>
            <w:shd w:val="clear" w:color="auto" w:fill="CCEECC"/>
          </w:tcPr>
          <w:p>
            <w:pPr>
              <w:spacing w:after="0"/>
              <w:rPr>
                <w:sz w:val="16"/>
                <w:szCs w:val="16"/>
                <w:color w:val="auto"/>
              </w:rPr>
            </w:pPr>
          </w:p>
        </w:tc>
        <w:tc>
          <w:tcPr>
            <w:tcW w:w="92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CCEECC"/>
            </w:tcBorders>
            <w:shd w:val="clear" w:color="auto" w:fill="CCEECC"/>
          </w:tcPr>
          <w:p>
            <w:pPr>
              <w:spacing w:after="0"/>
              <w:rPr>
                <w:sz w:val="16"/>
                <w:szCs w:val="16"/>
                <w:color w:val="auto"/>
              </w:rPr>
            </w:pPr>
          </w:p>
        </w:tc>
        <w:tc>
          <w:tcPr>
            <w:tcW w:w="30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auto"/>
            </w:tcBorders>
            <w:shd w:val="clear" w:color="auto" w:fill="CCEECC"/>
          </w:tcPr>
          <w:p>
            <w:pPr>
              <w:spacing w:after="0"/>
              <w:rPr>
                <w:sz w:val="16"/>
                <w:szCs w:val="16"/>
                <w:color w:val="auto"/>
              </w:rPr>
            </w:pPr>
          </w:p>
        </w:tc>
        <w:tc>
          <w:tcPr>
            <w:tcW w:w="12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260" w:type="dxa"/>
            <w:vAlign w:val="bottom"/>
            <w:tcBorders>
              <w:top w:val="single" w:sz="8" w:color="CCEECC"/>
            </w:tcBorders>
            <w:shd w:val="clear" w:color="auto" w:fill="CCEECC"/>
          </w:tcPr>
          <w:p>
            <w:pPr>
              <w:spacing w:after="0"/>
              <w:rPr>
                <w:sz w:val="16"/>
                <w:szCs w:val="16"/>
                <w:color w:val="auto"/>
              </w:rPr>
            </w:pPr>
          </w:p>
        </w:tc>
        <w:tc>
          <w:tcPr>
            <w:tcW w:w="20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240" w:type="dxa"/>
            <w:vAlign w:val="bottom"/>
            <w:tcBorders>
              <w:top w:val="single" w:sz="8" w:color="CCEECC"/>
            </w:tcBorders>
            <w:shd w:val="clear" w:color="auto" w:fill="CCEECC"/>
          </w:tcPr>
          <w:p>
            <w:pPr>
              <w:spacing w:after="0"/>
              <w:rPr>
                <w:sz w:val="16"/>
                <w:szCs w:val="16"/>
                <w:color w:val="auto"/>
              </w:rPr>
            </w:pPr>
          </w:p>
        </w:tc>
        <w:tc>
          <w:tcPr>
            <w:tcW w:w="20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240" w:type="dxa"/>
            <w:vAlign w:val="bottom"/>
            <w:tcBorders>
              <w:top w:val="single" w:sz="8" w:color="CCEECC"/>
            </w:tcBorders>
            <w:shd w:val="clear" w:color="auto" w:fill="CCEECC"/>
          </w:tcPr>
          <w:p>
            <w:pPr>
              <w:spacing w:after="0"/>
              <w:rPr>
                <w:sz w:val="16"/>
                <w:szCs w:val="16"/>
                <w:color w:val="auto"/>
              </w:rPr>
            </w:pPr>
          </w:p>
        </w:tc>
        <w:tc>
          <w:tcPr>
            <w:tcW w:w="200" w:type="dxa"/>
            <w:vAlign w:val="bottom"/>
            <w:tcBorders>
              <w:top w:val="single" w:sz="8" w:color="CCEECC"/>
            </w:tcBorders>
            <w:shd w:val="clear" w:color="auto" w:fill="CCEECC"/>
          </w:tcPr>
          <w:p>
            <w:pPr>
              <w:spacing w:after="0"/>
              <w:rPr>
                <w:sz w:val="16"/>
                <w:szCs w:val="16"/>
                <w:color w:val="auto"/>
              </w:rPr>
            </w:pPr>
          </w:p>
        </w:tc>
        <w:tc>
          <w:tcPr>
            <w:tcW w:w="12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Depreciation expense</w:t>
            </w:r>
          </w:p>
        </w:tc>
        <w:tc>
          <w:tcPr>
            <w:tcW w:w="1300" w:type="dxa"/>
            <w:vAlign w:val="bottom"/>
            <w:tcBorders>
              <w:top w:val="single" w:sz="8" w:color="CCEECC"/>
            </w:tcBorders>
          </w:tcPr>
          <w:p>
            <w:pPr>
              <w:spacing w:after="0"/>
              <w:rPr>
                <w:sz w:val="18"/>
                <w:szCs w:val="18"/>
                <w:color w:val="auto"/>
              </w:rPr>
            </w:pPr>
          </w:p>
        </w:tc>
        <w:tc>
          <w:tcPr>
            <w:tcW w:w="120" w:type="dxa"/>
            <w:vAlign w:val="bottom"/>
            <w:tcBorders>
              <w:top w:val="single" w:sz="8" w:color="CCEECC"/>
            </w:tcBorders>
          </w:tcPr>
          <w:p>
            <w:pPr>
              <w:spacing w:after="0"/>
              <w:rPr>
                <w:sz w:val="18"/>
                <w:szCs w:val="18"/>
                <w:color w:val="auto"/>
              </w:rPr>
            </w:pPr>
          </w:p>
        </w:tc>
        <w:tc>
          <w:tcPr>
            <w:tcW w:w="920" w:type="dxa"/>
            <w:vAlign w:val="bottom"/>
            <w:tcBorders>
              <w:top w:val="single" w:sz="8" w:color="CCEECC"/>
            </w:tcBorders>
          </w:tcPr>
          <w:p>
            <w:pPr>
              <w:spacing w:after="0"/>
              <w:rPr>
                <w:sz w:val="18"/>
                <w:szCs w:val="18"/>
                <w:color w:val="auto"/>
              </w:rPr>
            </w:pPr>
          </w:p>
        </w:tc>
        <w:tc>
          <w:tcPr>
            <w:tcW w:w="140" w:type="dxa"/>
            <w:vAlign w:val="bottom"/>
            <w:tcBorders>
              <w:top w:val="single" w:sz="8" w:color="CCEECC"/>
            </w:tcBorders>
          </w:tcPr>
          <w:p>
            <w:pPr>
              <w:spacing w:after="0"/>
              <w:rPr>
                <w:sz w:val="18"/>
                <w:szCs w:val="18"/>
                <w:color w:val="auto"/>
              </w:rPr>
            </w:pPr>
          </w:p>
        </w:tc>
        <w:tc>
          <w:tcPr>
            <w:tcW w:w="440" w:type="dxa"/>
            <w:vAlign w:val="bottom"/>
            <w:tcBorders>
              <w:top w:val="single" w:sz="8" w:color="CCEECC"/>
            </w:tcBorders>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CC"/>
            </w:tcBorders>
          </w:tcPr>
          <w:p>
            <w:pPr>
              <w:jc w:val="right"/>
              <w:spacing w:after="0"/>
              <w:rPr>
                <w:sz w:val="20"/>
                <w:szCs w:val="20"/>
                <w:color w:val="auto"/>
              </w:rPr>
            </w:pPr>
            <w:r>
              <w:rPr>
                <w:rFonts w:ascii="Arial" w:cs="Arial" w:eastAsia="Arial" w:hAnsi="Arial"/>
                <w:sz w:val="18"/>
                <w:szCs w:val="18"/>
                <w:color w:val="auto"/>
              </w:rPr>
              <w:t>3,589</w:t>
            </w:r>
          </w:p>
        </w:tc>
        <w:tc>
          <w:tcPr>
            <w:tcW w:w="20" w:type="dxa"/>
            <w:vAlign w:val="bottom"/>
            <w:tcBorders>
              <w:top w:val="single" w:sz="8" w:color="CCEECC"/>
            </w:tcBorders>
          </w:tcPr>
          <w:p>
            <w:pPr>
              <w:spacing w:after="0"/>
              <w:rPr>
                <w:sz w:val="18"/>
                <w:szCs w:val="18"/>
                <w:color w:val="auto"/>
              </w:rPr>
            </w:pPr>
          </w:p>
        </w:tc>
        <w:tc>
          <w:tcPr>
            <w:tcW w:w="260" w:type="dxa"/>
            <w:vAlign w:val="bottom"/>
            <w:tcBorders>
              <w:top w:val="single" w:sz="8" w:color="CCEECC"/>
            </w:tcBorders>
          </w:tcPr>
          <w:p>
            <w:pPr>
              <w:spacing w:after="0"/>
              <w:rPr>
                <w:sz w:val="18"/>
                <w:szCs w:val="18"/>
                <w:color w:val="auto"/>
              </w:rPr>
            </w:pPr>
          </w:p>
        </w:tc>
        <w:tc>
          <w:tcPr>
            <w:tcW w:w="320" w:type="dxa"/>
            <w:vAlign w:val="bottom"/>
            <w:tcBorders>
              <w:top w:val="single" w:sz="8" w:color="CCEECC"/>
            </w:tcBorders>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CC"/>
            </w:tcBorders>
            <w:gridSpan w:val="2"/>
          </w:tcPr>
          <w:p>
            <w:pPr>
              <w:jc w:val="right"/>
              <w:ind w:right="160"/>
              <w:spacing w:after="0"/>
              <w:rPr>
                <w:sz w:val="20"/>
                <w:szCs w:val="20"/>
                <w:color w:val="auto"/>
              </w:rPr>
            </w:pPr>
            <w:r>
              <w:rPr>
                <w:rFonts w:ascii="Arial" w:cs="Arial" w:eastAsia="Arial" w:hAnsi="Arial"/>
                <w:sz w:val="18"/>
                <w:szCs w:val="18"/>
                <w:color w:val="auto"/>
              </w:rPr>
              <w:t>135</w:t>
            </w:r>
          </w:p>
        </w:tc>
        <w:tc>
          <w:tcPr>
            <w:tcW w:w="300" w:type="dxa"/>
            <w:vAlign w:val="bottom"/>
            <w:tcBorders>
              <w:top w:val="single" w:sz="8" w:color="CCEECC"/>
            </w:tcBorders>
            <w:gridSpan w:val="2"/>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CC"/>
            </w:tcBorders>
            <w:gridSpan w:val="2"/>
          </w:tcPr>
          <w:p>
            <w:pPr>
              <w:jc w:val="right"/>
              <w:ind w:right="160"/>
              <w:spacing w:after="0"/>
              <w:rPr>
                <w:sz w:val="20"/>
                <w:szCs w:val="20"/>
                <w:color w:val="auto"/>
              </w:rPr>
            </w:pPr>
            <w:r>
              <w:rPr>
                <w:rFonts w:ascii="Arial" w:cs="Arial" w:eastAsia="Arial" w:hAnsi="Arial"/>
                <w:sz w:val="18"/>
                <w:szCs w:val="18"/>
                <w:color w:val="auto"/>
              </w:rPr>
              <w:t>2,973</w:t>
            </w:r>
          </w:p>
        </w:tc>
        <w:tc>
          <w:tcPr>
            <w:tcW w:w="320" w:type="dxa"/>
            <w:vAlign w:val="bottom"/>
            <w:tcBorders>
              <w:top w:val="single" w:sz="8" w:color="CCEECC"/>
            </w:tcBorders>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CC"/>
            </w:tcBorders>
            <w:gridSpan w:val="2"/>
          </w:tcPr>
          <w:p>
            <w:pPr>
              <w:jc w:val="right"/>
              <w:ind w:right="20"/>
              <w:spacing w:after="0"/>
              <w:rPr>
                <w:sz w:val="20"/>
                <w:szCs w:val="20"/>
                <w:color w:val="auto"/>
              </w:rPr>
            </w:pPr>
            <w:r>
              <w:rPr>
                <w:rFonts w:ascii="Arial" w:cs="Arial" w:eastAsia="Arial" w:hAnsi="Arial"/>
                <w:sz w:val="18"/>
                <w:szCs w:val="18"/>
                <w:color w:val="auto"/>
              </w:rPr>
              <w:t>6,697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MSRs</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79,035</w:t>
            </w: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79,183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Amortization of debt discount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debt issuance costs – SSTL</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1,178</w:t>
            </w: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392"/>
        </w:trPr>
        <w:tc>
          <w:tcPr>
            <w:tcW w:w="4360" w:type="dxa"/>
            <w:vAlign w:val="bottom"/>
            <w:gridSpan w:val="4"/>
          </w:tcPr>
          <w:p>
            <w:pPr>
              <w:spacing w:after="0"/>
              <w:rPr>
                <w:sz w:val="20"/>
                <w:szCs w:val="20"/>
                <w:color w:val="auto"/>
              </w:rPr>
            </w:pPr>
            <w:r>
              <w:rPr>
                <w:rFonts w:ascii="Arial" w:cs="Arial" w:eastAsia="Arial" w:hAnsi="Arial"/>
                <w:sz w:val="18"/>
                <w:szCs w:val="18"/>
                <w:color w:val="auto"/>
              </w:rPr>
              <w:t>Three Months Ended September 30, 2012: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44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CC"/>
          </w:tcPr>
          <w:p>
            <w:pPr>
              <w:spacing w:after="0"/>
              <w:rPr>
                <w:sz w:val="18"/>
                <w:szCs w:val="18"/>
                <w:color w:val="auto"/>
              </w:rPr>
            </w:pPr>
          </w:p>
        </w:tc>
        <w:tc>
          <w:tcPr>
            <w:tcW w:w="3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1,564</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Amortization of MSRs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20,150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debt discount</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1,199</w:t>
            </w: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Amortization of debt issuance costs – SSTL</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tcBorders>
              <w:bottom w:val="single" w:sz="8" w:color="auto"/>
            </w:tcBorders>
            <w:shd w:val="clear" w:color="auto" w:fill="CCEECC"/>
          </w:tcPr>
          <w:p>
            <w:pPr>
              <w:spacing w:after="0" w:line="176" w:lineRule="exact"/>
              <w:rPr>
                <w:sz w:val="20"/>
                <w:szCs w:val="20"/>
                <w:color w:val="auto"/>
              </w:rPr>
            </w:pPr>
            <w:r>
              <w:rPr>
                <w:rFonts w:ascii="Arial" w:cs="Arial" w:eastAsia="Arial" w:hAnsi="Arial"/>
                <w:sz w:val="18"/>
                <w:szCs w:val="18"/>
                <w:color w:val="auto"/>
                <w:w w:val="89"/>
              </w:rPr>
              <w:t>Nine Months Ended September 30, 2013:</w:t>
            </w:r>
          </w:p>
        </w:tc>
        <w:tc>
          <w:tcPr>
            <w:tcW w:w="1360" w:type="dxa"/>
            <w:vAlign w:val="bottom"/>
            <w:tcBorders>
              <w:bottom w:val="single" w:sz="8" w:color="CCEECC"/>
            </w:tcBorders>
            <w:gridSpan w:val="2"/>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140" w:type="dxa"/>
            <w:vAlign w:val="bottom"/>
            <w:tcBorders>
              <w:bottom w:val="single" w:sz="8" w:color="CCEECC"/>
            </w:tcBorders>
            <w:shd w:val="clear" w:color="auto" w:fill="CCEECC"/>
          </w:tcPr>
          <w:p>
            <w:pPr>
              <w:spacing w:after="0"/>
              <w:rPr>
                <w:sz w:val="17"/>
                <w:szCs w:val="17"/>
                <w:color w:val="auto"/>
              </w:rPr>
            </w:pPr>
          </w:p>
        </w:tc>
        <w:tc>
          <w:tcPr>
            <w:tcW w:w="300" w:type="dxa"/>
            <w:vAlign w:val="bottom"/>
            <w:tcBorders>
              <w:bottom w:val="single" w:sz="8" w:color="CCEECC"/>
            </w:tcBorders>
            <w:shd w:val="clear" w:color="auto" w:fill="CCEECC"/>
          </w:tcPr>
          <w:p>
            <w:pPr>
              <w:spacing w:after="0"/>
              <w:rPr>
                <w:sz w:val="17"/>
                <w:szCs w:val="17"/>
                <w:color w:val="auto"/>
              </w:rPr>
            </w:pPr>
          </w:p>
        </w:tc>
        <w:tc>
          <w:tcPr>
            <w:tcW w:w="2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900" w:type="dxa"/>
            <w:vAlign w:val="bottom"/>
            <w:tcBorders>
              <w:bottom w:val="single" w:sz="8" w:color="CCEECC"/>
            </w:tcBorders>
            <w:shd w:val="clear" w:color="auto" w:fill="CCEECC"/>
          </w:tcPr>
          <w:p>
            <w:pPr>
              <w:spacing w:after="0"/>
              <w:rPr>
                <w:sz w:val="17"/>
                <w:szCs w:val="17"/>
                <w:color w:val="auto"/>
              </w:rPr>
            </w:pPr>
          </w:p>
        </w:tc>
        <w:tc>
          <w:tcPr>
            <w:tcW w:w="20" w:type="dxa"/>
            <w:vAlign w:val="bottom"/>
            <w:tcBorders>
              <w:bottom w:val="single" w:sz="8" w:color="CCEECC"/>
            </w:tcBorders>
            <w:shd w:val="clear" w:color="auto" w:fill="CCEECC"/>
          </w:tcPr>
          <w:p>
            <w:pPr>
              <w:spacing w:after="0"/>
              <w:rPr>
                <w:sz w:val="17"/>
                <w:szCs w:val="17"/>
                <w:color w:val="auto"/>
              </w:rPr>
            </w:pPr>
          </w:p>
        </w:tc>
        <w:tc>
          <w:tcPr>
            <w:tcW w:w="26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2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920" w:type="dxa"/>
            <w:vAlign w:val="bottom"/>
            <w:tcBorders>
              <w:bottom w:val="single" w:sz="8" w:color="CCEECC"/>
            </w:tcBorders>
            <w:shd w:val="clear" w:color="auto" w:fill="CCEECC"/>
          </w:tcPr>
          <w:p>
            <w:pPr>
              <w:spacing w:after="0"/>
              <w:rPr>
                <w:sz w:val="17"/>
                <w:szCs w:val="17"/>
                <w:color w:val="auto"/>
              </w:rPr>
            </w:pPr>
          </w:p>
        </w:tc>
        <w:tc>
          <w:tcPr>
            <w:tcW w:w="240" w:type="dxa"/>
            <w:vAlign w:val="bottom"/>
            <w:tcBorders>
              <w:bottom w:val="single" w:sz="8" w:color="CCEECC"/>
            </w:tcBorders>
            <w:shd w:val="clear" w:color="auto" w:fill="CCEECC"/>
          </w:tcPr>
          <w:p>
            <w:pPr>
              <w:spacing w:after="0"/>
              <w:rPr>
                <w:sz w:val="17"/>
                <w:szCs w:val="17"/>
                <w:color w:val="auto"/>
              </w:rPr>
            </w:pPr>
          </w:p>
        </w:tc>
        <w:tc>
          <w:tcPr>
            <w:tcW w:w="20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900" w:type="dxa"/>
            <w:vAlign w:val="bottom"/>
            <w:tcBorders>
              <w:bottom w:val="single" w:sz="8" w:color="CCEECC"/>
            </w:tcBorders>
            <w:shd w:val="clear" w:color="auto" w:fill="CCEECC"/>
          </w:tcPr>
          <w:p>
            <w:pPr>
              <w:spacing w:after="0"/>
              <w:rPr>
                <w:sz w:val="17"/>
                <w:szCs w:val="17"/>
                <w:color w:val="auto"/>
              </w:rPr>
            </w:pPr>
          </w:p>
        </w:tc>
        <w:tc>
          <w:tcPr>
            <w:tcW w:w="10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9,968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6,976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MSRs</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197,287</w:t>
            </w: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197,435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Amortization of debt discount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debt issuance costs – SSTL</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3,264</w:t>
            </w: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392"/>
        </w:trPr>
        <w:tc>
          <w:tcPr>
            <w:tcW w:w="4360" w:type="dxa"/>
            <w:vAlign w:val="bottom"/>
            <w:gridSpan w:val="4"/>
          </w:tcPr>
          <w:p>
            <w:pPr>
              <w:spacing w:after="0"/>
              <w:rPr>
                <w:sz w:val="20"/>
                <w:szCs w:val="20"/>
                <w:color w:val="auto"/>
              </w:rPr>
            </w:pPr>
            <w:r>
              <w:rPr>
                <w:rFonts w:ascii="Arial" w:cs="Arial" w:eastAsia="Arial" w:hAnsi="Arial"/>
                <w:sz w:val="18"/>
                <w:szCs w:val="18"/>
                <w:color w:val="auto"/>
              </w:rPr>
              <w:t>Nine Months Ended September 30, 2012: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44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1,069</w:t>
            </w: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3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2,827</w:t>
            </w:r>
          </w:p>
        </w:tc>
        <w:tc>
          <w:tcPr>
            <w:tcW w:w="320" w:type="dxa"/>
            <w:vAlign w:val="bottom"/>
            <w:gridSpan w:val="2"/>
            <w:shd w:val="clear" w:color="auto" w:fill="CCEECC"/>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Amortization of MSRs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53,561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CC"/>
          </w:tcPr>
          <w:p>
            <w:pPr>
              <w:spacing w:after="0"/>
              <w:rPr>
                <w:sz w:val="20"/>
                <w:szCs w:val="20"/>
                <w:color w:val="auto"/>
              </w:rPr>
            </w:pPr>
            <w:r>
              <w:rPr>
                <w:rFonts w:ascii="Arial" w:cs="Arial" w:eastAsia="Arial" w:hAnsi="Arial"/>
                <w:sz w:val="18"/>
                <w:szCs w:val="18"/>
                <w:color w:val="auto"/>
              </w:rPr>
              <w:t>Amortization of debt discount</w:t>
            </w: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2,679</w:t>
            </w: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Amortization of debt issuance costs – SSTL</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1" w:name="page42"/>
    <w:bookmarkEnd w:id="41"/>
    <w:p>
      <w:pPr>
        <w:spacing w:after="0"/>
        <w:tabs>
          <w:tab w:leader="none" w:pos="114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7"/>
          <w:szCs w:val="17"/>
          <w:b w:val="1"/>
          <w:bCs w:val="1"/>
          <w:color w:val="auto"/>
        </w:rPr>
        <w:t>RELATED PARTY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Executive Chairman of the Board of Directors</w:t>
      </w:r>
    </w:p>
    <w:p>
      <w:pPr>
        <w:spacing w:after="0" w:line="202"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Ocwen’s Executive Chairman of the Board of Directors, William C. Erbey, also serves as Chairman of the Board of Altisource, HLSS, Altisource Residential Corporation (Residential) and Altisource Asset Management Corporation (AAMC). As a result, he has obligations to Ocwen as well as to Altisource, HLSS, Residential and AAMC. As of September 30, 2013, Mr. Erbey owned or controlled approximately 13% of the common stock of Ocwen, approximately 23% of the common stock of Altisource, approximately 1% of the common stock of HLSS and approximately 9% of the common stock of AAMC. Mr. Erbey’s percentage interest in Residential declined to 4% as a result of an additional public offering by Residential that closed on October 1, 2013.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18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Under the Services Agreement, Altisource provides various business process outsourcing services, such as valuation services and property preservation and inspection services, among other things. Altisource also provides certain technology products and support services to Ocwen under the Technology Products Services Agreement and the Data Center and Disaster Recovery Services Agreement. In addition, under the Data Access and Services Agreement, Ocwen has agreed to make available to Altisource certain data from Ocwen’s servicing portfolio in exchange for a per asset fee. Under the Support Services Agreement, Ocwen and Altisource provide to each other services in such areas as human resources, vendor management, corporate services, accounting, tax matters, risk management, law and consumer psychology.</w:t>
      </w:r>
    </w:p>
    <w:p>
      <w:pPr>
        <w:spacing w:after="0" w:line="15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connection with the March 29, 2013 sale to Altisource of the diversified fee-based business acquired in connection with the Homeward Acquisition, Ocwen agreed to extend to August 31, 2025 the terms of the Services Agreement, the Technology Products Services Agreement, the Data Center and Disaster Recovery Services Agreement and the Intellectual Property Agreement with Altisource. In addition, Ocwen agreed to expand the terms of the Services Agreement to apply to the services as they relate to the Homeward servicing platform and further to establish Altisource as the exclusive provider of such services as they relate to the Homeward servicing platform. In addition, Ocwen agreed not to establish similar fee-based businesses (or establish relationships with other companies engaged in the line of similar fee-based businesses) that would directly or indirectly compete with diversified fee-based businesses as they relate to the Homeward servicing platform acquired by Altisource.</w:t>
      </w:r>
    </w:p>
    <w:p>
      <w:pPr>
        <w:spacing w:after="0" w:line="13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Certain services provided by Altisource under these contracts are charged to the borrower and/or loan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14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business is currently dependent on many of the services and products provided under these long-term contracts which include renewal provisions.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disclosed in Note 4 – Business Acquisitions, on April 12, 2013 in connection with the sale to Altisource of the diversified fee-based business acquired in connection with the ResCap Acquisition, we agreed to establish additional terms related to existing servicing arrangements between Altisource and Ocwen for mortgage servicing assets acquired from ResCap.</w:t>
      </w:r>
    </w:p>
    <w:p>
      <w:pPr>
        <w:spacing w:after="0" w:line="141"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The agreement provides that during the term of the existing servicing arrangements between Altisource and Ocwen (i) Altisource will be the exclusive provider, except as prohibited by applicable law, to Ocwen and all of its subsidiaries and affiliates, of certain services related to the ResCap business;</w:t>
      </w:r>
    </w:p>
    <w:p>
      <w:pPr>
        <w:ind w:right="200" w:firstLine="8"/>
        <w:spacing w:after="0" w:line="295" w:lineRule="auto"/>
        <w:tabs>
          <w:tab w:leader="none" w:pos="2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Ocwen will not establish similar fee-based businesses that would directly or indirectly compete with Altisource services as they relate to the ResCap business; and (iii) Ocwen and all of its subsidiaries and affiliates will market and promote the utilization of Altisource’s services to their various third-party relationships. Additionally, the parties agreed to use commercially reasonable best efforts to ensure that the loans associated with the ResCap business are boarded onto Altisource’s mortgage servicing platform. The cash consideration paid by Altisource to Ocwen under the Agreement totaled $128.8 million.</w:t>
      </w:r>
    </w:p>
    <w:p>
      <w:pPr>
        <w:spacing w:after="0" w:line="12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Also as disclosed in Note 4 – Business Acquisitions, on March 31, 2013 we acquired from Altisource its 49% equity interest in Correspondent One.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2" w:name="page43"/>
    <w:bookmarkEnd w:id="42"/>
    <w:p>
      <w:pPr>
        <w:ind w:right="40" w:firstLine="324"/>
        <w:spacing w:after="0" w:line="312" w:lineRule="auto"/>
        <w:rPr>
          <w:sz w:val="20"/>
          <w:szCs w:val="20"/>
          <w:color w:val="auto"/>
        </w:rPr>
      </w:pPr>
      <w:r>
        <w:rPr>
          <w:rFonts w:ascii="Arial" w:cs="Arial" w:eastAsia="Arial" w:hAnsi="Arial"/>
          <w:sz w:val="16"/>
          <w:szCs w:val="16"/>
          <w:color w:val="auto"/>
        </w:rPr>
        <w:t>On December 27, 2012, we entered into a senior unsecured term loan facility agreement with Altisource and borrowed $75.0 million. The proceeds of this loan were used to fund a portion of the Homeward Acquisition. Borrowings under the Unsecured Loan Agreement bear interest at a rate equal to the one-month Eurodollar Rate (1-Month LIBOR) plus 675 basis points with a Eurodollar Rate floor of 150 basis points. In February 2013, we repaid this loan in full.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HLSS</w:t>
      </w:r>
    </w:p>
    <w:p>
      <w:pPr>
        <w:spacing w:after="0" w:line="20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Ocwen and HLSS Management entered into an agreement to provide to each other certain professional services including valuation analysis of potential MSR acquisitions, treasury management services and other similar services, legal, licensing and regulatory compliance support services, risk management services and other similar services.</w:t>
      </w:r>
    </w:p>
    <w:p>
      <w:pPr>
        <w:spacing w:after="0" w:line="14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As disclosed in Note 3 – Transfers of Financial Assets, Ocwen has sold to HLSS certain Rights to MSRs and related servicing advances. OLS also entered into a subservicing agreement with HLSS on February 10, 2012, which was amended on October 1, 2012 and again on September 30, 2013, under which it will subservice the MSRs after legal ownership of the MSRs has been transferred to HLSS.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Residential</w:t>
      </w:r>
    </w:p>
    <w:p>
      <w:pPr>
        <w:spacing w:after="0" w:line="20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December 21, 2012, OMS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w:t>
      </w:r>
    </w:p>
    <w:p>
      <w:pPr>
        <w:spacing w:after="0" w:line="141"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On February 14, 2013, OLS sold a pool of non-performing residential mortgage loans to Altisource Residential, L.P. pursuant to a Master Mortgage Loan Sale Agreement. The aggregate purchase price for the pool of loans was $64.4 million and the gain recognized by Ocwen on the sale was not significant.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AAMC</w:t>
      </w:r>
    </w:p>
    <w:p>
      <w:pPr>
        <w:spacing w:after="0" w:line="202"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On December 11, 2012, Mr. Erbey received 52,589 shares of AAMC restricted stock pursuant to the Altisource Asset Management Corporation 2012 Special Equity Incentive Plan and a Special Restricted Stock Award Agreement in his capacity as Chairman of the Board of AAMC and Altisource.</w:t>
      </w:r>
    </w:p>
    <w:p>
      <w:pPr>
        <w:spacing w:after="0" w:line="8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December 11, 2012, Ronald M. Faris, our President and Chief Executive Officer and a director of Ocwen, received 29,216 shares of AAMC restricted stock pursuant to the Altisource Asset Management Corporation 2012 Special Equity Incentive Plan and a Special Restricted Stock Award Agreement, in connection with the services he provides AAMC through his employment with Ocwen.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Former Owner of Homeward</w:t>
      </w:r>
    </w:p>
    <w:p>
      <w:pPr>
        <w:spacing w:after="0" w:line="20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As consideration for the Homeward Acquisition, Ocwen paid an aggregate purchase price of $766.0 million, of which $604.0 million was paid in cash and $162.0 million was paid in 162,000 Preferred Shares issued to certain private equity firms ultimately controlled by WL Ross &amp; Co. LLC (the Funds), that pay a dividend of 3.75% per annum on a quarterly basis. Each Preferred Share, together with any accrued and unpaid dividends, may be converted at the option of the holder into shares of Ocwen common stock at a conversion price equal to $31.79. Mr. Ross is the Chairman and Chief Executive Officer of WL Ross &amp; Co. LLC and Invesco Private Capital, Inc. and the managing member of El Vedado, LLC, each of which directly or indirectly controls the Funds. Mr. Ross became a director of Ocwen in March 2013. On September 23, 2013, the Funds exercised their right to convert 100,000 of the Preferred Shares into 3,145,640 of common stock. On the same date, Ocwen repurchased the shares of common stock from the Funds for $157.9 million.</w:t>
      </w:r>
    </w:p>
    <w:p>
      <w:pPr>
        <w:spacing w:after="0" w:line="12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summarizes our revenues and expenses related to the various service agreements with Altisource and its subsidiaries and HLSS for the periods September 30, and amounts receivable from or payable to at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Three Months</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60" w:type="dxa"/>
            <w:vAlign w:val="bottom"/>
            <w:tcBorders>
              <w:bottom w:val="single" w:sz="8" w:color="CCEECC"/>
            </w:tcBorders>
          </w:tcPr>
          <w:p>
            <w:pPr>
              <w:spacing w:after="0"/>
              <w:rPr>
                <w:sz w:val="19"/>
                <w:szCs w:val="19"/>
                <w:color w:val="auto"/>
              </w:rPr>
            </w:pPr>
          </w:p>
        </w:tc>
        <w:tc>
          <w:tcPr>
            <w:tcW w:w="20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EECC"/>
            </w:tcBorders>
          </w:tcPr>
          <w:p>
            <w:pPr>
              <w:spacing w:after="0"/>
              <w:rPr>
                <w:sz w:val="19"/>
                <w:szCs w:val="19"/>
                <w:color w:val="auto"/>
              </w:rPr>
            </w:pPr>
          </w:p>
        </w:tc>
        <w:tc>
          <w:tcPr>
            <w:tcW w:w="24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EECC"/>
            </w:tcBorders>
          </w:tcPr>
          <w:p>
            <w:pPr>
              <w:spacing w:after="0"/>
              <w:rPr>
                <w:sz w:val="19"/>
                <w:szCs w:val="19"/>
                <w:color w:val="auto"/>
              </w:rPr>
            </w:pPr>
          </w:p>
        </w:tc>
      </w:tr>
      <w:tr>
        <w:trPr>
          <w:trHeight w:val="210"/>
        </w:trPr>
        <w:tc>
          <w:tcPr>
            <w:tcW w:w="37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Revenues and Expenses:</w:t>
            </w:r>
          </w:p>
        </w:tc>
        <w:tc>
          <w:tcPr>
            <w:tcW w:w="20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3760" w:type="dxa"/>
            <w:vAlign w:val="bottom"/>
          </w:tcPr>
          <w:p>
            <w:pPr>
              <w:ind w:left="160"/>
              <w:spacing w:after="0"/>
              <w:rPr>
                <w:sz w:val="20"/>
                <w:szCs w:val="20"/>
                <w:color w:val="auto"/>
              </w:rPr>
            </w:pPr>
            <w:r>
              <w:rPr>
                <w:rFonts w:ascii="Arial" w:cs="Arial" w:eastAsia="Arial" w:hAnsi="Arial"/>
                <w:sz w:val="18"/>
                <w:szCs w:val="18"/>
                <w:b w:val="1"/>
                <w:bCs w:val="1"/>
                <w:color w:val="auto"/>
              </w:rPr>
              <w:t>Altisource:</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Revenues</w:t>
            </w:r>
          </w:p>
        </w:tc>
        <w:tc>
          <w:tcPr>
            <w:tcW w:w="23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5,185</w:t>
            </w:r>
          </w:p>
        </w:tc>
        <w:tc>
          <w:tcPr>
            <w:tcW w:w="240" w:type="dxa"/>
            <w:vAlign w:val="bottom"/>
            <w:shd w:val="clear" w:color="auto" w:fill="CCEECC"/>
          </w:tcPr>
          <w:p>
            <w:pPr>
              <w:spacing w:after="0"/>
              <w:rPr>
                <w:sz w:val="18"/>
                <w:szCs w:val="18"/>
                <w:color w:val="auto"/>
              </w:rPr>
            </w:pPr>
          </w:p>
        </w:tc>
        <w:tc>
          <w:tcPr>
            <w:tcW w:w="5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4,156</w:t>
            </w:r>
          </w:p>
        </w:tc>
        <w:tc>
          <w:tcPr>
            <w:tcW w:w="4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15,390</w:t>
            </w:r>
          </w:p>
        </w:tc>
        <w:tc>
          <w:tcPr>
            <w:tcW w:w="5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12,229</w:t>
            </w:r>
          </w:p>
        </w:tc>
      </w:tr>
      <w:tr>
        <w:trPr>
          <w:trHeight w:val="216"/>
        </w:trPr>
        <w:tc>
          <w:tcPr>
            <w:tcW w:w="3760" w:type="dxa"/>
            <w:vAlign w:val="bottom"/>
          </w:tcPr>
          <w:p>
            <w:pPr>
              <w:ind w:left="320"/>
              <w:spacing w:after="0"/>
              <w:rPr>
                <w:sz w:val="20"/>
                <w:szCs w:val="20"/>
                <w:color w:val="auto"/>
              </w:rPr>
            </w:pPr>
            <w:r>
              <w:rPr>
                <w:rFonts w:ascii="Arial" w:cs="Arial" w:eastAsia="Arial" w:hAnsi="Arial"/>
                <w:sz w:val="18"/>
                <w:szCs w:val="18"/>
                <w:color w:val="auto"/>
              </w:rPr>
              <w:t>Expenses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13,153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36,650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20,537</w:t>
            </w:r>
          </w:p>
        </w:tc>
      </w:tr>
      <w:tr>
        <w:trPr>
          <w:trHeight w:val="216"/>
        </w:trPr>
        <w:tc>
          <w:tcPr>
            <w:tcW w:w="3760" w:type="dxa"/>
            <w:vAlign w:val="bottom"/>
            <w:shd w:val="clear" w:color="auto" w:fill="CCEECC"/>
          </w:tcPr>
          <w:p>
            <w:pPr>
              <w:ind w:left="160"/>
              <w:spacing w:after="0"/>
              <w:rPr>
                <w:sz w:val="20"/>
                <w:szCs w:val="20"/>
                <w:color w:val="auto"/>
              </w:rPr>
            </w:pPr>
            <w:r>
              <w:rPr>
                <w:rFonts w:ascii="Arial" w:cs="Arial" w:eastAsia="Arial" w:hAnsi="Arial"/>
                <w:sz w:val="18"/>
                <w:szCs w:val="18"/>
                <w:b w:val="1"/>
                <w:bCs w:val="1"/>
                <w:color w:val="auto"/>
              </w:rPr>
              <w:t>HLSS:</w:t>
            </w:r>
          </w:p>
        </w:tc>
        <w:tc>
          <w:tcPr>
            <w:tcW w:w="20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r>
      <w:tr>
        <w:trPr>
          <w:trHeight w:val="216"/>
        </w:trPr>
        <w:tc>
          <w:tcPr>
            <w:tcW w:w="3760" w:type="dxa"/>
            <w:vAlign w:val="bottom"/>
          </w:tcPr>
          <w:p>
            <w:pPr>
              <w:ind w:left="320"/>
              <w:spacing w:after="0"/>
              <w:rPr>
                <w:sz w:val="20"/>
                <w:szCs w:val="20"/>
                <w:color w:val="auto"/>
              </w:rPr>
            </w:pPr>
            <w:r>
              <w:rPr>
                <w:rFonts w:ascii="Arial" w:cs="Arial" w:eastAsia="Arial" w:hAnsi="Arial"/>
                <w:sz w:val="18"/>
                <w:szCs w:val="18"/>
                <w:color w:val="auto"/>
              </w:rPr>
              <w:t>Revenues</w:t>
            </w: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37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Expenses</w:t>
            </w:r>
          </w:p>
        </w:tc>
        <w:tc>
          <w:tcPr>
            <w:tcW w:w="20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386</w:t>
            </w:r>
          </w:p>
        </w:tc>
        <w:tc>
          <w:tcPr>
            <w:tcW w:w="2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780</w:t>
            </w:r>
          </w:p>
        </w:tc>
        <w:tc>
          <w:tcPr>
            <w:tcW w:w="2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1,615</w:t>
            </w:r>
          </w:p>
        </w:tc>
        <w:tc>
          <w:tcPr>
            <w:tcW w:w="2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1,773</w:t>
            </w:r>
          </w:p>
        </w:tc>
      </w:tr>
      <w:tr>
        <w:trPr>
          <w:trHeight w:val="453"/>
        </w:trPr>
        <w:tc>
          <w:tcPr>
            <w:tcW w:w="37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496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5320" w:type="dxa"/>
            <w:vAlign w:val="bottom"/>
            <w:tcBorders>
              <w:bottom w:val="single" w:sz="8" w:color="CCEECC"/>
            </w:tcBorders>
          </w:tcPr>
          <w:p>
            <w:pPr>
              <w:spacing w:after="0"/>
              <w:rPr>
                <w:sz w:val="20"/>
                <w:szCs w:val="20"/>
                <w:color w:val="auto"/>
              </w:rPr>
            </w:pPr>
          </w:p>
        </w:tc>
        <w:tc>
          <w:tcPr>
            <w:tcW w:w="342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r>
      <w:tr>
        <w:trPr>
          <w:trHeight w:val="210"/>
        </w:trPr>
        <w:tc>
          <w:tcPr>
            <w:tcW w:w="53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Net Receivable (payable)</w:t>
            </w:r>
          </w:p>
        </w:tc>
        <w:tc>
          <w:tcPr>
            <w:tcW w:w="34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4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Altisource</w:t>
            </w:r>
          </w:p>
        </w:tc>
        <w:tc>
          <w:tcPr>
            <w:tcW w:w="36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(3,489)</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(5,971)</w:t>
            </w:r>
          </w:p>
        </w:tc>
      </w:tr>
      <w:tr>
        <w:trPr>
          <w:trHeight w:val="230"/>
        </w:trPr>
        <w:tc>
          <w:tcPr>
            <w:tcW w:w="5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HLSS</w:t>
            </w:r>
          </w:p>
        </w:tc>
        <w:tc>
          <w:tcPr>
            <w:tcW w:w="342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22,337</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94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(25,524)</w:t>
            </w:r>
          </w:p>
        </w:tc>
      </w:tr>
      <w:tr>
        <w:trPr>
          <w:trHeight w:val="223"/>
        </w:trPr>
        <w:tc>
          <w:tcPr>
            <w:tcW w:w="53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18,848</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(31,495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24</w:t>
      </w:r>
      <w:r>
        <w:rPr>
          <w:sz w:val="20"/>
          <w:szCs w:val="20"/>
          <w:color w:val="auto"/>
        </w:rPr>
        <w:tab/>
      </w:r>
      <w:r>
        <w:rPr>
          <w:rFonts w:ascii="Arial" w:cs="Arial" w:eastAsia="Arial" w:hAnsi="Arial"/>
          <w:sz w:val="18"/>
          <w:szCs w:val="18"/>
          <w:b w:val="1"/>
          <w:bCs w:val="1"/>
          <w:color w:val="auto"/>
        </w:rPr>
        <w:t>REGULATORY REQUIREMENTS</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CFPB, the Federal Trade Commission (FTC), the SEC and various state agencies that license, audit and conduct examinations of our mortgage originations, servicing and collection activities in a number of states. The CFPB asserts supervisory authority (including the authority to conduct examinations) over Ocwen and its affiliates, including Homeward. From time to time, we also receive requests from federal, state and local agencies for records, documents and information relating to our policies, procedures and practices regarding our loan origination, loan servicing and debt collection business activities. We incur significant ongoing costs to comply with new and existing laws and governmental regulation of our business.</w:t>
      </w:r>
    </w:p>
    <w:p>
      <w:pPr>
        <w:spacing w:after="0" w:line="16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Homeowners Protection Act, the Federal Trade Commission Act and, more recently, the Dodd-Frank Wall Street Reform and Consumer Protection Act (Dodd-Frank Act), and state mortgage origination, mortgage servicing and foreclosure laws. These laws apply to loan origination, loan servicing,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137"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There are a number of foreign laws and regulations that are applicable to our operations in India, the Philippines and Uruguay, including acts that govern licensing, employment, safety, taxes, insurance, and the laws and regulations that govern the creation, continuation and the winding up of companies as well as the relationships between the shareholders, the company, the public and the government in both countries.</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25</w:t>
      </w:r>
      <w:r>
        <w:rPr>
          <w:sz w:val="20"/>
          <w:szCs w:val="20"/>
          <w:color w:val="auto"/>
        </w:rPr>
        <w:tab/>
      </w: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are subject to various pending legal proceedings, including those subject to loss sharing and indemnification provisions of our various acquisitions. In our opinion, the resolution of those proceedings will not have a material effect on our financial condition, results of operations or cash flows.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Contingencies</w:t>
      </w:r>
    </w:p>
    <w:p>
      <w:pPr>
        <w:spacing w:after="0" w:line="18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subject to a number of pending federal and state regulatory investigations, examinations, inquiries, requests for information and/or other actions. In July 2010, OLS received two subpoenas from the Federal Housing Finance Agency as conservator for Freddie Mac and Fannie Mae in connection with ten private label mortgage securitization transactions where Freddie Mac and Fannie Mae have invested. The transactions include mortgage loans serviced but not originated by OLS or its affiliates. On November 24, 2010, OLS received a Civil Investigative Demand (CID) from the FTC requesting documents and information regarding various servicing activities. On June 6, 2012, the FTC notified OLS that it had referred this CID to the CFPB. On November 7, 2011, OLS received a CID from the Attorney General’s Office of the Commonwealth of Massachusetts requesting documents and information regarding certain foreclosures executed in Massachusetts. On January 18, 2012, OLS received a subpoena from the New York Department of Financial Services (NY DFS) requesting documents regarding OLS’ policies, procedures and practices regarding lender-placed or “force-placed” insurance which is required to be provided for borrowers who allow their hazard insurance policies to lapse. Separately, on December 5, 2012, we entered into a Consent Order with the NY DFS in which we agreed to the appointment of an independent Monitor to oversee our compliance with the Agreement on Servicing Practices. NY DFS selected the firms that will act as the Monitor, and their formal engagement commenced effective July 1, 2013. The engagement will last until July 1, 2015, and we intend to continue to cooperate with the NY DFS and the Monitor.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ind w:right="20" w:firstLine="324"/>
        <w:spacing w:after="0" w:line="268" w:lineRule="auto"/>
        <w:rPr>
          <w:sz w:val="20"/>
          <w:szCs w:val="20"/>
          <w:color w:val="auto"/>
        </w:rPr>
      </w:pPr>
      <w:r>
        <w:rPr>
          <w:rFonts w:ascii="Arial" w:cs="Arial" w:eastAsia="Arial" w:hAnsi="Arial"/>
          <w:sz w:val="17"/>
          <w:szCs w:val="17"/>
          <w:color w:val="auto"/>
        </w:rPr>
        <w:t>As previously reported, on August 13, 2012, OLS received a request from the MMC to provide information and data relating to our loan servicing portfolio, including loan count and volume data, loan modifications, fees assessed, delinquencies, short sales, loan-to-value data and rating agency reports. The MMC, along with the CFPB, certain state Attorneys General and other agencies who were involved in the National Mortgage Settlement executed on February 9, 2012 by the five large banks (collectively, the Regulators), also requested that we indicate our position on behalf of OLS and Litton on the servicing standards and consumer relief provisions contained in that Settlement. In response, we indicated our willingness to adopt the servicing standards set out in the National Mortgage Settlement with certain caveats and to undertake various consumer assistance commitments in the form of loan modifications and other foreclosure avoidance alternatives. On February 26, 2013, the Regulators requested that, in addition to committing to the servicing standards and loan modifications, we also consider a proposal to contribute to a consumer relief fund that would provide cash payments to certain borrowers foreclosed upon by OLS and various entities we have acquired. In subsequent discussions, it was clarified that the Regulators sought our agreement on servicing standards, loan modifications and the proposed consumer relief fund to settle and release various potential legal claims against Ocwen, Litton and Homeward arising out of MMC examinations and potential follow on federal and/or state enforcement actions (the Proposed Regulators’ Settlement). In light of the substantial progress the parties have made toward an agreement in principle regarding the Proposed Regulators’ Settlement, we believe such a settlement is probable. Consummation of a final settlement would be subject to completion of definitive settlement documents acceptable to all parties, the participation of all relevant regulatory agencies, and execution of certain contractual undertakings by the sellers of Litton and Homeward. In the event a final settlement is not concluded, we will defend any ensuing legal proceedings vigorously. As disclosed in Note 16 – Other Liabilities, we have established a liability of $66.4 million for the Proposed Regulators’ Settlement.</w:t>
      </w:r>
    </w:p>
    <w:p>
      <w:pPr>
        <w:spacing w:after="0" w:line="14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As part of the ResCap Acquisition, OLS is required to service the ResCap loans in accordance with the requirements of the National Mortgage Settlement, although OLS is not responsible for any payment, penalty or financial obligation, including but not limited to providing Ally’s share of financial relief to borrowers under that settlement. The Office of Mortgage Settlement Oversight (OMSO) which is responsible for monitoring compliance with obligations under the National Mortgage Settlement, issued a report on February 14, 2013 confirming that Ally/ResCap have completed its minimum consumer relief obligations.</w:t>
      </w:r>
    </w:p>
    <w:p>
      <w:pPr>
        <w:spacing w:after="0" w:line="16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One or more of the foregoing regulatory actions or similar actions in the future against Ocwen, OLS, Litton or Homeward could cause us to incur fines, penalties, settlement costs, damages, legal fees or other charges in material amounts, or undertake remedial actions pursuant to administrative orders or court-issued injunctions, any of which could adversely affect our financial results or incur additional significant costs related to our loan servicing operations.</w:t>
      </w:r>
    </w:p>
    <w:p>
      <w:pPr>
        <w:spacing w:after="0" w:line="10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to these matters, Ocwen receives periodic inquires, both formal and informal in nature, from various state and federal agencies as part of those agencies’ oversight of the mortgage servicing sector. Such ongoing inquiries, including those into servicer foreclosure processes, could result in additional actions by state or federal governmental bodies, regulators or the courts that could result in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two of our match funded advance facilities have provisions that limit new borrowings if average foreclosure timelines extend beyond a certain time period, either of which, if such provisions applied, could adversely affect liquidity by reducing our average effective advance rate. Increases in the amount of advances and the length of time to recover advances, fines or increases in operating expenses, and decreases in the advance rate and availability of financing for advances could result in increased borrowings, reduced cash and higher interest expense which could negatively impact our liquidity and profitability.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20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several recent court actions, mortgage loan sellers against whom repurchase claims have been asserted based on alleged breaches of representations and warranties are defending themselves on various grounds including the expiration of statutes of limitation, lack of notice and opportunity to cure and vitiation of the obligation to repurchase as a result of foreclosure or charge off of the loan. Ocwen is not a party to any of the actions, but we are the servicer for certain securitizations involved in such actions. In connection with these actions, Ocwen has entered into tolling agreements with respect to its role as servicer for a very small number of securitizations and may enter into additional tolling agreements in the future. Should Ocwen be made a party to these or similar actions, we may need to defend allegations that we failed to service loans in accordance with applicable agreements and that such failures prejudiced the rights of repurchase claimants against loan sellers. We believe that any such allegations would be without merit and, if necessary, would vigorously defend against them. If, however, we were required to compensate claimants for losses related to seller breaches of representations and warranties in respect of loans we service, then our business, financial condition and results of operations could be adversely affected.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ind w:right="20" w:firstLine="324"/>
        <w:spacing w:after="0" w:line="287" w:lineRule="auto"/>
        <w:rPr>
          <w:sz w:val="20"/>
          <w:szCs w:val="20"/>
          <w:color w:val="auto"/>
        </w:rPr>
      </w:pPr>
      <w:r>
        <w:rPr>
          <w:rFonts w:ascii="Arial" w:cs="Arial" w:eastAsia="Arial" w:hAnsi="Arial"/>
          <w:sz w:val="16"/>
          <w:szCs w:val="16"/>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recognize the fair value of representation and warranty obligations in connection with originations upon sale or securitization of the loan or upon completion of an acquisition, to the extent we assume these obligations. Obligations recognized in connection with our loan sales and securitization activities are recognized in Gain on loans held for sale, net on our Consolidated Statements of Operations. The fair value of liabilities assumed as part of an MSR or servicing business acquisition are recognized on the closing date. Thereafter, the estimation of the liability considers probable future obligations based on industry data of loans of similar type segregated by year of origination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At September 30, 2013, we had provided or assumed representation and warranty obligations in connection with $89.4 billion of UPB covering both forward and reverse mortgage loans. At September 30, 2013, we had outstanding representation and warranty repurchase demands of $113.0 million UPB (534 loans). We review each demand and monitor through resolution, primarily through rescission, loan repurchase or make-whole payment.</w:t>
      </w:r>
    </w:p>
    <w:p>
      <w:pPr>
        <w:spacing w:after="0" w:line="132"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The following table presents the changes in our liability for indemnification obligations for the nine months ended September 30, 2013, including representation and warranty obligations and compensatory fees for foreclosures that may ultimately exceed investor timelines: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00" w:type="dxa"/>
            <w:vAlign w:val="bottom"/>
            <w:shd w:val="clear" w:color="auto" w:fill="CCEECC"/>
          </w:tcPr>
          <w:p>
            <w:pPr>
              <w:spacing w:after="0"/>
              <w:rPr>
                <w:sz w:val="20"/>
                <w:szCs w:val="20"/>
                <w:color w:val="auto"/>
              </w:rPr>
            </w:pPr>
            <w:r>
              <w:rPr>
                <w:rFonts w:ascii="Arial" w:cs="Arial" w:eastAsia="Arial" w:hAnsi="Arial"/>
                <w:sz w:val="18"/>
                <w:szCs w:val="18"/>
                <w:color w:val="auto"/>
              </w:rPr>
              <w:t>Balance at December 31, 2012</w:t>
            </w:r>
          </w:p>
        </w:tc>
        <w:tc>
          <w:tcPr>
            <w:tcW w:w="260" w:type="dxa"/>
            <w:vAlign w:val="bottom"/>
            <w:gridSpan w:val="2"/>
            <w:shd w:val="clear" w:color="auto" w:fill="CCEECC"/>
          </w:tcPr>
          <w:p>
            <w:pPr>
              <w:jc w:val="right"/>
              <w:ind w:right="13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38,140</w:t>
            </w:r>
          </w:p>
        </w:tc>
        <w:tc>
          <w:tcPr>
            <w:tcW w:w="80" w:type="dxa"/>
            <w:vAlign w:val="bottom"/>
            <w:shd w:val="clear" w:color="auto" w:fill="CCEECC"/>
          </w:tcPr>
          <w:p>
            <w:pPr>
              <w:spacing w:after="0"/>
              <w:rPr>
                <w:sz w:val="18"/>
                <w:szCs w:val="18"/>
                <w:color w:val="auto"/>
              </w:rPr>
            </w:pPr>
          </w:p>
        </w:tc>
      </w:tr>
      <w:tr>
        <w:trPr>
          <w:trHeight w:val="216"/>
        </w:trPr>
        <w:tc>
          <w:tcPr>
            <w:tcW w:w="10300" w:type="dxa"/>
            <w:vAlign w:val="bottom"/>
          </w:tcPr>
          <w:p>
            <w:pPr>
              <w:ind w:left="160"/>
              <w:spacing w:after="0"/>
              <w:rPr>
                <w:sz w:val="20"/>
                <w:szCs w:val="20"/>
                <w:color w:val="auto"/>
              </w:rPr>
            </w:pPr>
            <w:r>
              <w:rPr>
                <w:rFonts w:ascii="Arial" w:cs="Arial" w:eastAsia="Arial" w:hAnsi="Arial"/>
                <w:sz w:val="18"/>
                <w:szCs w:val="18"/>
                <w:color w:val="auto"/>
              </w:rPr>
              <w:t>Provision for representation and warranty obligations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18,116</w:t>
            </w:r>
          </w:p>
        </w:tc>
        <w:tc>
          <w:tcPr>
            <w:tcW w:w="80" w:type="dxa"/>
            <w:vAlign w:val="bottom"/>
          </w:tcPr>
          <w:p>
            <w:pPr>
              <w:spacing w:after="0"/>
              <w:rPr>
                <w:sz w:val="18"/>
                <w:szCs w:val="18"/>
                <w:color w:val="auto"/>
              </w:rPr>
            </w:pPr>
          </w:p>
        </w:tc>
      </w:tr>
      <w:tr>
        <w:trPr>
          <w:trHeight w:val="216"/>
        </w:trPr>
        <w:tc>
          <w:tcPr>
            <w:tcW w:w="103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New production reserves</w:t>
            </w:r>
          </w:p>
        </w:tc>
        <w:tc>
          <w:tcPr>
            <w:tcW w:w="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7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1,055</w:t>
            </w:r>
          </w:p>
        </w:tc>
        <w:tc>
          <w:tcPr>
            <w:tcW w:w="80" w:type="dxa"/>
            <w:vAlign w:val="bottom"/>
            <w:shd w:val="clear" w:color="auto" w:fill="CCEECC"/>
          </w:tcPr>
          <w:p>
            <w:pPr>
              <w:spacing w:after="0"/>
              <w:rPr>
                <w:sz w:val="18"/>
                <w:szCs w:val="18"/>
                <w:color w:val="auto"/>
              </w:rPr>
            </w:pPr>
          </w:p>
        </w:tc>
      </w:tr>
      <w:tr>
        <w:trPr>
          <w:trHeight w:val="216"/>
        </w:trPr>
        <w:tc>
          <w:tcPr>
            <w:tcW w:w="10300" w:type="dxa"/>
            <w:vAlign w:val="bottom"/>
          </w:tcPr>
          <w:p>
            <w:pPr>
              <w:ind w:left="160"/>
              <w:spacing w:after="0"/>
              <w:rPr>
                <w:sz w:val="20"/>
                <w:szCs w:val="20"/>
                <w:color w:val="auto"/>
              </w:rPr>
            </w:pPr>
            <w:r>
              <w:rPr>
                <w:rFonts w:ascii="Arial" w:cs="Arial" w:eastAsia="Arial" w:hAnsi="Arial"/>
                <w:sz w:val="18"/>
                <w:szCs w:val="18"/>
                <w:color w:val="auto"/>
              </w:rPr>
              <w:t>Obligations assumed in connection with MSR and servicing business acquisitions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189,742</w:t>
            </w:r>
          </w:p>
        </w:tc>
        <w:tc>
          <w:tcPr>
            <w:tcW w:w="80" w:type="dxa"/>
            <w:vAlign w:val="bottom"/>
          </w:tcPr>
          <w:p>
            <w:pPr>
              <w:spacing w:after="0"/>
              <w:rPr>
                <w:sz w:val="18"/>
                <w:szCs w:val="18"/>
                <w:color w:val="auto"/>
              </w:rPr>
            </w:pPr>
          </w:p>
        </w:tc>
      </w:tr>
      <w:tr>
        <w:trPr>
          <w:trHeight w:val="230"/>
        </w:trPr>
        <w:tc>
          <w:tcPr>
            <w:tcW w:w="103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Charge-offs (1)</w:t>
            </w:r>
          </w:p>
        </w:tc>
        <w:tc>
          <w:tcPr>
            <w:tcW w:w="20" w:type="dxa"/>
            <w:vAlign w:val="bottom"/>
            <w:shd w:val="clear" w:color="auto" w:fill="CCEECC"/>
          </w:tcPr>
          <w:p>
            <w:pPr>
              <w:spacing w:after="0"/>
              <w:rPr>
                <w:sz w:val="19"/>
                <w:szCs w:val="19"/>
                <w:color w:val="auto"/>
              </w:rPr>
            </w:pPr>
          </w:p>
        </w:tc>
        <w:tc>
          <w:tcPr>
            <w:tcW w:w="240" w:type="dxa"/>
            <w:vAlign w:val="bottom"/>
            <w:shd w:val="clear" w:color="auto" w:fill="CCEECC"/>
          </w:tcPr>
          <w:p>
            <w:pPr>
              <w:spacing w:after="0"/>
              <w:rPr>
                <w:sz w:val="19"/>
                <w:szCs w:val="19"/>
                <w:color w:val="auto"/>
              </w:rPr>
            </w:pPr>
          </w:p>
        </w:tc>
        <w:tc>
          <w:tcPr>
            <w:tcW w:w="86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(40,979)</w:t>
            </w:r>
          </w:p>
        </w:tc>
      </w:tr>
      <w:tr>
        <w:trPr>
          <w:trHeight w:val="223"/>
        </w:trPr>
        <w:tc>
          <w:tcPr>
            <w:tcW w:w="10300" w:type="dxa"/>
            <w:vAlign w:val="bottom"/>
          </w:tcPr>
          <w:p>
            <w:pPr>
              <w:spacing w:after="0"/>
              <w:rPr>
                <w:sz w:val="20"/>
                <w:szCs w:val="20"/>
                <w:color w:val="auto"/>
              </w:rPr>
            </w:pPr>
            <w:r>
              <w:rPr>
                <w:rFonts w:ascii="Arial" w:cs="Arial" w:eastAsia="Arial" w:hAnsi="Arial"/>
                <w:sz w:val="18"/>
                <w:szCs w:val="18"/>
                <w:color w:val="auto"/>
              </w:rPr>
              <w:t>Balance at September 30, 2013</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6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principal and interest losses realized in connection with repurchased loans, make-whole, indemnification and fee payments and settlements net of recoveries, if any.</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it is reasonably possible that losses beyond amounts currently recorded for potential representation and warranty obligations and related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September 30, 2013</w:t>
      </w:r>
      <w:r>
        <w:rPr>
          <w:rFonts w:ascii="Arial" w:cs="Arial" w:eastAsia="Arial" w:hAnsi="Arial"/>
          <w:sz w:val="16"/>
          <w:szCs w:val="16"/>
          <w:color w:val="auto"/>
        </w:rPr>
        <w:t>.</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26</w:t>
      </w:r>
      <w:r>
        <w:rPr>
          <w:sz w:val="20"/>
          <w:szCs w:val="20"/>
          <w:color w:val="auto"/>
        </w:rPr>
        <w:tab/>
      </w:r>
      <w:r>
        <w:rPr>
          <w:rFonts w:ascii="Arial" w:cs="Arial" w:eastAsia="Arial" w:hAnsi="Arial"/>
          <w:sz w:val="17"/>
          <w:szCs w:val="17"/>
          <w:b w:val="1"/>
          <w:bCs w:val="1"/>
          <w:color w:val="auto"/>
        </w:rPr>
        <w:t>SUBSEQUENT EVENTS</w:t>
      </w:r>
    </w:p>
    <w:p>
      <w:pPr>
        <w:spacing w:after="0" w:line="18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October 25, 2013, OLS completed a sale to HLSS Holdings, LLC and Home Loan Servicing Solutions, Ltd. of Rights to MSRs and related servicing advances for a servicing portfolio of subprime and Alt-A residential mortgage loans.</w:t>
      </w:r>
    </w:p>
    <w:p>
      <w:pPr>
        <w:spacing w:after="0" w:line="14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This transaction resulted in our sale of Rights to MSRs with approximately $10.0 billion in UPB of mortgage loans as of October 24, 2013. The purchase price for the transaction was approximately $388 million, including $360 million for servicing advances and $28 million for the associated Rights to MSRs. Within 90 days of the closing, the purchase price or other terms may be adjusted to reflect any adjustments in the calculation of the UPB of the underlying mortgage loans or servicing advance balances sold in the transaction.</w:t>
      </w:r>
    </w:p>
    <w:p>
      <w:pPr>
        <w:spacing w:after="0" w:line="14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sold these mortgage servicing assets to HLSS pursuant to an amended Sale Supplement to the Master Servicing Rights Purchase Agreement between OLS, HLSS Holdings, LLC and Home Loan Servicing Solutions, Ltd. In addition to our sale of the right, title and interest to the Rights to MSRs and the associated servicing advances, HLSS Holdings, LLC also committed to purchase servicing advances that arise under the related pooling and servicing agreements after the closing date. In return, OLS continues to subservice the related mortgage loans, receives a monthly base fee equal to 12% of the servicing fees collected in any given month and retains any ancillary income payable to the servicer (excluding investment income earned on any custodial accounts) pursuant to the related pooling and servicing agreements. OLS also earns a monthly performance based incentive fee based on the servicing fees collected. If the targeted advance ratio in any month exceeds the predetermined level for that month set forth in the Sale Supplement and the Subservicing Supplement for the transaction, any performance based incentive fee payable for such month will be reduced by an amount equal to 3% per annum of the amount of any such excess servicing advances.</w:t>
      </w:r>
    </w:p>
    <w:p>
      <w:pPr>
        <w:spacing w:after="0" w:line="14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disclosed in Note 1, we entered into a Purchase Agreement with OneWest Bank, FSB that is closing in stages. As part of the OneWest MSR Transaction, in October 2013, we closed the purchase of approximately $1.1 billion in UPB of MSRs and related servicing advances, including approximately $6.6 million of MSRs and approximately $37.1 million of servicing advances. On November 1, 2013, we closed the purchase of approximately $32.9 billion in UPB of MSRs and related servicing advances. The purchase included approximately $235.6 million of MSRs and approximately $1.3 billion of servicing advances. The November purchase was funded from the proceeds of a newly executed $1.6 billion match funded advance financing facility and available cash. The new facility consists of three notes, the largest of which bears interest at 1-Month LIBOR plus an initial margin of 1.75% with the two smaller notes bearing interest at the lender's commercial paper rate plus initial margins of 1.67% and 4.25%. The notes mature in October 2044 with an amortization date beginning in October 2014.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ind w:left="1160" w:right="9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Share Data or If Otherwise Indicated)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02"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following discussion of our results of operations, change in financial condition and liquidity should be read in conjunction with our unaudited Consolidated Financial Statements and the related notes, all included elsewhere in this report on Form 10-Q and with our Annual Report on Form 10-K for the year ended December 31, 2012.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Priorities Update</w:t>
      </w:r>
    </w:p>
    <w:p>
      <w:pPr>
        <w:spacing w:after="0" w:line="202"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We continue to execute our strategy to grow and sustain our loan servicing business through acquisitions and through our loan origination business whereby we retain the MSRs associated with sold loans. During the first nine months of 2013, we retained MSRs of $63.2 million on sales of residential mortgage loans with a UPB of $5.7 billion.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Consistent with this strategy, we executed the following acquisitions during the nine months ended September 30,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Transaction</w:t>
            </w:r>
          </w:p>
        </w:tc>
        <w:tc>
          <w:tcPr>
            <w:tcW w:w="340" w:type="dxa"/>
            <w:vAlign w:val="bottom"/>
            <w:tcBorders>
              <w:bottom w:val="single" w:sz="8" w:color="CCEECC"/>
            </w:tcBorders>
          </w:tcPr>
          <w:p>
            <w:pPr>
              <w:spacing w:after="0"/>
              <w:rPr>
                <w:sz w:val="20"/>
                <w:szCs w:val="20"/>
                <w:color w:val="auto"/>
              </w:rPr>
            </w:pPr>
          </w:p>
        </w:tc>
        <w:tc>
          <w:tcPr>
            <w:tcW w:w="15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Type</w:t>
            </w:r>
          </w:p>
        </w:tc>
        <w:tc>
          <w:tcPr>
            <w:tcW w:w="320" w:type="dxa"/>
            <w:vAlign w:val="bottom"/>
            <w:tcBorders>
              <w:bottom w:val="single" w:sz="8" w:color="CCEECC"/>
            </w:tcBorders>
          </w:tcPr>
          <w:p>
            <w:pPr>
              <w:spacing w:after="0"/>
              <w:rPr>
                <w:sz w:val="20"/>
                <w:szCs w:val="20"/>
                <w:color w:val="auto"/>
              </w:rPr>
            </w:pPr>
          </w:p>
        </w:tc>
        <w:tc>
          <w:tcPr>
            <w:tcW w:w="17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Completion Date</w:t>
            </w:r>
          </w:p>
        </w:tc>
        <w:tc>
          <w:tcPr>
            <w:tcW w:w="44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Purchase Price</w:t>
            </w:r>
          </w:p>
        </w:tc>
        <w:tc>
          <w:tcPr>
            <w:tcW w:w="40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Acquired MSR UPB</w:t>
            </w:r>
          </w:p>
        </w:tc>
        <w:tc>
          <w:tcPr>
            <w:tcW w:w="34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CC"/>
          </w:tcPr>
          <w:p>
            <w:pPr>
              <w:spacing w:after="0"/>
              <w:rPr>
                <w:sz w:val="20"/>
                <w:szCs w:val="20"/>
                <w:color w:val="auto"/>
              </w:rPr>
            </w:pPr>
            <w:r>
              <w:rPr>
                <w:rFonts w:ascii="Arial" w:cs="Arial" w:eastAsia="Arial" w:hAnsi="Arial"/>
                <w:sz w:val="18"/>
                <w:szCs w:val="18"/>
                <w:color w:val="auto"/>
              </w:rPr>
              <w:t>ResCap Acquisition</w:t>
            </w:r>
          </w:p>
        </w:tc>
        <w:tc>
          <w:tcPr>
            <w:tcW w:w="340" w:type="dxa"/>
            <w:vAlign w:val="bottom"/>
            <w:shd w:val="clear" w:color="auto" w:fill="CCEECC"/>
          </w:tcPr>
          <w:p>
            <w:pPr>
              <w:spacing w:after="0"/>
              <w:rPr>
                <w:sz w:val="18"/>
                <w:szCs w:val="18"/>
                <w:color w:val="auto"/>
              </w:rPr>
            </w:pPr>
          </w:p>
        </w:tc>
        <w:tc>
          <w:tcPr>
            <w:tcW w:w="1540" w:type="dxa"/>
            <w:vAlign w:val="bottom"/>
            <w:shd w:val="clear" w:color="auto" w:fill="CCEECC"/>
          </w:tcPr>
          <w:p>
            <w:pPr>
              <w:spacing w:after="0"/>
              <w:rPr>
                <w:sz w:val="20"/>
                <w:szCs w:val="20"/>
                <w:color w:val="auto"/>
              </w:rPr>
            </w:pPr>
            <w:r>
              <w:rPr>
                <w:rFonts w:ascii="Arial" w:cs="Arial" w:eastAsia="Arial" w:hAnsi="Arial"/>
                <w:sz w:val="18"/>
                <w:szCs w:val="18"/>
                <w:color w:val="auto"/>
              </w:rPr>
              <w:t>Business (2)</w:t>
            </w: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20"/>
                <w:szCs w:val="20"/>
                <w:color w:val="auto"/>
              </w:rPr>
            </w:pPr>
            <w:r>
              <w:rPr>
                <w:rFonts w:ascii="Arial" w:cs="Arial" w:eastAsia="Arial" w:hAnsi="Arial"/>
                <w:sz w:val="18"/>
                <w:szCs w:val="18"/>
                <w:color w:val="auto"/>
              </w:rPr>
              <w:t>Various</w:t>
            </w:r>
          </w:p>
        </w:tc>
        <w:tc>
          <w:tcPr>
            <w:tcW w:w="44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2.3 billion(3)</w:t>
            </w:r>
          </w:p>
        </w:tc>
        <w:tc>
          <w:tcPr>
            <w:tcW w:w="16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170.8 billion(4)</w:t>
            </w:r>
          </w:p>
        </w:tc>
        <w:tc>
          <w:tcPr>
            <w:tcW w:w="0" w:type="dxa"/>
            <w:vAlign w:val="bottom"/>
          </w:tcPr>
          <w:p>
            <w:pPr>
              <w:spacing w:after="0"/>
              <w:rPr>
                <w:sz w:val="1"/>
                <w:szCs w:val="1"/>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Ally Bank</w:t>
            </w:r>
          </w:p>
        </w:tc>
        <w:tc>
          <w:tcPr>
            <w:tcW w:w="2200" w:type="dxa"/>
            <w:vAlign w:val="bottom"/>
            <w:gridSpan w:val="3"/>
          </w:tcPr>
          <w:p>
            <w:pPr>
              <w:ind w:left="340"/>
              <w:spacing w:after="0"/>
              <w:rPr>
                <w:sz w:val="20"/>
                <w:szCs w:val="20"/>
                <w:color w:val="auto"/>
              </w:rPr>
            </w:pPr>
            <w:r>
              <w:rPr>
                <w:rFonts w:ascii="Arial" w:cs="Arial" w:eastAsia="Arial" w:hAnsi="Arial"/>
                <w:sz w:val="18"/>
                <w:szCs w:val="18"/>
                <w:color w:val="auto"/>
              </w:rPr>
              <w:t>Contract Assumption</w:t>
            </w:r>
          </w:p>
        </w:tc>
        <w:tc>
          <w:tcPr>
            <w:tcW w:w="1720" w:type="dxa"/>
            <w:vAlign w:val="bottom"/>
          </w:tcPr>
          <w:p>
            <w:pPr>
              <w:spacing w:after="0"/>
              <w:rPr>
                <w:sz w:val="20"/>
                <w:szCs w:val="20"/>
                <w:color w:val="auto"/>
              </w:rPr>
            </w:pPr>
            <w:r>
              <w:rPr>
                <w:rFonts w:ascii="Arial" w:cs="Arial" w:eastAsia="Arial" w:hAnsi="Arial"/>
                <w:sz w:val="18"/>
                <w:szCs w:val="18"/>
                <w:color w:val="auto"/>
              </w:rPr>
              <w:t>February 2013</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130.0 billion(5)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CC"/>
          </w:tcPr>
          <w:p>
            <w:pPr>
              <w:spacing w:after="0"/>
              <w:rPr>
                <w:sz w:val="20"/>
                <w:szCs w:val="20"/>
                <w:color w:val="auto"/>
              </w:rPr>
            </w:pPr>
            <w:r>
              <w:rPr>
                <w:rFonts w:ascii="Arial" w:cs="Arial" w:eastAsia="Arial" w:hAnsi="Arial"/>
                <w:sz w:val="18"/>
                <w:szCs w:val="18"/>
                <w:color w:val="auto"/>
              </w:rPr>
              <w:t>Ally MSR Transaction</w:t>
            </w:r>
          </w:p>
        </w:tc>
        <w:tc>
          <w:tcPr>
            <w:tcW w:w="2200" w:type="dxa"/>
            <w:vAlign w:val="bottom"/>
            <w:gridSpan w:val="3"/>
            <w:shd w:val="clear" w:color="auto" w:fill="CCEECC"/>
          </w:tcPr>
          <w:p>
            <w:pPr>
              <w:ind w:left="340"/>
              <w:spacing w:after="0"/>
              <w:rPr>
                <w:sz w:val="20"/>
                <w:szCs w:val="20"/>
                <w:color w:val="auto"/>
              </w:rPr>
            </w:pPr>
            <w:r>
              <w:rPr>
                <w:rFonts w:ascii="Arial" w:cs="Arial" w:eastAsia="Arial" w:hAnsi="Arial"/>
                <w:sz w:val="18"/>
                <w:szCs w:val="18"/>
                <w:color w:val="auto"/>
              </w:rPr>
              <w:t>Asset</w:t>
            </w:r>
          </w:p>
        </w:tc>
        <w:tc>
          <w:tcPr>
            <w:tcW w:w="1720" w:type="dxa"/>
            <w:vAlign w:val="bottom"/>
            <w:shd w:val="clear" w:color="auto" w:fill="CCEECC"/>
          </w:tcPr>
          <w:p>
            <w:pPr>
              <w:spacing w:after="0"/>
              <w:rPr>
                <w:sz w:val="20"/>
                <w:szCs w:val="20"/>
                <w:color w:val="auto"/>
              </w:rPr>
            </w:pPr>
            <w:r>
              <w:rPr>
                <w:rFonts w:ascii="Arial" w:cs="Arial" w:eastAsia="Arial" w:hAnsi="Arial"/>
                <w:sz w:val="18"/>
                <w:szCs w:val="18"/>
                <w:color w:val="auto"/>
              </w:rPr>
              <w:t>Various</w:t>
            </w:r>
          </w:p>
        </w:tc>
        <w:tc>
          <w:tcPr>
            <w:tcW w:w="5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620.7 million(6)</w:t>
            </w:r>
          </w:p>
        </w:tc>
        <w:tc>
          <w:tcPr>
            <w:tcW w:w="52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87.5 billion(7)</w:t>
            </w:r>
          </w:p>
        </w:tc>
        <w:tc>
          <w:tcPr>
            <w:tcW w:w="0" w:type="dxa"/>
            <w:vAlign w:val="bottom"/>
          </w:tcPr>
          <w:p>
            <w:pPr>
              <w:spacing w:after="0"/>
              <w:rPr>
                <w:sz w:val="1"/>
                <w:szCs w:val="1"/>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Liberty Acquisition</w:t>
            </w:r>
          </w:p>
        </w:tc>
        <w:tc>
          <w:tcPr>
            <w:tcW w:w="2200" w:type="dxa"/>
            <w:vAlign w:val="bottom"/>
            <w:gridSpan w:val="3"/>
          </w:tcPr>
          <w:p>
            <w:pPr>
              <w:ind w:left="340"/>
              <w:spacing w:after="0"/>
              <w:rPr>
                <w:sz w:val="20"/>
                <w:szCs w:val="20"/>
                <w:color w:val="auto"/>
              </w:rPr>
            </w:pPr>
            <w:r>
              <w:rPr>
                <w:rFonts w:ascii="Arial" w:cs="Arial" w:eastAsia="Arial" w:hAnsi="Arial"/>
                <w:sz w:val="18"/>
                <w:szCs w:val="18"/>
                <w:color w:val="auto"/>
              </w:rPr>
              <w:t>Business</w:t>
            </w:r>
          </w:p>
        </w:tc>
        <w:tc>
          <w:tcPr>
            <w:tcW w:w="1720" w:type="dxa"/>
            <w:vAlign w:val="bottom"/>
          </w:tcPr>
          <w:p>
            <w:pPr>
              <w:spacing w:after="0"/>
              <w:rPr>
                <w:sz w:val="20"/>
                <w:szCs w:val="20"/>
                <w:color w:val="auto"/>
              </w:rPr>
            </w:pPr>
            <w:r>
              <w:rPr>
                <w:rFonts w:ascii="Arial" w:cs="Arial" w:eastAsia="Arial" w:hAnsi="Arial"/>
                <w:sz w:val="18"/>
                <w:szCs w:val="18"/>
                <w:color w:val="auto"/>
              </w:rPr>
              <w:t>April 2013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22.0 million</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652.6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CC"/>
          </w:tcPr>
          <w:p>
            <w:pPr>
              <w:spacing w:after="0"/>
              <w:rPr>
                <w:sz w:val="20"/>
                <w:szCs w:val="20"/>
                <w:color w:val="auto"/>
              </w:rPr>
            </w:pPr>
            <w:r>
              <w:rPr>
                <w:rFonts w:ascii="Arial" w:cs="Arial" w:eastAsia="Arial" w:hAnsi="Arial"/>
                <w:sz w:val="18"/>
                <w:szCs w:val="18"/>
                <w:color w:val="auto"/>
              </w:rPr>
              <w:t>OneWest MSR Transaction (1)</w:t>
            </w:r>
          </w:p>
        </w:tc>
        <w:tc>
          <w:tcPr>
            <w:tcW w:w="2200" w:type="dxa"/>
            <w:vAlign w:val="bottom"/>
            <w:gridSpan w:val="3"/>
            <w:shd w:val="clear" w:color="auto" w:fill="CCEECC"/>
          </w:tcPr>
          <w:p>
            <w:pPr>
              <w:ind w:left="340"/>
              <w:spacing w:after="0"/>
              <w:rPr>
                <w:sz w:val="20"/>
                <w:szCs w:val="20"/>
                <w:color w:val="auto"/>
              </w:rPr>
            </w:pPr>
            <w:r>
              <w:rPr>
                <w:rFonts w:ascii="Arial" w:cs="Arial" w:eastAsia="Arial" w:hAnsi="Arial"/>
                <w:sz w:val="18"/>
                <w:szCs w:val="18"/>
                <w:color w:val="auto"/>
              </w:rPr>
              <w:t>Asset</w:t>
            </w:r>
          </w:p>
        </w:tc>
        <w:tc>
          <w:tcPr>
            <w:tcW w:w="1720" w:type="dxa"/>
            <w:vAlign w:val="bottom"/>
            <w:shd w:val="clear" w:color="auto" w:fill="CCEECC"/>
          </w:tcPr>
          <w:p>
            <w:pPr>
              <w:spacing w:after="0"/>
              <w:rPr>
                <w:sz w:val="20"/>
                <w:szCs w:val="20"/>
                <w:color w:val="auto"/>
              </w:rPr>
            </w:pPr>
            <w:r>
              <w:rPr>
                <w:rFonts w:ascii="Arial" w:cs="Arial" w:eastAsia="Arial" w:hAnsi="Arial"/>
                <w:sz w:val="18"/>
                <w:szCs w:val="18"/>
                <w:color w:val="auto"/>
              </w:rPr>
              <w:t>Various</w:t>
            </w:r>
          </w:p>
        </w:tc>
        <w:tc>
          <w:tcPr>
            <w:tcW w:w="5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498.7 million(8)</w:t>
            </w:r>
          </w:p>
        </w:tc>
        <w:tc>
          <w:tcPr>
            <w:tcW w:w="520" w:type="dxa"/>
            <w:vAlign w:val="bottom"/>
            <w:gridSpan w:val="2"/>
            <w:shd w:val="clear" w:color="auto" w:fill="CCEECC"/>
          </w:tcPr>
          <w:p>
            <w:pPr>
              <w:ind w:left="1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30.5 billion(9)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 price and MSR UPB are preliminary. Final purchase amounts could be different.</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Acquired ResCap servicing platform, related assets and assumed liabilities and added approximately 2,450 of primarily U.S. based employees.</w:t>
      </w:r>
    </w:p>
    <w:p>
      <w:pPr>
        <w:spacing w:after="0" w:line="19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purchase price consisting primarily of $391.9 million of MSRs and $1.7 billion of servicing advances, net of assumed liabilities of $74.6 million consisting primarily of accruals for compensatory fees for foreclosures that may ultimately exceed investor timelines. We recognized goodwill of $201.8 million in connection with the acquisition.</w:t>
      </w:r>
    </w:p>
    <w:p>
      <w:pPr>
        <w:spacing w:after="0" w:line="154"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UPB consists of $55.6 billion Agency, $48.2 billion Non-Agency, $40.7 billion master servicing and $26.3 billion subservicing. Included in subservicing UPB is $9.0 billion of Non-Agency UPB subserviced on behalf of ResCap until such time as ResCap obtains the necessary consents and court approvals to sell or transfer the related MSRs. We acquire newly originated MSRs from ResCap at contractually agreed multiples of the applicable servicing fee which approximates market value.</w:t>
      </w:r>
    </w:p>
    <w:p>
      <w:pPr>
        <w:spacing w:after="0" w:line="146" w:lineRule="exact"/>
        <w:rPr>
          <w:rFonts w:ascii="Arial" w:cs="Arial" w:eastAsia="Arial" w:hAnsi="Arial"/>
          <w:sz w:val="18"/>
          <w:szCs w:val="18"/>
          <w:color w:val="auto"/>
        </w:rPr>
      </w:pPr>
    </w:p>
    <w:p>
      <w:pPr>
        <w:ind w:left="340" w:right="52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acquired the MSRs related to $87.5 billion in UPB from Ally Bank in the Ally MSR Transaction and terminated the subservicing contract with respect to the acquired MSRs.</w:t>
      </w:r>
    </w:p>
    <w:p>
      <w:pPr>
        <w:spacing w:after="0" w:line="129" w:lineRule="exact"/>
        <w:rPr>
          <w:rFonts w:ascii="Arial" w:cs="Arial" w:eastAsia="Arial" w:hAnsi="Arial"/>
          <w:sz w:val="18"/>
          <w:szCs w:val="18"/>
          <w:color w:val="auto"/>
        </w:rPr>
      </w:pPr>
    </w:p>
    <w:p>
      <w:pPr>
        <w:ind w:left="340" w:right="14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purchase price consisting of $683.8 million of MSRs and $73.6 million of servicing advances and other receivables, net of assumed origination representation and warranty obligations in connection with the majority of the acquired MSRs. The estimated fair value of this obligation on the closing date was $136.7 million.</w:t>
      </w:r>
    </w:p>
    <w:p>
      <w:pPr>
        <w:spacing w:after="0" w:line="154" w:lineRule="exact"/>
        <w:rPr>
          <w:rFonts w:ascii="Arial" w:cs="Arial" w:eastAsia="Arial" w:hAnsi="Arial"/>
          <w:sz w:val="18"/>
          <w:szCs w:val="18"/>
          <w:color w:val="auto"/>
        </w:rPr>
      </w:pPr>
    </w:p>
    <w:p>
      <w:pPr>
        <w:ind w:left="340" w:right="14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UPB consists of Agency MSRs. Prior to the acquisition, we subserviced these loans on behalf of Ally Bank under a contract assumption in connection with the ResCap Acquisition. We acquired newly originated Agency MSRs from Ally Bank through August 31, 2013, at a contractually agreed multiple of the applicable servicing fee which approximates market value.</w:t>
      </w:r>
    </w:p>
    <w:p>
      <w:pPr>
        <w:spacing w:after="0" w:line="140" w:lineRule="exact"/>
        <w:rPr>
          <w:rFonts w:ascii="Arial" w:cs="Arial" w:eastAsia="Arial" w:hAnsi="Arial"/>
          <w:sz w:val="18"/>
          <w:szCs w:val="18"/>
          <w:color w:val="auto"/>
        </w:rPr>
      </w:pPr>
    </w:p>
    <w:p>
      <w:pPr>
        <w:ind w:left="340" w:right="140" w:hanging="332"/>
        <w:spacing w:after="0" w:line="293"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Aggregate purchase price consists of $127.0 million of MSRs and $371.6 million of servicing advances. The OneWest MSR Transaction is expected to close in stages through the end of 2013. At September 30, 2013, estimated aggregate purchase price in connection with future settlements consisted of $305.1 million of MSRs and $1.6 billion of servicing advances. In October 2013, we closed the purchase of approximately $6.6 million of MSRs with a UPB of approximately $1.1 billion and approximately $37.1 million of servicing advances. On November 1, 2013, we closed the purchase of approximately $235.6 million of MSRs with a UPB of approximately $32.9 billion and approximately $1.3 billion of servicing advances. See Note 26 - Subsequent Events to the unaudited Consolidated Financial Statements for additional information.</w:t>
      </w:r>
    </w:p>
    <w:p>
      <w:pPr>
        <w:spacing w:after="0" w:line="124" w:lineRule="exact"/>
        <w:rPr>
          <w:rFonts w:ascii="Arial" w:cs="Arial" w:eastAsia="Arial" w:hAnsi="Arial"/>
          <w:sz w:val="16"/>
          <w:szCs w:val="16"/>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UPB consists of $30.5 billion Agency MSRs. Additional UPB to be acquired is estimated at $41.9 billion Non-Agency MSRs.</w:t>
      </w:r>
    </w:p>
    <w:p>
      <w:pPr>
        <w:spacing w:after="0" w:line="198"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In addition to the transactions above, on July 1, 2013 and September 1, 2013, we completed the boarding of $3.0 billion and $2.0 billion of UPB, respectively, for a total of approximately 32,800 loans, of non-prime subservicing from a large financial institution.</w:t>
      </w:r>
    </w:p>
    <w:p>
      <w:pPr>
        <w:spacing w:after="0" w:line="130" w:lineRule="exact"/>
        <w:rPr>
          <w:sz w:val="20"/>
          <w:szCs w:val="20"/>
          <w:color w:val="auto"/>
        </w:rPr>
      </w:pPr>
    </w:p>
    <w:p>
      <w:pPr>
        <w:ind w:right="40" w:firstLine="324"/>
        <w:spacing w:after="0" w:line="297" w:lineRule="auto"/>
        <w:rPr>
          <w:rFonts w:ascii="Arial" w:cs="Arial" w:eastAsia="Arial" w:hAnsi="Arial"/>
          <w:sz w:val="16"/>
          <w:szCs w:val="16"/>
          <w:color w:val="auto"/>
        </w:rPr>
      </w:pPr>
      <w:r>
        <w:rPr>
          <w:rFonts w:ascii="Arial" w:cs="Arial" w:eastAsia="Arial" w:hAnsi="Arial"/>
          <w:sz w:val="16"/>
          <w:szCs w:val="16"/>
          <w:color w:val="auto"/>
        </w:rPr>
        <w:t xml:space="preserve">We are also continuing to execute on our strategy to reduce the amount of capital that we require through our relationship with HLSS. Until such time as we receive the third party consents required in connection with these sales, we account for the transactions as financings. As a result, the MSRs remain on our consolidated balance sheet and continue to be amortized. The excess of the proceeds received over our carrying value for the MSRs is deferred and amortized over the estimated life of the underlying MSRs. We recognize a financing liability and corresponding interest expense. See </w:t>
      </w:r>
      <w:hyperlink w:anchor="page15">
        <w:r>
          <w:rPr>
            <w:rFonts w:ascii="Arial" w:cs="Arial" w:eastAsia="Arial" w:hAnsi="Arial"/>
            <w:sz w:val="16"/>
            <w:szCs w:val="16"/>
            <w:u w:val="single" w:color="auto"/>
            <w:color w:val="0000EE"/>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Transfers of Financial Assets and Note 26 – Subsequent Events to the unaudited Consolidated Financial Statements for additional information regarding the HLSS Transactions.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464" w:gutter="0" w:footer="0" w:header="0"/>
        </w:sectPr>
      </w:pPr>
    </w:p>
    <w:bookmarkStart w:id="47" w:name="page48"/>
    <w:bookmarkEnd w:id="47"/>
    <w:p>
      <w:pPr>
        <w:ind w:left="340"/>
        <w:spacing w:after="0"/>
        <w:rPr>
          <w:sz w:val="20"/>
          <w:szCs w:val="20"/>
          <w:color w:val="auto"/>
        </w:rPr>
      </w:pPr>
      <w:r>
        <w:rPr>
          <w:rFonts w:ascii="Arial" w:cs="Arial" w:eastAsia="Arial" w:hAnsi="Arial"/>
          <w:sz w:val="18"/>
          <w:szCs w:val="18"/>
          <w:color w:val="auto"/>
        </w:rPr>
        <w:t>The following table includes HLSS Transactions completed during the nine months ended September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Unpaid Principal</w:t>
            </w:r>
          </w:p>
        </w:tc>
        <w:tc>
          <w:tcPr>
            <w:tcW w:w="12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Match Funded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Match Funded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gridSpan w:val="2"/>
          </w:tcPr>
          <w:p>
            <w:pPr>
              <w:ind w:left="300"/>
              <w:spacing w:after="0"/>
              <w:rPr>
                <w:sz w:val="20"/>
                <w:szCs w:val="20"/>
                <w:color w:val="auto"/>
              </w:rPr>
            </w:pPr>
            <w:r>
              <w:rPr>
                <w:rFonts w:ascii="Arial" w:cs="Arial" w:eastAsia="Arial" w:hAnsi="Arial"/>
                <w:sz w:val="18"/>
                <w:szCs w:val="18"/>
                <w:b w:val="1"/>
                <w:bCs w:val="1"/>
                <w:color w:val="auto"/>
              </w:rPr>
              <w:t>Completion Date</w:t>
            </w:r>
          </w:p>
        </w:tc>
        <w:tc>
          <w:tcPr>
            <w:tcW w:w="400" w:type="dxa"/>
            <w:vAlign w:val="bottom"/>
          </w:tcPr>
          <w:p>
            <w:pPr>
              <w:spacing w:after="0"/>
              <w:rPr>
                <w:sz w:val="20"/>
                <w:szCs w:val="20"/>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3"/>
              </w:rPr>
              <w:t>Proceeds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Balance MSRs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Advances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Gain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 Repaid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March 2013</w:t>
            </w:r>
          </w:p>
        </w:tc>
        <w:tc>
          <w:tcPr>
            <w:tcW w:w="400" w:type="dxa"/>
            <w:vAlign w:val="bottom"/>
            <w:shd w:val="clear" w:color="auto" w:fill="CCEECC"/>
          </w:tcPr>
          <w:p>
            <w:pPr>
              <w:jc w:val="right"/>
              <w:ind w:right="21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803.9 million</w:t>
            </w:r>
          </w:p>
        </w:tc>
        <w:tc>
          <w:tcPr>
            <w:tcW w:w="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CC"/>
          </w:tcPr>
          <w:p>
            <w:pPr>
              <w:ind w:left="760"/>
              <w:spacing w:after="0"/>
              <w:rPr>
                <w:sz w:val="20"/>
                <w:szCs w:val="20"/>
                <w:color w:val="auto"/>
              </w:rPr>
            </w:pPr>
            <w:r>
              <w:rPr>
                <w:rFonts w:ascii="Arial" w:cs="Arial" w:eastAsia="Arial" w:hAnsi="Arial"/>
                <w:sz w:val="18"/>
                <w:szCs w:val="18"/>
                <w:color w:val="auto"/>
              </w:rPr>
              <w:t>15.9 billion</w:t>
            </w:r>
          </w:p>
        </w:tc>
        <w:tc>
          <w:tcPr>
            <w:tcW w:w="300" w:type="dxa"/>
            <w:vAlign w:val="bottom"/>
            <w:gridSpan w:val="2"/>
            <w:shd w:val="clear" w:color="auto" w:fill="CCEEC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703.2 million</w:t>
            </w: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3.7 million</w:t>
            </w:r>
          </w:p>
        </w:tc>
        <w:tc>
          <w:tcPr>
            <w:tcW w:w="2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625.8 million</w:t>
            </w:r>
          </w:p>
        </w:tc>
        <w:tc>
          <w:tcPr>
            <w:tcW w:w="0" w:type="dxa"/>
            <w:vAlign w:val="bottom"/>
          </w:tcPr>
          <w:p>
            <w:pPr>
              <w:spacing w:after="0"/>
              <w:rPr>
                <w:sz w:val="1"/>
                <w:szCs w:val="1"/>
                <w:color w:val="auto"/>
              </w:rPr>
            </w:pPr>
          </w:p>
        </w:tc>
      </w:tr>
      <w:tr>
        <w:trPr>
          <w:trHeight w:val="432"/>
        </w:trPr>
        <w:tc>
          <w:tcPr>
            <w:tcW w:w="2180" w:type="dxa"/>
            <w:vAlign w:val="bottom"/>
            <w:gridSpan w:val="3"/>
          </w:tcPr>
          <w:p>
            <w:pPr>
              <w:spacing w:after="0"/>
              <w:rPr>
                <w:sz w:val="20"/>
                <w:szCs w:val="20"/>
                <w:color w:val="auto"/>
              </w:rPr>
            </w:pPr>
            <w:r>
              <w:rPr>
                <w:rFonts w:ascii="Arial" w:cs="Arial" w:eastAsia="Arial" w:hAnsi="Arial"/>
                <w:sz w:val="18"/>
                <w:szCs w:val="18"/>
                <w:color w:val="auto"/>
              </w:rPr>
              <w:t>May 2013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424.5 million</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760"/>
              <w:spacing w:after="0"/>
              <w:rPr>
                <w:sz w:val="20"/>
                <w:szCs w:val="20"/>
                <w:color w:val="auto"/>
              </w:rPr>
            </w:pPr>
            <w:r>
              <w:rPr>
                <w:rFonts w:ascii="Arial" w:cs="Arial" w:eastAsia="Arial" w:hAnsi="Arial"/>
                <w:sz w:val="18"/>
                <w:szCs w:val="18"/>
                <w:color w:val="auto"/>
              </w:rPr>
              <w:t>10.6 billion</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376.6 million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18.9 million</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311.5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July 2013</w:t>
            </w:r>
          </w:p>
        </w:tc>
        <w:tc>
          <w:tcPr>
            <w:tcW w:w="400" w:type="dxa"/>
            <w:vAlign w:val="bottom"/>
            <w:shd w:val="clear" w:color="auto" w:fill="CCEECC"/>
          </w:tcPr>
          <w:p>
            <w:pPr>
              <w:jc w:val="right"/>
              <w:ind w:right="21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2.6 billion</w:t>
            </w:r>
          </w:p>
        </w:tc>
        <w:tc>
          <w:tcPr>
            <w:tcW w:w="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CC"/>
          </w:tcPr>
          <w:p>
            <w:pPr>
              <w:ind w:left="760"/>
              <w:spacing w:after="0"/>
              <w:rPr>
                <w:sz w:val="20"/>
                <w:szCs w:val="20"/>
                <w:color w:val="auto"/>
              </w:rPr>
            </w:pPr>
            <w:r>
              <w:rPr>
                <w:rFonts w:ascii="Arial" w:cs="Arial" w:eastAsia="Arial" w:hAnsi="Arial"/>
                <w:sz w:val="18"/>
                <w:szCs w:val="18"/>
                <w:color w:val="auto"/>
              </w:rPr>
              <w:t>83.3 billion</w:t>
            </w:r>
          </w:p>
        </w:tc>
        <w:tc>
          <w:tcPr>
            <w:tcW w:w="300" w:type="dxa"/>
            <w:vAlign w:val="bottom"/>
            <w:gridSpan w:val="2"/>
            <w:shd w:val="clear" w:color="auto" w:fill="CCEEC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2.4 billion</w:t>
            </w: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16.0 million</w:t>
            </w:r>
          </w:p>
        </w:tc>
        <w:tc>
          <w:tcPr>
            <w:tcW w:w="2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 billion</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Consists of Non-Agency non-prime MSRs, including all such MSRs acquired in the Homeward and ResCap Acquisitions.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Outlook</w:t>
      </w:r>
    </w:p>
    <w:p>
      <w:pPr>
        <w:spacing w:after="0" w:line="18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expect that other non-prime and prime servicing platforms and servicing portfolios will come to market in the next several months. We are currently aware of potential MSR acquisition opportunities with an aggregate UPB of approximately $400 billion over the next 12 to 18 months, with at least $100 billion in the next few months. We believe that servicing and subservicing opportunities with an aggregate UPB of over $1.0 trillion could come to market in the next 2 to 3 years. To the extent that we find these opportunities to be attractive, we believe that we are positioned to effectively compete for such opportunities in light of our low cost, high-quality servicing platform. Our technology also provides us the ability to quickly scale our servicing operations to handle acquired loan portfolios.</w:t>
      </w:r>
    </w:p>
    <w:p>
      <w:pPr>
        <w:spacing w:after="0" w:line="153"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In September 2013, we completed the sale of newly originated GSE MSRs to a market participant and retained the subservicing related to loans underlying the sold MSRs. We expect to execute additional GSE MSR sales with retained subservicing to reduce exposure to prepayments of owned MSRs.</w:t>
      </w:r>
    </w:p>
    <w:p>
      <w:pPr>
        <w:spacing w:after="0" w:line="9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would generally expect lower prepayment rates due to lower refinancing activity in a rising rate environment, primarily in our performing Agency servicing portfolio. The balance of our non-prime portfolio has not historically experienced significant voluntary prepayments. As such, rising and higher interest rates are expected to positively impact our servicing portfolio. Combined with an improving economy and housing market, which should reduce delinquencies, we anticipate a favorable environment for our servicing portfolio.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18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Our recent business acquisitions (Homeward Acquisition in December 2012 and ResCap Acquisition in February 2013) and MSR asset acquisitions (Ally MSR Transaction in April 2013 and OneWest MSR Transaction partially closed in August and September 2013) have significantly affected our consolidated operating results. The operating results of the acquired businesses are included in our operating results from their respective acquisition dates.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ind w:right="6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three and nine months ended September 30, 2013 and 2012. We have provided a more complete discussion of operating results by line of business in the Segment Results and Financial Condition section.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rPr>
              <w:t>Three Months</w:t>
            </w:r>
          </w:p>
        </w:tc>
        <w:tc>
          <w:tcPr>
            <w:tcW w:w="6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Nine Months</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6"/>
                <w:szCs w:val="16"/>
                <w:color w:val="auto"/>
              </w:rPr>
            </w:pPr>
          </w:p>
        </w:tc>
        <w:tc>
          <w:tcPr>
            <w:tcW w:w="6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6"/>
                <w:szCs w:val="16"/>
                <w:color w:val="auto"/>
              </w:rPr>
            </w:pPr>
          </w:p>
        </w:tc>
        <w:tc>
          <w:tcPr>
            <w:tcW w:w="6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2012</w:t>
            </w:r>
          </w:p>
        </w:tc>
        <w:tc>
          <w:tcPr>
            <w:tcW w:w="300" w:type="dxa"/>
            <w:vAlign w:val="bottom"/>
          </w:tcPr>
          <w:p>
            <w:pPr>
              <w:spacing w:after="0"/>
              <w:rPr>
                <w:sz w:val="20"/>
                <w:szCs w:val="20"/>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Change</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Change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660" w:type="dxa"/>
            <w:vAlign w:val="bottom"/>
            <w:tcBorders>
              <w:top w:val="single" w:sz="8" w:color="auto"/>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620" w:type="dxa"/>
            <w:vAlign w:val="bottom"/>
            <w:tcBorders>
              <w:top w:val="single" w:sz="8" w:color="auto"/>
            </w:tcBorders>
            <w:shd w:val="clear" w:color="auto" w:fill="CCEECC"/>
          </w:tcPr>
          <w:p>
            <w:pPr>
              <w:spacing w:after="0"/>
              <w:rPr>
                <w:sz w:val="18"/>
                <w:szCs w:val="18"/>
                <w:color w:val="auto"/>
              </w:rPr>
            </w:pPr>
          </w:p>
        </w:tc>
        <w:tc>
          <w:tcPr>
            <w:tcW w:w="3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620" w:type="dxa"/>
            <w:vAlign w:val="bottom"/>
            <w:tcBorders>
              <w:top w:val="single" w:sz="8" w:color="auto"/>
            </w:tcBorders>
            <w:shd w:val="clear" w:color="auto" w:fill="CCEECC"/>
          </w:tcPr>
          <w:p>
            <w:pPr>
              <w:spacing w:after="0"/>
              <w:rPr>
                <w:sz w:val="18"/>
                <w:szCs w:val="18"/>
                <w:color w:val="auto"/>
              </w:rPr>
            </w:pPr>
          </w:p>
        </w:tc>
        <w:tc>
          <w:tcPr>
            <w:tcW w:w="300" w:type="dxa"/>
            <w:vAlign w:val="bottom"/>
            <w:tcBorders>
              <w:top w:val="single" w:sz="8" w:color="CCEECC"/>
            </w:tcBorders>
            <w:shd w:val="clear" w:color="auto" w:fill="CCEECC"/>
          </w:tcPr>
          <w:p>
            <w:pPr>
              <w:spacing w:after="0"/>
              <w:rPr>
                <w:sz w:val="18"/>
                <w:szCs w:val="18"/>
                <w:color w:val="auto"/>
              </w:rPr>
            </w:pPr>
          </w:p>
        </w:tc>
        <w:tc>
          <w:tcPr>
            <w:tcW w:w="660" w:type="dxa"/>
            <w:vAlign w:val="bottom"/>
            <w:tcBorders>
              <w:top w:val="single" w:sz="8" w:color="auto"/>
            </w:tcBorders>
            <w:shd w:val="clear" w:color="auto" w:fill="CCEECC"/>
          </w:tcPr>
          <w:p>
            <w:pPr>
              <w:spacing w:after="0"/>
              <w:rPr>
                <w:sz w:val="18"/>
                <w:szCs w:val="18"/>
                <w:color w:val="auto"/>
              </w:rPr>
            </w:pPr>
          </w:p>
        </w:tc>
        <w:tc>
          <w:tcPr>
            <w:tcW w:w="4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660" w:type="dxa"/>
            <w:vAlign w:val="bottom"/>
            <w:tcBorders>
              <w:top w:val="single" w:sz="8" w:color="auto"/>
            </w:tcBorders>
            <w:shd w:val="clear" w:color="auto" w:fill="CCEECC"/>
          </w:tcPr>
          <w:p>
            <w:pPr>
              <w:spacing w:after="0"/>
              <w:rPr>
                <w:sz w:val="18"/>
                <w:szCs w:val="18"/>
                <w:color w:val="auto"/>
              </w:rPr>
            </w:pPr>
          </w:p>
        </w:tc>
        <w:tc>
          <w:tcPr>
            <w:tcW w:w="300" w:type="dxa"/>
            <w:vAlign w:val="bottom"/>
            <w:tcBorders>
              <w:top w:val="single" w:sz="8" w:color="CCEECC"/>
            </w:tcBorders>
            <w:shd w:val="clear" w:color="auto" w:fill="CCEECC"/>
          </w:tcPr>
          <w:p>
            <w:pPr>
              <w:spacing w:after="0"/>
              <w:rPr>
                <w:sz w:val="18"/>
                <w:szCs w:val="18"/>
                <w:color w:val="auto"/>
              </w:rPr>
            </w:pPr>
          </w:p>
        </w:tc>
        <w:tc>
          <w:tcPr>
            <w:tcW w:w="680" w:type="dxa"/>
            <w:vAlign w:val="bottom"/>
            <w:tcBorders>
              <w:top w:val="single" w:sz="8" w:color="auto"/>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Servicing and subservicing fees</w:t>
            </w:r>
          </w:p>
        </w:tc>
        <w:tc>
          <w:tcPr>
            <w:tcW w:w="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8"/>
              </w:rPr>
              <w:t>483,267</w:t>
            </w:r>
          </w:p>
        </w:tc>
        <w:tc>
          <w:tcPr>
            <w:tcW w:w="2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w w:val="92"/>
              </w:rPr>
              <w:t>223,011</w:t>
            </w:r>
          </w:p>
        </w:tc>
        <w:tc>
          <w:tcPr>
            <w:tcW w:w="1040" w:type="dxa"/>
            <w:vAlign w:val="bottom"/>
            <w:gridSpan w:val="3"/>
            <w:shd w:val="clear" w:color="auto" w:fill="CCEECC"/>
          </w:tcPr>
          <w:p>
            <w:pPr>
              <w:jc w:val="right"/>
              <w:ind w:right="220"/>
              <w:spacing w:after="0"/>
              <w:rPr>
                <w:sz w:val="20"/>
                <w:szCs w:val="20"/>
                <w:color w:val="auto"/>
              </w:rPr>
            </w:pPr>
            <w:r>
              <w:rPr>
                <w:rFonts w:ascii="Arial" w:cs="Arial" w:eastAsia="Arial" w:hAnsi="Arial"/>
                <w:sz w:val="18"/>
                <w:szCs w:val="18"/>
                <w:color w:val="auto"/>
                <w:w w:val="89"/>
              </w:rPr>
              <w:t>$ 260,256</w:t>
            </w:r>
          </w:p>
        </w:tc>
        <w:tc>
          <w:tcPr>
            <w:tcW w:w="1060" w:type="dxa"/>
            <w:vAlign w:val="bottom"/>
            <w:gridSpan w:val="2"/>
            <w:shd w:val="clear" w:color="auto" w:fill="CCEECC"/>
          </w:tcPr>
          <w:p>
            <w:pPr>
              <w:jc w:val="right"/>
              <w:ind w:right="26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2"/>
              </w:rPr>
              <w:t>1,333,392</w:t>
            </w:r>
          </w:p>
        </w:tc>
        <w:tc>
          <w:tcPr>
            <w:tcW w:w="1200" w:type="dxa"/>
            <w:vAlign w:val="bottom"/>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$ 578,435</w:t>
            </w:r>
          </w:p>
        </w:tc>
        <w:tc>
          <w:tcPr>
            <w:tcW w:w="7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2"/>
              </w:rPr>
              <w:t>$ 754,957</w:t>
            </w:r>
          </w:p>
        </w:tc>
        <w:tc>
          <w:tcPr>
            <w:tcW w:w="3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300"/>
              <w:spacing w:after="0"/>
              <w:rPr>
                <w:sz w:val="20"/>
                <w:szCs w:val="20"/>
                <w:color w:val="auto"/>
              </w:rPr>
            </w:pPr>
            <w:r>
              <w:rPr>
                <w:rFonts w:ascii="Arial" w:cs="Arial" w:eastAsia="Arial" w:hAnsi="Arial"/>
                <w:sz w:val="18"/>
                <w:szCs w:val="18"/>
                <w:color w:val="auto"/>
              </w:rPr>
              <w:t>Gain on loans held for sale,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28,262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28,262</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72,912</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72,912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19,711</w:t>
            </w:r>
          </w:p>
        </w:tc>
        <w:tc>
          <w:tcPr>
            <w:tcW w:w="12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9,689</w:t>
            </w:r>
          </w:p>
        </w:tc>
        <w:tc>
          <w:tcPr>
            <w:tcW w:w="3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10,022</w:t>
            </w:r>
          </w:p>
        </w:tc>
        <w:tc>
          <w:tcPr>
            <w:tcW w:w="1060" w:type="dxa"/>
            <w:vAlign w:val="bottom"/>
            <w:gridSpan w:val="2"/>
            <w:shd w:val="clear" w:color="auto" w:fill="CCEECC"/>
          </w:tcPr>
          <w:p>
            <w:pPr>
              <w:jc w:val="right"/>
              <w:ind w:right="40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76,014</w:t>
            </w:r>
          </w:p>
        </w:tc>
        <w:tc>
          <w:tcPr>
            <w:tcW w:w="1200" w:type="dxa"/>
            <w:vAlign w:val="bottom"/>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30,178</w:t>
            </w:r>
          </w:p>
        </w:tc>
        <w:tc>
          <w:tcPr>
            <w:tcW w:w="100" w:type="dxa"/>
            <w:vAlign w:val="bottom"/>
            <w:shd w:val="clear" w:color="auto" w:fill="CCEECC"/>
          </w:tcPr>
          <w:p>
            <w:pPr>
              <w:spacing w:after="0"/>
              <w:rPr>
                <w:sz w:val="19"/>
                <w:szCs w:val="19"/>
                <w:color w:val="auto"/>
              </w:rPr>
            </w:pPr>
          </w:p>
        </w:tc>
        <w:tc>
          <w:tcPr>
            <w:tcW w:w="9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45,836</w:t>
            </w:r>
          </w:p>
        </w:tc>
        <w:tc>
          <w:tcPr>
            <w:tcW w:w="8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531,240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232,700</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298,540</w:t>
            </w:r>
          </w:p>
        </w:tc>
        <w:tc>
          <w:tcPr>
            <w:tcW w:w="3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1,482,318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608,613</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873,705</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8"/>
              </w:rPr>
              <w:t>346,260</w:t>
            </w:r>
          </w:p>
        </w:tc>
        <w:tc>
          <w:tcPr>
            <w:tcW w:w="12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92,793</w:t>
            </w:r>
          </w:p>
        </w:tc>
        <w:tc>
          <w:tcPr>
            <w:tcW w:w="12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w w:val="92"/>
              </w:rPr>
              <w:t>253,467</w:t>
            </w:r>
          </w:p>
        </w:tc>
        <w:tc>
          <w:tcPr>
            <w:tcW w:w="1060" w:type="dxa"/>
            <w:vAlign w:val="bottom"/>
            <w:gridSpan w:val="2"/>
            <w:shd w:val="clear" w:color="auto" w:fill="CCEECC"/>
          </w:tcPr>
          <w:p>
            <w:pPr>
              <w:jc w:val="right"/>
              <w:ind w:right="40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960,418</w:t>
            </w:r>
          </w:p>
        </w:tc>
        <w:tc>
          <w:tcPr>
            <w:tcW w:w="1200" w:type="dxa"/>
            <w:vAlign w:val="bottom"/>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264,810</w:t>
            </w:r>
          </w:p>
        </w:tc>
        <w:tc>
          <w:tcPr>
            <w:tcW w:w="100" w:type="dxa"/>
            <w:vAlign w:val="bottom"/>
            <w:shd w:val="clear" w:color="auto" w:fill="CCEECC"/>
          </w:tcPr>
          <w:p>
            <w:pPr>
              <w:spacing w:after="0"/>
              <w:rPr>
                <w:sz w:val="19"/>
                <w:szCs w:val="19"/>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8"/>
              </w:rPr>
              <w:t>695,608</w:t>
            </w:r>
          </w:p>
        </w:tc>
        <w:tc>
          <w:tcPr>
            <w:tcW w:w="30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CCEECC"/>
            </w:tcBorders>
          </w:tcPr>
          <w:p>
            <w:pPr>
              <w:ind w:left="1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184,980</w:t>
            </w:r>
          </w:p>
        </w:tc>
        <w:tc>
          <w:tcPr>
            <w:tcW w:w="180" w:type="dxa"/>
            <w:vAlign w:val="bottom"/>
            <w:tcBorders>
              <w:bottom w:val="single" w:sz="8" w:color="CCEECC"/>
            </w:tcBorders>
          </w:tcPr>
          <w:p>
            <w:pPr>
              <w:spacing w:after="0"/>
              <w:rPr>
                <w:sz w:val="18"/>
                <w:szCs w:val="18"/>
                <w:color w:val="auto"/>
              </w:rPr>
            </w:pPr>
          </w:p>
        </w:tc>
        <w:tc>
          <w:tcPr>
            <w:tcW w:w="12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139,907</w:t>
            </w:r>
          </w:p>
        </w:tc>
        <w:tc>
          <w:tcPr>
            <w:tcW w:w="30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45,073</w:t>
            </w:r>
          </w:p>
        </w:tc>
        <w:tc>
          <w:tcPr>
            <w:tcW w:w="300" w:type="dxa"/>
            <w:vAlign w:val="bottom"/>
            <w:tcBorders>
              <w:bottom w:val="single" w:sz="8" w:color="CCEECC"/>
            </w:tcBorders>
          </w:tcPr>
          <w:p>
            <w:pPr>
              <w:spacing w:after="0"/>
              <w:rPr>
                <w:sz w:val="18"/>
                <w:szCs w:val="18"/>
                <w:color w:val="auto"/>
              </w:rPr>
            </w:pPr>
          </w:p>
        </w:tc>
        <w:tc>
          <w:tcPr>
            <w:tcW w:w="1060" w:type="dxa"/>
            <w:vAlign w:val="bottom"/>
            <w:tcBorders>
              <w:bottom w:val="single" w:sz="8" w:color="CCEECC"/>
            </w:tcBorders>
            <w:gridSpan w:val="2"/>
          </w:tcPr>
          <w:p>
            <w:pPr>
              <w:jc w:val="right"/>
              <w:ind w:right="400"/>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521,900</w:t>
            </w:r>
          </w:p>
        </w:tc>
        <w:tc>
          <w:tcPr>
            <w:tcW w:w="180" w:type="dxa"/>
            <w:vAlign w:val="bottom"/>
            <w:tcBorders>
              <w:bottom w:val="single" w:sz="8" w:color="CCEECC"/>
            </w:tcBorders>
          </w:tcPr>
          <w:p>
            <w:pPr>
              <w:spacing w:after="0"/>
              <w:rPr>
                <w:sz w:val="18"/>
                <w:szCs w:val="18"/>
                <w:color w:val="auto"/>
              </w:rPr>
            </w:pPr>
          </w:p>
        </w:tc>
        <w:tc>
          <w:tcPr>
            <w:tcW w:w="120" w:type="dxa"/>
            <w:vAlign w:val="bottom"/>
            <w:tcBorders>
              <w:bottom w:val="single" w:sz="8" w:color="CCEEC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343,803</w:t>
            </w:r>
          </w:p>
        </w:tc>
        <w:tc>
          <w:tcPr>
            <w:tcW w:w="32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178,097</w:t>
            </w:r>
          </w:p>
        </w:tc>
        <w:tc>
          <w:tcPr>
            <w:tcW w:w="300" w:type="dxa"/>
            <w:vAlign w:val="bottom"/>
            <w:tcBorders>
              <w:bottom w:val="single" w:sz="8" w:color="CCEECC"/>
            </w:tcBorders>
          </w:tcPr>
          <w:p>
            <w:pPr>
              <w:spacing w:after="0"/>
              <w:rPr>
                <w:sz w:val="18"/>
                <w:szCs w:val="18"/>
                <w:color w:val="auto"/>
              </w:rPr>
            </w:pPr>
          </w:p>
        </w:tc>
        <w:tc>
          <w:tcPr>
            <w:tcW w:w="840" w:type="dxa"/>
            <w:vAlign w:val="bottom"/>
            <w:tcBorders>
              <w:bottom w:val="single" w:sz="8" w:color="CCEECC"/>
            </w:tcBorders>
            <w:gridSpan w:val="2"/>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CC"/>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4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(110,055)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(58,417)</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(51,638)</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(303,339)</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(163,660)</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(139,679)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CEECC"/>
          </w:tcPr>
          <w:p>
            <w:pPr>
              <w:ind w:left="3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2,094</w:t>
            </w:r>
          </w:p>
        </w:tc>
        <w:tc>
          <w:tcPr>
            <w:tcW w:w="1060" w:type="dxa"/>
            <w:vAlign w:val="bottom"/>
            <w:gridSpan w:val="2"/>
            <w:shd w:val="clear" w:color="auto" w:fill="CCEECC"/>
          </w:tcPr>
          <w:p>
            <w:pPr>
              <w:jc w:val="right"/>
              <w:ind w:right="40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(3,441)</w:t>
            </w:r>
          </w:p>
        </w:tc>
        <w:tc>
          <w:tcPr>
            <w:tcW w:w="1200" w:type="dxa"/>
            <w:vAlign w:val="bottom"/>
            <w:gridSpan w:val="3"/>
            <w:shd w:val="clear" w:color="auto" w:fill="CCEECC"/>
          </w:tcPr>
          <w:p>
            <w:pPr>
              <w:jc w:val="right"/>
              <w:ind w:right="240"/>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CC"/>
          </w:tcPr>
          <w:p>
            <w:pPr>
              <w:spacing w:after="0"/>
              <w:rPr>
                <w:sz w:val="19"/>
                <w:szCs w:val="19"/>
                <w:color w:val="auto"/>
              </w:rPr>
            </w:pPr>
          </w:p>
        </w:tc>
        <w:tc>
          <w:tcPr>
            <w:tcW w:w="9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(4,327)</w:t>
            </w:r>
          </w:p>
        </w:tc>
        <w:tc>
          <w:tcPr>
            <w:tcW w:w="8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CCEECC"/>
            </w:tcBorders>
          </w:tcPr>
          <w:p>
            <w:pPr>
              <w:ind w:left="46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(108,705</w:t>
            </w:r>
          </w:p>
        </w:tc>
        <w:tc>
          <w:tcPr>
            <w:tcW w:w="180" w:type="dxa"/>
            <w:vAlign w:val="bottom"/>
            <w:tcBorders>
              <w:bottom w:val="single" w:sz="8" w:color="CCEECC"/>
            </w:tcBorders>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(59,161</w:t>
            </w:r>
          </w:p>
        </w:tc>
        <w:tc>
          <w:tcPr>
            <w:tcW w:w="300" w:type="dxa"/>
            <w:vAlign w:val="bottom"/>
            <w:tcBorders>
              <w:bottom w:val="single" w:sz="8" w:color="CCEECC"/>
            </w:tcBorders>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(49,544</w:t>
            </w:r>
          </w:p>
        </w:tc>
        <w:tc>
          <w:tcPr>
            <w:tcW w:w="300" w:type="dxa"/>
            <w:vAlign w:val="bottom"/>
            <w:tcBorders>
              <w:bottom w:val="single" w:sz="8" w:color="CCEECC"/>
            </w:tcBorders>
          </w:tcPr>
          <w:p>
            <w:pPr>
              <w:jc w:val="right"/>
              <w:ind w:right="160"/>
              <w:spacing w:after="0"/>
              <w:rPr>
                <w:sz w:val="20"/>
                <w:szCs w:val="20"/>
                <w:color w:val="auto"/>
              </w:rPr>
            </w:pPr>
            <w:r>
              <w:rPr>
                <w:rFonts w:ascii="Arial" w:cs="Arial" w:eastAsia="Arial" w:hAnsi="Arial"/>
                <w:sz w:val="16"/>
                <w:szCs w:val="16"/>
                <w:color w:val="auto"/>
                <w:w w:val="74"/>
              </w:rPr>
              <w:t>)</w:t>
            </w:r>
          </w:p>
        </w:tc>
        <w:tc>
          <w:tcPr>
            <w:tcW w:w="1060" w:type="dxa"/>
            <w:vAlign w:val="bottom"/>
            <w:tcBorders>
              <w:bottom w:val="single" w:sz="8" w:color="CCEECC"/>
            </w:tcBorders>
            <w:gridSpan w:val="2"/>
          </w:tcPr>
          <w:p>
            <w:pPr>
              <w:jc w:val="right"/>
              <w:ind w:right="400"/>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(306,780</w:t>
            </w:r>
          </w:p>
        </w:tc>
        <w:tc>
          <w:tcPr>
            <w:tcW w:w="180" w:type="dxa"/>
            <w:vAlign w:val="bottom"/>
            <w:tcBorders>
              <w:bottom w:val="single" w:sz="8" w:color="CCEECC"/>
            </w:tcBorders>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C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(162,774</w:t>
            </w:r>
          </w:p>
        </w:tc>
        <w:tc>
          <w:tcPr>
            <w:tcW w:w="320" w:type="dxa"/>
            <w:vAlign w:val="bottom"/>
            <w:tcBorders>
              <w:bottom w:val="single" w:sz="8" w:color="CCEECC"/>
            </w:tcBorders>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(144,006</w:t>
            </w:r>
          </w:p>
        </w:tc>
        <w:tc>
          <w:tcPr>
            <w:tcW w:w="300" w:type="dxa"/>
            <w:vAlign w:val="bottom"/>
            <w:tcBorders>
              <w:bottom w:val="single" w:sz="8" w:color="CCEECC"/>
            </w:tcBorders>
          </w:tcPr>
          <w:p>
            <w:pPr>
              <w:jc w:val="right"/>
              <w:ind w:right="160"/>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CCEECC"/>
            </w:tcBorders>
            <w:gridSpan w:val="2"/>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76,275</w:t>
            </w: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80,746</w:t>
            </w:r>
          </w:p>
        </w:tc>
        <w:tc>
          <w:tcPr>
            <w:tcW w:w="3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(4,471)</w:t>
            </w:r>
          </w:p>
        </w:tc>
        <w:tc>
          <w:tcPr>
            <w:tcW w:w="3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CC"/>
          </w:tcPr>
          <w:p>
            <w:pPr>
              <w:spacing w:after="0"/>
              <w:rPr>
                <w:sz w:val="18"/>
                <w:szCs w:val="18"/>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215,120</w:t>
            </w: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181,029</w:t>
            </w: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34,091</w:t>
            </w:r>
          </w:p>
        </w:tc>
        <w:tc>
          <w:tcPr>
            <w:tcW w:w="3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29,346</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(20,073)</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26,250</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65,447</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(39,197)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CC"/>
            </w:tcBorders>
            <w:shd w:val="clear" w:color="auto" w:fill="CCEECC"/>
          </w:tcPr>
          <w:p>
            <w:pPr>
              <w:ind w:left="1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6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67,002</w:t>
            </w:r>
          </w:p>
        </w:tc>
        <w:tc>
          <w:tcPr>
            <w:tcW w:w="1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6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51,400</w:t>
            </w:r>
          </w:p>
        </w:tc>
        <w:tc>
          <w:tcPr>
            <w:tcW w:w="3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6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15,602</w:t>
            </w:r>
          </w:p>
        </w:tc>
        <w:tc>
          <w:tcPr>
            <w:tcW w:w="300" w:type="dxa"/>
            <w:vAlign w:val="bottom"/>
            <w:tcBorders>
              <w:top w:val="single" w:sz="8" w:color="CCEECC"/>
            </w:tcBorders>
            <w:shd w:val="clear" w:color="auto" w:fill="CCEECC"/>
          </w:tcPr>
          <w:p>
            <w:pPr>
              <w:spacing w:after="0"/>
              <w:rPr>
                <w:sz w:val="18"/>
                <w:szCs w:val="18"/>
                <w:color w:val="auto"/>
              </w:rPr>
            </w:pPr>
          </w:p>
        </w:tc>
        <w:tc>
          <w:tcPr>
            <w:tcW w:w="1060" w:type="dxa"/>
            <w:vAlign w:val="bottom"/>
            <w:tcBorders>
              <w:top w:val="single" w:sz="8" w:color="CCEECC"/>
            </w:tcBorders>
            <w:gridSpan w:val="2"/>
            <w:shd w:val="clear" w:color="auto" w:fill="CCEECC"/>
          </w:tcPr>
          <w:p>
            <w:pPr>
              <w:jc w:val="right"/>
              <w:ind w:right="40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auto"/>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188,870</w:t>
            </w:r>
          </w:p>
        </w:tc>
        <w:tc>
          <w:tcPr>
            <w:tcW w:w="1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115,582</w:t>
            </w:r>
          </w:p>
        </w:tc>
        <w:tc>
          <w:tcPr>
            <w:tcW w:w="3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spacing w:after="0"/>
              <w:rPr>
                <w:sz w:val="18"/>
                <w:szCs w:val="18"/>
                <w:color w:val="auto"/>
              </w:rPr>
            </w:pPr>
          </w:p>
        </w:tc>
        <w:tc>
          <w:tcPr>
            <w:tcW w:w="6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73,288</w:t>
            </w:r>
          </w:p>
        </w:tc>
        <w:tc>
          <w:tcPr>
            <w:tcW w:w="300" w:type="dxa"/>
            <w:vAlign w:val="bottom"/>
            <w:tcBorders>
              <w:top w:val="single" w:sz="8" w:color="CCEECC"/>
            </w:tcBorders>
            <w:shd w:val="clear" w:color="auto" w:fill="CCEECC"/>
          </w:tcPr>
          <w:p>
            <w:pPr>
              <w:spacing w:after="0"/>
              <w:rPr>
                <w:sz w:val="18"/>
                <w:szCs w:val="18"/>
                <w:color w:val="auto"/>
              </w:rPr>
            </w:pPr>
          </w:p>
        </w:tc>
        <w:tc>
          <w:tcPr>
            <w:tcW w:w="840" w:type="dxa"/>
            <w:vAlign w:val="bottom"/>
            <w:tcBorders>
              <w:top w:val="single" w:sz="8" w:color="CCEECC"/>
            </w:tcBorders>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60"/>
              <w:spacing w:after="0"/>
              <w:rPr>
                <w:sz w:val="20"/>
                <w:szCs w:val="20"/>
                <w:color w:val="auto"/>
              </w:rPr>
            </w:pPr>
            <w:r>
              <w:rPr>
                <w:rFonts w:ascii="Arial" w:cs="Arial" w:eastAsia="Arial" w:hAnsi="Arial"/>
                <w:sz w:val="18"/>
                <w:szCs w:val="18"/>
                <w:color w:val="auto"/>
              </w:rPr>
              <w:t>Preferred stock dividends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(1,446)</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(4,450)</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(4,450)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CC"/>
          </w:tcPr>
          <w:p>
            <w:pPr>
              <w:ind w:left="460"/>
              <w:spacing w:after="0" w:line="201" w:lineRule="exact"/>
              <w:rPr>
                <w:sz w:val="20"/>
                <w:szCs w:val="20"/>
                <w:color w:val="auto"/>
              </w:rPr>
            </w:pPr>
            <w:r>
              <w:rPr>
                <w:rFonts w:ascii="Arial" w:cs="Arial" w:eastAsia="Arial" w:hAnsi="Arial"/>
                <w:sz w:val="18"/>
                <w:szCs w:val="18"/>
                <w:color w:val="auto"/>
              </w:rPr>
              <w:t>Deemed dividend related to</w:t>
            </w:r>
          </w:p>
        </w:tc>
        <w:tc>
          <w:tcPr>
            <w:tcW w:w="1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7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76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CC"/>
          </w:tcPr>
          <w:p>
            <w:pPr>
              <w:ind w:left="620"/>
              <w:spacing w:after="0"/>
              <w:rPr>
                <w:sz w:val="20"/>
                <w:szCs w:val="20"/>
                <w:color w:val="auto"/>
              </w:rPr>
            </w:pPr>
            <w:r>
              <w:rPr>
                <w:rFonts w:ascii="Arial" w:cs="Arial" w:eastAsia="Arial" w:hAnsi="Arial"/>
                <w:sz w:val="18"/>
                <w:szCs w:val="18"/>
                <w:color w:val="auto"/>
                <w:w w:val="97"/>
              </w:rPr>
              <w:t>beneficial conversion feature</w:t>
            </w:r>
          </w:p>
        </w:tc>
        <w:tc>
          <w:tcPr>
            <w:tcW w:w="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40" w:type="dxa"/>
            <w:vAlign w:val="bottom"/>
            <w:gridSpan w:val="2"/>
            <w:vMerge w:val="restart"/>
            <w:shd w:val="clear" w:color="auto" w:fill="CCEECC"/>
          </w:tcPr>
          <w:p>
            <w:pPr>
              <w:jc w:val="right"/>
              <w:ind w:right="40"/>
              <w:spacing w:after="0"/>
              <w:rPr>
                <w:sz w:val="20"/>
                <w:szCs w:val="20"/>
                <w:color w:val="auto"/>
              </w:rPr>
            </w:pPr>
            <w:r>
              <w:rPr>
                <w:rFonts w:ascii="Arial" w:cs="Arial" w:eastAsia="Arial" w:hAnsi="Arial"/>
                <w:sz w:val="18"/>
                <w:szCs w:val="18"/>
                <w:color w:val="auto"/>
              </w:rPr>
              <w:t>(4,401)</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gridSpan w:val="2"/>
            <w:vMerge w:val="restart"/>
            <w:shd w:val="clear" w:color="auto" w:fill="CCEECC"/>
          </w:tcPr>
          <w:p>
            <w:pPr>
              <w:jc w:val="right"/>
              <w:ind w:right="160"/>
              <w:spacing w:after="0"/>
              <w:rPr>
                <w:sz w:val="20"/>
                <w:szCs w:val="20"/>
                <w:color w:val="auto"/>
              </w:rPr>
            </w:pPr>
            <w:r>
              <w:rPr>
                <w:rFonts w:ascii="Arial" w:cs="Arial" w:eastAsia="Arial" w:hAnsi="Arial"/>
                <w:sz w:val="18"/>
                <w:szCs w:val="18"/>
                <w:color w:val="auto"/>
              </w:rPr>
              <w:t>(4,401)</w:t>
            </w:r>
          </w:p>
        </w:tc>
        <w:tc>
          <w:tcPr>
            <w:tcW w:w="660" w:type="dxa"/>
            <w:vAlign w:val="bottom"/>
            <w:shd w:val="clear" w:color="auto" w:fill="CCEECC"/>
          </w:tcPr>
          <w:p>
            <w:pPr>
              <w:spacing w:after="0"/>
              <w:rPr>
                <w:sz w:val="18"/>
                <w:szCs w:val="18"/>
                <w:color w:val="auto"/>
              </w:rPr>
            </w:pPr>
          </w:p>
        </w:tc>
        <w:tc>
          <w:tcPr>
            <w:tcW w:w="4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40" w:type="dxa"/>
            <w:vAlign w:val="bottom"/>
            <w:gridSpan w:val="2"/>
            <w:vMerge w:val="restart"/>
            <w:shd w:val="clear" w:color="auto" w:fill="CCEECC"/>
          </w:tcPr>
          <w:p>
            <w:pPr>
              <w:jc w:val="right"/>
              <w:ind w:right="40"/>
              <w:spacing w:after="0"/>
              <w:rPr>
                <w:sz w:val="20"/>
                <w:szCs w:val="20"/>
                <w:color w:val="auto"/>
              </w:rPr>
            </w:pPr>
            <w:r>
              <w:rPr>
                <w:rFonts w:ascii="Arial" w:cs="Arial" w:eastAsia="Arial" w:hAnsi="Arial"/>
                <w:sz w:val="18"/>
                <w:szCs w:val="18"/>
                <w:color w:val="auto"/>
              </w:rPr>
              <w:t>(6,573)</w:t>
            </w:r>
          </w:p>
        </w:tc>
        <w:tc>
          <w:tcPr>
            <w:tcW w:w="12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60" w:type="dxa"/>
            <w:vAlign w:val="bottom"/>
            <w:gridSpan w:val="2"/>
            <w:vMerge w:val="restart"/>
            <w:shd w:val="clear" w:color="auto" w:fill="CCEECC"/>
          </w:tcPr>
          <w:p>
            <w:pPr>
              <w:jc w:val="right"/>
              <w:ind w:right="160"/>
              <w:spacing w:after="0"/>
              <w:rPr>
                <w:sz w:val="20"/>
                <w:szCs w:val="20"/>
                <w:color w:val="auto"/>
              </w:rPr>
            </w:pPr>
            <w:r>
              <w:rPr>
                <w:rFonts w:ascii="Arial" w:cs="Arial" w:eastAsia="Arial" w:hAnsi="Arial"/>
                <w:sz w:val="18"/>
                <w:szCs w:val="18"/>
                <w:color w:val="auto"/>
              </w:rPr>
              <w:t>(6,573)</w:t>
            </w:r>
          </w:p>
        </w:tc>
        <w:tc>
          <w:tcPr>
            <w:tcW w:w="6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CC"/>
          </w:tcPr>
          <w:p>
            <w:pPr>
              <w:ind w:left="620"/>
              <w:spacing w:after="0"/>
              <w:rPr>
                <w:sz w:val="20"/>
                <w:szCs w:val="20"/>
                <w:color w:val="auto"/>
              </w:rPr>
            </w:pPr>
            <w:r>
              <w:rPr>
                <w:rFonts w:ascii="Arial" w:cs="Arial" w:eastAsia="Arial" w:hAnsi="Arial"/>
                <w:sz w:val="18"/>
                <w:szCs w:val="18"/>
                <w:color w:val="auto"/>
              </w:rPr>
              <w:t>of preferred stock</w:t>
            </w:r>
          </w:p>
        </w:tc>
        <w:tc>
          <w:tcPr>
            <w:tcW w:w="1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840" w:type="dxa"/>
            <w:vAlign w:val="bottom"/>
            <w:gridSpan w:val="2"/>
            <w:vMerge w:val="continue"/>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20"/>
                <w:szCs w:val="20"/>
                <w:color w:val="auto"/>
              </w:rPr>
            </w:pPr>
          </w:p>
        </w:tc>
        <w:tc>
          <w:tcPr>
            <w:tcW w:w="920" w:type="dxa"/>
            <w:vAlign w:val="bottom"/>
            <w:gridSpan w:val="2"/>
            <w:vMerge w:val="continue"/>
            <w:shd w:val="clear" w:color="auto" w:fill="CCEECC"/>
          </w:tcPr>
          <w:p>
            <w:pPr>
              <w:spacing w:after="0"/>
              <w:rPr>
                <w:sz w:val="20"/>
                <w:szCs w:val="20"/>
                <w:color w:val="auto"/>
              </w:rPr>
            </w:pPr>
          </w:p>
        </w:tc>
        <w:tc>
          <w:tcPr>
            <w:tcW w:w="1060" w:type="dxa"/>
            <w:vAlign w:val="bottom"/>
            <w:gridSpan w:val="2"/>
            <w:shd w:val="clear" w:color="auto" w:fill="CCEECC"/>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20"/>
                <w:szCs w:val="20"/>
                <w:color w:val="auto"/>
              </w:rPr>
            </w:pPr>
          </w:p>
        </w:tc>
        <w:tc>
          <w:tcPr>
            <w:tcW w:w="940" w:type="dxa"/>
            <w:vAlign w:val="bottom"/>
            <w:gridSpan w:val="2"/>
            <w:vMerge w:val="continue"/>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20"/>
                <w:szCs w:val="20"/>
                <w:color w:val="auto"/>
              </w:rPr>
            </w:pPr>
          </w:p>
        </w:tc>
        <w:tc>
          <w:tcPr>
            <w:tcW w:w="960" w:type="dxa"/>
            <w:vAlign w:val="bottom"/>
            <w:gridSpan w:val="2"/>
            <w:vMerge w:val="continue"/>
            <w:shd w:val="clear" w:color="auto" w:fill="CCEECC"/>
          </w:tcPr>
          <w:p>
            <w:pPr>
              <w:spacing w:after="0"/>
              <w:rPr>
                <w:sz w:val="20"/>
                <w:szCs w:val="20"/>
                <w:color w:val="auto"/>
              </w:rPr>
            </w:pPr>
          </w:p>
        </w:tc>
        <w:tc>
          <w:tcPr>
            <w:tcW w:w="8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80" w:type="dxa"/>
            <w:vAlign w:val="bottom"/>
          </w:tcPr>
          <w:p>
            <w:pPr>
              <w:ind w:left="140"/>
              <w:spacing w:after="0" w:line="182" w:lineRule="exact"/>
              <w:rPr>
                <w:sz w:val="20"/>
                <w:szCs w:val="20"/>
                <w:color w:val="auto"/>
              </w:rPr>
            </w:pPr>
            <w:r>
              <w:rPr>
                <w:rFonts w:ascii="Arial" w:cs="Arial" w:eastAsia="Arial" w:hAnsi="Arial"/>
                <w:sz w:val="18"/>
                <w:szCs w:val="18"/>
                <w:color w:val="auto"/>
              </w:rPr>
              <w:t>Net income attributable to Ocwen</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tcPr>
          <w:p>
            <w:pPr>
              <w:ind w:left="300"/>
              <w:spacing w:after="0"/>
              <w:rPr>
                <w:sz w:val="20"/>
                <w:szCs w:val="20"/>
                <w:color w:val="auto"/>
              </w:rPr>
            </w:pPr>
            <w:r>
              <w:rPr>
                <w:rFonts w:ascii="Arial" w:cs="Arial" w:eastAsia="Arial" w:hAnsi="Arial"/>
                <w:sz w:val="18"/>
                <w:szCs w:val="18"/>
                <w:color w:val="auto"/>
              </w:rPr>
              <w:t>common stockholders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61,155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51,400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9,755</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177,847</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$ 115,582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62,265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8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4"/>
              </w:rPr>
              <w:t>Segment income (loss) before income</w:t>
            </w:r>
          </w:p>
        </w:tc>
        <w:tc>
          <w:tcPr>
            <w:tcW w:w="1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76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76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40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76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760" w:type="dxa"/>
            <w:vAlign w:val="bottom"/>
            <w:shd w:val="clear" w:color="auto" w:fill="CCEECC"/>
          </w:tcPr>
          <w:p>
            <w:pPr>
              <w:spacing w:after="0"/>
              <w:rPr>
                <w:sz w:val="20"/>
                <w:szCs w:val="20"/>
                <w:color w:val="auto"/>
              </w:rPr>
            </w:pPr>
          </w:p>
        </w:tc>
        <w:tc>
          <w:tcPr>
            <w:tcW w:w="3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60"/>
              <w:spacing w:after="0"/>
              <w:rPr>
                <w:sz w:val="20"/>
                <w:szCs w:val="20"/>
                <w:color w:val="auto"/>
              </w:rPr>
            </w:pPr>
            <w:r>
              <w:rPr>
                <w:rFonts w:ascii="Arial" w:cs="Arial" w:eastAsia="Arial" w:hAnsi="Arial"/>
                <w:sz w:val="18"/>
                <w:szCs w:val="18"/>
                <w:color w:val="auto"/>
              </w:rPr>
              <w:t>Servicing</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78,028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84,254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(6,226)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263,267</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$ 191,133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72,134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CC"/>
          </w:tcPr>
          <w:p>
            <w:pPr>
              <w:ind w:left="460"/>
              <w:spacing w:after="0"/>
              <w:rPr>
                <w:sz w:val="20"/>
                <w:szCs w:val="20"/>
                <w:color w:val="auto"/>
              </w:rPr>
            </w:pPr>
            <w:r>
              <w:rPr>
                <w:rFonts w:ascii="Arial" w:cs="Arial" w:eastAsia="Arial" w:hAnsi="Arial"/>
                <w:sz w:val="18"/>
                <w:szCs w:val="18"/>
                <w:color w:val="auto"/>
              </w:rPr>
              <w:t>Lending</w:t>
            </w:r>
          </w:p>
        </w:tc>
        <w:tc>
          <w:tcPr>
            <w:tcW w:w="1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5,665</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5,665</w:t>
            </w:r>
          </w:p>
        </w:tc>
        <w:tc>
          <w:tcPr>
            <w:tcW w:w="1060" w:type="dxa"/>
            <w:vAlign w:val="bottom"/>
            <w:gridSpan w:val="2"/>
            <w:shd w:val="clear" w:color="auto" w:fill="CCEECC"/>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20,813</w:t>
            </w: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20,813</w:t>
            </w:r>
          </w:p>
        </w:tc>
        <w:tc>
          <w:tcPr>
            <w:tcW w:w="8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460"/>
              <w:spacing w:after="0"/>
              <w:rPr>
                <w:sz w:val="20"/>
                <w:szCs w:val="20"/>
                <w:color w:val="auto"/>
              </w:rPr>
            </w:pPr>
            <w:r>
              <w:rPr>
                <w:rFonts w:ascii="Arial" w:cs="Arial" w:eastAsia="Arial" w:hAnsi="Arial"/>
                <w:sz w:val="18"/>
                <w:szCs w:val="18"/>
                <w:color w:val="auto"/>
              </w:rPr>
              <w:t>Corporate Items and Other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(7,418)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(3,508)</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(3,910)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(68,960)</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(10,104)</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(58,856)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76,275</w:t>
            </w: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80,746</w:t>
            </w:r>
          </w:p>
        </w:tc>
        <w:tc>
          <w:tcPr>
            <w:tcW w:w="30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(4,471</w:t>
            </w:r>
          </w:p>
        </w:tc>
        <w:tc>
          <w:tcPr>
            <w:tcW w:w="300" w:type="dxa"/>
            <w:vAlign w:val="bottom"/>
            <w:tcBorders>
              <w:top w:val="single" w:sz="8" w:color="CCEECC"/>
              <w:bottom w:val="single" w:sz="8" w:color="CCEECC"/>
            </w:tcBorders>
            <w:shd w:val="clear" w:color="auto" w:fill="CCEECC"/>
          </w:tcPr>
          <w:p>
            <w:pPr>
              <w:jc w:val="right"/>
              <w:ind w:right="160"/>
              <w:spacing w:after="0"/>
              <w:rPr>
                <w:sz w:val="20"/>
                <w:szCs w:val="20"/>
                <w:color w:val="auto"/>
              </w:rPr>
            </w:pPr>
            <w:r>
              <w:rPr>
                <w:rFonts w:ascii="Arial" w:cs="Arial" w:eastAsia="Arial" w:hAnsi="Arial"/>
                <w:sz w:val="16"/>
                <w:szCs w:val="16"/>
                <w:color w:val="auto"/>
                <w:w w:val="74"/>
              </w:rPr>
              <w:t>)</w:t>
            </w:r>
          </w:p>
        </w:tc>
        <w:tc>
          <w:tcPr>
            <w:tcW w:w="1060" w:type="dxa"/>
            <w:vAlign w:val="bottom"/>
            <w:tcBorders>
              <w:top w:val="single" w:sz="8" w:color="CCEECC"/>
              <w:bottom w:val="single" w:sz="8" w:color="CCEECC"/>
            </w:tcBorders>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215,120</w:t>
            </w: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2"/>
              </w:rPr>
              <w:t>$ 181,029</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34,091</w:t>
            </w:r>
          </w:p>
        </w:tc>
        <w:tc>
          <w:tcPr>
            <w:tcW w:w="300" w:type="dxa"/>
            <w:vAlign w:val="bottom"/>
            <w:tcBorders>
              <w:top w:val="single" w:sz="8" w:color="CCEECC"/>
              <w:bottom w:val="single" w:sz="8" w:color="CCEECC"/>
            </w:tcBorders>
            <w:shd w:val="clear" w:color="auto" w:fill="CCEECC"/>
          </w:tcPr>
          <w:p>
            <w:pPr>
              <w:spacing w:after="0"/>
              <w:rPr>
                <w:sz w:val="19"/>
                <w:szCs w:val="19"/>
                <w:color w:val="auto"/>
              </w:rPr>
            </w:pPr>
          </w:p>
        </w:tc>
        <w:tc>
          <w:tcPr>
            <w:tcW w:w="840" w:type="dxa"/>
            <w:vAlign w:val="bottom"/>
            <w:tcBorders>
              <w:top w:val="single" w:sz="8" w:color="CCEECC"/>
              <w:bottom w:val="single" w:sz="8" w:color="CCEECC"/>
            </w:tcBorders>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b w:val="1"/>
          <w:bCs w:val="1"/>
          <w:color w:val="auto"/>
        </w:rPr>
        <w:t xml:space="preserve">Three Months Ended September 30, 2013 versus September 30, 2012. </w:t>
      </w:r>
      <w:r>
        <w:rPr>
          <w:rFonts w:ascii="Arial" w:cs="Arial" w:eastAsia="Arial" w:hAnsi="Arial"/>
          <w:sz w:val="16"/>
          <w:szCs w:val="16"/>
          <w:color w:val="auto"/>
        </w:rPr>
        <w:t>Servicing and subservicing fee revenues for the three months ended September</w:t>
      </w:r>
      <w:r>
        <w:rPr>
          <w:rFonts w:ascii="Arial" w:cs="Arial" w:eastAsia="Arial" w:hAnsi="Arial"/>
          <w:sz w:val="16"/>
          <w:szCs w:val="16"/>
          <w:b w:val="1"/>
          <w:bCs w:val="1"/>
          <w:color w:val="auto"/>
        </w:rPr>
        <w:t xml:space="preserve"> </w:t>
      </w:r>
      <w:r>
        <w:rPr>
          <w:rFonts w:ascii="Arial" w:cs="Arial" w:eastAsia="Arial" w:hAnsi="Arial"/>
          <w:sz w:val="16"/>
          <w:szCs w:val="16"/>
          <w:color w:val="auto"/>
        </w:rPr>
        <w:t>30, 2013 were higher than the three months ended September 30, 2012 primarily as a result of a 234% increase in the average UPB of our total residential servicing portfolio. The Homeward and ResCap Acquisitions and the Ally and OneWest MSR Transactions drove the 234% increase in the average size of the total residential portfolio as compared to the third quarter of 2012. The increase in servicing revenue resulting from the increase in the average UPB of the residential portfolio was offset in part by the effects of changes in the portfolio mix, with a larger proportion attributed to Agency loans and to subservicing. Agency servicing fees are typically lower than Non-Agency servicing fees, and we generally earn lower fees in connection with subservicing contracts versus servicing contracts. Lower fees earned under subservicing contracts are offset by lower interest expense on advance financing. The combined servicing and subservicing fee revenues generated by the Homeward, ResCap, Ally and OneWest portfolios during the third quarter of 2013 were $239.0 million.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ind w:firstLine="324"/>
        <w:spacing w:after="0" w:line="272" w:lineRule="auto"/>
        <w:rPr>
          <w:sz w:val="20"/>
          <w:szCs w:val="20"/>
          <w:color w:val="auto"/>
        </w:rPr>
      </w:pPr>
      <w:r>
        <w:rPr>
          <w:rFonts w:ascii="Arial" w:cs="Arial" w:eastAsia="Arial" w:hAnsi="Arial"/>
          <w:sz w:val="17"/>
          <w:szCs w:val="17"/>
          <w:color w:val="auto"/>
        </w:rPr>
        <w:t>Gain on sale of residential mortgage loans from our originations platforms, acquired as part of the Homeward and Liberty Acquisitions, reflected a strong pipeline coming into the quarter and higher conversion rates as borrowers reacted to rising mortgage rates. Margins on new originations were strong for most of the quarter. Gain on sale generated by the Homeward and Liberty platforms during the third quarter of 2013 were $17.0 million and $7.6 million, respectively. Liberty issued $206.7 million of Ginnie Mae reverse mortgage backed securities during the third quarter of 2013. As servicer, we are obligated to repurchase loans from Ginnie Mae guaranteed securitizations in order to complete a modification. Once the modification is completed, we pool the loans into new Ginnie Mae guaranteed securitizations at the then prevailing market value. We recorded $4.1 million in gains on the sale of the repurchased loans of $294.2 million of UPB during the quarter ended September 30, 2013.</w:t>
      </w:r>
    </w:p>
    <w:p>
      <w:pPr>
        <w:spacing w:after="0" w:line="13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Other revenues for the three months ended September 30, 2013 were higher than the three months ended September 30, 2012 primarily as a result of $8.7 million in loan origination revenues from our lending platforms.</w:t>
      </w:r>
    </w:p>
    <w:p>
      <w:pPr>
        <w:spacing w:after="0" w:line="14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Operating expenses for the three months ended September 30, 2013 increased as compared to the three months ended September 30, 2012 in part as a result of the Homeward, ResCap and Liberty Acquisitions which added $202.6 million of total operating expenses in the third quarter of 2013. In addition, operating expenses for the three months ended September 30, 2013 include transition costs related to moving loans from the ResCap platform onto Ocwen’s platform and ramp-up expenses for the OneWest transfer.</w:t>
      </w:r>
    </w:p>
    <w:p>
      <w:pPr>
        <w:spacing w:after="0" w:line="14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Other expense, net for the three months ended September 30, 2013 increased as compared to the three months ended September 30, 2012 primarily as a result of an increase in interest expense. The increase in interest expense was driven principally by the increase in interest on the financing liabilities that we have recognized in connection with the HLSS Transactions. This financing liability has increased from an average of $92.3 million in the third quarter of 2012 to an average of $661.2 million in the third quarter of 2013. The proceeds from the HLSS Transactions have allowed us to repay a substantial part of the borrowing incurred to finance the Homeward and ResCap Acquisitions and the Ally MSR Transaction and have provided a significant part of the financing to date for the OneWest MSR Transaction.</w:t>
      </w:r>
    </w:p>
    <w:p>
      <w:pPr>
        <w:spacing w:after="0" w:line="15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Consistent with our capital strategy, we expect to continue to sell rights to acquired and originated MSRs and the related servicing advances to HLSS. In the third quarter of 2013, we used the proceeds received in connection with the HLSS Transaction completed July 1 to reduce related match funded liabilities by $1.8 billion. Interest expense in connection with borrowings to fund servicing advances declined in the third quarter of 2013 as compared to the third quarter of 2012 as a result of sales of servicing advances to HLSS during the past year and the resulting payoff of advance financing facilities. However, the early repayment of our advance financing facilities resulted in our writing off to Interest expense $6.0 million of deferred financing costs associated with those facilities. We also wrote off to Other, net, $4.1 million of deferred loss on cash flow hedges relating to our advance financing facilities.</w:t>
      </w:r>
    </w:p>
    <w:p>
      <w:pPr>
        <w:spacing w:after="0" w:line="13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b w:val="1"/>
          <w:bCs w:val="1"/>
          <w:color w:val="auto"/>
        </w:rPr>
        <w:t xml:space="preserve">Nine Months Ended September 30, 2013 versus September 30, 2012. </w:t>
      </w:r>
      <w:r>
        <w:rPr>
          <w:rFonts w:ascii="Arial" w:cs="Arial" w:eastAsia="Arial" w:hAnsi="Arial"/>
          <w:sz w:val="17"/>
          <w:szCs w:val="17"/>
          <w:color w:val="auto"/>
        </w:rPr>
        <w:t>Servicing and subservicing fee revenues for the nine months ended September</w:t>
      </w:r>
      <w:r>
        <w:rPr>
          <w:rFonts w:ascii="Arial" w:cs="Arial" w:eastAsia="Arial" w:hAnsi="Arial"/>
          <w:sz w:val="17"/>
          <w:szCs w:val="17"/>
          <w:b w:val="1"/>
          <w:bCs w:val="1"/>
          <w:color w:val="auto"/>
        </w:rPr>
        <w:t xml:space="preserve"> </w:t>
      </w:r>
      <w:r>
        <w:rPr>
          <w:rFonts w:ascii="Arial" w:cs="Arial" w:eastAsia="Arial" w:hAnsi="Arial"/>
          <w:sz w:val="17"/>
          <w:szCs w:val="17"/>
          <w:color w:val="auto"/>
        </w:rPr>
        <w:t>30, 2013 were higher than for the nine months ended September 30, 2012 primarily as a result of a 256% increase in the average UPB of our residential servicing portfolio. Gains on sales of residential mortgage loans and origination revenues from our lending operations were $49.7 million and $30.9 million, respectively, for the nine months ended September 30, 2013. Gains on sales of modified FHA and VA insured loans into Ginnie Mae guaranteed securitizations were $20.3 million for the nine months ended September 30, 2013. The increase in revenues was offset in part by a decrease in the portfolio mix of servicing versus subservicing. Interest expense increased by 85% principally because of the increase in the HLSS financing liabilities and the increase in SSTL borrowings offset by a decline in match funded liabilities and a decline in the interest rate on the SSTL. Operating expenses and Other expense, net increased similarly, primarily as a result of the Homeward, ResCap, Liberty and OneWest transactions. In addition, we recorded a charge of $52.8 million during the second quarter of 2013 in connection with our ongoing discussions with the MMC, CFPB and state Attorneys General in connection with certain foreclosure related matters. See the Regulatory Contingencies section of Note 25 – Commitments and Contingencies for additional information regarding this matter.</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Although income before income taxes for the nine months ended September 30, 2013 increased by $34.1 million as compared to the nine months ended September 30, 2012, income tax expense declined by $39.2 million as our estimated effective tax rate for 2013 declined to 12.2% as compared to 36.2% for the comparable 2012 period. Income tax provisions for interim periods are based on estimated annual income taxes calculated separately from the effect of significant, infrequent or unusual items. Income tax expense on income before income taxes differs from amounts that would be computed by applying the U.S. Federal corporate income tax rate of 35% primarily because of the effect of foreign taxes and foreign tax rates, foreign income with an indefinite deferral from U.S. taxation, losses from consolidated VIEs, state taxes and changes in the liability for selected tax items. Our effective tax rate for 2013 is lower than the U.S. Federal corporate income tax rate of 35% primarily because of lower tax rates on our operations in the USVI. As part of an initiative to consolidate the ownership and management of all of our global servicing assets and operations under a single entity, Ocwen formed OMS in 2012 under the laws of the USVI where OMS has its principal place of business. OMS is located in a federally recognized economic development zone and effective October 1, 2012 became eligible for certain benefits which have a favorable impact on our effective tax rate. Our actual effective tax rate in the future will vary depending on the mix of U.S. and foreign assets and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18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balance sheet has grown as a result of the ResCap Acquisition and the Ally and OneWest MSR Transactions, partially offset by the HLSS Transactions completed during the period. The following table summarizes our consolidated balance sheet at the dates indicated. We provide a more complete discussion of our consolidated balance sheet in the Segments section.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20" w:type="dxa"/>
            <w:vAlign w:val="bottom"/>
            <w:gridSpan w:val="4"/>
          </w:tcPr>
          <w:p>
            <w:pPr>
              <w:ind w:left="7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40" w:type="dxa"/>
            <w:vAlign w:val="bottom"/>
            <w:tcBorders>
              <w:bottom w:val="single" w:sz="8" w:color="CCEECC"/>
            </w:tcBorders>
          </w:tcPr>
          <w:p>
            <w:pPr>
              <w:spacing w:after="0"/>
              <w:rPr>
                <w:sz w:val="20"/>
                <w:szCs w:val="20"/>
                <w:color w:val="auto"/>
              </w:rPr>
            </w:pPr>
          </w:p>
        </w:tc>
        <w:tc>
          <w:tcPr>
            <w:tcW w:w="70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CEECC"/>
            </w:tcBorders>
          </w:tcPr>
          <w:p>
            <w:pPr>
              <w:spacing w:after="0"/>
              <w:rPr>
                <w:sz w:val="20"/>
                <w:szCs w:val="20"/>
                <w:color w:val="auto"/>
              </w:rPr>
            </w:pPr>
          </w:p>
        </w:tc>
        <w:tc>
          <w:tcPr>
            <w:tcW w:w="24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Change</w:t>
            </w:r>
          </w:p>
        </w:tc>
        <w:tc>
          <w:tcPr>
            <w:tcW w:w="460" w:type="dxa"/>
            <w:vAlign w:val="bottom"/>
            <w:tcBorders>
              <w:bottom w:val="single" w:sz="8" w:color="CCEECC"/>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Cash</w:t>
            </w: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357,486</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220,130</w:t>
            </w:r>
          </w:p>
        </w:tc>
        <w:tc>
          <w:tcPr>
            <w:tcW w:w="2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137,356</w:t>
            </w:r>
          </w:p>
        </w:tc>
        <w:tc>
          <w:tcPr>
            <w:tcW w:w="46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Loans held for sale, at fair value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335,102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426,480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(91,378)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Advances and match funded advances</w:t>
            </w: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1,480,012</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3,233,707</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w w:val="89"/>
              </w:rPr>
              <w:t>(1,753,695)</w:t>
            </w:r>
          </w:p>
        </w:tc>
        <w:tc>
          <w:tcPr>
            <w:tcW w:w="12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Mortgage servicing rights, at amortized cost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1,736,943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678,937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1,058,006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Mortgage servicing rights, at fair value</w:t>
            </w: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96,938</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85,213</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11,725</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93,343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92,136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1,207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407,620</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412,866</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(5,246)</w:t>
            </w:r>
          </w:p>
        </w:tc>
        <w:tc>
          <w:tcPr>
            <w:tcW w:w="12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Debt service accounts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45,462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88,748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(43,286)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758,774</w:t>
            </w:r>
          </w:p>
        </w:tc>
        <w:tc>
          <w:tcPr>
            <w:tcW w:w="22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444,538</w:t>
            </w:r>
          </w:p>
        </w:tc>
        <w:tc>
          <w:tcPr>
            <w:tcW w:w="24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24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314,236</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5,311,680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5,682,755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(371,075</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Match funded liabilities</w:t>
            </w:r>
          </w:p>
        </w:tc>
        <w:tc>
          <w:tcPr>
            <w:tcW w:w="920" w:type="dxa"/>
            <w:vAlign w:val="bottom"/>
            <w:gridSpan w:val="2"/>
            <w:shd w:val="clear" w:color="auto" w:fill="CCEECC"/>
          </w:tcPr>
          <w:p>
            <w:pPr>
              <w:ind w:left="7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363,012</w:t>
            </w:r>
          </w:p>
        </w:tc>
        <w:tc>
          <w:tcPr>
            <w:tcW w:w="440" w:type="dxa"/>
            <w:vAlign w:val="bottom"/>
            <w:gridSpan w:val="2"/>
            <w:shd w:val="clear" w:color="auto" w:fill="CCEECC"/>
          </w:tcPr>
          <w:p>
            <w:pPr>
              <w:jc w:val="right"/>
              <w:ind w:right="6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2,532,745</w:t>
            </w:r>
          </w:p>
        </w:tc>
        <w:tc>
          <w:tcPr>
            <w:tcW w:w="460" w:type="dxa"/>
            <w:vAlign w:val="bottom"/>
            <w:gridSpan w:val="2"/>
            <w:shd w:val="clear" w:color="auto" w:fill="CCEECC"/>
          </w:tcPr>
          <w:p>
            <w:pPr>
              <w:jc w:val="right"/>
              <w:ind w:right="61"/>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w w:val="89"/>
              </w:rPr>
              <w:t>(2,169,733)</w:t>
            </w: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borrowings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2,592,591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1,096,679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1,495,912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554,708</w:t>
            </w:r>
          </w:p>
        </w:tc>
        <w:tc>
          <w:tcPr>
            <w:tcW w:w="22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288,537</w:t>
            </w:r>
          </w:p>
        </w:tc>
        <w:tc>
          <w:tcPr>
            <w:tcW w:w="24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24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266,171</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3,510,311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3,917,961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(407,650)</w:t>
            </w: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Mezzanine equity</w:t>
            </w:r>
          </w:p>
        </w:tc>
        <w:tc>
          <w:tcPr>
            <w:tcW w:w="7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10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59,945</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153,372</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4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(93,427)</w:t>
            </w:r>
          </w:p>
        </w:tc>
        <w:tc>
          <w:tcPr>
            <w:tcW w:w="12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Total stockholders’ equity</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1,741,424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1,611,422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130,002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liabilities, mezzanine equity and stockholders’ equity</w:t>
            </w:r>
          </w:p>
        </w:tc>
        <w:tc>
          <w:tcPr>
            <w:tcW w:w="70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5,311,680</w:t>
            </w: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5,682,755</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(371,075</w:t>
            </w:r>
          </w:p>
        </w:tc>
        <w:tc>
          <w:tcPr>
            <w:tcW w:w="460" w:type="dxa"/>
            <w:vAlign w:val="bottom"/>
            <w:tcBorders>
              <w:top w:val="single" w:sz="8" w:color="CCEECC"/>
              <w:bottom w:val="single" w:sz="8" w:color="CCEECC"/>
            </w:tcBorders>
            <w:shd w:val="clear" w:color="auto" w:fill="CCEECC"/>
          </w:tcPr>
          <w:p>
            <w:pPr>
              <w:jc w:val="right"/>
              <w:ind w:right="320"/>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CCEECC"/>
              <w:bottom w:val="single" w:sz="8" w:color="CCEECC"/>
            </w:tcBorders>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6"/>
          <w:szCs w:val="16"/>
          <w:color w:val="auto"/>
        </w:rPr>
        <w:t>Loans held for sale, at fair value declined as sales and transfers to the loans held for investment portfolio more than offset new origination volume for the period and the loans acquired in the Liberty Acquisition. Collections and the sale of advances and match funded advances to HLSS more than offset advances and match funded advances acquired in connection with the ResCap Acquisition and the Ally and OneWest MSR Transactions. MSRs increased as a result of the ResCap Acquisition, the Ally and OneWest MSR Transactions and the MSRs generated from our lending activities during the period, net of MSR sales.</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decrease in goodwill is attributable to the derecognition of goodwill assigned to the Homeward diversified fee-based business that we sold to Altisource during the period offset in part by the ResCap Acquisition.</w:t>
      </w:r>
    </w:p>
    <w:p>
      <w:pPr>
        <w:spacing w:after="0" w:line="143"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Match funded liabilities decreased as repayments from advance collections and from reductions as a result of sales of advances to HLSS more than offset new borrowings to finance the advances acquired in the ResCap Acquisition and the Ally MSR Transaction. Other borrowings increased as a result of:</w:t>
      </w:r>
    </w:p>
    <w:p>
      <w:pPr>
        <w:spacing w:after="0" w:line="9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new SSTL facility used to finance the ResCap Acquisition, partially offset by the repayment of the previous SSTL facility,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increase in the financing liability that we recognize in connection with the sale of Rights to MSRs to HLSS,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paydown of warehouse lines used to fund our lending business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repayment of the $75.0 million unsecured loan from Altisource.</w:t>
      </w:r>
    </w:p>
    <w:p>
      <w:pPr>
        <w:spacing w:after="0" w:line="18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Other liabilities increased largely as a result of origination representation and warranty and timeline and other penalties in connection with servicing performance against investor standards and liabilities recorded in connection with potential legal and regulatory settlements, including the potential settlement in connection with certain foreclosure related matters.</w:t>
      </w:r>
    </w:p>
    <w:p>
      <w:pPr>
        <w:spacing w:after="0" w:line="14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Mezzanine equity declined primarily in connection with the conversion of 100,000 of the 162,000 outstanding shares of Series A Perpetual Convertible Preferred stock in September. We repurchased the 3,145,640 shares of common stock issued upon conversion.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Summary</w:t>
      </w:r>
    </w:p>
    <w:p>
      <w:pPr>
        <w:spacing w:after="0" w:line="189" w:lineRule="exact"/>
        <w:rPr>
          <w:sz w:val="20"/>
          <w:szCs w:val="20"/>
          <w:color w:val="auto"/>
        </w:rPr>
      </w:pPr>
    </w:p>
    <w:p>
      <w:pPr>
        <w:ind w:right="340" w:firstLine="324"/>
        <w:spacing w:after="0" w:line="293" w:lineRule="auto"/>
        <w:rPr>
          <w:sz w:val="20"/>
          <w:szCs w:val="20"/>
          <w:color w:val="auto"/>
        </w:rPr>
      </w:pPr>
      <w:r>
        <w:rPr>
          <w:rFonts w:ascii="Arial" w:cs="Arial" w:eastAsia="Arial" w:hAnsi="Arial"/>
          <w:sz w:val="16"/>
          <w:szCs w:val="16"/>
          <w:color w:val="auto"/>
        </w:rPr>
        <w:t>We meet our financing requirements using a combination of cash generated from operations and asset sales, debt and equity capital. Our short-term financing needs arise primarily from our holding of mortgage loans pending sale and our obligations to advance certain payments on behalf of delinquent mortgage borrowers. Our long-term financing needs arise primarily from our investments in MSRs and the financial instruments that we may acquire to manage the interest rate risk associated with those investments, and from investments that we make in technology and other capital expenditures. The structure and mix of our debt and equity capital are primarily driven by our strategic objectives but are also influenced by our credit ratings and market conditions. Such ratings and market conditions affect the type of financing we are able to obtain and the rate at which we are able to grow.</w:t>
      </w:r>
    </w:p>
    <w:p>
      <w:pPr>
        <w:spacing w:after="0" w:line="138" w:lineRule="exact"/>
        <w:rPr>
          <w:sz w:val="20"/>
          <w:szCs w:val="20"/>
          <w:color w:val="auto"/>
        </w:rPr>
      </w:pPr>
    </w:p>
    <w:p>
      <w:pPr>
        <w:ind w:firstLine="324"/>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We rely primarily on secured borrowings as the key component of our financing strategy. Our financing arrangements allow us to fund a portion of our servicing advances until they are recovered and to fund our loan originations on a short-term basis until the loans are sold to secondary market investors. See </w:t>
      </w:r>
      <w:hyperlink w:anchor="page31">
        <w:r>
          <w:rPr>
            <w:rFonts w:ascii="Arial" w:cs="Arial" w:eastAsia="Arial" w:hAnsi="Arial"/>
            <w:sz w:val="18"/>
            <w:szCs w:val="18"/>
            <w:u w:val="single" w:color="auto"/>
            <w:color w:val="0000EE"/>
          </w:rPr>
          <w:t>Note 14</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Match Funded Liabilities and Note 15 – Other Borrowings to the unaudited Consolidated Financial Statements for additional information regarding</w:t>
      </w:r>
      <w:r>
        <w:rPr>
          <w:rFonts w:ascii="Arial" w:cs="Arial" w:eastAsia="Arial" w:hAnsi="Arial"/>
          <w:sz w:val="18"/>
          <w:szCs w:val="18"/>
          <w:color w:val="0000EE"/>
        </w:rPr>
        <w:t xml:space="preserve"> </w:t>
      </w:r>
      <w:r>
        <w:rPr>
          <w:rFonts w:ascii="Arial" w:cs="Arial" w:eastAsia="Arial" w:hAnsi="Arial"/>
          <w:sz w:val="18"/>
          <w:szCs w:val="18"/>
          <w:color w:val="000000"/>
        </w:rPr>
        <w:t>the components of our debt.</w:t>
      </w:r>
    </w:p>
    <w:p>
      <w:pPr>
        <w:spacing w:after="0" w:line="146"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define liquidity as unencumbered cash balances plus unused collateralized advance financing capacity. At September 30, 2013, our cash position was $357.5 million compared to $220.1 million at December 31, 2012. We had only $0.1 million of unused collateralized advance financing capacity at September 30, 2013 and none at December 31, 2012. Additional borrowing under these facilities is limited by the amount of collateral pledged to the facility.</w:t>
      </w:r>
    </w:p>
    <w:p>
      <w:pPr>
        <w:spacing w:after="0" w:line="10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Unused collateralized advance financing capacity was nearly zero at September 30, 2013 primarily because we paid off and terminated three advance financing facilities as part of the July 1, 2013 HLSS Transaction. We also were able to pay off and terminate a fourth facility. As a result, total borrowing capacity under our advance financing facilities was reduced to $400.0 million at September 30, 2013 of which only $37.0 million was available at September 30, 2013. The portion of the OneWest MSR Transaction completed to date was financed using available cash, generated largely from the July 1, 2013 HLSS Transaction.</w:t>
      </w:r>
    </w:p>
    <w:p>
      <w:pPr>
        <w:spacing w:after="0" w:line="16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order to reduce fees charged by lenders (which we recognize as interest expense), we limit available borrowing capacity to a level that we consider prudent relative to the current levels of advances and match funded advances and to our anticipated funding needs for reasonably foreseeable changes in advances. We regularly monitor and project cash flow to minimize liquidity risk. In assessing our liquidity outlook, our primary focus is on maintaining cash and available borrowing capacity that is sufficient to meet the needs of the business.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18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GSE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Demand deposit accounts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18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14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executing our hedging strategy for the servicing business, we attempt to mitigate the effect of increases in interest rates on the interest paid on our variable rate advance financing debt. We determine our hedging needs based on the projected excess of variable rate debt over cash and float balances since the earnings on cash and float balances are a partial offset to our exposure to changes in interest expense. Due to the recent growth of our residential servicing business, float balances have increased significantly to levels in excess of our variable rate debt. In response, we terminated our remaining interest rate swaps effective May 31, 2013. We also purchased interest rate caps as economic hedges (not designated as a hedge for accounting purposes) to minimize future interest rate exposure from increases in one-month LIBOR interest rates, as required by certain of our advance financing facilities. We terminated our remaining interest rate caps during the third quarter of 2013.</w:t>
      </w:r>
    </w:p>
    <w:p>
      <w:pPr>
        <w:spacing w:after="0" w:line="15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Our MSRs that are measured at fair value are subject to interest rate risk as the mortgage loans underlying the servicing rights permit the borrowers to prepay the loans. Therefore, the value of these MSRs generally tends to diminish in periods of declining interest rates (as prepayments increase) and increase in periods of rising interest rates (as prepayments decrease). Effective April 1, 2013, we modified our strategy for managing the risks of the underlying loan portfolio and terminated all economic hedges related to our fair value MSRs. We terminated the MSR hedges because we determined that they were ineffective for large movements in interest rates and only assured losses in substantial increasing-rate environments.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2" w:name="page53"/>
    <w:bookmarkEnd w:id="52"/>
    <w:p>
      <w:pPr>
        <w:ind w:firstLine="324"/>
        <w:spacing w:after="0" w:line="293" w:lineRule="auto"/>
        <w:rPr>
          <w:sz w:val="20"/>
          <w:szCs w:val="20"/>
          <w:color w:val="auto"/>
        </w:rPr>
      </w:pPr>
      <w:r>
        <w:rPr>
          <w:rFonts w:ascii="Arial" w:cs="Arial" w:eastAsia="Arial" w:hAnsi="Arial"/>
          <w:sz w:val="16"/>
          <w:szCs w:val="16"/>
          <w:color w:val="auto"/>
        </w:rPr>
        <w:t>We are subject to interest rate and price risk on mortgage loans held for sale from the loan funding date until the date the loan is sold into the secondary market. To mitigate this risk, we enter into forward trades to provide an economic hedge against changes in fair value on mortgage loans held for sale. IRLCs, or loan commitments, bind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Our interest rate exposure on these derivative loan commitments is hedged with freestanding derivatives such as forward contracts. We enter into forward contracts with respect to fixed rate loan commitments.</w:t>
      </w:r>
    </w:p>
    <w:p>
      <w:pPr>
        <w:spacing w:after="0" w:line="124" w:lineRule="exact"/>
        <w:rPr>
          <w:sz w:val="20"/>
          <w:szCs w:val="20"/>
          <w:color w:val="auto"/>
        </w:rPr>
      </w:pPr>
    </w:p>
    <w:p>
      <w:pPr>
        <w:ind w:right="280"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36">
        <w:r>
          <w:rPr>
            <w:rFonts w:ascii="Arial" w:cs="Arial" w:eastAsia="Arial" w:hAnsi="Arial"/>
            <w:sz w:val="18"/>
            <w:szCs w:val="18"/>
            <w:u w:val="single" w:color="auto"/>
            <w:color w:val="0000EE"/>
          </w:rPr>
          <w:t>Note 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Derivative Financial Instruments and Hedging Activities to the unaudited Consolidated Financial Statements for additional information regarding our use of derivatives.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ability to measure and report our operating results and financial position is heavily influenced by the need to estimate the impact or outcome of future events. Our critical accounting policies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44 through 47 of Management’s Discussion and Analysis of Results of Operations and Financial Condition and in Note 1 to our Consolidated Financial Statements for the year ended December 31, 2012 included in our Annual Report on Form 10-K filed March 1, 2013. Such policies have not changed during the first nine months of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each of our segments, the following section provides a discussion of the changes in financial condition during the nine months ended September 30, 2013 and a discussion of pre-tax results of operations for the three and nine months ended September 30, 2013 and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Servicing</w:t>
      </w:r>
    </w:p>
    <w:p>
      <w:pPr>
        <w:spacing w:after="0" w:line="18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REO sales on behalf of investors or other servicers. Master servicing involves the collection of payments from servicers and the distribution of funds to investors in mortgage and asset-backed securities and whole loan packages. We typically earn contractual monthly servicing fees pursuant to servicing agreements (which are typically payable as a percentage of UPB) as well as other ancillary fees on mortgage loans for which we own the MSRs. We also earn fees under both sub-servicing and special servicing arrangements with banks and other institutions that own the MSRs. We typically earn these fees either as a percentage of UPB or on a per loan basis.</w:t>
      </w:r>
    </w:p>
    <w:p>
      <w:pPr>
        <w:spacing w:after="0" w:line="16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recognize servicing fees as revenue when the fees are earned, which is generally when the borrower makes a payment or when a delinquent loan is resolved through modification (HAMP or non-HAMP), payoff or through the sale of the underlying mortgaged property following foreclosure. Our revenue recognition is, therefore, a function of unpaid principal balance (UPB), the number of payments received and delinquent loans that resolve. When a loan becomes current via our non-HAMP modification process, deferred servicing fees and late fees are considered earned and are recognized as revenue. However, if any debt is forgiven as part of a non-HAMP modification, no late fees are collected or earned. When a loan becomes current via the HAMP modification process, deferred servicing fees are earned and recognized as revenue. However, late fees are forfeited. Initial HAMP fees are also recognized as revenue at that time. In addition, under HAMP, if a modified loan remains less than 90 days delinquent, we earn HAMP success fees at the first, second and third anniversaries of the start of the trial modification.</w:t>
      </w:r>
    </w:p>
    <w:p>
      <w:pPr>
        <w:spacing w:after="0" w:line="138"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Aggregate UPB is a key revenue driver for the Servicing business. Because servicing fees are generally expressed as a percentage of UPB, growth in the portfolio generally means growth in servicing fees. Additionally, a larger servicing portfolio generates increased ancillary fees and leads to larger custodial account balances (float balances) generating greater float earnings. In general, a larger servicing portfolio also increases operating expenses but at a less rapid pace than the growth in UPB. To the extent that we grow UPB, our amortization of MSRs will typically increase with the growth in the carrying value of our MSRs. We will also incur additional interest expense to finance servicing advances made in connection with those MSRs.</w:t>
      </w:r>
    </w:p>
    <w:p>
      <w:pPr>
        <w:spacing w:after="0" w:line="11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Changes in the mix of owned servicing versus subservicing impacts our fee revenue as we generally earn lower fees in connection with subservicing arrangements. Owned servicing fees generally range from 25 to 65 basis points and entitle the servicer to certain ancillary fee income. Subservicing fees earned typically range from 10 to 39 basis points on average. Lower fees earned under subservicing contracts are offset by lower interest expense on advance financing. Our product mix has changed significantly as a result of acquisitions. Servicing fees earned on Non-Agency assets are generally higher than those earned on Agency assets. The average servicing fee earned on our Non-Agency assets is approximately 45 basis points as compared to the Agency average servicing fee of 30 basis points.</w:t>
      </w:r>
    </w:p>
    <w:p>
      <w:pPr>
        <w:spacing w:after="0" w:line="166"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Delinquencies have a significant impact on the results of operations and cash flows of the Servicing business. Delinquencies affect the timing of revenue recognition because we recognize servicing fees as earned which is generally upon collection of payments from the borrower. Delinquencies also reduce float balances and float earnings. Non-performing loans are more expensive to service than performing loans because the cost of servicing is higher and, although collectibility is generally not a concern, advances to the investors increase resulting in higher financing costs.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3" w:name="page54"/>
    <w:bookmarkEnd w:id="53"/>
    <w:p>
      <w:pPr>
        <w:ind w:right="20" w:firstLine="324"/>
        <w:spacing w:after="0" w:line="297" w:lineRule="auto"/>
        <w:rPr>
          <w:sz w:val="20"/>
          <w:szCs w:val="20"/>
          <w:color w:val="auto"/>
        </w:rPr>
      </w:pPr>
      <w:r>
        <w:rPr>
          <w:rFonts w:ascii="Arial" w:cs="Arial" w:eastAsia="Arial" w:hAnsi="Arial"/>
          <w:sz w:val="16"/>
          <w:szCs w:val="16"/>
          <w:color w:val="auto"/>
        </w:rPr>
        <w:t>Prepayment speed, the rate at which the UPB for a pool or pools of loans declines, has a significant impact on the Servicing business. Items reducing UPB include normal principal payments, refinancing, loan modifications involving forgiveness of principal, voluntary property sales and involuntary property sales such as foreclosures. Prepayment speed impacts future servicing fees, amortization and valuation of MSRs, float earnings on float balances, interest expense on advances and compensating interest expense. If we expect prepayment speed to increase, amortization expense will increase because MSRs are amortized in proportion to total expected servicing income over the life of a portfolio. The converse is true when expectations for prepayment speed decrease.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operations of our Servicing segment for the periods ended September 30: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Three Months</w:t>
            </w: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CC"/>
            </w:tcBorders>
          </w:tcPr>
          <w:p>
            <w:pPr>
              <w:spacing w:after="0"/>
              <w:rPr>
                <w:sz w:val="19"/>
                <w:szCs w:val="19"/>
                <w:color w:val="auto"/>
              </w:rPr>
            </w:pPr>
          </w:p>
        </w:tc>
        <w:tc>
          <w:tcPr>
            <w:tcW w:w="156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Borders>
              <w:bottom w:val="single" w:sz="8" w:color="CCEECC"/>
            </w:tcBorders>
          </w:tcPr>
          <w:p>
            <w:pPr>
              <w:spacing w:after="0"/>
              <w:rPr>
                <w:sz w:val="19"/>
                <w:szCs w:val="19"/>
                <w:color w:val="auto"/>
              </w:rPr>
            </w:pPr>
          </w:p>
        </w:tc>
        <w:tc>
          <w:tcPr>
            <w:tcW w:w="20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EECC"/>
            </w:tcBorders>
          </w:tcPr>
          <w:p>
            <w:pPr>
              <w:spacing w:after="0"/>
              <w:rPr>
                <w:sz w:val="19"/>
                <w:szCs w:val="19"/>
                <w:color w:val="auto"/>
              </w:rPr>
            </w:pPr>
          </w:p>
        </w:tc>
        <w:tc>
          <w:tcPr>
            <w:tcW w:w="20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15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Servicing and subservicing fees: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Residential</w:t>
            </w:r>
          </w:p>
        </w:tc>
        <w:tc>
          <w:tcPr>
            <w:tcW w:w="17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478,381</w:t>
            </w:r>
          </w:p>
        </w:tc>
        <w:tc>
          <w:tcPr>
            <w:tcW w:w="260" w:type="dxa"/>
            <w:vAlign w:val="bottom"/>
            <w:shd w:val="clear" w:color="auto" w:fill="CCEECC"/>
          </w:tcPr>
          <w:p>
            <w:pPr>
              <w:spacing w:after="0"/>
              <w:rPr>
                <w:sz w:val="18"/>
                <w:szCs w:val="18"/>
                <w:color w:val="auto"/>
              </w:rPr>
            </w:pPr>
          </w:p>
        </w:tc>
        <w:tc>
          <w:tcPr>
            <w:tcW w:w="54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219,251</w:t>
            </w:r>
          </w:p>
        </w:tc>
        <w:tc>
          <w:tcPr>
            <w:tcW w:w="4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w w:val="99"/>
              </w:rPr>
              <w:t>1,316,981</w:t>
            </w:r>
          </w:p>
        </w:tc>
        <w:tc>
          <w:tcPr>
            <w:tcW w:w="5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570,849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Commercial</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3,907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12,086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CC"/>
            </w:tcBorders>
            <w:shd w:val="clear" w:color="auto" w:fill="CCEECC"/>
          </w:tcPr>
          <w:p>
            <w:pPr>
              <w:spacing w:after="0"/>
              <w:rPr>
                <w:sz w:val="18"/>
                <w:szCs w:val="18"/>
                <w:color w:val="auto"/>
              </w:rPr>
            </w:pPr>
          </w:p>
        </w:tc>
        <w:tc>
          <w:tcPr>
            <w:tcW w:w="15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482,504</w:t>
            </w:r>
          </w:p>
        </w:tc>
        <w:tc>
          <w:tcPr>
            <w:tcW w:w="2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tcBorders>
            <w:shd w:val="clear" w:color="auto" w:fill="CCEECC"/>
          </w:tcPr>
          <w:p>
            <w:pPr>
              <w:spacing w:after="0"/>
              <w:rPr>
                <w:sz w:val="18"/>
                <w:szCs w:val="18"/>
                <w:color w:val="auto"/>
              </w:rPr>
            </w:pPr>
          </w:p>
        </w:tc>
        <w:tc>
          <w:tcPr>
            <w:tcW w:w="7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223,158</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tcBorders>
            <w:shd w:val="clear" w:color="auto" w:fill="CCEECC"/>
          </w:tcPr>
          <w:p>
            <w:pPr>
              <w:spacing w:after="0"/>
              <w:rPr>
                <w:sz w:val="18"/>
                <w:szCs w:val="18"/>
                <w:color w:val="auto"/>
              </w:rPr>
            </w:pPr>
          </w:p>
        </w:tc>
        <w:tc>
          <w:tcPr>
            <w:tcW w:w="8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9"/>
              </w:rPr>
              <w:t>1,329,067</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tcBorders>
            <w:shd w:val="clear" w:color="auto" w:fill="CCEECC"/>
          </w:tcPr>
          <w:p>
            <w:pPr>
              <w:spacing w:after="0"/>
              <w:rPr>
                <w:sz w:val="18"/>
                <w:szCs w:val="18"/>
                <w:color w:val="auto"/>
              </w:rPr>
            </w:pPr>
          </w:p>
        </w:tc>
        <w:tc>
          <w:tcPr>
            <w:tcW w:w="7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579,047</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Gain on loans held for sale, net (1)</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23,227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Process management fees and other</w:t>
            </w:r>
          </w:p>
        </w:tc>
        <w:tc>
          <w:tcPr>
            <w:tcW w:w="156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10,138</w:t>
            </w:r>
          </w:p>
        </w:tc>
        <w:tc>
          <w:tcPr>
            <w:tcW w:w="22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9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8,946</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29,578</w:t>
            </w:r>
          </w:p>
        </w:tc>
        <w:tc>
          <w:tcPr>
            <w:tcW w:w="20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27,642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Total revenue</w:t>
            </w:r>
          </w:p>
        </w:tc>
        <w:tc>
          <w:tcPr>
            <w:tcW w:w="15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1,381,872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Operating expenses</w:t>
            </w:r>
          </w:p>
        </w:tc>
        <w:tc>
          <w:tcPr>
            <w:tcW w:w="15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Compensation and benefits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82,791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22,248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243,946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Amortization of servicing rights</w:t>
            </w:r>
          </w:p>
        </w:tc>
        <w:tc>
          <w:tcPr>
            <w:tcW w:w="15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79,035</w:t>
            </w: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20,150</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197,287</w:t>
            </w:r>
          </w:p>
        </w:tc>
        <w:tc>
          <w:tcPr>
            <w:tcW w:w="2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Servicing and origination</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30,748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9,808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76,864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Technology and communications</w:t>
            </w:r>
          </w:p>
        </w:tc>
        <w:tc>
          <w:tcPr>
            <w:tcW w:w="15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30,330</w:t>
            </w: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9,809</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84,411</w:t>
            </w:r>
          </w:p>
        </w:tc>
        <w:tc>
          <w:tcPr>
            <w:tcW w:w="2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Professional services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21,989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Occupancy and equipment</w:t>
            </w:r>
          </w:p>
        </w:tc>
        <w:tc>
          <w:tcPr>
            <w:tcW w:w="15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26,441</w:t>
            </w: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10,199</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62,708</w:t>
            </w:r>
          </w:p>
        </w:tc>
        <w:tc>
          <w:tcPr>
            <w:tcW w:w="2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32,840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Other operating expenses (1)</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49,688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13,582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108,440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Total operating expenses</w:t>
            </w:r>
          </w:p>
        </w:tc>
        <w:tc>
          <w:tcPr>
            <w:tcW w:w="15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305,654</w:t>
            </w:r>
          </w:p>
        </w:tc>
        <w:tc>
          <w:tcPr>
            <w:tcW w:w="2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bottom w:val="single" w:sz="8" w:color="auto"/>
            </w:tcBorders>
            <w:shd w:val="clear" w:color="auto" w:fill="CCEECC"/>
          </w:tcPr>
          <w:p>
            <w:pPr>
              <w:spacing w:after="0"/>
              <w:rPr>
                <w:sz w:val="18"/>
                <w:szCs w:val="18"/>
                <w:color w:val="auto"/>
              </w:rPr>
            </w:pP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88,743</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795,645</w:t>
            </w:r>
          </w:p>
        </w:tc>
        <w:tc>
          <w:tcPr>
            <w:tcW w:w="24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bottom w:val="single" w:sz="8" w:color="auto"/>
            </w:tcBorders>
            <w:shd w:val="clear" w:color="auto" w:fill="CCEECC"/>
          </w:tcPr>
          <w:p>
            <w:pPr>
              <w:spacing w:after="0"/>
              <w:rPr>
                <w:sz w:val="18"/>
                <w:szCs w:val="18"/>
                <w:color w:val="auto"/>
              </w:rPr>
            </w:pP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252,542</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190,648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143,361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586,227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354,147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Other income (expense)</w:t>
            </w:r>
          </w:p>
        </w:tc>
        <w:tc>
          <w:tcPr>
            <w:tcW w:w="15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Interest income (1)</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859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1,382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Interest expense</w:t>
            </w:r>
          </w:p>
        </w:tc>
        <w:tc>
          <w:tcPr>
            <w:tcW w:w="15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(106,848)</w:t>
            </w: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(58,144)</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0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(293,381)</w:t>
            </w:r>
          </w:p>
        </w:tc>
        <w:tc>
          <w:tcPr>
            <w:tcW w:w="20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8"/>
              </w:rPr>
              <w:t>(162,810)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Loss on debt redemption</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(17,030)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 net</w:t>
            </w:r>
          </w:p>
        </w:tc>
        <w:tc>
          <w:tcPr>
            <w:tcW w:w="156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(6,631)</w:t>
            </w:r>
          </w:p>
        </w:tc>
        <w:tc>
          <w:tcPr>
            <w:tcW w:w="22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9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(963)</w:t>
            </w:r>
          </w:p>
        </w:tc>
        <w:tc>
          <w:tcPr>
            <w:tcW w:w="20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0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(13,931)</w:t>
            </w:r>
          </w:p>
        </w:tc>
        <w:tc>
          <w:tcPr>
            <w:tcW w:w="20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Total other expense, net</w:t>
            </w:r>
          </w:p>
        </w:tc>
        <w:tc>
          <w:tcPr>
            <w:tcW w:w="15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(112,620</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(59,107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(322,960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(163,014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Income before income taxes</w:t>
            </w:r>
          </w:p>
        </w:tc>
        <w:tc>
          <w:tcPr>
            <w:tcW w:w="17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78,028</w:t>
            </w:r>
          </w:p>
        </w:tc>
        <w:tc>
          <w:tcPr>
            <w:tcW w:w="54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84,254</w:t>
            </w:r>
          </w:p>
        </w:tc>
        <w:tc>
          <w:tcPr>
            <w:tcW w:w="4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263,267</w:t>
            </w:r>
          </w:p>
        </w:tc>
        <w:tc>
          <w:tcPr>
            <w:tcW w:w="5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191,133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CC"/>
            </w:tcBorders>
          </w:tcPr>
          <w:p>
            <w:pPr>
              <w:spacing w:after="0" w:line="20" w:lineRule="exact"/>
              <w:rPr>
                <w:sz w:val="1"/>
                <w:szCs w:val="1"/>
                <w:color w:val="auto"/>
              </w:rPr>
            </w:pPr>
          </w:p>
        </w:tc>
        <w:tc>
          <w:tcPr>
            <w:tcW w:w="156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CCEE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CCEE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40" w:hanging="332"/>
        <w:spacing w:after="0" w:line="30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Within the statement of operations for the nine months ended September 30, 2013, we reclassified certain amounts related to servicing FHA and VA loans in GNMA securitizations. We reclassified $9.9 million to Servicing and originations expense within Operating expenses. Previously, this amount was reported as Other operating expenses ($14.2 million) and Interest income ($4.3 million). We also reclassified $16.2 million of gains on sales of modified FHA and VA loans from Other, net within the Other income (expense) section to Gain on sale of loans held for sale within the Revenue section.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color w:val="auto"/>
        </w:rPr>
        <w:t>The following table provides selected Servicing operating statistics at September 30: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5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Residential Assets Serviced</w:t>
            </w:r>
          </w:p>
        </w:tc>
        <w:tc>
          <w:tcPr>
            <w:tcW w:w="2460" w:type="dxa"/>
            <w:vAlign w:val="bottom"/>
            <w:tcBorders>
              <w:top w:val="single" w:sz="8" w:color="CCEECC"/>
            </w:tcBorders>
            <w:shd w:val="clear" w:color="auto" w:fill="CCEECC"/>
          </w:tcPr>
          <w:p>
            <w:pPr>
              <w:spacing w:after="0"/>
              <w:rPr>
                <w:sz w:val="18"/>
                <w:szCs w:val="18"/>
                <w:color w:val="auto"/>
              </w:rPr>
            </w:pPr>
          </w:p>
        </w:tc>
        <w:tc>
          <w:tcPr>
            <w:tcW w:w="1060" w:type="dxa"/>
            <w:vAlign w:val="bottom"/>
            <w:tcBorders>
              <w:top w:val="single" w:sz="8" w:color="auto"/>
            </w:tcBorders>
            <w:shd w:val="clear" w:color="auto" w:fill="CCEECC"/>
          </w:tcPr>
          <w:p>
            <w:pPr>
              <w:spacing w:after="0"/>
              <w:rPr>
                <w:sz w:val="18"/>
                <w:szCs w:val="18"/>
                <w:color w:val="auto"/>
              </w:rPr>
            </w:pPr>
          </w:p>
        </w:tc>
        <w:tc>
          <w:tcPr>
            <w:tcW w:w="32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940" w:type="dxa"/>
            <w:vAlign w:val="bottom"/>
            <w:tcBorders>
              <w:top w:val="single" w:sz="8" w:color="auto"/>
            </w:tcBorders>
            <w:shd w:val="clear" w:color="auto" w:fill="CCEECC"/>
          </w:tcPr>
          <w:p>
            <w:pPr>
              <w:spacing w:after="0"/>
              <w:rPr>
                <w:sz w:val="18"/>
                <w:szCs w:val="18"/>
                <w:color w:val="auto"/>
              </w:rPr>
            </w:pPr>
          </w:p>
        </w:tc>
        <w:tc>
          <w:tcPr>
            <w:tcW w:w="500" w:type="dxa"/>
            <w:vAlign w:val="bottom"/>
            <w:tcBorders>
              <w:top w:val="single" w:sz="8" w:color="CCEECC"/>
            </w:tcBorders>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UPB:</w:t>
            </w:r>
          </w:p>
        </w:tc>
        <w:tc>
          <w:tcPr>
            <w:tcW w:w="2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Performing loans (1)</w:t>
            </w:r>
          </w:p>
        </w:tc>
        <w:tc>
          <w:tcPr>
            <w:tcW w:w="3840" w:type="dxa"/>
            <w:vAlign w:val="bottom"/>
            <w:gridSpan w:val="3"/>
            <w:shd w:val="clear" w:color="auto" w:fill="CCEECC"/>
          </w:tcPr>
          <w:p>
            <w:pPr>
              <w:jc w:val="right"/>
              <w:ind w:right="320"/>
              <w:spacing w:after="0"/>
              <w:rPr>
                <w:sz w:val="20"/>
                <w:szCs w:val="20"/>
                <w:color w:val="auto"/>
              </w:rPr>
            </w:pPr>
            <w:r>
              <w:rPr>
                <w:rFonts w:ascii="Arial" w:cs="Arial" w:eastAsia="Arial" w:hAnsi="Arial"/>
                <w:sz w:val="18"/>
                <w:szCs w:val="18"/>
                <w:color w:val="auto"/>
              </w:rPr>
              <w:t>$ 371,279,813</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94,726,687</w:t>
            </w:r>
          </w:p>
        </w:tc>
        <w:tc>
          <w:tcPr>
            <w:tcW w:w="1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Non-performing loans</w:t>
            </w:r>
          </w:p>
        </w:tc>
        <w:tc>
          <w:tcPr>
            <w:tcW w:w="3840" w:type="dxa"/>
            <w:vAlign w:val="bottom"/>
            <w:gridSpan w:val="3"/>
          </w:tcPr>
          <w:p>
            <w:pPr>
              <w:jc w:val="right"/>
              <w:ind w:right="320"/>
              <w:spacing w:after="0"/>
              <w:rPr>
                <w:sz w:val="20"/>
                <w:szCs w:val="20"/>
                <w:color w:val="auto"/>
              </w:rPr>
            </w:pPr>
            <w:r>
              <w:rPr>
                <w:rFonts w:ascii="Arial" w:cs="Arial" w:eastAsia="Arial" w:hAnsi="Arial"/>
                <w:sz w:val="18"/>
                <w:szCs w:val="18"/>
                <w:color w:val="auto"/>
              </w:rPr>
              <w:t>56,846,036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26,639,871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6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Non-performing real estate</w:t>
            </w:r>
          </w:p>
        </w:tc>
        <w:tc>
          <w:tcPr>
            <w:tcW w:w="3840" w:type="dxa"/>
            <w:vAlign w:val="bottom"/>
            <w:gridSpan w:val="3"/>
            <w:shd w:val="clear" w:color="auto" w:fill="CCEECC"/>
          </w:tcPr>
          <w:p>
            <w:pPr>
              <w:jc w:val="right"/>
              <w:ind w:right="320"/>
              <w:spacing w:after="0"/>
              <w:rPr>
                <w:sz w:val="20"/>
                <w:szCs w:val="20"/>
                <w:color w:val="auto"/>
              </w:rPr>
            </w:pPr>
            <w:r>
              <w:rPr>
                <w:rFonts w:ascii="Arial" w:cs="Arial" w:eastAsia="Arial" w:hAnsi="Arial"/>
                <w:sz w:val="18"/>
                <w:szCs w:val="18"/>
                <w:color w:val="auto"/>
              </w:rPr>
              <w:t>6,693,577</w:t>
            </w:r>
          </w:p>
        </w:tc>
        <w:tc>
          <w:tcPr>
            <w:tcW w:w="18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4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5,700,122</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320"/>
              <w:spacing w:after="0"/>
              <w:rPr>
                <w:sz w:val="20"/>
                <w:szCs w:val="20"/>
                <w:color w:val="auto"/>
              </w:rPr>
            </w:pPr>
            <w:r>
              <w:rPr>
                <w:rFonts w:ascii="Arial" w:cs="Arial" w:eastAsia="Arial" w:hAnsi="Arial"/>
                <w:sz w:val="18"/>
                <w:szCs w:val="18"/>
                <w:color w:val="auto"/>
              </w:rPr>
              <w:t>Total residential assets serviced (2)</w:t>
            </w:r>
          </w:p>
        </w:tc>
        <w:tc>
          <w:tcPr>
            <w:tcW w:w="24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$ 434,819,426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127,066,680</w:t>
            </w:r>
          </w:p>
        </w:tc>
        <w:tc>
          <w:tcPr>
            <w:tcW w:w="5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Agency loans (3)</w:t>
            </w:r>
          </w:p>
        </w:tc>
        <w:tc>
          <w:tcPr>
            <w:tcW w:w="3840" w:type="dxa"/>
            <w:vAlign w:val="bottom"/>
            <w:gridSpan w:val="3"/>
            <w:shd w:val="clear" w:color="auto" w:fill="CCEECC"/>
          </w:tcPr>
          <w:p>
            <w:pPr>
              <w:jc w:val="right"/>
              <w:ind w:right="320"/>
              <w:spacing w:after="0"/>
              <w:rPr>
                <w:sz w:val="20"/>
                <w:szCs w:val="20"/>
                <w:color w:val="auto"/>
              </w:rPr>
            </w:pPr>
            <w:r>
              <w:rPr>
                <w:rFonts w:ascii="Arial" w:cs="Arial" w:eastAsia="Arial" w:hAnsi="Arial"/>
                <w:sz w:val="18"/>
                <w:szCs w:val="18"/>
                <w:color w:val="auto"/>
              </w:rPr>
              <w:t>$ 246,364,091</w:t>
            </w:r>
          </w:p>
        </w:tc>
        <w:tc>
          <w:tcPr>
            <w:tcW w:w="3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19,759,506</w:t>
            </w:r>
          </w:p>
        </w:tc>
        <w:tc>
          <w:tcPr>
            <w:tcW w:w="12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30"/>
        </w:trPr>
        <w:tc>
          <w:tcPr>
            <w:tcW w:w="4620" w:type="dxa"/>
            <w:vAlign w:val="bottom"/>
          </w:tcPr>
          <w:p>
            <w:pPr>
              <w:ind w:left="160"/>
              <w:spacing w:after="0"/>
              <w:rPr>
                <w:sz w:val="20"/>
                <w:szCs w:val="20"/>
                <w:color w:val="auto"/>
              </w:rPr>
            </w:pPr>
            <w:r>
              <w:rPr>
                <w:rFonts w:ascii="Arial" w:cs="Arial" w:eastAsia="Arial" w:hAnsi="Arial"/>
                <w:sz w:val="18"/>
                <w:szCs w:val="18"/>
                <w:color w:val="auto"/>
              </w:rPr>
              <w:t>Non Agency loans</w:t>
            </w:r>
          </w:p>
        </w:tc>
        <w:tc>
          <w:tcPr>
            <w:tcW w:w="3840" w:type="dxa"/>
            <w:vAlign w:val="bottom"/>
            <w:gridSpan w:val="3"/>
          </w:tcPr>
          <w:p>
            <w:pPr>
              <w:jc w:val="right"/>
              <w:ind w:right="320"/>
              <w:spacing w:after="0"/>
              <w:rPr>
                <w:sz w:val="20"/>
                <w:szCs w:val="20"/>
                <w:color w:val="auto"/>
              </w:rPr>
            </w:pPr>
            <w:r>
              <w:rPr>
                <w:rFonts w:ascii="Arial" w:cs="Arial" w:eastAsia="Arial" w:hAnsi="Arial"/>
                <w:sz w:val="18"/>
                <w:szCs w:val="18"/>
                <w:color w:val="auto"/>
              </w:rPr>
              <w:t>188,455,335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107,307,174</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CC"/>
              <w:bottom w:val="single" w:sz="8" w:color="CCEECC"/>
            </w:tcBorders>
            <w:shd w:val="clear" w:color="auto" w:fill="CCEECC"/>
          </w:tcPr>
          <w:p>
            <w:pPr>
              <w:ind w:left="320"/>
              <w:spacing w:after="0"/>
              <w:rPr>
                <w:sz w:val="20"/>
                <w:szCs w:val="20"/>
                <w:color w:val="auto"/>
              </w:rPr>
            </w:pPr>
            <w:r>
              <w:rPr>
                <w:rFonts w:ascii="Arial" w:cs="Arial" w:eastAsia="Arial" w:hAnsi="Arial"/>
                <w:sz w:val="18"/>
                <w:szCs w:val="18"/>
                <w:color w:val="auto"/>
              </w:rPr>
              <w:t>Total residential loans serviced</w:t>
            </w:r>
          </w:p>
        </w:tc>
        <w:tc>
          <w:tcPr>
            <w:tcW w:w="2460" w:type="dxa"/>
            <w:vAlign w:val="bottom"/>
            <w:tcBorders>
              <w:top w:val="single" w:sz="8" w:color="CCEECC"/>
              <w:bottom w:val="single" w:sz="8" w:color="CCEECC"/>
            </w:tcBorders>
            <w:shd w:val="clear" w:color="auto" w:fill="CCEECC"/>
          </w:tcPr>
          <w:p>
            <w:pPr>
              <w:spacing w:after="0"/>
              <w:rPr>
                <w:sz w:val="19"/>
                <w:szCs w:val="19"/>
                <w:color w:val="auto"/>
              </w:rPr>
            </w:pPr>
          </w:p>
        </w:tc>
        <w:tc>
          <w:tcPr>
            <w:tcW w:w="10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0"/>
              </w:rPr>
              <w:t>$ 434,819,426</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1"/>
              </w:rPr>
              <w:t>127,066,680</w:t>
            </w:r>
          </w:p>
        </w:tc>
        <w:tc>
          <w:tcPr>
            <w:tcW w:w="500" w:type="dxa"/>
            <w:vAlign w:val="bottom"/>
            <w:tcBorders>
              <w:top w:val="single" w:sz="8" w:color="CCEECC"/>
              <w:bottom w:val="single" w:sz="8" w:color="CCEECC"/>
            </w:tcBorders>
            <w:shd w:val="clear" w:color="auto" w:fill="CCEECC"/>
          </w:tcPr>
          <w:p>
            <w:pPr>
              <w:spacing w:after="0"/>
              <w:rPr>
                <w:sz w:val="19"/>
                <w:szCs w:val="19"/>
                <w:color w:val="auto"/>
              </w:rPr>
            </w:pPr>
          </w:p>
        </w:tc>
        <w:tc>
          <w:tcPr>
            <w:tcW w:w="1220" w:type="dxa"/>
            <w:vAlign w:val="bottom"/>
            <w:tcBorders>
              <w:top w:val="single" w:sz="8" w:color="CCEECC"/>
              <w:bottom w:val="single" w:sz="8" w:color="CCEECC"/>
            </w:tcBorders>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Percent of total UPB:</w:t>
            </w:r>
          </w:p>
        </w:tc>
        <w:tc>
          <w:tcPr>
            <w:tcW w:w="2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Servicing portfolio</w:t>
            </w:r>
          </w:p>
        </w:tc>
        <w:tc>
          <w:tcPr>
            <w:tcW w:w="3840" w:type="dxa"/>
            <w:vAlign w:val="bottom"/>
            <w:gridSpan w:val="3"/>
            <w:shd w:val="clear" w:color="auto" w:fill="CCEECC"/>
          </w:tcPr>
          <w:p>
            <w:pPr>
              <w:jc w:val="right"/>
              <w:ind w:right="180"/>
              <w:spacing w:after="0"/>
              <w:rPr>
                <w:sz w:val="20"/>
                <w:szCs w:val="20"/>
                <w:color w:val="auto"/>
              </w:rPr>
            </w:pPr>
            <w:r>
              <w:rPr>
                <w:rFonts w:ascii="Arial" w:cs="Arial" w:eastAsia="Arial" w:hAnsi="Arial"/>
                <w:sz w:val="18"/>
                <w:szCs w:val="18"/>
                <w:color w:val="auto"/>
              </w:rPr>
              <w:t>83.4%</w:t>
            </w: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44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85.4%</w:t>
            </w: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Subservicing portfolio</w:t>
            </w:r>
          </w:p>
        </w:tc>
        <w:tc>
          <w:tcPr>
            <w:tcW w:w="3840" w:type="dxa"/>
            <w:vAlign w:val="bottom"/>
            <w:gridSpan w:val="3"/>
          </w:tcPr>
          <w:p>
            <w:pPr>
              <w:jc w:val="right"/>
              <w:ind w:right="32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14.6</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Non-performing residential assets serviced</w:t>
            </w:r>
          </w:p>
        </w:tc>
        <w:tc>
          <w:tcPr>
            <w:tcW w:w="3840" w:type="dxa"/>
            <w:vAlign w:val="bottom"/>
            <w:gridSpan w:val="3"/>
            <w:shd w:val="clear" w:color="auto" w:fill="CCEECC"/>
          </w:tcPr>
          <w:p>
            <w:pPr>
              <w:jc w:val="right"/>
              <w:ind w:right="18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44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23.6%</w:t>
            </w:r>
          </w:p>
        </w:tc>
        <w:tc>
          <w:tcPr>
            <w:tcW w:w="12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Number of:</w:t>
            </w:r>
          </w:p>
        </w:tc>
        <w:tc>
          <w:tcPr>
            <w:tcW w:w="2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Performing loans (1)</w:t>
            </w:r>
          </w:p>
        </w:tc>
        <w:tc>
          <w:tcPr>
            <w:tcW w:w="3840" w:type="dxa"/>
            <w:vAlign w:val="bottom"/>
            <w:gridSpan w:val="3"/>
            <w:shd w:val="clear" w:color="auto" w:fill="CCEECC"/>
          </w:tcPr>
          <w:p>
            <w:pPr>
              <w:jc w:val="right"/>
              <w:ind w:right="320"/>
              <w:spacing w:after="0"/>
              <w:rPr>
                <w:sz w:val="20"/>
                <w:szCs w:val="20"/>
                <w:color w:val="auto"/>
              </w:rPr>
            </w:pPr>
            <w:r>
              <w:rPr>
                <w:rFonts w:ascii="Arial" w:cs="Arial" w:eastAsia="Arial" w:hAnsi="Arial"/>
                <w:sz w:val="18"/>
                <w:szCs w:val="18"/>
                <w:color w:val="auto"/>
              </w:rPr>
              <w:t>2,431,084</w:t>
            </w: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4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640,690</w:t>
            </w:r>
          </w:p>
        </w:tc>
        <w:tc>
          <w:tcPr>
            <w:tcW w:w="1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Non-performing loans</w:t>
            </w:r>
          </w:p>
        </w:tc>
        <w:tc>
          <w:tcPr>
            <w:tcW w:w="3840" w:type="dxa"/>
            <w:vAlign w:val="bottom"/>
            <w:gridSpan w:val="3"/>
          </w:tcPr>
          <w:p>
            <w:pPr>
              <w:jc w:val="right"/>
              <w:ind w:right="320"/>
              <w:spacing w:after="0"/>
              <w:rPr>
                <w:sz w:val="20"/>
                <w:szCs w:val="20"/>
                <w:color w:val="auto"/>
              </w:rPr>
            </w:pPr>
            <w:r>
              <w:rPr>
                <w:rFonts w:ascii="Arial" w:cs="Arial" w:eastAsia="Arial" w:hAnsi="Arial"/>
                <w:sz w:val="18"/>
                <w:szCs w:val="18"/>
                <w:color w:val="auto"/>
              </w:rPr>
              <w:t>328,546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134,445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46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Non-performing real estate</w:t>
            </w:r>
          </w:p>
        </w:tc>
        <w:tc>
          <w:tcPr>
            <w:tcW w:w="3840" w:type="dxa"/>
            <w:vAlign w:val="bottom"/>
            <w:gridSpan w:val="3"/>
            <w:shd w:val="clear" w:color="auto" w:fill="CCEECC"/>
          </w:tcPr>
          <w:p>
            <w:pPr>
              <w:jc w:val="right"/>
              <w:ind w:right="320"/>
              <w:spacing w:after="0"/>
              <w:rPr>
                <w:sz w:val="20"/>
                <w:szCs w:val="20"/>
                <w:color w:val="auto"/>
              </w:rPr>
            </w:pPr>
            <w:r>
              <w:rPr>
                <w:rFonts w:ascii="Arial" w:cs="Arial" w:eastAsia="Arial" w:hAnsi="Arial"/>
                <w:sz w:val="18"/>
                <w:szCs w:val="18"/>
                <w:color w:val="auto"/>
              </w:rPr>
              <w:t>36,521</w:t>
            </w:r>
          </w:p>
        </w:tc>
        <w:tc>
          <w:tcPr>
            <w:tcW w:w="18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4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30,292</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320"/>
              <w:spacing w:after="0"/>
              <w:rPr>
                <w:sz w:val="20"/>
                <w:szCs w:val="20"/>
                <w:color w:val="auto"/>
              </w:rPr>
            </w:pPr>
            <w:r>
              <w:rPr>
                <w:rFonts w:ascii="Arial" w:cs="Arial" w:eastAsia="Arial" w:hAnsi="Arial"/>
                <w:sz w:val="18"/>
                <w:szCs w:val="18"/>
                <w:color w:val="auto"/>
              </w:rPr>
              <w:t>Total number of residential assets serviced (2)</w:t>
            </w:r>
          </w:p>
        </w:tc>
        <w:tc>
          <w:tcPr>
            <w:tcW w:w="24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2,796,151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805,427</w:t>
            </w:r>
          </w:p>
        </w:tc>
        <w:tc>
          <w:tcPr>
            <w:tcW w:w="5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Agency loans (3)</w:t>
            </w:r>
          </w:p>
        </w:tc>
        <w:tc>
          <w:tcPr>
            <w:tcW w:w="3840" w:type="dxa"/>
            <w:vAlign w:val="bottom"/>
            <w:gridSpan w:val="3"/>
            <w:shd w:val="clear" w:color="auto" w:fill="CCEECC"/>
          </w:tcPr>
          <w:p>
            <w:pPr>
              <w:jc w:val="right"/>
              <w:ind w:right="320"/>
              <w:spacing w:after="0"/>
              <w:rPr>
                <w:sz w:val="20"/>
                <w:szCs w:val="20"/>
                <w:color w:val="auto"/>
              </w:rPr>
            </w:pPr>
            <w:r>
              <w:rPr>
                <w:rFonts w:ascii="Arial" w:cs="Arial" w:eastAsia="Arial" w:hAnsi="Arial"/>
                <w:sz w:val="18"/>
                <w:szCs w:val="18"/>
                <w:color w:val="auto"/>
              </w:rPr>
              <w:t>1,390,272</w:t>
            </w: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440" w:type="dxa"/>
            <w:vAlign w:val="bottom"/>
            <w:gridSpan w:val="2"/>
            <w:shd w:val="clear" w:color="auto" w:fill="CCEECC"/>
          </w:tcPr>
          <w:p>
            <w:pPr>
              <w:jc w:val="right"/>
              <w:ind w:right="500"/>
              <w:spacing w:after="0"/>
              <w:rPr>
                <w:sz w:val="20"/>
                <w:szCs w:val="20"/>
                <w:color w:val="auto"/>
              </w:rPr>
            </w:pPr>
            <w:r>
              <w:rPr>
                <w:rFonts w:ascii="Arial" w:cs="Arial" w:eastAsia="Arial" w:hAnsi="Arial"/>
                <w:sz w:val="18"/>
                <w:szCs w:val="18"/>
                <w:color w:val="auto"/>
              </w:rPr>
              <w:t>103,453</w:t>
            </w:r>
          </w:p>
        </w:tc>
        <w:tc>
          <w:tcPr>
            <w:tcW w:w="12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30"/>
        </w:trPr>
        <w:tc>
          <w:tcPr>
            <w:tcW w:w="4620" w:type="dxa"/>
            <w:vAlign w:val="bottom"/>
          </w:tcPr>
          <w:p>
            <w:pPr>
              <w:ind w:left="160"/>
              <w:spacing w:after="0"/>
              <w:rPr>
                <w:sz w:val="20"/>
                <w:szCs w:val="20"/>
                <w:color w:val="auto"/>
              </w:rPr>
            </w:pPr>
            <w:r>
              <w:rPr>
                <w:rFonts w:ascii="Arial" w:cs="Arial" w:eastAsia="Arial" w:hAnsi="Arial"/>
                <w:sz w:val="18"/>
                <w:szCs w:val="18"/>
                <w:color w:val="auto"/>
              </w:rPr>
              <w:t>Non Agency loans</w:t>
            </w:r>
          </w:p>
        </w:tc>
        <w:tc>
          <w:tcPr>
            <w:tcW w:w="3840" w:type="dxa"/>
            <w:vAlign w:val="bottom"/>
            <w:gridSpan w:val="3"/>
          </w:tcPr>
          <w:p>
            <w:pPr>
              <w:jc w:val="right"/>
              <w:ind w:right="320"/>
              <w:spacing w:after="0"/>
              <w:rPr>
                <w:sz w:val="20"/>
                <w:szCs w:val="20"/>
                <w:color w:val="auto"/>
              </w:rPr>
            </w:pPr>
            <w:r>
              <w:rPr>
                <w:rFonts w:ascii="Arial" w:cs="Arial" w:eastAsia="Arial" w:hAnsi="Arial"/>
                <w:sz w:val="18"/>
                <w:szCs w:val="18"/>
                <w:color w:val="auto"/>
              </w:rPr>
              <w:t>1,405,879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701,974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CC"/>
              <w:bottom w:val="single" w:sz="8" w:color="CCEECC"/>
            </w:tcBorders>
            <w:shd w:val="clear" w:color="auto" w:fill="CCEECC"/>
          </w:tcPr>
          <w:p>
            <w:pPr>
              <w:ind w:left="320"/>
              <w:spacing w:after="0"/>
              <w:rPr>
                <w:sz w:val="20"/>
                <w:szCs w:val="20"/>
                <w:color w:val="auto"/>
              </w:rPr>
            </w:pPr>
            <w:r>
              <w:rPr>
                <w:rFonts w:ascii="Arial" w:cs="Arial" w:eastAsia="Arial" w:hAnsi="Arial"/>
                <w:sz w:val="18"/>
                <w:szCs w:val="18"/>
                <w:color w:val="auto"/>
              </w:rPr>
              <w:t>Total residential loans serviced</w:t>
            </w:r>
          </w:p>
        </w:tc>
        <w:tc>
          <w:tcPr>
            <w:tcW w:w="2460" w:type="dxa"/>
            <w:vAlign w:val="bottom"/>
            <w:tcBorders>
              <w:top w:val="single" w:sz="8" w:color="CCEECC"/>
              <w:bottom w:val="single" w:sz="8" w:color="CCEECC"/>
            </w:tcBorders>
            <w:shd w:val="clear" w:color="auto" w:fill="CCEECC"/>
          </w:tcPr>
          <w:p>
            <w:pPr>
              <w:spacing w:after="0"/>
              <w:rPr>
                <w:sz w:val="19"/>
                <w:szCs w:val="19"/>
                <w:color w:val="auto"/>
              </w:rPr>
            </w:pPr>
          </w:p>
        </w:tc>
        <w:tc>
          <w:tcPr>
            <w:tcW w:w="10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2,796,151</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spacing w:after="0"/>
              <w:rPr>
                <w:sz w:val="19"/>
                <w:szCs w:val="19"/>
                <w:color w:val="auto"/>
              </w:rPr>
            </w:pP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805,427</w:t>
            </w:r>
          </w:p>
        </w:tc>
        <w:tc>
          <w:tcPr>
            <w:tcW w:w="500" w:type="dxa"/>
            <w:vAlign w:val="bottom"/>
            <w:tcBorders>
              <w:top w:val="single" w:sz="8" w:color="CCEECC"/>
              <w:bottom w:val="single" w:sz="8" w:color="CCEECC"/>
            </w:tcBorders>
            <w:shd w:val="clear" w:color="auto" w:fill="CCEECC"/>
          </w:tcPr>
          <w:p>
            <w:pPr>
              <w:spacing w:after="0"/>
              <w:rPr>
                <w:sz w:val="19"/>
                <w:szCs w:val="19"/>
                <w:color w:val="auto"/>
              </w:rPr>
            </w:pPr>
          </w:p>
        </w:tc>
        <w:tc>
          <w:tcPr>
            <w:tcW w:w="1220" w:type="dxa"/>
            <w:vAlign w:val="bottom"/>
            <w:tcBorders>
              <w:top w:val="single" w:sz="8" w:color="CCEECC"/>
              <w:bottom w:val="single" w:sz="8" w:color="CCEECC"/>
            </w:tcBorders>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Percent of total number:</w:t>
            </w:r>
          </w:p>
        </w:tc>
        <w:tc>
          <w:tcPr>
            <w:tcW w:w="2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Servicing portfolio</w:t>
            </w:r>
          </w:p>
        </w:tc>
        <w:tc>
          <w:tcPr>
            <w:tcW w:w="3840" w:type="dxa"/>
            <w:vAlign w:val="bottom"/>
            <w:gridSpan w:val="3"/>
            <w:shd w:val="clear" w:color="auto" w:fill="CCEECC"/>
          </w:tcPr>
          <w:p>
            <w:pPr>
              <w:jc w:val="right"/>
              <w:ind w:right="180"/>
              <w:spacing w:after="0"/>
              <w:rPr>
                <w:sz w:val="20"/>
                <w:szCs w:val="20"/>
                <w:color w:val="auto"/>
              </w:rPr>
            </w:pPr>
            <w:r>
              <w:rPr>
                <w:rFonts w:ascii="Arial" w:cs="Arial" w:eastAsia="Arial" w:hAnsi="Arial"/>
                <w:sz w:val="18"/>
                <w:szCs w:val="18"/>
                <w:color w:val="auto"/>
              </w:rPr>
              <w:t>80.9%</w:t>
            </w: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44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86.5%</w:t>
            </w:r>
          </w:p>
        </w:tc>
        <w:tc>
          <w:tcPr>
            <w:tcW w:w="1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Subservicing portfolio</w:t>
            </w:r>
          </w:p>
        </w:tc>
        <w:tc>
          <w:tcPr>
            <w:tcW w:w="3840" w:type="dxa"/>
            <w:vAlign w:val="bottom"/>
            <w:gridSpan w:val="3"/>
          </w:tcPr>
          <w:p>
            <w:pPr>
              <w:jc w:val="right"/>
              <w:ind w:right="32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13.5</w:t>
            </w: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Non-performing residential assets serviced</w:t>
            </w:r>
          </w:p>
        </w:tc>
        <w:tc>
          <w:tcPr>
            <w:tcW w:w="3840" w:type="dxa"/>
            <w:vAlign w:val="bottom"/>
            <w:gridSpan w:val="3"/>
            <w:shd w:val="clear" w:color="auto" w:fill="CCEECC"/>
          </w:tcPr>
          <w:p>
            <w:pPr>
              <w:jc w:val="right"/>
              <w:ind w:right="18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44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18.6%</w:t>
            </w:r>
          </w:p>
        </w:tc>
        <w:tc>
          <w:tcPr>
            <w:tcW w:w="12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53"/>
        </w:trPr>
        <w:tc>
          <w:tcPr>
            <w:tcW w:w="4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rPr>
              <w:t>54</w:t>
            </w: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color w:val="auto"/>
        </w:rPr>
        <w:t>The following table provides selected Servicing operating statistics for the three and nine months ended September 30: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b w:val="1"/>
                <w:bCs w:val="1"/>
                <w:color w:val="auto"/>
                <w:w w:val="91"/>
              </w:rPr>
              <w:t>Three Months</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w w:val="94"/>
              </w:rPr>
              <w:t>Nine Months</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bottom w:val="single" w:sz="8" w:color="CCEECC"/>
            </w:tcBorders>
          </w:tcPr>
          <w:p>
            <w:pPr>
              <w:spacing w:after="0"/>
              <w:rPr>
                <w:sz w:val="19"/>
                <w:szCs w:val="19"/>
                <w:color w:val="auto"/>
              </w:rPr>
            </w:pPr>
          </w:p>
        </w:tc>
        <w:tc>
          <w:tcPr>
            <w:tcW w:w="100" w:type="dxa"/>
            <w:vAlign w:val="bottom"/>
            <w:tcBorders>
              <w:bottom w:val="single" w:sz="8" w:color="CCEE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CCEECC"/>
            </w:tcBorders>
          </w:tcPr>
          <w:p>
            <w:pPr>
              <w:spacing w:after="0"/>
              <w:rPr>
                <w:sz w:val="19"/>
                <w:szCs w:val="19"/>
                <w:color w:val="auto"/>
              </w:rPr>
            </w:pPr>
          </w:p>
        </w:tc>
        <w:tc>
          <w:tcPr>
            <w:tcW w:w="160" w:type="dxa"/>
            <w:vAlign w:val="bottom"/>
            <w:tcBorders>
              <w:bottom w:val="single" w:sz="8" w:color="CCEE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CCEEC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Change</w:t>
            </w:r>
          </w:p>
        </w:tc>
        <w:tc>
          <w:tcPr>
            <w:tcW w:w="300" w:type="dxa"/>
            <w:vAlign w:val="bottom"/>
            <w:tcBorders>
              <w:bottom w:val="single" w:sz="8" w:color="CCEECC"/>
            </w:tcBorders>
          </w:tcPr>
          <w:p>
            <w:pPr>
              <w:spacing w:after="0"/>
              <w:rPr>
                <w:sz w:val="19"/>
                <w:szCs w:val="19"/>
                <w:color w:val="auto"/>
              </w:rPr>
            </w:pPr>
          </w:p>
        </w:tc>
        <w:tc>
          <w:tcPr>
            <w:tcW w:w="100" w:type="dxa"/>
            <w:vAlign w:val="bottom"/>
            <w:tcBorders>
              <w:bottom w:val="single" w:sz="8" w:color="CCEE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CC"/>
            </w:tcBorders>
          </w:tcPr>
          <w:p>
            <w:pPr>
              <w:spacing w:after="0"/>
              <w:rPr>
                <w:sz w:val="19"/>
                <w:szCs w:val="19"/>
                <w:color w:val="auto"/>
              </w:rPr>
            </w:pPr>
          </w:p>
        </w:tc>
        <w:tc>
          <w:tcPr>
            <w:tcW w:w="140" w:type="dxa"/>
            <w:vAlign w:val="bottom"/>
            <w:tcBorders>
              <w:bottom w:val="single" w:sz="8" w:color="CCEE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CCEEC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Change</w:t>
            </w:r>
          </w:p>
        </w:tc>
        <w:tc>
          <w:tcPr>
            <w:tcW w:w="22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Residential Assets Serviced</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w w:val="95"/>
              </w:rPr>
              <w:t>Average UPB of residential assets serviced: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Servicing</w:t>
            </w:r>
          </w:p>
        </w:tc>
        <w:tc>
          <w:tcPr>
            <w:tcW w:w="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w w:val="91"/>
              </w:rPr>
              <w:t>345,662,822</w:t>
            </w:r>
          </w:p>
        </w:tc>
        <w:tc>
          <w:tcPr>
            <w:tcW w:w="2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w w:val="91"/>
              </w:rPr>
              <w:t>110,464,536</w:t>
            </w: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213%</w:t>
            </w:r>
          </w:p>
        </w:tc>
        <w:tc>
          <w:tcPr>
            <w:tcW w:w="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w w:val="89"/>
              </w:rPr>
              <w:t>301,982,054</w:t>
            </w:r>
          </w:p>
        </w:tc>
        <w:tc>
          <w:tcPr>
            <w:tcW w:w="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99,644,259</w:t>
            </w:r>
          </w:p>
        </w:tc>
        <w:tc>
          <w:tcPr>
            <w:tcW w:w="10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300"/>
              <w:spacing w:after="0"/>
              <w:rPr>
                <w:sz w:val="20"/>
                <w:szCs w:val="20"/>
                <w:color w:val="auto"/>
              </w:rPr>
            </w:pPr>
            <w:r>
              <w:rPr>
                <w:rFonts w:ascii="Arial" w:cs="Arial" w:eastAsia="Arial" w:hAnsi="Arial"/>
                <w:sz w:val="18"/>
                <w:szCs w:val="18"/>
                <w:color w:val="auto"/>
              </w:rPr>
              <w:t>Subservicing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77,494,904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16,106,037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103,395,969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14,379,429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1"/>
              </w:rPr>
              <w:t>423,157,726</w:t>
            </w: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1"/>
              </w:rPr>
              <w:t>126,570,573</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1120" w:type="dxa"/>
            <w:vAlign w:val="bottom"/>
            <w:tcBorders>
              <w:top w:val="single" w:sz="8" w:color="CCEECC"/>
              <w:bottom w:val="single" w:sz="8" w:color="CCEECC"/>
            </w:tcBorders>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89"/>
              </w:rPr>
              <w:t>405,378,023</w:t>
            </w: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1"/>
              </w:rPr>
              <w:t>114,023,688</w:t>
            </w: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1020" w:type="dxa"/>
            <w:vAlign w:val="bottom"/>
            <w:tcBorders>
              <w:top w:val="single" w:sz="8" w:color="CCEECC"/>
              <w:bottom w:val="single" w:sz="8" w:color="CCEECC"/>
            </w:tcBorders>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tcPr>
          <w:p>
            <w:pPr>
              <w:ind w:left="140"/>
              <w:spacing w:after="0"/>
              <w:rPr>
                <w:sz w:val="20"/>
                <w:szCs w:val="20"/>
                <w:color w:val="auto"/>
              </w:rPr>
            </w:pPr>
            <w:r>
              <w:rPr>
                <w:rFonts w:ascii="Arial" w:cs="Arial" w:eastAsia="Arial" w:hAnsi="Arial"/>
                <w:sz w:val="18"/>
                <w:szCs w:val="18"/>
                <w:color w:val="auto"/>
              </w:rPr>
              <w:t>Prepayment speed (average Constant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300"/>
              <w:spacing w:after="0"/>
              <w:rPr>
                <w:sz w:val="20"/>
                <w:szCs w:val="20"/>
                <w:color w:val="auto"/>
              </w:rPr>
            </w:pPr>
            <w:r>
              <w:rPr>
                <w:rFonts w:ascii="Arial" w:cs="Arial" w:eastAsia="Arial" w:hAnsi="Arial"/>
                <w:sz w:val="18"/>
                <w:szCs w:val="18"/>
                <w:color w:val="auto"/>
              </w:rPr>
              <w:t>Prepayment Rate or CPR)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CC"/>
          </w:tcPr>
          <w:p>
            <w:pPr>
              <w:ind w:left="140"/>
              <w:spacing w:after="0" w:line="201" w:lineRule="exact"/>
              <w:rPr>
                <w:sz w:val="20"/>
                <w:szCs w:val="20"/>
                <w:color w:val="auto"/>
              </w:rPr>
            </w:pPr>
            <w:r>
              <w:rPr>
                <w:rFonts w:ascii="Arial" w:cs="Arial" w:eastAsia="Arial" w:hAnsi="Arial"/>
                <w:sz w:val="18"/>
                <w:szCs w:val="18"/>
                <w:color w:val="auto"/>
              </w:rPr>
              <w:t>Average number of residential assets</w:t>
            </w:r>
          </w:p>
        </w:tc>
        <w:tc>
          <w:tcPr>
            <w:tcW w:w="1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serviced:</w:t>
            </w:r>
          </w:p>
        </w:tc>
        <w:tc>
          <w:tcPr>
            <w:tcW w:w="10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94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940" w:type="dxa"/>
            <w:vAlign w:val="bottom"/>
            <w:shd w:val="clear" w:color="auto" w:fill="CCEECC"/>
          </w:tcPr>
          <w:p>
            <w:pPr>
              <w:spacing w:after="0"/>
              <w:rPr>
                <w:sz w:val="20"/>
                <w:szCs w:val="20"/>
                <w:color w:val="auto"/>
              </w:rPr>
            </w:pPr>
          </w:p>
        </w:tc>
        <w:tc>
          <w:tcPr>
            <w:tcW w:w="320" w:type="dxa"/>
            <w:vAlign w:val="bottom"/>
            <w:shd w:val="clear" w:color="auto" w:fill="CCEECC"/>
          </w:tcPr>
          <w:p>
            <w:pPr>
              <w:spacing w:after="0"/>
              <w:rPr>
                <w:sz w:val="20"/>
                <w:szCs w:val="20"/>
                <w:color w:val="auto"/>
              </w:rPr>
            </w:pPr>
          </w:p>
        </w:tc>
        <w:tc>
          <w:tcPr>
            <w:tcW w:w="82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940" w:type="dxa"/>
            <w:vAlign w:val="bottom"/>
            <w:shd w:val="clear" w:color="auto" w:fill="CCEECC"/>
          </w:tcPr>
          <w:p>
            <w:pPr>
              <w:spacing w:after="0"/>
              <w:rPr>
                <w:sz w:val="20"/>
                <w:szCs w:val="20"/>
                <w:color w:val="auto"/>
              </w:rPr>
            </w:pPr>
          </w:p>
        </w:tc>
        <w:tc>
          <w:tcPr>
            <w:tcW w:w="340" w:type="dxa"/>
            <w:vAlign w:val="bottom"/>
            <w:shd w:val="clear" w:color="auto" w:fill="CCEECC"/>
          </w:tcPr>
          <w:p>
            <w:pPr>
              <w:spacing w:after="0"/>
              <w:rPr>
                <w:sz w:val="20"/>
                <w:szCs w:val="20"/>
                <w:color w:val="auto"/>
              </w:rPr>
            </w:pPr>
          </w:p>
        </w:tc>
        <w:tc>
          <w:tcPr>
            <w:tcW w:w="80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00"/>
              <w:spacing w:after="0"/>
              <w:rPr>
                <w:sz w:val="20"/>
                <w:szCs w:val="20"/>
                <w:color w:val="auto"/>
              </w:rPr>
            </w:pPr>
            <w:r>
              <w:rPr>
                <w:rFonts w:ascii="Arial" w:cs="Arial" w:eastAsia="Arial" w:hAnsi="Arial"/>
                <w:sz w:val="18"/>
                <w:szCs w:val="18"/>
                <w:color w:val="auto"/>
              </w:rPr>
              <w:t>Servicing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2,165,082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704,436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1,884,850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644,776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Subservicing</w:t>
            </w:r>
          </w:p>
        </w:tc>
        <w:tc>
          <w:tcPr>
            <w:tcW w:w="1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564,233</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100,581</w:t>
            </w:r>
          </w:p>
        </w:tc>
        <w:tc>
          <w:tcPr>
            <w:tcW w:w="1120" w:type="dxa"/>
            <w:vAlign w:val="bottom"/>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670,400</w:t>
            </w:r>
          </w:p>
        </w:tc>
        <w:tc>
          <w:tcPr>
            <w:tcW w:w="14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28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94,587</w:t>
            </w:r>
          </w:p>
        </w:tc>
        <w:tc>
          <w:tcPr>
            <w:tcW w:w="102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2,729,315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805,017</w:t>
            </w:r>
          </w:p>
        </w:tc>
        <w:tc>
          <w:tcPr>
            <w:tcW w:w="3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2,555,250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739,363</w:t>
            </w: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w w:val="90"/>
              </w:rPr>
              <w:t>Residential Servicing and Subservicing Fees</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Loan servicing and subservicing 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Servicing</w:t>
            </w:r>
          </w:p>
        </w:tc>
        <w:tc>
          <w:tcPr>
            <w:tcW w:w="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333,363</w:t>
            </w:r>
          </w:p>
        </w:tc>
        <w:tc>
          <w:tcPr>
            <w:tcW w:w="2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143,085</w:t>
            </w: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133%</w:t>
            </w:r>
          </w:p>
        </w:tc>
        <w:tc>
          <w:tcPr>
            <w:tcW w:w="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903,253</w:t>
            </w:r>
          </w:p>
        </w:tc>
        <w:tc>
          <w:tcPr>
            <w:tcW w:w="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389,917</w:t>
            </w:r>
          </w:p>
        </w:tc>
        <w:tc>
          <w:tcPr>
            <w:tcW w:w="10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300"/>
              <w:spacing w:after="0"/>
              <w:rPr>
                <w:sz w:val="20"/>
                <w:szCs w:val="20"/>
                <w:color w:val="auto"/>
              </w:rPr>
            </w:pPr>
            <w:r>
              <w:rPr>
                <w:rFonts w:ascii="Arial" w:cs="Arial" w:eastAsia="Arial" w:hAnsi="Arial"/>
                <w:sz w:val="18"/>
                <w:szCs w:val="18"/>
                <w:color w:val="auto"/>
              </w:rPr>
              <w:t>Subservicing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35,189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14,297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91,508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27,774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9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368,552</w:t>
            </w:r>
          </w:p>
        </w:tc>
        <w:tc>
          <w:tcPr>
            <w:tcW w:w="18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9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157,382</w:t>
            </w:r>
          </w:p>
        </w:tc>
        <w:tc>
          <w:tcPr>
            <w:tcW w:w="320" w:type="dxa"/>
            <w:vAlign w:val="bottom"/>
            <w:tcBorders>
              <w:top w:val="single" w:sz="8" w:color="CCEECC"/>
            </w:tcBorders>
            <w:shd w:val="clear" w:color="auto" w:fill="CCEECC"/>
          </w:tcPr>
          <w:p>
            <w:pPr>
              <w:spacing w:after="0"/>
              <w:rPr>
                <w:sz w:val="18"/>
                <w:szCs w:val="18"/>
                <w:color w:val="auto"/>
              </w:rPr>
            </w:pPr>
          </w:p>
        </w:tc>
        <w:tc>
          <w:tcPr>
            <w:tcW w:w="1120" w:type="dxa"/>
            <w:vAlign w:val="bottom"/>
            <w:tcBorders>
              <w:top w:val="single" w:sz="8" w:color="CCEECC"/>
            </w:tcBorders>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994,761</w:t>
            </w:r>
          </w:p>
        </w:tc>
        <w:tc>
          <w:tcPr>
            <w:tcW w:w="20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9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417,691</w:t>
            </w:r>
          </w:p>
        </w:tc>
        <w:tc>
          <w:tcPr>
            <w:tcW w:w="340" w:type="dxa"/>
            <w:vAlign w:val="bottom"/>
            <w:tcBorders>
              <w:top w:val="single" w:sz="8" w:color="CCEECC"/>
            </w:tcBorders>
            <w:shd w:val="clear" w:color="auto" w:fill="CCEECC"/>
          </w:tcPr>
          <w:p>
            <w:pPr>
              <w:spacing w:after="0"/>
              <w:rPr>
                <w:sz w:val="18"/>
                <w:szCs w:val="18"/>
                <w:color w:val="auto"/>
              </w:rPr>
            </w:pPr>
          </w:p>
        </w:tc>
        <w:tc>
          <w:tcPr>
            <w:tcW w:w="1020" w:type="dxa"/>
            <w:vAlign w:val="bottom"/>
            <w:tcBorders>
              <w:top w:val="single" w:sz="8" w:color="CCEECC"/>
            </w:tcBorders>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HAMP 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40,213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21,610</w:t>
            </w: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117,681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55,684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Late charges</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30,155</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16,171</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85,211</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52,454</w:t>
            </w:r>
          </w:p>
        </w:tc>
        <w:tc>
          <w:tcPr>
            <w:tcW w:w="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Loan collection 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4,085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22,476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11,234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Custodial accounts (float earnings)</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927</w:t>
            </w:r>
          </w:p>
        </w:tc>
        <w:tc>
          <w:tcPr>
            <w:tcW w:w="112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4,184</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2,378</w:t>
            </w:r>
          </w:p>
        </w:tc>
        <w:tc>
          <w:tcPr>
            <w:tcW w:w="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30,510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19,076</w:t>
            </w: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92,668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31,408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478,381</w:t>
            </w: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219,251</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1120" w:type="dxa"/>
            <w:vAlign w:val="bottom"/>
            <w:tcBorders>
              <w:top w:val="single" w:sz="8" w:color="CCEECC"/>
              <w:bottom w:val="single" w:sz="8" w:color="CCEECC"/>
            </w:tcBorders>
            <w:gridSpan w:val="2"/>
            <w:shd w:val="clear" w:color="auto" w:fill="CCEECC"/>
          </w:tcPr>
          <w:p>
            <w:pPr>
              <w:jc w:val="right"/>
              <w:ind w:right="300"/>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1,316,981</w:t>
            </w: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570,849</w:t>
            </w: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1020" w:type="dxa"/>
            <w:vAlign w:val="bottom"/>
            <w:tcBorders>
              <w:top w:val="single" w:sz="8" w:color="CCEECC"/>
              <w:bottom w:val="single" w:sz="8" w:color="CCEECC"/>
            </w:tcBorders>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Number of Completed Modifications</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HAMP</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15,273</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5,317</w:t>
            </w: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34,443</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13,270</w:t>
            </w:r>
          </w:p>
        </w:tc>
        <w:tc>
          <w:tcPr>
            <w:tcW w:w="10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Non-HAMP</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16,778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12,818</w:t>
            </w: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49,928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50,288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CEECC"/>
              <w:bottom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spacing w:after="0"/>
              <w:rPr>
                <w:sz w:val="19"/>
                <w:szCs w:val="19"/>
                <w:color w:val="auto"/>
              </w:rPr>
            </w:pP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32,051</w:t>
            </w:r>
          </w:p>
        </w:tc>
        <w:tc>
          <w:tcPr>
            <w:tcW w:w="180" w:type="dxa"/>
            <w:vAlign w:val="bottom"/>
            <w:tcBorders>
              <w:top w:val="single" w:sz="8" w:color="CCEECC"/>
              <w:bottom w:val="single" w:sz="8" w:color="CCEECC"/>
            </w:tcBorders>
            <w:shd w:val="clear" w:color="auto" w:fill="CCEECC"/>
          </w:tcPr>
          <w:p>
            <w:pPr>
              <w:spacing w:after="0"/>
              <w:rPr>
                <w:sz w:val="19"/>
                <w:szCs w:val="19"/>
                <w:color w:val="auto"/>
              </w:rPr>
            </w:pPr>
          </w:p>
        </w:tc>
        <w:tc>
          <w:tcPr>
            <w:tcW w:w="16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spacing w:after="0"/>
              <w:rPr>
                <w:sz w:val="19"/>
                <w:szCs w:val="19"/>
                <w:color w:val="auto"/>
              </w:rPr>
            </w:pP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18,135</w:t>
            </w:r>
          </w:p>
        </w:tc>
        <w:tc>
          <w:tcPr>
            <w:tcW w:w="320" w:type="dxa"/>
            <w:vAlign w:val="bottom"/>
            <w:tcBorders>
              <w:top w:val="single" w:sz="8" w:color="CCEECC"/>
              <w:bottom w:val="single" w:sz="8" w:color="CCEECC"/>
            </w:tcBorders>
            <w:shd w:val="clear" w:color="auto" w:fill="CCEECC"/>
          </w:tcPr>
          <w:p>
            <w:pPr>
              <w:spacing w:after="0"/>
              <w:rPr>
                <w:sz w:val="19"/>
                <w:szCs w:val="19"/>
                <w:color w:val="auto"/>
              </w:rPr>
            </w:pPr>
          </w:p>
        </w:tc>
        <w:tc>
          <w:tcPr>
            <w:tcW w:w="82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spacing w:after="0"/>
              <w:rPr>
                <w:sz w:val="19"/>
                <w:szCs w:val="19"/>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84,371</w:t>
            </w:r>
          </w:p>
        </w:tc>
        <w:tc>
          <w:tcPr>
            <w:tcW w:w="20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spacing w:after="0"/>
              <w:rPr>
                <w:sz w:val="19"/>
                <w:szCs w:val="19"/>
                <w:color w:val="auto"/>
              </w:rPr>
            </w:pP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63,558</w:t>
            </w:r>
          </w:p>
        </w:tc>
        <w:tc>
          <w:tcPr>
            <w:tcW w:w="340" w:type="dxa"/>
            <w:vAlign w:val="bottom"/>
            <w:tcBorders>
              <w:top w:val="single" w:sz="8" w:color="CCEECC"/>
              <w:bottom w:val="single" w:sz="8" w:color="CCEECC"/>
            </w:tcBorders>
            <w:shd w:val="clear" w:color="auto" w:fill="CCEECC"/>
          </w:tcPr>
          <w:p>
            <w:pPr>
              <w:spacing w:after="0"/>
              <w:rPr>
                <w:sz w:val="19"/>
                <w:szCs w:val="19"/>
                <w:color w:val="auto"/>
              </w:rPr>
            </w:pPr>
          </w:p>
        </w:tc>
        <w:tc>
          <w:tcPr>
            <w:tcW w:w="80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Costs</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CC"/>
          </w:tcPr>
          <w:p>
            <w:pPr>
              <w:ind w:left="140"/>
              <w:spacing w:after="0" w:line="201" w:lineRule="exact"/>
              <w:rPr>
                <w:sz w:val="20"/>
                <w:szCs w:val="20"/>
                <w:color w:val="auto"/>
              </w:rPr>
            </w:pPr>
            <w:r>
              <w:rPr>
                <w:rFonts w:ascii="Arial" w:cs="Arial" w:eastAsia="Arial" w:hAnsi="Arial"/>
                <w:sz w:val="18"/>
                <w:szCs w:val="18"/>
                <w:color w:val="auto"/>
              </w:rPr>
              <w:t>Average balance of advances and match</w:t>
            </w:r>
          </w:p>
        </w:tc>
        <w:tc>
          <w:tcPr>
            <w:tcW w:w="1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funded advances</w:t>
            </w:r>
          </w:p>
        </w:tc>
        <w:tc>
          <w:tcPr>
            <w:tcW w:w="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1,741,506</w:t>
            </w:r>
          </w:p>
        </w:tc>
        <w:tc>
          <w:tcPr>
            <w:tcW w:w="180" w:type="dxa"/>
            <w:vAlign w:val="bottom"/>
            <w:shd w:val="clear" w:color="auto" w:fill="CCEECC"/>
          </w:tcPr>
          <w:p>
            <w:pPr>
              <w:spacing w:after="0"/>
              <w:rPr>
                <w:sz w:val="20"/>
                <w:szCs w:val="20"/>
                <w:color w:val="auto"/>
              </w:rPr>
            </w:pPr>
          </w:p>
        </w:tc>
        <w:tc>
          <w:tcPr>
            <w:tcW w:w="2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4,122,294</w:t>
            </w:r>
          </w:p>
        </w:tc>
        <w:tc>
          <w:tcPr>
            <w:tcW w:w="11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(58)%</w:t>
            </w:r>
          </w:p>
        </w:tc>
        <w:tc>
          <w:tcPr>
            <w:tcW w:w="2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2,944,769</w:t>
            </w:r>
          </w:p>
        </w:tc>
        <w:tc>
          <w:tcPr>
            <w:tcW w:w="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3,829,231</w:t>
            </w: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Average borrowings (4)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1,603,023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3,147,677</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2,892,292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3,203,530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Interest expense on borrowings (4)</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23,134</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43,191</w:t>
            </w:r>
          </w:p>
        </w:tc>
        <w:tc>
          <w:tcPr>
            <w:tcW w:w="112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116,026</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131,868</w:t>
            </w:r>
          </w:p>
        </w:tc>
        <w:tc>
          <w:tcPr>
            <w:tcW w:w="10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w w:val="93"/>
              </w:rPr>
              <w:t>Facility costs included in interest expense (4)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8,077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6,110</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15,757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15,515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CC"/>
          </w:tcPr>
          <w:p>
            <w:pPr>
              <w:ind w:left="140"/>
              <w:spacing w:after="0" w:line="201" w:lineRule="exact"/>
              <w:rPr>
                <w:sz w:val="20"/>
                <w:szCs w:val="20"/>
                <w:color w:val="auto"/>
              </w:rPr>
            </w:pPr>
            <w:r>
              <w:rPr>
                <w:rFonts w:ascii="Arial" w:cs="Arial" w:eastAsia="Arial" w:hAnsi="Arial"/>
                <w:sz w:val="18"/>
                <w:szCs w:val="18"/>
                <w:color w:val="auto"/>
              </w:rPr>
              <w:t>Discount amortization included in interest</w:t>
            </w:r>
          </w:p>
        </w:tc>
        <w:tc>
          <w:tcPr>
            <w:tcW w:w="1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80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1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6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1,200</w:t>
            </w:r>
          </w:p>
        </w:tc>
        <w:tc>
          <w:tcPr>
            <w:tcW w:w="112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1,082</w:t>
            </w:r>
          </w:p>
        </w:tc>
        <w:tc>
          <w:tcPr>
            <w:tcW w:w="14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8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2,680</w:t>
            </w:r>
          </w:p>
        </w:tc>
        <w:tc>
          <w:tcPr>
            <w:tcW w:w="10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Effective average interest rate (4)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5.49%</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5.49%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Average 1-month LIBOR</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0.24%</w:t>
            </w:r>
          </w:p>
        </w:tc>
        <w:tc>
          <w:tcPr>
            <w:tcW w:w="112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0.24%</w:t>
            </w:r>
          </w:p>
        </w:tc>
        <w:tc>
          <w:tcPr>
            <w:tcW w:w="10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Average Employment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India and other</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5,120</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320"/>
              <w:spacing w:after="0"/>
              <w:rPr>
                <w:sz w:val="20"/>
                <w:szCs w:val="20"/>
                <w:color w:val="auto"/>
              </w:rPr>
            </w:pPr>
            <w:r>
              <w:rPr>
                <w:rFonts w:ascii="Arial" w:cs="Arial" w:eastAsia="Arial" w:hAnsi="Arial"/>
                <w:sz w:val="18"/>
                <w:szCs w:val="18"/>
                <w:color w:val="auto"/>
              </w:rPr>
              <w:t>3,792</w:t>
            </w:r>
          </w:p>
        </w:tc>
        <w:tc>
          <w:tcPr>
            <w:tcW w:w="11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4,860</w:t>
            </w:r>
          </w:p>
        </w:tc>
        <w:tc>
          <w:tcPr>
            <w:tcW w:w="1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340"/>
              <w:spacing w:after="0"/>
              <w:rPr>
                <w:sz w:val="20"/>
                <w:szCs w:val="20"/>
                <w:color w:val="auto"/>
              </w:rPr>
            </w:pPr>
            <w:r>
              <w:rPr>
                <w:rFonts w:ascii="Arial" w:cs="Arial" w:eastAsia="Arial" w:hAnsi="Arial"/>
                <w:sz w:val="18"/>
                <w:szCs w:val="18"/>
                <w:color w:val="auto"/>
              </w:rPr>
              <w:t>4,236</w:t>
            </w:r>
          </w:p>
        </w:tc>
        <w:tc>
          <w:tcPr>
            <w:tcW w:w="10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United States (5)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725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714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CC"/>
              <w:bottom w:val="single" w:sz="8" w:color="CCEECC"/>
            </w:tcBorders>
            <w:shd w:val="clear" w:color="auto" w:fill="CCEECC"/>
          </w:tcPr>
          <w:p>
            <w:pPr>
              <w:ind w:left="3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CC"/>
              <w:bottom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8,395</w:t>
            </w:r>
          </w:p>
        </w:tc>
        <w:tc>
          <w:tcPr>
            <w:tcW w:w="180" w:type="dxa"/>
            <w:vAlign w:val="bottom"/>
            <w:tcBorders>
              <w:top w:val="single" w:sz="8" w:color="CCEECC"/>
              <w:bottom w:val="single" w:sz="8" w:color="CCEECC"/>
            </w:tcBorders>
            <w:shd w:val="clear" w:color="auto" w:fill="CCEECC"/>
          </w:tcPr>
          <w:p>
            <w:pPr>
              <w:spacing w:after="0"/>
              <w:rPr>
                <w:sz w:val="18"/>
                <w:szCs w:val="18"/>
                <w:color w:val="auto"/>
              </w:rPr>
            </w:pPr>
          </w:p>
        </w:tc>
        <w:tc>
          <w:tcPr>
            <w:tcW w:w="160" w:type="dxa"/>
            <w:vAlign w:val="bottom"/>
            <w:tcBorders>
              <w:top w:val="single" w:sz="8" w:color="CCEECC"/>
              <w:bottom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4,517</w:t>
            </w:r>
          </w:p>
        </w:tc>
        <w:tc>
          <w:tcPr>
            <w:tcW w:w="320" w:type="dxa"/>
            <w:vAlign w:val="bottom"/>
            <w:tcBorders>
              <w:top w:val="single" w:sz="8" w:color="CCEECC"/>
              <w:bottom w:val="single" w:sz="8" w:color="CCEECC"/>
            </w:tcBorders>
            <w:shd w:val="clear" w:color="auto" w:fill="CCEECC"/>
          </w:tcPr>
          <w:p>
            <w:pPr>
              <w:spacing w:after="0"/>
              <w:rPr>
                <w:sz w:val="18"/>
                <w:szCs w:val="18"/>
                <w:color w:val="auto"/>
              </w:rPr>
            </w:pPr>
          </w:p>
        </w:tc>
        <w:tc>
          <w:tcPr>
            <w:tcW w:w="82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86</w:t>
            </w:r>
          </w:p>
        </w:tc>
        <w:tc>
          <w:tcPr>
            <w:tcW w:w="300" w:type="dxa"/>
            <w:vAlign w:val="bottom"/>
            <w:tcBorders>
              <w:top w:val="single" w:sz="8" w:color="CCEECC"/>
              <w:bottom w:val="single" w:sz="8" w:color="CCEECC"/>
            </w:tcBorders>
            <w:shd w:val="clear" w:color="auto" w:fill="CCEECC"/>
          </w:tcPr>
          <w:p>
            <w:pPr>
              <w:spacing w:after="0"/>
              <w:rPr>
                <w:sz w:val="18"/>
                <w:szCs w:val="18"/>
                <w:color w:val="auto"/>
              </w:rPr>
            </w:pPr>
          </w:p>
        </w:tc>
        <w:tc>
          <w:tcPr>
            <w:tcW w:w="100" w:type="dxa"/>
            <w:vAlign w:val="bottom"/>
            <w:tcBorders>
              <w:top w:val="single" w:sz="8" w:color="CCEECC"/>
              <w:bottom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8,246</w:t>
            </w:r>
          </w:p>
        </w:tc>
        <w:tc>
          <w:tcPr>
            <w:tcW w:w="200" w:type="dxa"/>
            <w:vAlign w:val="bottom"/>
            <w:tcBorders>
              <w:top w:val="single" w:sz="8" w:color="CCEECC"/>
              <w:bottom w:val="single" w:sz="8" w:color="CCEECC"/>
            </w:tcBorders>
            <w:shd w:val="clear" w:color="auto" w:fill="CCEECC"/>
          </w:tcPr>
          <w:p>
            <w:pPr>
              <w:spacing w:after="0"/>
              <w:rPr>
                <w:sz w:val="18"/>
                <w:szCs w:val="18"/>
                <w:color w:val="auto"/>
              </w:rPr>
            </w:pPr>
          </w:p>
        </w:tc>
        <w:tc>
          <w:tcPr>
            <w:tcW w:w="140" w:type="dxa"/>
            <w:vAlign w:val="bottom"/>
            <w:tcBorders>
              <w:top w:val="single" w:sz="8" w:color="CCEECC"/>
              <w:bottom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9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4,950</w:t>
            </w:r>
          </w:p>
        </w:tc>
        <w:tc>
          <w:tcPr>
            <w:tcW w:w="340" w:type="dxa"/>
            <w:vAlign w:val="bottom"/>
            <w:tcBorders>
              <w:top w:val="single" w:sz="8" w:color="CCEECC"/>
              <w:bottom w:val="single" w:sz="8" w:color="CCEECC"/>
            </w:tcBorders>
            <w:shd w:val="clear" w:color="auto" w:fill="CCEECC"/>
          </w:tcPr>
          <w:p>
            <w:pPr>
              <w:spacing w:after="0"/>
              <w:rPr>
                <w:sz w:val="18"/>
                <w:szCs w:val="18"/>
                <w:color w:val="auto"/>
              </w:rPr>
            </w:pPr>
          </w:p>
        </w:tc>
        <w:tc>
          <w:tcPr>
            <w:tcW w:w="80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top w:val="single" w:sz="8" w:color="CCEECC"/>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w w:val="98"/>
              </w:rPr>
              <w:t>Collections on Loans Serviced for Others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22,346,482</w:t>
            </w: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3,314,692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66,846,411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8,563,886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56" w:name="page57"/>
    <w:bookmarkEnd w:id="56"/>
    <w:p>
      <w:pPr>
        <w:ind w:left="332" w:right="240" w:hanging="332"/>
        <w:spacing w:after="0" w:line="277" w:lineRule="auto"/>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29" w:lineRule="exact"/>
        <w:rPr>
          <w:rFonts w:ascii="Arial" w:cs="Arial" w:eastAsia="Arial" w:hAnsi="Arial"/>
          <w:sz w:val="18"/>
          <w:szCs w:val="18"/>
          <w:color w:val="auto"/>
        </w:rPr>
      </w:pPr>
    </w:p>
    <w:p>
      <w:pPr>
        <w:ind w:left="332" w:right="400" w:hanging="332"/>
        <w:spacing w:after="0" w:line="277" w:lineRule="auto"/>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September 30, 2013, we serviced 951,384 subprime loans with a UPB of $147.7 billion. This compares to 747,908 subprime loans with a UPB of $113.4 billion at December 31, 2012 and 609,304 subprime loans with a UPB of $93.2 billion at September 30, 2012.</w:t>
      </w:r>
    </w:p>
    <w:p>
      <w:pPr>
        <w:spacing w:after="0" w:line="143" w:lineRule="exact"/>
        <w:rPr>
          <w:rFonts w:ascii="Arial" w:cs="Arial" w:eastAsia="Arial" w:hAnsi="Arial"/>
          <w:sz w:val="18"/>
          <w:szCs w:val="18"/>
          <w:color w:val="auto"/>
        </w:rPr>
      </w:pPr>
    </w:p>
    <w:p>
      <w:pPr>
        <w:ind w:left="332" w:right="180" w:hanging="332"/>
        <w:spacing w:after="0" w:line="277" w:lineRule="auto"/>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Agency loans at September 30, 2013 include 114,201 prime loans with a UPB of $33.7 billion that we subservice and which consist primarily of jumbo loans which exceed conforming loan size limits set by Fannie Mae and Freddie Mac.</w:t>
      </w:r>
    </w:p>
    <w:p>
      <w:pPr>
        <w:spacing w:after="0" w:line="129" w:lineRule="exact"/>
        <w:rPr>
          <w:rFonts w:ascii="Arial" w:cs="Arial" w:eastAsia="Arial" w:hAnsi="Arial"/>
          <w:sz w:val="18"/>
          <w:szCs w:val="18"/>
          <w:color w:val="auto"/>
        </w:rPr>
      </w:pPr>
    </w:p>
    <w:p>
      <w:pPr>
        <w:ind w:left="332" w:right="20" w:hanging="332"/>
        <w:spacing w:after="0" w:line="297" w:lineRule="auto"/>
        <w:tabs>
          <w:tab w:leader="none" w:pos="3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Excludes interest expense related to financing liabilities that we recognized in connection with the HLSS Transactions. Interest on the HLSS financing liabilities amounted to $74.2 million and $14.0 million for the three months ended September 30, 2013 and 2012, respectively, and $168.6 million and $27.6 million for the nine months ended September 30, 2013 and 2012, respectively. Also excludes the average balance of the HLSS financing liabilities of $661.2 million and $92.3 million, respectively, and $464.37 million and $60.2 million, respectively, during the same periods. See </w:t>
      </w:r>
      <w:hyperlink w:anchor="page15">
        <w:r>
          <w:rPr>
            <w:rFonts w:ascii="Arial" w:cs="Arial" w:eastAsia="Arial" w:hAnsi="Arial"/>
            <w:sz w:val="16"/>
            <w:szCs w:val="16"/>
            <w:u w:val="single" w:color="auto"/>
            <w:color w:val="0000EE"/>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Transfers of Financial Assets to the unaudited Consolidated Financial Statements for additional information regarding the HLSS Transactions.</w:t>
      </w:r>
    </w:p>
    <w:p>
      <w:pPr>
        <w:spacing w:after="0" w:line="117" w:lineRule="exact"/>
        <w:rPr>
          <w:rFonts w:ascii="Arial" w:cs="Arial" w:eastAsia="Arial" w:hAnsi="Arial"/>
          <w:sz w:val="16"/>
          <w:szCs w:val="16"/>
          <w:color w:val="auto"/>
        </w:rPr>
      </w:pPr>
    </w:p>
    <w:p>
      <w:pPr>
        <w:ind w:left="332" w:hanging="332"/>
        <w:spacing w:after="0" w:line="259" w:lineRule="auto"/>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ResCap and Homeward Acquisitions added an average of 2,088 and 368 employees, respectively, during the three months ended September 30, 2013 and an average of 1,977 and 635 employees, respectively, during the nine months ended September 30, 2013. Excluding ResCap and Homeward employees, U.S average staffing was 819 and 725 for the three months ended September 30, 2013 and 2012, respectively, as compared to 773 and 714 for the nine months ended September 30, 2013 and 2012, respectively.</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Amount of UPB (1)</w:t>
            </w:r>
          </w:p>
        </w:tc>
        <w:tc>
          <w:tcPr>
            <w:tcW w:w="1640" w:type="dxa"/>
            <w:vAlign w:val="bottom"/>
            <w:gridSpan w:val="3"/>
          </w:tcPr>
          <w:p>
            <w:pPr>
              <w:ind w:left="1000"/>
              <w:spacing w:after="0"/>
              <w:rPr>
                <w:sz w:val="20"/>
                <w:szCs w:val="20"/>
                <w:color w:val="auto"/>
              </w:rPr>
            </w:pPr>
            <w:r>
              <w:rPr>
                <w:rFonts w:ascii="Arial" w:cs="Arial" w:eastAsia="Arial" w:hAnsi="Arial"/>
                <w:sz w:val="18"/>
                <w:szCs w:val="18"/>
                <w:b w:val="1"/>
                <w:bCs w:val="1"/>
                <w:color w:val="auto"/>
              </w:rPr>
              <w:t>Count</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120" w:type="dxa"/>
            <w:vAlign w:val="bottom"/>
            <w:tcBorders>
              <w:bottom w:val="single" w:sz="8" w:color="CCEECC"/>
            </w:tcBorders>
          </w:tcPr>
          <w:p>
            <w:pPr>
              <w:spacing w:after="0"/>
              <w:rPr>
                <w:sz w:val="19"/>
                <w:szCs w:val="19"/>
                <w:color w:val="auto"/>
              </w:rPr>
            </w:pPr>
          </w:p>
        </w:tc>
        <w:tc>
          <w:tcPr>
            <w:tcW w:w="720" w:type="dxa"/>
            <w:vAlign w:val="bottom"/>
            <w:tcBorders>
              <w:bottom w:val="single" w:sz="8" w:color="CCEECC"/>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top w:val="single" w:sz="8" w:color="auto"/>
              <w:bottom w:val="single" w:sz="8" w:color="CCEECC"/>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CCEECC"/>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top w:val="single" w:sz="8" w:color="auto"/>
              <w:bottom w:val="single" w:sz="8" w:color="CCEE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r>
      <w:tr>
        <w:trPr>
          <w:trHeight w:val="210"/>
        </w:trPr>
        <w:tc>
          <w:tcPr>
            <w:tcW w:w="5120" w:type="dxa"/>
            <w:vAlign w:val="bottom"/>
            <w:shd w:val="clear" w:color="auto" w:fill="CCEECC"/>
          </w:tcPr>
          <w:p>
            <w:pPr>
              <w:spacing w:after="0"/>
              <w:rPr>
                <w:sz w:val="20"/>
                <w:szCs w:val="20"/>
                <w:color w:val="auto"/>
              </w:rPr>
            </w:pPr>
            <w:r>
              <w:rPr>
                <w:rFonts w:ascii="Arial" w:cs="Arial" w:eastAsia="Arial" w:hAnsi="Arial"/>
                <w:sz w:val="18"/>
                <w:szCs w:val="18"/>
                <w:color w:val="auto"/>
              </w:rPr>
              <w:t>Servicing and subservicing portfolio at beginning of the year</w:t>
            </w:r>
          </w:p>
        </w:tc>
        <w:tc>
          <w:tcPr>
            <w:tcW w:w="720" w:type="dxa"/>
            <w:vAlign w:val="bottom"/>
            <w:shd w:val="clear" w:color="auto" w:fill="CCEECC"/>
          </w:tcPr>
          <w:p>
            <w:pPr>
              <w:spacing w:after="0"/>
              <w:rPr>
                <w:sz w:val="18"/>
                <w:szCs w:val="18"/>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0"/>
              </w:rPr>
              <w:t>$ 203,665,716</w:t>
            </w:r>
          </w:p>
        </w:tc>
        <w:tc>
          <w:tcPr>
            <w:tcW w:w="440" w:type="dxa"/>
            <w:vAlign w:val="bottom"/>
            <w:shd w:val="clear" w:color="auto" w:fill="CCEECC"/>
          </w:tcPr>
          <w:p>
            <w:pPr>
              <w:spacing w:after="0"/>
              <w:rPr>
                <w:sz w:val="18"/>
                <w:szCs w:val="18"/>
                <w:color w:val="auto"/>
              </w:rPr>
            </w:pPr>
          </w:p>
        </w:tc>
        <w:tc>
          <w:tcPr>
            <w:tcW w:w="10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0"/>
              </w:rPr>
              <w:t>$ 102,199,222</w:t>
            </w:r>
          </w:p>
        </w:tc>
        <w:tc>
          <w:tcPr>
            <w:tcW w:w="44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1,219,956</w:t>
            </w:r>
          </w:p>
        </w:tc>
        <w:tc>
          <w:tcPr>
            <w:tcW w:w="4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671,623</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512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220" w:type="dxa"/>
            <w:vAlign w:val="bottom"/>
            <w:gridSpan w:val="3"/>
          </w:tcPr>
          <w:p>
            <w:pPr>
              <w:jc w:val="right"/>
              <w:ind w:right="440"/>
              <w:spacing w:after="0"/>
              <w:rPr>
                <w:sz w:val="20"/>
                <w:szCs w:val="20"/>
                <w:color w:val="auto"/>
              </w:rPr>
            </w:pPr>
            <w:r>
              <w:rPr>
                <w:rFonts w:ascii="Arial" w:cs="Arial" w:eastAsia="Arial" w:hAnsi="Arial"/>
                <w:sz w:val="18"/>
                <w:szCs w:val="18"/>
                <w:color w:val="auto"/>
              </w:rPr>
              <w:t>276,366,219</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47,480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1,773,522</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r>
      <w:tr>
        <w:trPr>
          <w:trHeight w:val="230"/>
        </w:trPr>
        <w:tc>
          <w:tcPr>
            <w:tcW w:w="5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Runoff</w:t>
            </w:r>
          </w:p>
        </w:tc>
        <w:tc>
          <w:tcPr>
            <w:tcW w:w="2220" w:type="dxa"/>
            <w:vAlign w:val="bottom"/>
            <w:gridSpan w:val="3"/>
            <w:shd w:val="clear" w:color="auto" w:fill="CCEECC"/>
          </w:tcPr>
          <w:p>
            <w:pPr>
              <w:jc w:val="right"/>
              <w:ind w:right="380"/>
              <w:spacing w:after="0"/>
              <w:rPr>
                <w:sz w:val="20"/>
                <w:szCs w:val="20"/>
                <w:color w:val="auto"/>
              </w:rPr>
            </w:pPr>
            <w:r>
              <w:rPr>
                <w:rFonts w:ascii="Arial" w:cs="Arial" w:eastAsia="Arial" w:hAnsi="Arial"/>
                <w:sz w:val="18"/>
                <w:szCs w:val="18"/>
                <w:color w:val="auto"/>
              </w:rPr>
              <w:t>(12,960,274)</w:t>
            </w:r>
          </w:p>
        </w:tc>
        <w:tc>
          <w:tcPr>
            <w:tcW w:w="150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(3,806,236)</w:t>
            </w:r>
          </w:p>
        </w:tc>
        <w:tc>
          <w:tcPr>
            <w:tcW w:w="146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(61,872)</w:t>
            </w:r>
          </w:p>
        </w:tc>
        <w:tc>
          <w:tcPr>
            <w:tcW w:w="180" w:type="dxa"/>
            <w:vAlign w:val="bottom"/>
            <w:shd w:val="clear" w:color="auto" w:fill="CCEECC"/>
          </w:tcPr>
          <w:p>
            <w:pPr>
              <w:spacing w:after="0"/>
              <w:rPr>
                <w:sz w:val="19"/>
                <w:szCs w:val="19"/>
                <w:color w:val="auto"/>
              </w:rPr>
            </w:pPr>
          </w:p>
        </w:tc>
        <w:tc>
          <w:tcPr>
            <w:tcW w:w="94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(16,319)</w:t>
            </w: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Servicing and subservicing portfolio at March 31 (2)</w:t>
            </w:r>
          </w:p>
        </w:tc>
        <w:tc>
          <w:tcPr>
            <w:tcW w:w="7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467,071,661</w:t>
            </w:r>
          </w:p>
        </w:tc>
        <w:tc>
          <w:tcPr>
            <w:tcW w:w="4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98,440,466</w:t>
            </w:r>
          </w:p>
        </w:tc>
        <w:tc>
          <w:tcPr>
            <w:tcW w:w="4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2,931,606</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655,510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Additions</w:t>
            </w:r>
          </w:p>
        </w:tc>
        <w:tc>
          <w:tcPr>
            <w:tcW w:w="2220" w:type="dxa"/>
            <w:vAlign w:val="bottom"/>
            <w:gridSpan w:val="3"/>
            <w:shd w:val="clear" w:color="auto" w:fill="CCEECC"/>
          </w:tcPr>
          <w:p>
            <w:pPr>
              <w:jc w:val="right"/>
              <w:ind w:right="440"/>
              <w:spacing w:after="0"/>
              <w:rPr>
                <w:sz w:val="20"/>
                <w:szCs w:val="20"/>
                <w:color w:val="auto"/>
              </w:rPr>
            </w:pPr>
            <w:r>
              <w:rPr>
                <w:rFonts w:ascii="Arial" w:cs="Arial" w:eastAsia="Arial" w:hAnsi="Arial"/>
                <w:sz w:val="18"/>
                <w:szCs w:val="18"/>
                <w:color w:val="auto"/>
              </w:rPr>
              <w:t>5,314,631</w:t>
            </w:r>
          </w:p>
        </w:tc>
        <w:tc>
          <w:tcPr>
            <w:tcW w:w="15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34,182,040</w:t>
            </w:r>
          </w:p>
        </w:tc>
        <w:tc>
          <w:tcPr>
            <w:tcW w:w="14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23,735</w:t>
            </w: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176,050</w:t>
            </w:r>
          </w:p>
        </w:tc>
        <w:tc>
          <w:tcPr>
            <w:tcW w:w="80" w:type="dxa"/>
            <w:vAlign w:val="bottom"/>
            <w:shd w:val="clear" w:color="auto" w:fill="CCEECC"/>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Servicing transfers</w:t>
            </w:r>
          </w:p>
        </w:tc>
        <w:tc>
          <w:tcPr>
            <w:tcW w:w="2220" w:type="dxa"/>
            <w:vAlign w:val="bottom"/>
            <w:gridSpan w:val="3"/>
          </w:tcPr>
          <w:p>
            <w:pPr>
              <w:jc w:val="right"/>
              <w:ind w:right="380"/>
              <w:spacing w:after="0"/>
              <w:rPr>
                <w:sz w:val="20"/>
                <w:szCs w:val="20"/>
                <w:color w:val="auto"/>
              </w:rPr>
            </w:pPr>
            <w:r>
              <w:rPr>
                <w:rFonts w:ascii="Arial" w:cs="Arial" w:eastAsia="Arial" w:hAnsi="Arial"/>
                <w:sz w:val="18"/>
                <w:szCs w:val="18"/>
                <w:color w:val="auto"/>
              </w:rPr>
              <w:t>(10,933,630)</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(49,356)</w:t>
            </w: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Runoff</w:t>
            </w:r>
          </w:p>
        </w:tc>
        <w:tc>
          <w:tcPr>
            <w:tcW w:w="2220" w:type="dxa"/>
            <w:vAlign w:val="bottom"/>
            <w:gridSpan w:val="3"/>
            <w:shd w:val="clear" w:color="auto" w:fill="CCEECC"/>
          </w:tcPr>
          <w:p>
            <w:pPr>
              <w:jc w:val="right"/>
              <w:ind w:right="380"/>
              <w:spacing w:after="0"/>
              <w:rPr>
                <w:sz w:val="20"/>
                <w:szCs w:val="20"/>
                <w:color w:val="auto"/>
              </w:rPr>
            </w:pPr>
            <w:r>
              <w:rPr>
                <w:rFonts w:ascii="Arial" w:cs="Arial" w:eastAsia="Arial" w:hAnsi="Arial"/>
                <w:sz w:val="18"/>
                <w:szCs w:val="18"/>
                <w:color w:val="auto"/>
              </w:rPr>
              <w:t>(25,197,279)</w:t>
            </w:r>
          </w:p>
        </w:tc>
        <w:tc>
          <w:tcPr>
            <w:tcW w:w="150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(4,749,282)</w:t>
            </w:r>
          </w:p>
        </w:tc>
        <w:tc>
          <w:tcPr>
            <w:tcW w:w="146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(120,060)</w:t>
            </w:r>
          </w:p>
        </w:tc>
        <w:tc>
          <w:tcPr>
            <w:tcW w:w="180" w:type="dxa"/>
            <w:vAlign w:val="bottom"/>
            <w:shd w:val="clear" w:color="auto" w:fill="CCEECC"/>
          </w:tcPr>
          <w:p>
            <w:pPr>
              <w:spacing w:after="0"/>
              <w:rPr>
                <w:sz w:val="19"/>
                <w:szCs w:val="19"/>
                <w:color w:val="auto"/>
              </w:rPr>
            </w:pPr>
          </w:p>
        </w:tc>
        <w:tc>
          <w:tcPr>
            <w:tcW w:w="94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(20,666)</w:t>
            </w: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Servicing and subservicing portfolio at June 30</w:t>
            </w:r>
          </w:p>
        </w:tc>
        <w:tc>
          <w:tcPr>
            <w:tcW w:w="7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436,255,383</w:t>
            </w:r>
          </w:p>
        </w:tc>
        <w:tc>
          <w:tcPr>
            <w:tcW w:w="4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127,873,224</w:t>
            </w:r>
          </w:p>
        </w:tc>
        <w:tc>
          <w:tcPr>
            <w:tcW w:w="4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2,785,925</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810,894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Additions</w:t>
            </w:r>
          </w:p>
        </w:tc>
        <w:tc>
          <w:tcPr>
            <w:tcW w:w="2220" w:type="dxa"/>
            <w:vAlign w:val="bottom"/>
            <w:gridSpan w:val="3"/>
            <w:shd w:val="clear" w:color="auto" w:fill="CCEECC"/>
          </w:tcPr>
          <w:p>
            <w:pPr>
              <w:jc w:val="right"/>
              <w:ind w:right="440"/>
              <w:spacing w:after="0"/>
              <w:rPr>
                <w:sz w:val="20"/>
                <w:szCs w:val="20"/>
                <w:color w:val="auto"/>
              </w:rPr>
            </w:pPr>
            <w:r>
              <w:rPr>
                <w:rFonts w:ascii="Arial" w:cs="Arial" w:eastAsia="Arial" w:hAnsi="Arial"/>
                <w:sz w:val="18"/>
                <w:szCs w:val="18"/>
                <w:color w:val="auto"/>
              </w:rPr>
              <w:t>38,739,521</w:t>
            </w:r>
          </w:p>
        </w:tc>
        <w:tc>
          <w:tcPr>
            <w:tcW w:w="15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4,136,704</w:t>
            </w:r>
          </w:p>
        </w:tc>
        <w:tc>
          <w:tcPr>
            <w:tcW w:w="146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196,251</w:t>
            </w: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15,741</w:t>
            </w:r>
          </w:p>
        </w:tc>
        <w:tc>
          <w:tcPr>
            <w:tcW w:w="80" w:type="dxa"/>
            <w:vAlign w:val="bottom"/>
            <w:shd w:val="clear" w:color="auto" w:fill="CCEECC"/>
          </w:tcPr>
          <w:p>
            <w:pPr>
              <w:spacing w:after="0"/>
              <w:rPr>
                <w:sz w:val="18"/>
                <w:szCs w:val="18"/>
                <w:color w:val="auto"/>
              </w:rPr>
            </w:pPr>
          </w:p>
        </w:tc>
      </w:tr>
      <w:tr>
        <w:trPr>
          <w:trHeight w:val="216"/>
        </w:trPr>
        <w:tc>
          <w:tcPr>
            <w:tcW w:w="5120" w:type="dxa"/>
            <w:vAlign w:val="bottom"/>
          </w:tcPr>
          <w:p>
            <w:pPr>
              <w:ind w:left="160"/>
              <w:spacing w:after="0"/>
              <w:rPr>
                <w:sz w:val="20"/>
                <w:szCs w:val="20"/>
                <w:color w:val="auto"/>
              </w:rPr>
            </w:pPr>
            <w:r>
              <w:rPr>
                <w:rFonts w:ascii="Arial" w:cs="Arial" w:eastAsia="Arial" w:hAnsi="Arial"/>
                <w:sz w:val="18"/>
                <w:szCs w:val="18"/>
                <w:color w:val="auto"/>
              </w:rPr>
              <w:t>Servicing transfers</w:t>
            </w:r>
          </w:p>
        </w:tc>
        <w:tc>
          <w:tcPr>
            <w:tcW w:w="2220" w:type="dxa"/>
            <w:vAlign w:val="bottom"/>
            <w:gridSpan w:val="3"/>
          </w:tcPr>
          <w:p>
            <w:pPr>
              <w:jc w:val="right"/>
              <w:ind w:right="380"/>
              <w:spacing w:after="0"/>
              <w:rPr>
                <w:sz w:val="20"/>
                <w:szCs w:val="20"/>
                <w:color w:val="auto"/>
              </w:rPr>
            </w:pPr>
            <w:r>
              <w:rPr>
                <w:rFonts w:ascii="Arial" w:cs="Arial" w:eastAsia="Arial" w:hAnsi="Arial"/>
                <w:sz w:val="18"/>
                <w:szCs w:val="18"/>
                <w:color w:val="auto"/>
              </w:rPr>
              <w:t>(22,259,926)</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(94,301)</w:t>
            </w: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Runoff</w:t>
            </w:r>
          </w:p>
        </w:tc>
        <w:tc>
          <w:tcPr>
            <w:tcW w:w="2220" w:type="dxa"/>
            <w:vAlign w:val="bottom"/>
            <w:gridSpan w:val="3"/>
            <w:shd w:val="clear" w:color="auto" w:fill="CCEECC"/>
          </w:tcPr>
          <w:p>
            <w:pPr>
              <w:jc w:val="right"/>
              <w:ind w:right="380"/>
              <w:spacing w:after="0"/>
              <w:rPr>
                <w:sz w:val="20"/>
                <w:szCs w:val="20"/>
                <w:color w:val="auto"/>
              </w:rPr>
            </w:pPr>
            <w:r>
              <w:rPr>
                <w:rFonts w:ascii="Arial" w:cs="Arial" w:eastAsia="Arial" w:hAnsi="Arial"/>
                <w:sz w:val="18"/>
                <w:szCs w:val="18"/>
                <w:color w:val="auto"/>
              </w:rPr>
              <w:t>(17,915,552)</w:t>
            </w:r>
          </w:p>
        </w:tc>
        <w:tc>
          <w:tcPr>
            <w:tcW w:w="150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(4,943,248)</w:t>
            </w:r>
          </w:p>
        </w:tc>
        <w:tc>
          <w:tcPr>
            <w:tcW w:w="1460" w:type="dxa"/>
            <w:vAlign w:val="bottom"/>
            <w:gridSpan w:val="2"/>
            <w:shd w:val="clear" w:color="auto" w:fill="CCEECC"/>
          </w:tcPr>
          <w:p>
            <w:pPr>
              <w:jc w:val="right"/>
              <w:ind w:right="380"/>
              <w:spacing w:after="0"/>
              <w:rPr>
                <w:sz w:val="20"/>
                <w:szCs w:val="20"/>
                <w:color w:val="auto"/>
              </w:rPr>
            </w:pPr>
            <w:r>
              <w:rPr>
                <w:rFonts w:ascii="Arial" w:cs="Arial" w:eastAsia="Arial" w:hAnsi="Arial"/>
                <w:sz w:val="18"/>
                <w:szCs w:val="18"/>
                <w:color w:val="auto"/>
              </w:rPr>
              <w:t>(91,724)</w:t>
            </w:r>
          </w:p>
        </w:tc>
        <w:tc>
          <w:tcPr>
            <w:tcW w:w="180" w:type="dxa"/>
            <w:vAlign w:val="bottom"/>
            <w:shd w:val="clear" w:color="auto" w:fill="CCEECC"/>
          </w:tcPr>
          <w:p>
            <w:pPr>
              <w:spacing w:after="0"/>
              <w:rPr>
                <w:sz w:val="19"/>
                <w:szCs w:val="19"/>
                <w:color w:val="auto"/>
              </w:rPr>
            </w:pPr>
          </w:p>
        </w:tc>
        <w:tc>
          <w:tcPr>
            <w:tcW w:w="94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(21,208)</w:t>
            </w: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Servicing and subservicing portfolio at September 30</w:t>
            </w:r>
          </w:p>
        </w:tc>
        <w:tc>
          <w:tcPr>
            <w:tcW w:w="7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$ 434,819,426</w:t>
            </w:r>
          </w:p>
        </w:tc>
        <w:tc>
          <w:tcPr>
            <w:tcW w:w="4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$ 127,066,680</w:t>
            </w:r>
          </w:p>
        </w:tc>
        <w:tc>
          <w:tcPr>
            <w:tcW w:w="4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2,796,151</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805,427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2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Principal modifications may include the legal separation and deferral of principal to the end of the loan (commonly referred to as principal forbearance). Principal forbearance does not accrue interest and may be collected upon final liquidation of the loan. We do not earn servicing fees on principal forbearance and, therefore, exclude it from our servicing portfolio UPB.</w:t>
      </w:r>
    </w:p>
    <w:p>
      <w:pPr>
        <w:spacing w:after="0" w:line="140"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order to conform to the current presentation, we revised the previously reported servicing portfolio UPB at March 31, 2013 to exclude $2.4 billion related to principal forbearance.</w:t>
      </w:r>
    </w:p>
    <w:p>
      <w:pPr>
        <w:spacing w:after="0" w:line="126"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b w:val="1"/>
          <w:bCs w:val="1"/>
          <w:color w:val="auto"/>
        </w:rPr>
        <w:t xml:space="preserve">Three months ended September 30, 2013 versus September 30, 2012. </w:t>
      </w:r>
      <w:r>
        <w:rPr>
          <w:rFonts w:ascii="Arial" w:cs="Arial" w:eastAsia="Arial" w:hAnsi="Arial"/>
          <w:sz w:val="18"/>
          <w:szCs w:val="18"/>
          <w:color w:val="auto"/>
        </w:rPr>
        <w:t>Total residential servicing and subservicing fees for the third quarter of 2013</w:t>
      </w:r>
      <w:r>
        <w:rPr>
          <w:rFonts w:ascii="Arial" w:cs="Arial" w:eastAsia="Arial" w:hAnsi="Arial"/>
          <w:sz w:val="18"/>
          <w:szCs w:val="18"/>
          <w:b w:val="1"/>
          <w:bCs w:val="1"/>
          <w:color w:val="auto"/>
        </w:rPr>
        <w:t xml:space="preserve"> </w:t>
      </w:r>
      <w:r>
        <w:rPr>
          <w:rFonts w:ascii="Arial" w:cs="Arial" w:eastAsia="Arial" w:hAnsi="Arial"/>
          <w:sz w:val="18"/>
          <w:szCs w:val="18"/>
          <w:color w:val="auto"/>
        </w:rPr>
        <w:t>were $259.1 million, or 118%, higher than the third quarter of 2012 primarily due to:</w:t>
      </w:r>
    </w:p>
    <w:p>
      <w:pPr>
        <w:spacing w:after="0" w:line="139" w:lineRule="exact"/>
        <w:rPr>
          <w:sz w:val="20"/>
          <w:szCs w:val="20"/>
          <w:color w:val="auto"/>
        </w:rPr>
      </w:pPr>
    </w:p>
    <w:p>
      <w:pPr>
        <w:ind w:left="660" w:right="200" w:hanging="328"/>
        <w:spacing w:after="0" w:line="279"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234% increase in the average UPB of assets serviced driven primarily by the Homeward and ResCap Acquisitions, the Ally and OneWest MSR Transactions and new MSR capitalization in connection with our lending activities. During the third quarter of 2013, the Homeward, ResCap, Ally and OneWest portfolios added total servicing fees and subservicing fees of $239.0 million. These increases were offset in part by runoff of the portfolio as a result of principal repayments, modifications, real estate sales and servicing transfers;</w:t>
      </w:r>
    </w:p>
    <w:p>
      <w:pPr>
        <w:spacing w:after="0" w:line="130" w:lineRule="exact"/>
        <w:rPr>
          <w:rFonts w:ascii="Arial" w:cs="Arial" w:eastAsia="Arial" w:hAnsi="Arial"/>
          <w:sz w:val="17"/>
          <w:szCs w:val="17"/>
          <w:color w:val="auto"/>
        </w:rPr>
      </w:pPr>
    </w:p>
    <w:p>
      <w:pPr>
        <w:ind w:left="660" w:right="48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Approximately $7.1 billion in loans temporarily subserviced pending receipt of third party consents and court approvals in connection with the acquisition of ResCap in February 2013, became serviced loans upon completion of the MSR purchase in September 2013;</w:t>
      </w:r>
    </w:p>
    <w:p>
      <w:pPr>
        <w:spacing w:after="0" w:line="106"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77% increase in total completed modifications across all portfolios;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Offset in part by:</w:t>
      </w:r>
    </w:p>
    <w:p>
      <w:pPr>
        <w:spacing w:after="0" w:line="184" w:lineRule="exact"/>
        <w:rPr>
          <w:rFonts w:ascii="Arial" w:cs="Arial" w:eastAsia="Arial" w:hAnsi="Arial"/>
          <w:sz w:val="18"/>
          <w:szCs w:val="18"/>
          <w:color w:val="auto"/>
        </w:rPr>
      </w:pPr>
    </w:p>
    <w:p>
      <w:pPr>
        <w:ind w:left="980" w:right="200" w:hanging="324"/>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 change in the portfolio product mix, with a larger proportion of the portfolio attributable to Agency loans for which we earn a lower fees on</w:t>
      </w:r>
      <w:r>
        <w:rPr>
          <w:rFonts w:ascii="Courier New" w:cs="Courier New" w:eastAsia="Courier New" w:hAnsi="Courier New"/>
          <w:sz w:val="18"/>
          <w:szCs w:val="18"/>
          <w:color w:val="auto"/>
        </w:rPr>
        <w:t xml:space="preserve"> </w:t>
      </w:r>
      <w:r>
        <w:rPr>
          <w:rFonts w:ascii="Arial" w:cs="Arial" w:eastAsia="Arial" w:hAnsi="Arial"/>
          <w:sz w:val="18"/>
          <w:szCs w:val="18"/>
          <w:color w:val="auto"/>
        </w:rPr>
        <w:t>average;</w:t>
      </w:r>
    </w:p>
    <w:p>
      <w:pPr>
        <w:spacing w:after="0" w:line="161" w:lineRule="exact"/>
        <w:rPr>
          <w:rFonts w:ascii="Arial" w:cs="Arial" w:eastAsia="Arial" w:hAnsi="Arial"/>
          <w:sz w:val="18"/>
          <w:szCs w:val="18"/>
          <w:color w:val="auto"/>
        </w:rPr>
      </w:pPr>
    </w:p>
    <w:p>
      <w:pPr>
        <w:ind w:left="980" w:right="80" w:hanging="324"/>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 change in the portfolio profile, with a larger proportion of the portfolio growth attributable to performing loans, which leads to lower revenue</w:t>
      </w:r>
      <w:r>
        <w:rPr>
          <w:rFonts w:ascii="Courier New" w:cs="Courier New" w:eastAsia="Courier New" w:hAnsi="Courier New"/>
          <w:sz w:val="18"/>
          <w:szCs w:val="18"/>
          <w:color w:val="auto"/>
        </w:rPr>
        <w:t xml:space="preserve"> </w:t>
      </w:r>
      <w:r>
        <w:rPr>
          <w:rFonts w:ascii="Arial" w:cs="Arial" w:eastAsia="Arial" w:hAnsi="Arial"/>
          <w:sz w:val="18"/>
          <w:szCs w:val="18"/>
          <w:color w:val="auto"/>
        </w:rPr>
        <w:t>potential for ancillary and default servicing; and,</w:t>
      </w:r>
    </w:p>
    <w:p>
      <w:pPr>
        <w:spacing w:after="0" w:line="175" w:lineRule="exact"/>
        <w:rPr>
          <w:sz w:val="20"/>
          <w:szCs w:val="20"/>
          <w:color w:val="auto"/>
        </w:rPr>
      </w:pPr>
    </w:p>
    <w:p>
      <w:pPr>
        <w:ind w:left="980" w:hanging="324"/>
        <w:spacing w:after="0"/>
        <w:tabs>
          <w:tab w:leader="none" w:pos="980" w:val="left"/>
        </w:tabs>
        <w:numPr>
          <w:ilvl w:val="0"/>
          <w:numId w:val="49"/>
        </w:numPr>
        <w:rPr>
          <w:rFonts w:ascii="Courier New" w:cs="Courier New" w:eastAsia="Courier New" w:hAnsi="Courier New"/>
          <w:sz w:val="18"/>
          <w:szCs w:val="18"/>
          <w:color w:val="auto"/>
        </w:rPr>
      </w:pPr>
      <w:r>
        <w:rPr>
          <w:rFonts w:ascii="Arial" w:cs="Arial" w:eastAsia="Arial" w:hAnsi="Arial"/>
          <w:sz w:val="18"/>
          <w:szCs w:val="18"/>
          <w:color w:val="auto"/>
        </w:rPr>
        <w:t>A change in the portfolio mix, with a larger proportion of the portfolio attributable to subservicing for which we earn lower fees.</w:t>
      </w:r>
    </w:p>
    <w:p>
      <w:pPr>
        <w:spacing w:after="0" w:line="16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An increase in modifications typically results in higher revenue for the period because when we return a loan to performing status, we generally recognize any deferred servicing fees and late fees on the loan. For loans modified under HAMP, which is set to expire on December 31, 2015, we earn HAMP fees in place of late fees. As noted above, total completed modifications were up 77% with HAMP accounting for 48% of the total versus 29% in the third quarter of 2012. Of the total modifications completed during the third quarter of 2013, 59% included principal modifications. This compares to 75% in the third quarter of 2012. Our “Shared Appreciation Modification” (SAM) program accounted for 15% of the total modifications completed during the third quarter of 2013 as compared to 24% for the third quarter of 2012. We recognized servicing fee, late charge and HAMP fee revenue of $80.8 million and $45.9 million during the third quarter of 2013 and 2012, respectively, in connection with modifications.</w:t>
      </w:r>
    </w:p>
    <w:p>
      <w:pPr>
        <w:spacing w:after="0" w:line="1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serviced portfolio product mix has changed significantly as a result of the Homeward and ResCap Acquisitions and the Ally and OneWest MSR Transactions. The proportion of Agency loans to total serviced assets grew from 16% at September 30, 2012 to 57% at September 30, 2013. Agency loans represented 74% of the overall growth in the UPB of serviced assets. Agency servicing fees earned are typically lower than Non-Agency servicing fees. Continuing growth in our Agency serviced assets will result in revenue growth that will lag the growth in UPB. Similarly, the change in mix of serviced loans versus subserviced loans results in residential servicing and subservicing revenues growing more slowly than the UPB of serviced assets. Combined, these changes in portfolio mix resulted in a decrease in annualized revenues to 0.45% of average UPB in the third quarter of 2013 as compared to 0.69% for the third quarter of 2012.</w:t>
      </w:r>
    </w:p>
    <w:p>
      <w:pPr>
        <w:spacing w:after="0" w:line="16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Overall, the non-performing delinquency rate based on UPB dropped from 23.6% at September 30, 2012 to 14.6% at September 30, 2013 largely due to the ResCap and Ally portfolios which had a combined non-performing rate of 7.1% at September 30, 2013. Excluding the effects of the ResCap Acquisition and Ally MSR Transaction, the non-performing rate was 19.7% at September 30, 2013. Improvements in our overall delinquency rates also continue to be driven by modifications and improvements in our early loss mitigation efforts.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018" w:gutter="0" w:footer="0" w:header="0"/>
        </w:sectPr>
      </w:pPr>
    </w:p>
    <w:bookmarkStart w:id="58" w:name="page59"/>
    <w:bookmarkEnd w:id="58"/>
    <w:p>
      <w:pPr>
        <w:ind w:right="160" w:firstLine="324"/>
        <w:spacing w:after="0" w:line="312" w:lineRule="auto"/>
        <w:rPr>
          <w:sz w:val="20"/>
          <w:szCs w:val="20"/>
          <w:color w:val="auto"/>
        </w:rPr>
      </w:pPr>
      <w:r>
        <w:rPr>
          <w:rFonts w:ascii="Arial" w:cs="Arial" w:eastAsia="Arial" w:hAnsi="Arial"/>
          <w:sz w:val="16"/>
          <w:szCs w:val="16"/>
          <w:color w:val="auto"/>
        </w:rPr>
        <w:t>We estimate that the balance of deferred servicing fees related to delinquent borrower payments was $500.5 million at September 30, 2013 compared to $452.0 million at December 31, 2012. The net increase is primarily due to the ResCap Acquisition and the Ally and OneWest MSR Transactions offset by collections and resolutions of delinquent loans through modification, payoff or through the sale of the underlying mortgaged property following foreclosure.</w:t>
      </w:r>
    </w:p>
    <w:p>
      <w:pPr>
        <w:spacing w:after="0" w:line="106"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Average prepayment speed increased to 15.8% for the third quarter of 2013 compared to 14.3% for the same period of 2012. For the third quarter of 2013, principal reduction modifications, regular principal payments and other voluntary payoffs accounted for approximately 83% of average CPR with real estate sales and other involuntary liquidations accounting for the remaining 17%. For the third quarter of 2012, total voluntary and involuntary reductions accounted for 51% and 49%, respectively, of average CPR. Principal reduction modifications accounted for 15% and 16% of our average prepayment speed for the 2013 and 2012 periods, respectively. Primarily as a result of the Homeward and ResCap Acquisitions and the Ally MSR Transaction, Agency, prime loans comprise 57% of the total UPB of our servicing portfolio at September 30, 2013 as compared to 16% at September 30, 2012. These Agency loans have higher voluntary prepayments as compared with our non-prime portfolios. Historically low interest rates and improving home values create the ideal environment for voluntary prepayments. The shift in the product mix of our portfolio is resulting in increased CPR. Loss mitigation activities in connection with newly acquired portfolios also increase CPR.</w:t>
      </w:r>
    </w:p>
    <w:p>
      <w:pPr>
        <w:spacing w:after="0" w:line="155"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Gain on loans held for sale, net of $3.7 million for the three months ended September 30, 2013 represents gains on the sale of modified FHA and VA loans. As servicer, we are obligated to repurchase loans from Ginnie Mae guaranteed securitizations in order to complete a modification. Once the modification is completed we pool the loans into new Ginnie Mae guaranteed securitizations at the then prevailing market value.</w:t>
      </w:r>
    </w:p>
    <w:p>
      <w:pPr>
        <w:spacing w:after="0" w:line="125" w:lineRule="exact"/>
        <w:rPr>
          <w:sz w:val="20"/>
          <w:szCs w:val="20"/>
          <w:color w:val="auto"/>
        </w:rPr>
      </w:pPr>
    </w:p>
    <w:p>
      <w:pPr>
        <w:ind w:right="260" w:firstLine="337"/>
        <w:spacing w:after="0" w:line="277" w:lineRule="auto"/>
        <w:rPr>
          <w:sz w:val="20"/>
          <w:szCs w:val="20"/>
          <w:color w:val="auto"/>
        </w:rPr>
      </w:pPr>
      <w:r>
        <w:rPr>
          <w:rFonts w:ascii="Arial" w:cs="Arial" w:eastAsia="Arial" w:hAnsi="Arial"/>
          <w:sz w:val="18"/>
          <w:szCs w:val="18"/>
          <w:color w:val="auto"/>
        </w:rPr>
        <w:t>Operating expenses increased by $216.9 million in the third quarter of 2013, or 244%, as compared to the third quarter of 2012 primarily as a result of the effects of the Homeward and ResCap Acquisitions and the Ally and OneWest MSR Transactions.</w:t>
      </w:r>
    </w:p>
    <w:p>
      <w:pPr>
        <w:spacing w:after="0" w:line="130" w:lineRule="exact"/>
        <w:rPr>
          <w:sz w:val="20"/>
          <w:szCs w:val="20"/>
          <w:color w:val="auto"/>
        </w:rPr>
      </w:pPr>
    </w:p>
    <w:p>
      <w:pPr>
        <w:ind w:left="660" w:right="520" w:hanging="328"/>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Compensation and benefits increased by $60.5 million, or 272%, largely as a result of an increase in headcount resulting from the ResCap and Homeward Acquisitions. At September 30, 2013, ResCap and Homeward employees totaled 2,015 and 1,428, respectively.</w:t>
      </w:r>
    </w:p>
    <w:p>
      <w:pPr>
        <w:spacing w:after="0" w:line="96" w:lineRule="exact"/>
        <w:rPr>
          <w:rFonts w:ascii="Arial" w:cs="Arial" w:eastAsia="Arial" w:hAnsi="Arial"/>
          <w:sz w:val="16"/>
          <w:szCs w:val="16"/>
          <w:color w:val="auto"/>
        </w:rPr>
      </w:pPr>
    </w:p>
    <w:p>
      <w:pPr>
        <w:ind w:left="660" w:right="18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Amortization of MSRs increased by $58.9 million in the third quarter of 2013 due principally to $57.0 million of additional amortization attributed to the Homeward, ResCap, Ally and OneWest transactions offset in part by a decline in amortization on pre-existing MSRs because of portfolio runoff.</w:t>
      </w:r>
    </w:p>
    <w:p>
      <w:pPr>
        <w:spacing w:after="0" w:line="140" w:lineRule="exact"/>
        <w:rPr>
          <w:rFonts w:ascii="Arial" w:cs="Arial" w:eastAsia="Arial" w:hAnsi="Arial"/>
          <w:sz w:val="18"/>
          <w:szCs w:val="18"/>
          <w:color w:val="auto"/>
        </w:rPr>
      </w:pPr>
    </w:p>
    <w:p>
      <w:pPr>
        <w:ind w:left="660" w:right="220" w:hanging="328"/>
        <w:spacing w:after="0" w:line="276"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Servicing and origination expenses increased by $20.9 million primarily due to $17.8 million of losses recognized in connection with our Ginnie Mae servicing. As servicer, we are obligated to purchase delinquent loans immediately prior to foreclosure at a price equal to the UPB of the loans plus accrued and unpaid interest. Upon resolution of the loan, we file claims for reimbursement from the FHA or the VA in accordance with the contractual reimbursement levels. We may not be reimbursed fully for interest and principal losses and expenses to the extent that they exceed reimbursable rates. These costs are contemplated in the cash flow in connection with our Ginnie Mae MSRs.</w:t>
      </w:r>
    </w:p>
    <w:p>
      <w:pPr>
        <w:spacing w:after="0" w:line="132" w:lineRule="exact"/>
        <w:rPr>
          <w:rFonts w:ascii="Arial" w:cs="Arial" w:eastAsia="Arial" w:hAnsi="Arial"/>
          <w:sz w:val="17"/>
          <w:szCs w:val="17"/>
          <w:color w:val="auto"/>
        </w:rPr>
      </w:pPr>
    </w:p>
    <w:p>
      <w:pPr>
        <w:ind w:left="660" w:right="960" w:hanging="328"/>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Technology and communications and Occupancy and equipment costs increased by a combined $36.7 million as we added facilities and infrastructure, largely through the Homeward and ResCap Acquisitions, to support the residential servicing portfolio growth.</w:t>
      </w:r>
    </w:p>
    <w:p>
      <w:pPr>
        <w:spacing w:after="0" w:line="96" w:lineRule="exact"/>
        <w:rPr>
          <w:rFonts w:ascii="Arial" w:cs="Arial" w:eastAsia="Arial" w:hAnsi="Arial"/>
          <w:sz w:val="16"/>
          <w:szCs w:val="16"/>
          <w:color w:val="auto"/>
        </w:rPr>
      </w:pPr>
    </w:p>
    <w:p>
      <w:pPr>
        <w:ind w:left="660" w:right="80" w:hanging="328"/>
        <w:spacing w:after="0" w:line="279"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Other operating expenses increased by $36.1 million due in large part to $19.5 million of additional overhead cost allocations for support services including law, human resources, accounting and finance. We also incurred $13.6 million outsourcing expenses incurred primarily in connection with the acquired ResCap servicing platform. The ResCap servicing platform leverages third-party outsourcing for a variety of functions. We anticipate these costs will be absorbed and/or diminish as the ResCap assets transition to the REALServicing™ platform.</w:t>
      </w:r>
    </w:p>
    <w:p>
      <w:pPr>
        <w:spacing w:after="0" w:line="13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Interest expense related to the financing liabilities that we recognized in connection with the HLSS Transactions increased to $74.2 million for the third quarter of 2013 from $14.0 million in the third quarter of 2012. The average balance of the HLSS financing liabilities increased to $661.2 million in the third quarter of 2013 from $92.3 million in the third quarter of 2012. As discussed in the following paragraphs, interest expense on the portion of the sales proceeds accounted for as a financing is greater than the interest on the match funded liabilities that were assumed by HLSS or repaid.</w:t>
      </w:r>
    </w:p>
    <w:p>
      <w:pPr>
        <w:spacing w:after="0" w:line="13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Under the agreements associated with the HLSS Transactions, we agree to remit to HLSS the servicing fees generated by the MSRs, except for the ancillary fees. HLSS, in turn, pays us a subservicing fee on the related mortgage loans. The servicing fees that we remit to HLSS, net of the subservicing fees that we receive from HLSS, are accounted for in part as a reduction of the HLSS financing liability with the remainder accounted for as interest expense.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ind w:right="20" w:firstLine="324"/>
        <w:spacing w:after="0" w:line="272" w:lineRule="auto"/>
        <w:rPr>
          <w:sz w:val="20"/>
          <w:szCs w:val="20"/>
          <w:color w:val="auto"/>
        </w:rPr>
      </w:pPr>
      <w:r>
        <w:rPr>
          <w:rFonts w:ascii="Arial" w:cs="Arial" w:eastAsia="Arial" w:hAnsi="Arial"/>
          <w:sz w:val="17"/>
          <w:szCs w:val="17"/>
          <w:color w:val="auto"/>
        </w:rPr>
        <w:t>Typically, we fund 100% of the cost of MSRs with our own capital on which we recognize no interest expense. In the HLSS Transactions, we effectively finance 100% of the MSRs, and we are also relieved of both the obligation to fund future servicing advances and the need to bear the cost of financing the advances. A portion of the fees remitted to HLSS compensates HLSS for relieving us of this obligation. By comparison, in a traditional secured financing arrangement for financings related to private label securities, we would generally expect to obtain financing of between 70% and 90% of the value of the pledged assets. For these reasons, the interest expense paid to HLSS is substantially higher than it would be if we were to retain the MSRs and fund the MSRs and the advances on our balance sheet. The benefit of the HLSS Transactions is that they give us the ability to redeploy our capital toward additional acquisitions and to avoid the need to raise additional capital, which would dilute our shareholders.</w:t>
      </w:r>
    </w:p>
    <w:p>
      <w:pPr>
        <w:spacing w:after="0" w:line="13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Average borrowings of the Servicing segment, excluding the HLSS financing liabilities, decreased by 49% during the third quarter of 2013 as compared to 2012. The decline in these borrowings was driven largely by the 58% decline in the average balance of advances and match funded advances during the same period. During the fourth quarter of 2012 and through the first half of 2013, we increased borrowings substantially in order to fund the Homeward, ResCap and Ally transactions. While the decrease in average borrowings in the third quarter of 2013 is, in part, the result of repayments of match funded debt from advance collections, the largest contributor to the decline was the HLSS Transaction that closed on July 1, 2013. As a part of this transaction, we sold $2.4 billion of advances to HLSS and fully repaid $1.8 billion of borrowings under three match funded advance financing facilities. We were able the use the remaining proceeds from the July transaction to fund the initial purchases of MSRs and advances related to the OneWest MSR Transaction as well as other smaller asset acquisitions.</w:t>
      </w:r>
    </w:p>
    <w:p>
      <w:pPr>
        <w:spacing w:after="0" w:line="16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Interest expense, excluding interest on the HLSS financing liabilities, decreased by 46% as compared to the 49% decrease in average borrowings as the result of several factors. The average effective rate on our match funded debt increased from 4.43% during the third quarter of 2012 to 16.70% during the third quarter of 2013. This increase was principally the result of the accelerated write-off of $6.0 million of deferred financing costs associated with the three advance financing facilities that were repaid as part of the July 1, 2013 HLSS Transaction and a fourth facility that was also repaid in July. The effect of the write off of these deferred fees was largely offset by a decline in the effective rate on our SSTL debt from 9.45% to 5.54% as a result of decreases both in the margin applied to the interest rate index and in the floor placed on the interest rate index. However, because we chose to redeploy the net proceeds from the July 1, 2013 HLSS Transaction principally to fund the OneWest MSR Transaction rather than pay down the SSTL, we incurred additional interest expense during the three months ended September 30, 2013.</w:t>
      </w:r>
    </w:p>
    <w:p>
      <w:pPr>
        <w:spacing w:after="0" w:line="13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Other, net, for the three months ended September 30, 2013 includes the amortization of $7.8 million of deferred derivative losses on cash flow hedges from Accumulated other comprehensive loss. This loss is primarily the result of the accelerated write off of $4.1 million of deferrals associated with the four advance financing facilities that we repaid and terminated in July. The loss also includes the amortization of cash flow hedge losses related to the Ally MSR Transaction.</w:t>
      </w:r>
    </w:p>
    <w:p>
      <w:pPr>
        <w:spacing w:after="0" w:line="14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b w:val="1"/>
          <w:bCs w:val="1"/>
          <w:color w:val="auto"/>
        </w:rPr>
        <w:t xml:space="preserve">Nine months ended September 30, 2013 versus September 30, 2012. </w:t>
      </w:r>
      <w:r>
        <w:rPr>
          <w:rFonts w:ascii="Arial" w:cs="Arial" w:eastAsia="Arial" w:hAnsi="Arial"/>
          <w:sz w:val="17"/>
          <w:szCs w:val="17"/>
          <w:color w:val="auto"/>
        </w:rPr>
        <w:t>Similar to the three months ended September 30, 2013, revenues and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of the Servicing segment for the nine months ended September 30, 2013 were significantly impacted by the Homeward, ResCap, Liberty, Ally and OneWest transactions and the liability established during the second quarter of 2013 in connection with certain foreclosure related matters. Residential servicing and subservicing fee revenues for the nine months ended September 30, 2013 were $746.1 million, or 131%, higher than for the nine months ended September 30, 2012 primarily as a result of a 256% increase in the average UPB of our residential servicing portfolio and a 33% increase in completed modifications. This increase was offset in part by changes in the portfolio mix, with Agency loans and subservicing contracts comprising a larger proportion of the total portfolio. The Homeward, ResCap, Ally and OneWest portfolios added $587.2 million of total servicing fees and subservicing fees during the nine months ended September 30, 2013. Revenue for the nine months ended September 30, 2013 also includes $23.2 million of gains on the sale of modified FHA and VA loans. Operating expenses increased by $543.1 million, or 215%, with the Homeward, ResCap and Liberty Acquisitions accounting for approximately $516.7 million of the increase.</w:t>
      </w:r>
    </w:p>
    <w:p>
      <w:pPr>
        <w:spacing w:after="0" w:line="15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Interest expense on the HLSS financing liabilities increased from $27.6 million during nine months ended September 30, 2012 to $168.6 million during the nine months ended September 30, 2013 as the average balance of the HLSS financing liabilities increase from $60.2 to $464.7 million during the same periods,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ind w:firstLine="324"/>
        <w:spacing w:after="0" w:line="271" w:lineRule="auto"/>
        <w:rPr>
          <w:sz w:val="20"/>
          <w:szCs w:val="20"/>
          <w:color w:val="auto"/>
        </w:rPr>
      </w:pPr>
      <w:r>
        <w:rPr>
          <w:rFonts w:ascii="Arial" w:cs="Arial" w:eastAsia="Arial" w:hAnsi="Arial"/>
          <w:sz w:val="17"/>
          <w:szCs w:val="17"/>
          <w:color w:val="auto"/>
        </w:rPr>
        <w:t>Excluding the HLSS financing liabilities, average borrowings of the Servicing segment decreased by 10% during the nine months ended September 30, 2013 as compared to the same period of 2012 while average advances and match funded advances decreased by 23%. Average borrowings declined less than average advances principally because we had significantly increased the percentage of assets financed during the first half of 2013 in order to fund the Homeward and ResCap Acquisitions. Interest expense, excluding interest on the HLSS financing liabilities, decreased by 12% as declines in the effective rate on the SSTL debt were offset by the write off of $ 6.0 million of deferred financing costs due to the early payoff of advance financing facilities. As a result, the average effective rate on our match funded debt increased from 4.47% during the nine months ended September 30, 2012 to 4.69% during the same period of 2013. The effective rate on our SSTL debt declined from 8.82% to 5.98% due to decreases both in the margin applied to the interest rate index and in the floor placed on the interest rate index.</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w w:val="99"/>
              </w:rPr>
              <w:t>The following table presents assets and liabilities of the Servicing segment at the dates indicated:</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26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Borders>
              <w:bottom w:val="single" w:sz="8" w:color="CCEECC"/>
            </w:tcBorders>
          </w:tcPr>
          <w:p>
            <w:pPr>
              <w:spacing w:after="0"/>
              <w:rPr>
                <w:sz w:val="20"/>
                <w:szCs w:val="20"/>
                <w:color w:val="auto"/>
              </w:rPr>
            </w:pPr>
          </w:p>
        </w:tc>
        <w:tc>
          <w:tcPr>
            <w:tcW w:w="72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Advances</w:t>
            </w: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937,681</w:t>
            </w:r>
          </w:p>
        </w:tc>
        <w:tc>
          <w:tcPr>
            <w:tcW w:w="4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176,360</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Match funded advances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533,725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3,049,244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Mortgage servicing rights, at amortized cost</w:t>
            </w: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1,734,480</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678,937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Mortgage servicing rights, at fair value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96,938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85,213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Receivables, net</w:t>
            </w: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135,663</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83,223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284,025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210,965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Premises and equipment</w:t>
            </w: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28,349</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13,932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Debt service accounts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42,685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87,249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Asset purchase price deposit – ResCap Acquisition</w:t>
            </w: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57,000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Prepaid lender fees and debt issuance costs, net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24,846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Due from related parties</w:t>
            </w: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33,541</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Loans held for sale, at lower of cost or fair value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67,798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5,779</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33,349</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tcBorders>
              <w:bottom w:val="single" w:sz="8" w:color="CCEECC"/>
            </w:tcBorders>
          </w:tcPr>
          <w:p>
            <w:pPr>
              <w:ind w:left="14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CCEEC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3,925,510</w:t>
            </w:r>
          </w:p>
        </w:tc>
        <w:tc>
          <w:tcPr>
            <w:tcW w:w="460" w:type="dxa"/>
            <w:vAlign w:val="bottom"/>
            <w:tcBorders>
              <w:bottom w:val="single" w:sz="8" w:color="CCEECC"/>
            </w:tcBorders>
          </w:tcPr>
          <w:p>
            <w:pPr>
              <w:spacing w:after="0"/>
              <w:rPr>
                <w:sz w:val="22"/>
                <w:szCs w:val="22"/>
                <w:color w:val="auto"/>
              </w:rPr>
            </w:pPr>
          </w:p>
        </w:tc>
        <w:tc>
          <w:tcPr>
            <w:tcW w:w="20" w:type="dxa"/>
            <w:vAlign w:val="bottom"/>
            <w:tcBorders>
              <w:bottom w:val="single" w:sz="8" w:color="CCEEC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4,498,043</w:t>
            </w:r>
          </w:p>
        </w:tc>
        <w:tc>
          <w:tcPr>
            <w:tcW w:w="20" w:type="dxa"/>
            <w:vAlign w:val="bottom"/>
            <w:tcBorders>
              <w:bottom w:val="single" w:sz="8" w:color="CCEECC"/>
            </w:tcBorders>
          </w:tcPr>
          <w:p>
            <w:pPr>
              <w:spacing w:after="0"/>
              <w:rPr>
                <w:sz w:val="22"/>
                <w:szCs w:val="22"/>
                <w:color w:val="auto"/>
              </w:rPr>
            </w:pPr>
          </w:p>
        </w:tc>
        <w:tc>
          <w:tcPr>
            <w:tcW w:w="80" w:type="dxa"/>
            <w:vAlign w:val="bottom"/>
            <w:tcBorders>
              <w:bottom w:val="single" w:sz="8" w:color="CCEE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0" w:type="dxa"/>
            <w:vAlign w:val="bottom"/>
            <w:shd w:val="clear" w:color="auto" w:fill="CCEECC"/>
          </w:tcPr>
          <w:p>
            <w:pPr>
              <w:spacing w:after="0"/>
              <w:rPr>
                <w:sz w:val="17"/>
                <w:szCs w:val="17"/>
                <w:color w:val="auto"/>
              </w:rPr>
            </w:pPr>
          </w:p>
        </w:tc>
        <w:tc>
          <w:tcPr>
            <w:tcW w:w="7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4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8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Match funded liabilities</w:t>
            </w:r>
          </w:p>
        </w:tc>
        <w:tc>
          <w:tcPr>
            <w:tcW w:w="9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363,012</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2,532,745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Other borrowings</w:t>
            </w: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2,000,701</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705,771</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Liability for indemnification obligations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198,635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Accrued expenses</w:t>
            </w: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38,138</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47,682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12,553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37,260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Checks held for escheat</w:t>
            </w: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24,155</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29,593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Payable to servicing and subservicing investors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27,063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Servicing liabilities</w:t>
            </w:r>
          </w:p>
        </w:tc>
        <w:tc>
          <w:tcPr>
            <w:tcW w:w="7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11,568</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9,830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9,371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50,472</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21,101</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140"/>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2,735,668</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3,437,507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ResCap Acquisition, the Ally and OneWest MSR Transactions and the HLSS Transactions, collectively, had a significant effect on the Servicing balance sheet during the nine months ended September 30, 2013. Largely as a result of these transactions:</w:t>
      </w:r>
    </w:p>
    <w:p>
      <w:pPr>
        <w:spacing w:after="0" w:line="130" w:lineRule="exact"/>
        <w:rPr>
          <w:sz w:val="20"/>
          <w:szCs w:val="20"/>
          <w:color w:val="auto"/>
        </w:rPr>
      </w:pPr>
    </w:p>
    <w:p>
      <w:pPr>
        <w:ind w:left="660" w:right="12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Advances and Match funded advances decreased by $1.8 billion primarily due to the sale of $3.5 billion of advances to HLSS and collections offset by the ResCap Acquisition and Ally and OneWest MSR Transactions which added $1.7 billion, $73.6 million and $371.6 million of advances, respectively.</w:t>
      </w:r>
    </w:p>
    <w:p>
      <w:pPr>
        <w:spacing w:after="0" w:line="154"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MSRs, at amortized cost, increased by $1.1 billion as a result of the ResCap Acquisition ($391.9 million), Ally MSR Transaction ($683.8 million), OneWest MSR Transaction ($127.0 million) and new capitalization of MSRs from our lending operations ($63.2 million) offset by amortization ($197.9 million) and sales ($17.5 million).</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recorded goodwill of $73.1 million in the Servicing segment in connection with the ResCap Acquisition.</w:t>
      </w:r>
    </w:p>
    <w:p>
      <w:pPr>
        <w:spacing w:after="0" w:line="184" w:lineRule="exact"/>
        <w:rPr>
          <w:rFonts w:ascii="Arial" w:cs="Arial" w:eastAsia="Arial" w:hAnsi="Arial"/>
          <w:sz w:val="18"/>
          <w:szCs w:val="18"/>
          <w:color w:val="auto"/>
        </w:rPr>
      </w:pPr>
    </w:p>
    <w:p>
      <w:pPr>
        <w:ind w:left="660" w:right="20" w:hanging="328"/>
        <w:spacing w:after="0" w:line="31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 a Ginnie Mae servicer, we have an obligation to repurchase certain loans from Ginnie Mae guaranteed securitizations under certain circumstances including, but not limited to, in connection with loan modifications, immediately prior to foreclosure and in connection with loan resolutions. These loans are held for sale and are carried at the lower of cost or fair value. The carrying amount at September 30, 2013 was $67.8 million.</w:t>
      </w:r>
    </w:p>
    <w:p>
      <w:pPr>
        <w:spacing w:after="0" w:line="119" w:lineRule="exact"/>
        <w:rPr>
          <w:rFonts w:ascii="Arial" w:cs="Arial" w:eastAsia="Arial" w:hAnsi="Arial"/>
          <w:sz w:val="16"/>
          <w:szCs w:val="16"/>
          <w:color w:val="auto"/>
        </w:rPr>
      </w:pPr>
    </w:p>
    <w:p>
      <w:pPr>
        <w:ind w:left="660" w:right="22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Match funded liabilities decreased by $2.2 billion. We used $2.7 billion of proceeds from the HLSS Transactions to repay match funded liabilities. This decrease was offset by new borrowings to finance the advances acquired in the ResCap Acquisition and the Ally MSR Transaction.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ind w:left="660" w:right="20" w:hanging="328"/>
        <w:spacing w:after="0" w:line="255"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borrowings increased by $1.3 billion primarily due to borrowings of $1.3 billion under a new SSTL facility principally to fund the ResCap acquisition. We repaid the previous SSTL which had an outstanding balance of $306.0 million net of discount at December 31, 2012 and recognized a loss on early redemption of $15.0 million representing the write-off of unamortized deferred costs and discount. We also repaid the senior unsecured loan agreement with Altisource under which we borrowed $75.0 million to finance a portion of the Homeward Acquisition. Financing liabilities that we recognized in connection with the HLSS Transactions increased by $341.4 million primarily as a result of a sale of Rights to MSRs that we accounted for as a financing.</w:t>
      </w:r>
    </w:p>
    <w:p>
      <w:pPr>
        <w:spacing w:after="0" w:line="152"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ResCap Acquisition added $74.6 million of accrued expenses, primarily related to a liability for compensatory fees for foreclosures that may ultimately exceed investor timelines. The Ally MSR Transaction included the assumption of origination representation and warranty obligations of approximately $136.7 million in connection with a majority of the acquired MSRs.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significantly expanded our origination capabilities with the completion of the Homeward (December 2012) and Liberty (April 2013) Acquisitions. Liberty is the leading reverse mortgage originator based on industry data for June 2013 with strong positions in both retail and wholesale originations. There is sizable untapped potential in the reverse mortgage market that could sustain future growth. Based on Consumer Finance Protection Bureau (CFPB) data, we estimate the total potential size of the reverse mortgage market at $1.9 trillion, of which only about 10% has been penetrated to date. The Lending segment is focused on originating and purchasing Agency-conforming residential first-lien forward and reverse mortgage loans mainly through direct lending and correspondent channels. The direct lending business has initially focused on pursuing refinancing opportunities from our existing servicing portfolio, where permitted. Originated loans are typically sold shortly after origination into a liquid market on a servicing retained basis.</w:t>
      </w:r>
    </w:p>
    <w:p>
      <w:pPr>
        <w:spacing w:after="0" w:line="137"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Lending provides a low cost means of acquiring MSRs with good return profiles. Loans are acquired through correspondent lender relationships, broker relationships and by directly originating loans for customers in our servicing portfolio. We continued to grow our direct lending business in the third quarter, increasing our number of loan officers by 50% to 75. Our business is well positioned to shift with the market as our Lending business operates with a highly variable cost structure enabling us to adapt to changing market demand.</w:t>
      </w:r>
    </w:p>
    <w:p>
      <w:pPr>
        <w:spacing w:after="0" w:line="16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Lending segment contributed $5.7 million of pre-tax income on $33.5 million of revenue in the third quarter. The Homeward lending operation generated $8.9 million of pre-tax income and funded $1.4 billion with another $142 million recaptured via partnerships. While the residential lending market overall contracted almost 30% over the same period, pull-through adjusted lock volume of $1.5 billion increased 6% above the prior quarter. Margin increased in the third quarter due to a change in the funded volume mix toward the recapture of loans from our portfolio. Loans originated through our own direct-to-consumer operations grew over 60% from $60.6 million in the second quarter of 2013 to over $98 million in the third quarter of 2013. Ocwen’s direct channel had locks increase by approximately four times the second quarter’s level while volume sourced from the correspondent channel dropped from 99% of total volume in the third quarter of 2012 to 61% in the third quarter of 2013. From a product perspective, FHA/VA products were introduced in the quarter and grew to 13% of fundings. HARP comprised 16% of fundings compared to 1% in the third quarter of 2012. The proportion of purchase as compared to refinance originations increased in line with overall market trends.</w:t>
      </w:r>
    </w:p>
    <w:p>
      <w:pPr>
        <w:spacing w:after="0" w:line="14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Liberty reverse mortgage operation had a negative overall contribution to segment pre-tax income with a $3.2 million loss as funded volume of $278 million declined from $370 million in the second quarter. Industry changes to product availability have resulted in current period volume and margin contraction. The reverse mortgage market shifted from a fixed rate product (70% share), to a LIBOR product (90% share) resulting in lower day one loan size and gain on sale impacting current period income. Over time, the loan balances on these newly originated loans are expected to grow generating estimated future value of $6.4 million relating to third quarter production.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color w:val="auto"/>
        </w:rPr>
        <w:t>The following table presents the results of operations of the Lending segment for the periods ended September 30,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gridSpan w:val="4"/>
          </w:tcPr>
          <w:p>
            <w:pPr>
              <w:spacing w:after="0"/>
              <w:rPr>
                <w:sz w:val="20"/>
                <w:szCs w:val="20"/>
                <w:color w:val="auto"/>
              </w:rPr>
            </w:pPr>
            <w:r>
              <w:rPr>
                <w:rFonts w:ascii="Arial" w:cs="Arial" w:eastAsia="Arial" w:hAnsi="Arial"/>
                <w:sz w:val="18"/>
                <w:szCs w:val="18"/>
                <w:b w:val="1"/>
                <w:bCs w:val="1"/>
                <w:color w:val="auto"/>
              </w:rPr>
              <w:t>Three Months</w:t>
            </w:r>
          </w:p>
        </w:tc>
        <w:tc>
          <w:tcPr>
            <w:tcW w:w="4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top w:val="single" w:sz="8" w:color="CCEECC"/>
            </w:tcBorders>
            <w:shd w:val="clear" w:color="auto" w:fill="CCEECC"/>
          </w:tcPr>
          <w:p>
            <w:pPr>
              <w:spacing w:after="0"/>
              <w:rPr>
                <w:sz w:val="18"/>
                <w:szCs w:val="18"/>
                <w:color w:val="auto"/>
              </w:rPr>
            </w:pPr>
          </w:p>
        </w:tc>
        <w:tc>
          <w:tcPr>
            <w:tcW w:w="960" w:type="dxa"/>
            <w:vAlign w:val="bottom"/>
            <w:tcBorders>
              <w:top w:val="single" w:sz="8" w:color="CCEECC"/>
            </w:tcBorders>
            <w:shd w:val="clear" w:color="auto" w:fill="CCEECC"/>
          </w:tcPr>
          <w:p>
            <w:pPr>
              <w:spacing w:after="0"/>
              <w:rPr>
                <w:sz w:val="18"/>
                <w:szCs w:val="18"/>
                <w:color w:val="auto"/>
              </w:rPr>
            </w:pPr>
          </w:p>
        </w:tc>
        <w:tc>
          <w:tcPr>
            <w:tcW w:w="44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940" w:type="dxa"/>
            <w:vAlign w:val="bottom"/>
            <w:tcBorders>
              <w:top w:val="single" w:sz="8" w:color="CCEECC"/>
            </w:tcBorders>
            <w:shd w:val="clear" w:color="auto" w:fill="CCEECC"/>
          </w:tcPr>
          <w:p>
            <w:pPr>
              <w:spacing w:after="0"/>
              <w:rPr>
                <w:sz w:val="18"/>
                <w:szCs w:val="18"/>
                <w:color w:val="auto"/>
              </w:rPr>
            </w:pPr>
          </w:p>
        </w:tc>
        <w:tc>
          <w:tcPr>
            <w:tcW w:w="44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900" w:type="dxa"/>
            <w:vAlign w:val="bottom"/>
            <w:tcBorders>
              <w:top w:val="single" w:sz="8" w:color="auto"/>
            </w:tcBorders>
            <w:shd w:val="clear" w:color="auto" w:fill="CCEECC"/>
          </w:tcPr>
          <w:p>
            <w:pPr>
              <w:spacing w:after="0"/>
              <w:rPr>
                <w:sz w:val="18"/>
                <w:szCs w:val="18"/>
                <w:color w:val="auto"/>
              </w:rPr>
            </w:pPr>
          </w:p>
        </w:tc>
        <w:tc>
          <w:tcPr>
            <w:tcW w:w="40" w:type="dxa"/>
            <w:vAlign w:val="bottom"/>
            <w:tcBorders>
              <w:top w:val="single" w:sz="8" w:color="auto"/>
            </w:tcBorders>
            <w:shd w:val="clear" w:color="auto" w:fill="CCEECC"/>
          </w:tcPr>
          <w:p>
            <w:pPr>
              <w:spacing w:after="0"/>
              <w:rPr>
                <w:sz w:val="18"/>
                <w:szCs w:val="18"/>
                <w:color w:val="auto"/>
              </w:rPr>
            </w:pPr>
          </w:p>
        </w:tc>
        <w:tc>
          <w:tcPr>
            <w:tcW w:w="40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860" w:type="dxa"/>
            <w:vAlign w:val="bottom"/>
            <w:tcBorders>
              <w:top w:val="single" w:sz="8" w:color="auto"/>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Arial" w:cs="Arial" w:eastAsia="Arial" w:hAnsi="Arial"/>
                <w:sz w:val="18"/>
                <w:szCs w:val="18"/>
                <w:color w:val="auto"/>
              </w:rPr>
              <w:t>Gain on loans held for sale, net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24,602</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49,687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CC"/>
          </w:tcPr>
          <w:p>
            <w:pPr>
              <w:spacing w:after="0"/>
              <w:rPr>
                <w:sz w:val="19"/>
                <w:szCs w:val="19"/>
                <w:color w:val="auto"/>
              </w:rPr>
            </w:pPr>
          </w:p>
        </w:tc>
        <w:tc>
          <w:tcPr>
            <w:tcW w:w="960" w:type="dxa"/>
            <w:vAlign w:val="bottom"/>
            <w:shd w:val="clear" w:color="auto" w:fill="CCEECC"/>
          </w:tcPr>
          <w:p>
            <w:pPr>
              <w:spacing w:after="0"/>
              <w:rPr>
                <w:sz w:val="19"/>
                <w:szCs w:val="19"/>
                <w:color w:val="auto"/>
              </w:rPr>
            </w:pPr>
          </w:p>
        </w:tc>
        <w:tc>
          <w:tcPr>
            <w:tcW w:w="44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940" w:type="dxa"/>
            <w:vAlign w:val="bottom"/>
            <w:shd w:val="clear" w:color="auto" w:fill="CCEECC"/>
          </w:tcPr>
          <w:p>
            <w:pPr>
              <w:spacing w:after="0"/>
              <w:rPr>
                <w:sz w:val="19"/>
                <w:szCs w:val="19"/>
                <w:color w:val="auto"/>
              </w:rPr>
            </w:pPr>
          </w:p>
        </w:tc>
        <w:tc>
          <w:tcPr>
            <w:tcW w:w="44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340" w:type="dxa"/>
            <w:vAlign w:val="bottom"/>
            <w:gridSpan w:val="3"/>
            <w:shd w:val="clear" w:color="auto" w:fill="CCEECC"/>
          </w:tcPr>
          <w:p>
            <w:pPr>
              <w:jc w:val="right"/>
              <w:ind w:right="400"/>
              <w:spacing w:after="0"/>
              <w:rPr>
                <w:sz w:val="20"/>
                <w:szCs w:val="20"/>
                <w:color w:val="auto"/>
              </w:rPr>
            </w:pPr>
            <w:r>
              <w:rPr>
                <w:rFonts w:ascii="Arial" w:cs="Arial" w:eastAsia="Arial" w:hAnsi="Arial"/>
                <w:sz w:val="18"/>
                <w:szCs w:val="18"/>
                <w:color w:val="auto"/>
              </w:rPr>
              <w:t>8,937</w:t>
            </w:r>
          </w:p>
        </w:tc>
        <w:tc>
          <w:tcPr>
            <w:tcW w:w="4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8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31,493</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33,539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CC"/>
          </w:tcPr>
          <w:p>
            <w:pPr>
              <w:spacing w:after="0"/>
              <w:rPr>
                <w:sz w:val="19"/>
                <w:szCs w:val="19"/>
                <w:color w:val="auto"/>
              </w:rPr>
            </w:pPr>
          </w:p>
        </w:tc>
        <w:tc>
          <w:tcPr>
            <w:tcW w:w="960" w:type="dxa"/>
            <w:vAlign w:val="bottom"/>
            <w:shd w:val="clear" w:color="auto" w:fill="CCEECC"/>
          </w:tcPr>
          <w:p>
            <w:pPr>
              <w:spacing w:after="0"/>
              <w:rPr>
                <w:sz w:val="19"/>
                <w:szCs w:val="19"/>
                <w:color w:val="auto"/>
              </w:rPr>
            </w:pPr>
          </w:p>
        </w:tc>
        <w:tc>
          <w:tcPr>
            <w:tcW w:w="44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940" w:type="dxa"/>
            <w:vAlign w:val="bottom"/>
            <w:shd w:val="clear" w:color="auto" w:fill="CCEECC"/>
          </w:tcPr>
          <w:p>
            <w:pPr>
              <w:spacing w:after="0"/>
              <w:rPr>
                <w:sz w:val="19"/>
                <w:szCs w:val="19"/>
                <w:color w:val="auto"/>
              </w:rPr>
            </w:pPr>
          </w:p>
        </w:tc>
        <w:tc>
          <w:tcPr>
            <w:tcW w:w="44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60" w:type="dxa"/>
            <w:vAlign w:val="bottom"/>
            <w:tcBorders>
              <w:bottom w:val="single" w:sz="8" w:color="auto"/>
            </w:tcBorders>
            <w:shd w:val="clear" w:color="auto" w:fill="CCEECC"/>
          </w:tcPr>
          <w:p>
            <w:pPr>
              <w:spacing w:after="0"/>
              <w:rPr>
                <w:sz w:val="19"/>
                <w:szCs w:val="19"/>
                <w:color w:val="auto"/>
              </w:rPr>
            </w:pPr>
          </w:p>
        </w:tc>
        <w:tc>
          <w:tcPr>
            <w:tcW w:w="940" w:type="dxa"/>
            <w:vAlign w:val="bottom"/>
            <w:tcBorders>
              <w:bottom w:val="single" w:sz="8" w:color="auto"/>
            </w:tcBorders>
            <w:gridSpan w:val="2"/>
            <w:shd w:val="clear" w:color="auto" w:fill="CCEECC"/>
          </w:tcPr>
          <w:p>
            <w:pPr>
              <w:jc w:val="right"/>
              <w:spacing w:after="0"/>
              <w:rPr>
                <w:sz w:val="20"/>
                <w:szCs w:val="20"/>
                <w:color w:val="auto"/>
              </w:rPr>
            </w:pPr>
            <w:r>
              <w:rPr>
                <w:rFonts w:ascii="Arial" w:cs="Arial" w:eastAsia="Arial" w:hAnsi="Arial"/>
                <w:sz w:val="18"/>
                <w:szCs w:val="18"/>
                <w:color w:val="auto"/>
              </w:rPr>
              <w:t>29,504</w:t>
            </w:r>
          </w:p>
        </w:tc>
        <w:tc>
          <w:tcPr>
            <w:tcW w:w="40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60" w:type="dxa"/>
            <w:vAlign w:val="bottom"/>
            <w:tcBorders>
              <w:bottom w:val="single" w:sz="8" w:color="auto"/>
            </w:tcBorders>
            <w:shd w:val="clear" w:color="auto" w:fill="CCEECC"/>
          </w:tcPr>
          <w:p>
            <w:pPr>
              <w:spacing w:after="0"/>
              <w:rPr>
                <w:sz w:val="19"/>
                <w:szCs w:val="19"/>
                <w:color w:val="auto"/>
              </w:rPr>
            </w:pPr>
          </w:p>
        </w:tc>
        <w:tc>
          <w:tcPr>
            <w:tcW w:w="8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69,543</w:t>
            </w:r>
          </w:p>
        </w:tc>
        <w:tc>
          <w:tcPr>
            <w:tcW w:w="2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4,035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11,637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3,066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340" w:type="dxa"/>
            <w:vAlign w:val="bottom"/>
            <w:gridSpan w:val="3"/>
            <w:shd w:val="clear" w:color="auto" w:fill="CCEECC"/>
          </w:tcPr>
          <w:p>
            <w:pPr>
              <w:jc w:val="right"/>
              <w:ind w:right="340"/>
              <w:spacing w:after="0"/>
              <w:rPr>
                <w:sz w:val="20"/>
                <w:szCs w:val="20"/>
                <w:color w:val="auto"/>
              </w:rPr>
            </w:pPr>
            <w:r>
              <w:rPr>
                <w:rFonts w:ascii="Arial" w:cs="Arial" w:eastAsia="Arial" w:hAnsi="Arial"/>
                <w:sz w:val="18"/>
                <w:szCs w:val="18"/>
                <w:color w:val="auto"/>
              </w:rPr>
              <w:t>(3,279)</w:t>
            </w:r>
          </w:p>
        </w:tc>
        <w:tc>
          <w:tcPr>
            <w:tcW w:w="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96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(10,108)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Arial" w:cs="Arial" w:eastAsia="Arial" w:hAnsi="Arial"/>
                <w:sz w:val="18"/>
                <w:szCs w:val="18"/>
                <w:color w:val="auto"/>
              </w:rPr>
              <w:t>Gain on debt redemption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1,282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CEECC"/>
          </w:tcPr>
          <w:p>
            <w:pPr>
              <w:ind w:left="14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CC"/>
          </w:tcPr>
          <w:p>
            <w:pPr>
              <w:spacing w:after="0"/>
              <w:rPr>
                <w:sz w:val="19"/>
                <w:szCs w:val="19"/>
                <w:color w:val="auto"/>
              </w:rPr>
            </w:pPr>
          </w:p>
        </w:tc>
        <w:tc>
          <w:tcPr>
            <w:tcW w:w="960" w:type="dxa"/>
            <w:vAlign w:val="bottom"/>
            <w:shd w:val="clear" w:color="auto" w:fill="CCEECC"/>
          </w:tcPr>
          <w:p>
            <w:pPr>
              <w:spacing w:after="0"/>
              <w:rPr>
                <w:sz w:val="19"/>
                <w:szCs w:val="19"/>
                <w:color w:val="auto"/>
              </w:rPr>
            </w:pPr>
          </w:p>
        </w:tc>
        <w:tc>
          <w:tcPr>
            <w:tcW w:w="44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940" w:type="dxa"/>
            <w:vAlign w:val="bottom"/>
            <w:shd w:val="clear" w:color="auto" w:fill="CCEECC"/>
          </w:tcPr>
          <w:p>
            <w:pPr>
              <w:spacing w:after="0"/>
              <w:rPr>
                <w:sz w:val="19"/>
                <w:szCs w:val="19"/>
                <w:color w:val="auto"/>
              </w:rPr>
            </w:pPr>
          </w:p>
        </w:tc>
        <w:tc>
          <w:tcPr>
            <w:tcW w:w="44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1340" w:type="dxa"/>
            <w:vAlign w:val="bottom"/>
            <w:gridSpan w:val="3"/>
            <w:shd w:val="clear" w:color="auto" w:fill="CCEECC"/>
          </w:tcPr>
          <w:p>
            <w:pPr>
              <w:jc w:val="right"/>
              <w:ind w:right="400"/>
              <w:spacing w:after="0"/>
              <w:rPr>
                <w:sz w:val="20"/>
                <w:szCs w:val="20"/>
                <w:color w:val="auto"/>
              </w:rPr>
            </w:pPr>
            <w:r>
              <w:rPr>
                <w:rFonts w:ascii="Arial" w:cs="Arial" w:eastAsia="Arial" w:hAnsi="Arial"/>
                <w:sz w:val="18"/>
                <w:szCs w:val="18"/>
                <w:color w:val="auto"/>
              </w:rPr>
              <w:t>561</w:t>
            </w:r>
          </w:p>
        </w:tc>
        <w:tc>
          <w:tcPr>
            <w:tcW w:w="4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8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2,378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1,630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CEECC"/>
          </w:tcPr>
          <w:p>
            <w:pPr>
              <w:spacing w:after="0"/>
              <w:rPr>
                <w:sz w:val="21"/>
                <w:szCs w:val="21"/>
                <w:color w:val="auto"/>
              </w:rPr>
            </w:pPr>
          </w:p>
        </w:tc>
        <w:tc>
          <w:tcPr>
            <w:tcW w:w="960" w:type="dxa"/>
            <w:vAlign w:val="bottom"/>
            <w:shd w:val="clear" w:color="auto" w:fill="CCEECC"/>
          </w:tcPr>
          <w:p>
            <w:pPr>
              <w:spacing w:after="0"/>
              <w:rPr>
                <w:sz w:val="21"/>
                <w:szCs w:val="21"/>
                <w:color w:val="auto"/>
              </w:rPr>
            </w:pPr>
          </w:p>
        </w:tc>
        <w:tc>
          <w:tcPr>
            <w:tcW w:w="440" w:type="dxa"/>
            <w:vAlign w:val="bottom"/>
            <w:shd w:val="clear" w:color="auto" w:fill="CCEECC"/>
          </w:tcPr>
          <w:p>
            <w:pPr>
              <w:spacing w:after="0"/>
              <w:rPr>
                <w:sz w:val="21"/>
                <w:szCs w:val="21"/>
                <w:color w:val="auto"/>
              </w:rPr>
            </w:pPr>
          </w:p>
        </w:tc>
        <w:tc>
          <w:tcPr>
            <w:tcW w:w="160" w:type="dxa"/>
            <w:vAlign w:val="bottom"/>
            <w:shd w:val="clear" w:color="auto" w:fill="CCEECC"/>
          </w:tcPr>
          <w:p>
            <w:pPr>
              <w:spacing w:after="0"/>
              <w:rPr>
                <w:sz w:val="21"/>
                <w:szCs w:val="21"/>
                <w:color w:val="auto"/>
              </w:rPr>
            </w:pPr>
          </w:p>
        </w:tc>
        <w:tc>
          <w:tcPr>
            <w:tcW w:w="940" w:type="dxa"/>
            <w:vAlign w:val="bottom"/>
            <w:shd w:val="clear" w:color="auto" w:fill="CCEECC"/>
          </w:tcPr>
          <w:p>
            <w:pPr>
              <w:spacing w:after="0"/>
              <w:rPr>
                <w:sz w:val="21"/>
                <w:szCs w:val="21"/>
                <w:color w:val="auto"/>
              </w:rPr>
            </w:pPr>
          </w:p>
        </w:tc>
        <w:tc>
          <w:tcPr>
            <w:tcW w:w="440" w:type="dxa"/>
            <w:vAlign w:val="bottom"/>
            <w:shd w:val="clear" w:color="auto" w:fill="CCEECC"/>
          </w:tcPr>
          <w:p>
            <w:pPr>
              <w:spacing w:after="0"/>
              <w:rPr>
                <w:sz w:val="21"/>
                <w:szCs w:val="21"/>
                <w:color w:val="auto"/>
              </w:rPr>
            </w:pPr>
          </w:p>
        </w:tc>
        <w:tc>
          <w:tcPr>
            <w:tcW w:w="2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CC"/>
          </w:tcPr>
          <w:p>
            <w:pPr>
              <w:jc w:val="right"/>
              <w:ind w:right="400"/>
              <w:spacing w:after="0"/>
              <w:rPr>
                <w:sz w:val="20"/>
                <w:szCs w:val="20"/>
                <w:color w:val="auto"/>
              </w:rPr>
            </w:pPr>
            <w:r>
              <w:rPr>
                <w:rFonts w:ascii="Arial" w:cs="Arial" w:eastAsia="Arial" w:hAnsi="Arial"/>
                <w:sz w:val="18"/>
                <w:szCs w:val="18"/>
                <w:color w:val="auto"/>
              </w:rPr>
              <w:t>5,665</w:t>
            </w:r>
          </w:p>
        </w:tc>
        <w:tc>
          <w:tcPr>
            <w:tcW w:w="2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20,813</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CC"/>
              <w:bottom w:val="single" w:sz="8" w:color="CCEECC"/>
            </w:tcBorders>
            <w:vMerge w:val="restart"/>
          </w:tcPr>
          <w:p>
            <w:pPr>
              <w:ind w:left="320"/>
              <w:spacing w:after="0"/>
              <w:rPr>
                <w:sz w:val="20"/>
                <w:szCs w:val="20"/>
                <w:color w:val="auto"/>
              </w:rPr>
            </w:pPr>
            <w:r>
              <w:rPr>
                <w:rFonts w:ascii="Arial" w:cs="Arial" w:eastAsia="Arial" w:hAnsi="Arial"/>
                <w:sz w:val="18"/>
                <w:szCs w:val="18"/>
                <w:color w:val="auto"/>
              </w:rPr>
              <w:t>Our funded originations in 2013 were as follows:</w:t>
            </w:r>
          </w:p>
        </w:tc>
        <w:tc>
          <w:tcPr>
            <w:tcW w:w="140" w:type="dxa"/>
            <w:vAlign w:val="bottom"/>
            <w:tcBorders>
              <w:top w:val="single" w:sz="8" w:color="CCEECC"/>
            </w:tcBorders>
          </w:tcPr>
          <w:p>
            <w:pPr>
              <w:spacing w:after="0" w:line="20" w:lineRule="exact"/>
              <w:rPr>
                <w:sz w:val="1"/>
                <w:szCs w:val="1"/>
                <w:color w:val="auto"/>
              </w:rPr>
            </w:pPr>
          </w:p>
        </w:tc>
        <w:tc>
          <w:tcPr>
            <w:tcW w:w="960" w:type="dxa"/>
            <w:vAlign w:val="bottom"/>
            <w:tcBorders>
              <w:top w:val="single" w:sz="8" w:color="CCEECC"/>
            </w:tcBorders>
          </w:tcPr>
          <w:p>
            <w:pPr>
              <w:spacing w:after="0" w:line="20" w:lineRule="exact"/>
              <w:rPr>
                <w:sz w:val="1"/>
                <w:szCs w:val="1"/>
                <w:color w:val="auto"/>
              </w:rPr>
            </w:pPr>
          </w:p>
        </w:tc>
        <w:tc>
          <w:tcPr>
            <w:tcW w:w="44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940" w:type="dxa"/>
            <w:vAlign w:val="bottom"/>
            <w:tcBorders>
              <w:top w:val="single" w:sz="8" w:color="CCEECC"/>
            </w:tcBorders>
          </w:tcPr>
          <w:p>
            <w:pPr>
              <w:spacing w:after="0" w:line="20" w:lineRule="exact"/>
              <w:rPr>
                <w:sz w:val="1"/>
                <w:szCs w:val="1"/>
                <w:color w:val="auto"/>
              </w:rPr>
            </w:pPr>
          </w:p>
        </w:tc>
        <w:tc>
          <w:tcPr>
            <w:tcW w:w="44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Three Months</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Three Months</w:t>
            </w:r>
          </w:p>
        </w:tc>
        <w:tc>
          <w:tcPr>
            <w:tcW w:w="1540" w:type="dxa"/>
            <w:vAlign w:val="bottom"/>
            <w:gridSpan w:val="5"/>
          </w:tcPr>
          <w:p>
            <w:pPr>
              <w:spacing w:after="0"/>
              <w:rPr>
                <w:sz w:val="20"/>
                <w:szCs w:val="20"/>
                <w:color w:val="auto"/>
              </w:rPr>
            </w:pPr>
            <w:r>
              <w:rPr>
                <w:rFonts w:ascii="Arial" w:cs="Arial" w:eastAsia="Arial" w:hAnsi="Arial"/>
                <w:sz w:val="18"/>
                <w:szCs w:val="18"/>
                <w:b w:val="1"/>
                <w:bCs w:val="1"/>
                <w:color w:val="auto"/>
              </w:rPr>
              <w:t>Three Months</w:t>
            </w:r>
          </w:p>
        </w:tc>
        <w:tc>
          <w:tcPr>
            <w:tcW w:w="1160" w:type="dxa"/>
            <w:vAlign w:val="bottom"/>
            <w:gridSpan w:val="5"/>
          </w:tcPr>
          <w:p>
            <w:pPr>
              <w:ind w:left="2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Ended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Ended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4"/>
              </w:rPr>
              <w:t>March 31</w:t>
            </w:r>
          </w:p>
        </w:tc>
        <w:tc>
          <w:tcPr>
            <w:tcW w:w="160" w:type="dxa"/>
            <w:vAlign w:val="bottom"/>
          </w:tcPr>
          <w:p>
            <w:pPr>
              <w:spacing w:after="0"/>
              <w:rPr>
                <w:sz w:val="20"/>
                <w:szCs w:val="20"/>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June 30</w:t>
            </w:r>
          </w:p>
        </w:tc>
        <w:tc>
          <w:tcPr>
            <w:tcW w:w="1540" w:type="dxa"/>
            <w:vAlign w:val="bottom"/>
            <w:gridSpan w:val="5"/>
          </w:tcPr>
          <w:p>
            <w:pPr>
              <w:ind w:left="20"/>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gridSpan w:val="5"/>
          </w:tcPr>
          <w:p>
            <w:pPr>
              <w:spacing w:after="0"/>
              <w:rPr>
                <w:sz w:val="20"/>
                <w:szCs w:val="20"/>
                <w:color w:val="auto"/>
              </w:rPr>
            </w:pPr>
            <w:r>
              <w:rPr>
                <w:rFonts w:ascii="Arial" w:cs="Arial" w:eastAsia="Arial" w:hAnsi="Arial"/>
                <w:sz w:val="18"/>
                <w:szCs w:val="18"/>
                <w:b w:val="1"/>
                <w:bCs w:val="1"/>
                <w:color w:val="auto"/>
                <w:w w:val="96"/>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Loans Funded (UPB):</w:t>
            </w:r>
          </w:p>
        </w:tc>
        <w:tc>
          <w:tcPr>
            <w:tcW w:w="140" w:type="dxa"/>
            <w:vAlign w:val="bottom"/>
            <w:tcBorders>
              <w:top w:val="single" w:sz="8" w:color="auto"/>
            </w:tcBorders>
            <w:shd w:val="clear" w:color="auto" w:fill="CCEECC"/>
          </w:tcPr>
          <w:p>
            <w:pPr>
              <w:spacing w:after="0"/>
              <w:rPr>
                <w:sz w:val="18"/>
                <w:szCs w:val="18"/>
                <w:color w:val="auto"/>
              </w:rPr>
            </w:pPr>
          </w:p>
        </w:tc>
        <w:tc>
          <w:tcPr>
            <w:tcW w:w="960" w:type="dxa"/>
            <w:vAlign w:val="bottom"/>
            <w:tcBorders>
              <w:top w:val="single" w:sz="8" w:color="auto"/>
            </w:tcBorders>
            <w:shd w:val="clear" w:color="auto" w:fill="CCEECC"/>
          </w:tcPr>
          <w:p>
            <w:pPr>
              <w:spacing w:after="0"/>
              <w:rPr>
                <w:sz w:val="18"/>
                <w:szCs w:val="18"/>
                <w:color w:val="auto"/>
              </w:rPr>
            </w:pPr>
          </w:p>
        </w:tc>
        <w:tc>
          <w:tcPr>
            <w:tcW w:w="44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940" w:type="dxa"/>
            <w:vAlign w:val="bottom"/>
            <w:tcBorders>
              <w:top w:val="single" w:sz="8" w:color="auto"/>
            </w:tcBorders>
            <w:shd w:val="clear" w:color="auto" w:fill="CCEECC"/>
          </w:tcPr>
          <w:p>
            <w:pPr>
              <w:spacing w:after="0"/>
              <w:rPr>
                <w:sz w:val="18"/>
                <w:szCs w:val="18"/>
                <w:color w:val="auto"/>
              </w:rPr>
            </w:pPr>
          </w:p>
        </w:tc>
        <w:tc>
          <w:tcPr>
            <w:tcW w:w="44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auto"/>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900" w:type="dxa"/>
            <w:vAlign w:val="bottom"/>
            <w:tcBorders>
              <w:top w:val="single" w:sz="8" w:color="auto"/>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40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auto"/>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860" w:type="dxa"/>
            <w:vAlign w:val="bottom"/>
            <w:tcBorders>
              <w:top w:val="single" w:sz="8" w:color="auto"/>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Arial" w:cs="Arial" w:eastAsia="Arial" w:hAnsi="Arial"/>
                <w:sz w:val="18"/>
                <w:szCs w:val="18"/>
                <w:color w:val="auto"/>
              </w:rPr>
              <w:t>Correspondent and other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2,357,967</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1,532,425</w:t>
            </w:r>
          </w:p>
        </w:tc>
        <w:tc>
          <w:tcPr>
            <w:tcW w:w="4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1,307,261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5,197,653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CEECC"/>
          </w:tcPr>
          <w:p>
            <w:pPr>
              <w:ind w:left="140"/>
              <w:spacing w:after="0"/>
              <w:rPr>
                <w:sz w:val="20"/>
                <w:szCs w:val="20"/>
                <w:color w:val="auto"/>
              </w:rPr>
            </w:pPr>
            <w:r>
              <w:rPr>
                <w:rFonts w:ascii="Arial" w:cs="Arial" w:eastAsia="Arial" w:hAnsi="Arial"/>
                <w:sz w:val="18"/>
                <w:szCs w:val="18"/>
                <w:color w:val="auto"/>
              </w:rPr>
              <w:t>Direct</w:t>
            </w:r>
          </w:p>
        </w:tc>
        <w:tc>
          <w:tcPr>
            <w:tcW w:w="140" w:type="dxa"/>
            <w:vAlign w:val="bottom"/>
            <w:shd w:val="clear" w:color="auto" w:fill="CCEECC"/>
          </w:tcPr>
          <w:p>
            <w:pPr>
              <w:spacing w:after="0"/>
              <w:rPr>
                <w:sz w:val="19"/>
                <w:szCs w:val="19"/>
                <w:color w:val="auto"/>
              </w:rPr>
            </w:pPr>
          </w:p>
        </w:tc>
        <w:tc>
          <w:tcPr>
            <w:tcW w:w="140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33,644</w:t>
            </w:r>
          </w:p>
        </w:tc>
        <w:tc>
          <w:tcPr>
            <w:tcW w:w="160" w:type="dxa"/>
            <w:vAlign w:val="bottom"/>
            <w:shd w:val="clear" w:color="auto" w:fill="CCEECC"/>
          </w:tcPr>
          <w:p>
            <w:pPr>
              <w:spacing w:after="0"/>
              <w:rPr>
                <w:sz w:val="19"/>
                <w:szCs w:val="19"/>
                <w:color w:val="auto"/>
              </w:rPr>
            </w:pPr>
          </w:p>
        </w:tc>
        <w:tc>
          <w:tcPr>
            <w:tcW w:w="1380" w:type="dxa"/>
            <w:vAlign w:val="bottom"/>
            <w:gridSpan w:val="2"/>
            <w:shd w:val="clear" w:color="auto" w:fill="CCEECC"/>
          </w:tcPr>
          <w:p>
            <w:pPr>
              <w:jc w:val="right"/>
              <w:ind w:right="440"/>
              <w:spacing w:after="0"/>
              <w:rPr>
                <w:sz w:val="20"/>
                <w:szCs w:val="20"/>
                <w:color w:val="auto"/>
              </w:rPr>
            </w:pPr>
            <w:r>
              <w:rPr>
                <w:rFonts w:ascii="Arial" w:cs="Arial" w:eastAsia="Arial" w:hAnsi="Arial"/>
                <w:sz w:val="18"/>
                <w:szCs w:val="18"/>
                <w:color w:val="auto"/>
              </w:rPr>
              <w:t>60,646</w:t>
            </w:r>
          </w:p>
        </w:tc>
        <w:tc>
          <w:tcPr>
            <w:tcW w:w="4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94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98,458</w:t>
            </w:r>
          </w:p>
        </w:tc>
        <w:tc>
          <w:tcPr>
            <w:tcW w:w="40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88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192,748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2,391,611</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1,593,071</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1,405,719</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5,390,401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Total revenue for the Lending segment declined slightly to $33.5 million, or 0.6%, in the third quarter of 2013 as compared to the second quarter of 2013. Revenue for the Homeward lending operation grew over 40% in the third quarter of 2013 as compared to the second quarter of 2013 as a result of higher gains on sales of mortgages, following a shift towards the recapture of loans from our portfolio. The market shift to variable rate product negatively impacted Liberty’s revenue which declined by 37% in the third quarter of 2013 as compared to the second quarter of 2013. Overall operating expenses for the segment increased slightly to $29.5 million, or 2%, in the third quarter of 2013 as compared to the second quarter of 2013.</w:t>
      </w:r>
    </w:p>
    <w:p>
      <w:pPr>
        <w:spacing w:after="0" w:line="146"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servicing values utilized in our gain on sale calculation are evaluated closely and measured against market levels to foster a strong balance sheet and generate required returns over the estimated life of the originated MSR. To date, the excellent credit quality of the loans generated by our Lending segment has been reflected by our having no credit losses from repurchases and by our experiencing a 60+ day delinquency rate of only 1% on the loans.</w:t>
      </w:r>
    </w:p>
    <w:p>
      <w:pPr>
        <w:spacing w:after="0" w:line="10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As disclosed in Note 15 – Other Borrowings to the unaudited Consolidated Financial Statements, we have sold MSRs for certain loans to an unrelated third party in transactions accounted for as financings. In June 2013 and September 2013, we repurchased MSRs from the December 2012 sale related to loans that had been refinanced under HARP and recognized a gain on the retirement of the financing liability of $1.3 million and $4.5 million for the three and nine months ended September 30, 2013,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w w:val="99"/>
              </w:rPr>
              <w:t>The following table presents assets and liabilities of the Lending segment at the dates indicated: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30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Borders>
              <w:bottom w:val="single" w:sz="8" w:color="CCEECC"/>
            </w:tcBorders>
          </w:tcPr>
          <w:p>
            <w:pPr>
              <w:spacing w:after="0"/>
              <w:rPr>
                <w:sz w:val="20"/>
                <w:szCs w:val="20"/>
                <w:color w:val="auto"/>
              </w:rPr>
            </w:pPr>
          </w:p>
        </w:tc>
        <w:tc>
          <w:tcPr>
            <w:tcW w:w="76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CC"/>
          </w:tcPr>
          <w:p>
            <w:pPr>
              <w:spacing w:after="0"/>
              <w:rPr>
                <w:sz w:val="20"/>
                <w:szCs w:val="20"/>
                <w:color w:val="auto"/>
              </w:rPr>
            </w:pPr>
            <w:r>
              <w:rPr>
                <w:rFonts w:ascii="Arial" w:cs="Arial" w:eastAsia="Arial" w:hAnsi="Arial"/>
                <w:sz w:val="18"/>
                <w:szCs w:val="18"/>
                <w:color w:val="auto"/>
              </w:rPr>
              <w:t>Loans held for sale, at fair value</w:t>
            </w:r>
          </w:p>
        </w:tc>
        <w:tc>
          <w:tcPr>
            <w:tcW w:w="76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335,102</w:t>
            </w:r>
          </w:p>
        </w:tc>
        <w:tc>
          <w:tcPr>
            <w:tcW w:w="4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426,480</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Mortgage servicing rights, at amortized cost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2,463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CC"/>
          </w:tcPr>
          <w:p>
            <w:pPr>
              <w:spacing w:after="0"/>
              <w:rPr>
                <w:sz w:val="20"/>
                <w:szCs w:val="20"/>
                <w:color w:val="auto"/>
              </w:rPr>
            </w:pPr>
            <w:r>
              <w:rPr>
                <w:rFonts w:ascii="Arial" w:cs="Arial" w:eastAsia="Arial" w:hAnsi="Arial"/>
                <w:sz w:val="18"/>
                <w:szCs w:val="18"/>
                <w:color w:val="auto"/>
              </w:rPr>
              <w:t>Receivables</w:t>
            </w:r>
          </w:p>
        </w:tc>
        <w:tc>
          <w:tcPr>
            <w:tcW w:w="7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11,527</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123,494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120,294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CC"/>
          </w:tcPr>
          <w:p>
            <w:pPr>
              <w:spacing w:after="0"/>
              <w:rPr>
                <w:sz w:val="20"/>
                <w:szCs w:val="20"/>
                <w:color w:val="auto"/>
              </w:rPr>
            </w:pPr>
            <w:r>
              <w:rPr>
                <w:rFonts w:ascii="Arial" w:cs="Arial" w:eastAsia="Arial" w:hAnsi="Arial"/>
                <w:sz w:val="18"/>
                <w:szCs w:val="18"/>
                <w:color w:val="auto"/>
              </w:rPr>
              <w:t>Loans – restricted for securitization investors, at fair value</w:t>
            </w:r>
          </w:p>
        </w:tc>
        <w:tc>
          <w:tcPr>
            <w:tcW w:w="7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290,853</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940" w:type="dxa"/>
            <w:vAlign w:val="bottom"/>
            <w:gridSpan w:val="3"/>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Derivatives, at fair value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12,965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2,373</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2,945</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778,777</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550,569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CC"/>
          </w:tcPr>
          <w:p>
            <w:pPr>
              <w:spacing w:after="0"/>
              <w:rPr>
                <w:sz w:val="20"/>
                <w:szCs w:val="20"/>
                <w:color w:val="auto"/>
              </w:rPr>
            </w:pPr>
            <w:r>
              <w:rPr>
                <w:rFonts w:ascii="Arial" w:cs="Arial" w:eastAsia="Arial" w:hAnsi="Arial"/>
                <w:sz w:val="18"/>
                <w:szCs w:val="18"/>
                <w:color w:val="auto"/>
              </w:rPr>
              <w:t>Other borrowings</w:t>
            </w:r>
          </w:p>
        </w:tc>
        <w:tc>
          <w:tcPr>
            <w:tcW w:w="980" w:type="dxa"/>
            <w:vAlign w:val="bottom"/>
            <w:gridSpan w:val="2"/>
            <w:shd w:val="clear" w:color="auto" w:fill="CCEECC"/>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588,667</w:t>
            </w:r>
          </w:p>
        </w:tc>
        <w:tc>
          <w:tcPr>
            <w:tcW w:w="200" w:type="dxa"/>
            <w:vAlign w:val="bottom"/>
            <w:gridSpan w:val="2"/>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388,075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Derivatives, at fair value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11,659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22,077</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140"/>
              <w:spacing w:after="0"/>
              <w:rPr>
                <w:sz w:val="20"/>
                <w:szCs w:val="20"/>
                <w:color w:val="auto"/>
              </w:rPr>
            </w:pPr>
            <w:r>
              <w:rPr>
                <w:rFonts w:ascii="Arial" w:cs="Arial" w:eastAsia="Arial" w:hAnsi="Arial"/>
                <w:sz w:val="18"/>
                <w:szCs w:val="18"/>
                <w:b w:val="1"/>
                <w:bCs w:val="1"/>
                <w:color w:val="auto"/>
              </w:rPr>
              <w:t>Total liabilities</w:t>
            </w: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622,403</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388,094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Liberty Acquisition, offset by a decline in forward mortgage origination volume, drove the most significant changes to the Lending balance sheet during the nine months ended September 30, 2013:</w:t>
      </w:r>
    </w:p>
    <w:p>
      <w:pPr>
        <w:spacing w:after="0" w:line="130" w:lineRule="exact"/>
        <w:rPr>
          <w:sz w:val="20"/>
          <w:szCs w:val="20"/>
          <w:color w:val="auto"/>
        </w:rPr>
      </w:pPr>
    </w:p>
    <w:p>
      <w:pPr>
        <w:ind w:left="660" w:right="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Loans held for sale, at fair value declined as sales more than offset new origination volume for the period and the $60.0 million loans acquired in the Liberty Acquisition. See </w:t>
      </w:r>
      <w:hyperlink w:anchor="page26">
        <w:r>
          <w:rPr>
            <w:rFonts w:ascii="Arial" w:cs="Arial" w:eastAsia="Arial" w:hAnsi="Arial"/>
            <w:sz w:val="18"/>
            <w:szCs w:val="18"/>
            <w:u w:val="single" w:color="auto"/>
            <w:color w:val="0000EE"/>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Loans Held for Sale, at Fair Value for additional information.</w:t>
      </w:r>
    </w:p>
    <w:p>
      <w:pPr>
        <w:spacing w:after="0" w:line="129"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Loans – restricted for securitization investors, at fair value represent reverse mortgage loans sold into Ginnie Mae-guaranteed securitizations that we include in our consolidated financial statements because the transfers of the loans to the trusts did not qualify for sales accounting treatment.</w:t>
      </w:r>
    </w:p>
    <w:p>
      <w:pPr>
        <w:spacing w:after="0" w:line="97" w:lineRule="exact"/>
        <w:rPr>
          <w:sz w:val="20"/>
          <w:szCs w:val="20"/>
          <w:color w:val="auto"/>
        </w:rPr>
      </w:pPr>
    </w:p>
    <w:p>
      <w:pPr>
        <w:ind w:right="180" w:firstLine="324"/>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Borrowings increased as a result of warehouse facilities assumed in connection with the Liberty Acquisition and the recognition of $284.2 million of amounts due to the holders of participating interests in Ginnie Mae-guaranteed securitizations that we include in our consolidated financial statements because the transfers of reverse mortgage loans to the trusts did not qualify for sales accounting treatment. These increases were offset in part by declines in borrowings under existing warehouse facilities as a result of a decline in origination volume. See </w:t>
      </w:r>
      <w:hyperlink w:anchor="page32">
        <w:r>
          <w:rPr>
            <w:rFonts w:ascii="Arial" w:cs="Arial" w:eastAsia="Arial" w:hAnsi="Arial"/>
            <w:sz w:val="18"/>
            <w:szCs w:val="18"/>
            <w:u w:val="single" w:color="auto"/>
            <w:color w:val="0000EE"/>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Other Borrowings for additional information regarding warehouse facilities used to fund originations of loans.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operations of Corporate Items and Other for the periods ended September 30: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100" w:type="dxa"/>
            <w:vAlign w:val="bottom"/>
            <w:tcBorders>
              <w:bottom w:val="single" w:sz="8" w:color="CCEECC"/>
            </w:tcBorders>
          </w:tcPr>
          <w:p>
            <w:pPr>
              <w:spacing w:after="0"/>
              <w:rPr>
                <w:sz w:val="19"/>
                <w:szCs w:val="19"/>
                <w:color w:val="auto"/>
              </w:rPr>
            </w:pPr>
          </w:p>
        </w:tc>
        <w:tc>
          <w:tcPr>
            <w:tcW w:w="17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ECC"/>
            </w:tcBorders>
          </w:tcPr>
          <w:p>
            <w:pPr>
              <w:spacing w:after="0"/>
              <w:rPr>
                <w:sz w:val="19"/>
                <w:szCs w:val="19"/>
                <w:color w:val="auto"/>
              </w:rPr>
            </w:pPr>
          </w:p>
        </w:tc>
        <w:tc>
          <w:tcPr>
            <w:tcW w:w="22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Borders>
              <w:bottom w:val="single" w:sz="8" w:color="CCEECC"/>
            </w:tcBorders>
          </w:tcPr>
          <w:p>
            <w:pPr>
              <w:spacing w:after="0"/>
              <w:rPr>
                <w:sz w:val="19"/>
                <w:szCs w:val="19"/>
                <w:color w:val="auto"/>
              </w:rPr>
            </w:pPr>
          </w:p>
        </w:tc>
        <w:tc>
          <w:tcPr>
            <w:tcW w:w="20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r>
      <w:tr>
        <w:trPr>
          <w:trHeight w:val="210"/>
        </w:trPr>
        <w:tc>
          <w:tcPr>
            <w:tcW w:w="41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Revenue</w:t>
            </w:r>
          </w:p>
        </w:tc>
        <w:tc>
          <w:tcPr>
            <w:tcW w:w="17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1,801</w:t>
            </w: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873</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19,758</w:t>
            </w:r>
          </w:p>
        </w:tc>
        <w:tc>
          <w:tcPr>
            <w:tcW w:w="4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17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2,736</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11,143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4,162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95,361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12,659</w:t>
            </w:r>
          </w:p>
        </w:tc>
        <w:tc>
          <w:tcPr>
            <w:tcW w:w="80" w:type="dxa"/>
            <w:vAlign w:val="bottom"/>
          </w:tcPr>
          <w:p>
            <w:pPr>
              <w:spacing w:after="0"/>
              <w:rPr>
                <w:sz w:val="19"/>
                <w:szCs w:val="19"/>
                <w:color w:val="auto"/>
              </w:rPr>
            </w:pPr>
          </w:p>
        </w:tc>
      </w:tr>
      <w:tr>
        <w:trPr>
          <w:trHeight w:val="210"/>
        </w:trPr>
        <w:tc>
          <w:tcPr>
            <w:tcW w:w="410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Loss from operations</w:t>
            </w:r>
          </w:p>
        </w:tc>
        <w:tc>
          <w:tcPr>
            <w:tcW w:w="17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(9,342</w:t>
            </w:r>
          </w:p>
        </w:tc>
        <w:tc>
          <w:tcPr>
            <w:tcW w:w="260" w:type="dxa"/>
            <w:vAlign w:val="bottom"/>
            <w:tcBorders>
              <w:top w:val="single" w:sz="8" w:color="CCEECC"/>
            </w:tcBorders>
            <w:shd w:val="clear" w:color="auto" w:fill="CCEECC"/>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bottom w:val="single" w:sz="8" w:color="auto"/>
            </w:tcBorders>
            <w:shd w:val="clear" w:color="auto" w:fill="CCEECC"/>
          </w:tcPr>
          <w:p>
            <w:pPr>
              <w:spacing w:after="0"/>
              <w:rPr>
                <w:sz w:val="18"/>
                <w:szCs w:val="18"/>
                <w:color w:val="auto"/>
              </w:rPr>
            </w:pP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(3,289</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(75,603</w:t>
            </w:r>
          </w:p>
        </w:tc>
        <w:tc>
          <w:tcPr>
            <w:tcW w:w="440" w:type="dxa"/>
            <w:vAlign w:val="bottom"/>
            <w:tcBorders>
              <w:top w:val="single" w:sz="8" w:color="CCEECC"/>
            </w:tcBorders>
            <w:shd w:val="clear" w:color="auto" w:fill="CCEECC"/>
          </w:tcPr>
          <w:p>
            <w:pPr>
              <w:jc w:val="right"/>
              <w:ind w:right="3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bottom w:val="single" w:sz="8" w:color="auto"/>
            </w:tcBorders>
            <w:shd w:val="clear" w:color="auto" w:fill="CCEECC"/>
          </w:tcPr>
          <w:p>
            <w:pPr>
              <w:spacing w:after="0"/>
              <w:rPr>
                <w:sz w:val="18"/>
                <w:szCs w:val="18"/>
                <w:color w:val="auto"/>
              </w:rPr>
            </w:pP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(9,923</w:t>
            </w:r>
          </w:p>
        </w:tc>
        <w:tc>
          <w:tcPr>
            <w:tcW w:w="100" w:type="dxa"/>
            <w:vAlign w:val="bottom"/>
            <w:tcBorders>
              <w:top w:val="single" w:sz="8" w:color="CCEECC"/>
            </w:tcBorders>
            <w:gridSpan w:val="2"/>
            <w:shd w:val="clear" w:color="auto" w:fill="CCEECC"/>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41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Net interest income</w:t>
            </w:r>
          </w:p>
        </w:tc>
        <w:tc>
          <w:tcPr>
            <w:tcW w:w="17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1,526</w:t>
            </w:r>
          </w:p>
        </w:tc>
        <w:tc>
          <w:tcPr>
            <w:tcW w:w="2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96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1,811</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360"/>
              <w:spacing w:after="0"/>
              <w:rPr>
                <w:sz w:val="20"/>
                <w:szCs w:val="20"/>
                <w:color w:val="auto"/>
              </w:rPr>
            </w:pPr>
            <w:r>
              <w:rPr>
                <w:rFonts w:ascii="Arial" w:cs="Arial" w:eastAsia="Arial" w:hAnsi="Arial"/>
                <w:sz w:val="18"/>
                <w:szCs w:val="18"/>
                <w:color w:val="auto"/>
              </w:rPr>
              <w:t>3,666</w:t>
            </w: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7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5,584</w:t>
            </w:r>
          </w:p>
        </w:tc>
        <w:tc>
          <w:tcPr>
            <w:tcW w:w="80" w:type="dxa"/>
            <w:vAlign w:val="bottom"/>
            <w:shd w:val="clear" w:color="auto" w:fill="CCEECC"/>
          </w:tcPr>
          <w:p>
            <w:pPr>
              <w:spacing w:after="0"/>
              <w:rPr>
                <w:sz w:val="18"/>
                <w:szCs w:val="18"/>
                <w:color w:val="auto"/>
              </w:rPr>
            </w:pPr>
          </w:p>
        </w:tc>
      </w:tr>
      <w:tr>
        <w:trPr>
          <w:trHeight w:val="230"/>
        </w:trPr>
        <w:tc>
          <w:tcPr>
            <w:tcW w:w="41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2,977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(5,765)</w:t>
            </w:r>
          </w:p>
        </w:tc>
      </w:tr>
      <w:tr>
        <w:trPr>
          <w:trHeight w:val="210"/>
        </w:trPr>
        <w:tc>
          <w:tcPr>
            <w:tcW w:w="4100" w:type="dxa"/>
            <w:vAlign w:val="bottom"/>
            <w:tcBorders>
              <w:top w:val="single" w:sz="8" w:color="CCEECC"/>
            </w:tcBorders>
            <w:shd w:val="clear" w:color="auto" w:fill="CCEECC"/>
          </w:tcPr>
          <w:p>
            <w:pPr>
              <w:ind w:left="320"/>
              <w:spacing w:after="0"/>
              <w:rPr>
                <w:sz w:val="20"/>
                <w:szCs w:val="20"/>
                <w:color w:val="auto"/>
              </w:rPr>
            </w:pPr>
            <w:r>
              <w:rPr>
                <w:rFonts w:ascii="Arial" w:cs="Arial" w:eastAsia="Arial" w:hAnsi="Arial"/>
                <w:sz w:val="18"/>
                <w:szCs w:val="18"/>
                <w:color w:val="auto"/>
              </w:rPr>
              <w:t>Other income (expense), net</w:t>
            </w:r>
          </w:p>
        </w:tc>
        <w:tc>
          <w:tcPr>
            <w:tcW w:w="17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1,924</w:t>
            </w:r>
          </w:p>
        </w:tc>
        <w:tc>
          <w:tcPr>
            <w:tcW w:w="26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bottom w:val="single" w:sz="8" w:color="auto"/>
            </w:tcBorders>
            <w:shd w:val="clear" w:color="auto" w:fill="CCEECC"/>
          </w:tcPr>
          <w:p>
            <w:pPr>
              <w:spacing w:after="0"/>
              <w:rPr>
                <w:sz w:val="18"/>
                <w:szCs w:val="18"/>
                <w:color w:val="auto"/>
              </w:rPr>
            </w:pP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20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6,643</w:t>
            </w:r>
          </w:p>
        </w:tc>
        <w:tc>
          <w:tcPr>
            <w:tcW w:w="44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bottom w:val="single" w:sz="8" w:color="auto"/>
            </w:tcBorders>
            <w:shd w:val="clear" w:color="auto" w:fill="CCEECC"/>
          </w:tcPr>
          <w:p>
            <w:pPr>
              <w:spacing w:after="0"/>
              <w:rPr>
                <w:sz w:val="18"/>
                <w:szCs w:val="18"/>
                <w:color w:val="auto"/>
              </w:rPr>
            </w:pPr>
          </w:p>
        </w:tc>
        <w:tc>
          <w:tcPr>
            <w:tcW w:w="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CEECC"/>
            </w:tcBorders>
            <w:gridSpan w:val="2"/>
            <w:shd w:val="clear" w:color="auto" w:fill="CCEECC"/>
          </w:tcPr>
          <w:p>
            <w:pPr>
              <w:jc w:val="right"/>
              <w:ind w:right="40"/>
              <w:spacing w:after="0"/>
              <w:rPr>
                <w:sz w:val="20"/>
                <w:szCs w:val="20"/>
                <w:color w:val="auto"/>
              </w:rPr>
            </w:pPr>
            <w:r>
              <w:rPr>
                <w:rFonts w:ascii="Arial" w:cs="Arial" w:eastAsia="Arial" w:hAnsi="Arial"/>
                <w:sz w:val="16"/>
                <w:szCs w:val="16"/>
                <w:color w:val="auto"/>
                <w:w w:val="74"/>
              </w:rPr>
              <w:t>)</w:t>
            </w:r>
          </w:p>
        </w:tc>
      </w:tr>
      <w:tr>
        <w:trPr>
          <w:trHeight w:val="453"/>
        </w:trPr>
        <w:tc>
          <w:tcPr>
            <w:tcW w:w="410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9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(7,418)</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(3,508)</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(68,960)</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(10,104)</w:t>
            </w:r>
          </w:p>
        </w:tc>
      </w:tr>
      <w:tr>
        <w:trPr>
          <w:trHeight w:val="20"/>
        </w:trPr>
        <w:tc>
          <w:tcPr>
            <w:tcW w:w="4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40" w:firstLine="324"/>
        <w:spacing w:after="0" w:line="258" w:lineRule="auto"/>
        <w:rPr>
          <w:sz w:val="20"/>
          <w:szCs w:val="20"/>
          <w:color w:val="auto"/>
        </w:rPr>
      </w:pPr>
      <w:r>
        <w:rPr>
          <w:rFonts w:ascii="Arial" w:cs="Arial" w:eastAsia="Arial" w:hAnsi="Arial"/>
          <w:sz w:val="18"/>
          <w:szCs w:val="18"/>
          <w:b w:val="1"/>
          <w:bCs w:val="1"/>
          <w:color w:val="auto"/>
        </w:rPr>
        <w:t xml:space="preserve">Three months ended September 30, 2013 versus September 30, 2012. </w:t>
      </w:r>
      <w:r>
        <w:rPr>
          <w:rFonts w:ascii="Arial" w:cs="Arial" w:eastAsia="Arial" w:hAnsi="Arial"/>
          <w:sz w:val="18"/>
          <w:szCs w:val="18"/>
          <w:color w:val="auto"/>
        </w:rPr>
        <w:t>Operating expenses for the three months ended September 30, 2013 are higher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three months ended September 30, 2012 primarily due to costs incurred in connection with certain legal matters and other professional services, Homeward Acquisition integration costs, costs associated with facilities in India and the Philippines that are not yet operational and other unallocated expenses due to timing. Accumulated costs associated with India and Philippines facilities will be allocated to the appropriate segments once they are operational.</w:t>
      </w:r>
    </w:p>
    <w:p>
      <w:pPr>
        <w:spacing w:after="0" w:line="143"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Nine months ended September 30, 2013 versus September 30, 2012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and operating expenses for the first nine months of 2013 include $15.2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$15.0 million, respectively, related to the diversified fee-based business we acquired as part of the Homeward Acquisition, the majority of which was subsequently sold on March 29, 2013. Operating expenses for the nine months ended September 30, 2013 also include the $52.8 million charge recorded during the second quarter of 2013 in connection with our estimated liability related to our ongoing discussions with the MMC, CFPB and state Attorneys General in connection with certain foreclosure related matters.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ind w:right="240" w:firstLine="324"/>
        <w:spacing w:after="0" w:line="312" w:lineRule="auto"/>
        <w:rPr>
          <w:sz w:val="20"/>
          <w:szCs w:val="20"/>
          <w:color w:val="auto"/>
        </w:rPr>
      </w:pPr>
      <w:r>
        <w:rPr>
          <w:rFonts w:ascii="Arial" w:cs="Arial" w:eastAsia="Arial" w:hAnsi="Arial"/>
          <w:sz w:val="16"/>
          <w:szCs w:val="16"/>
          <w:color w:val="auto"/>
        </w:rPr>
        <w:t>Other, net in the first nine months of 2013 includes $2.1 million of equity in earnings in Powerlink Settlement Services, LP (Powerlink), an entity in which we hold a 69.79% interest that we acquired as part of the Homeward Acquisition. Powerlink provides title, closing and valuation services. Other, net for the first nine months of 2012 includes $3.5 million of losses on subprime loans held for sale that we account for at the lower of cost or fair value.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w w:val="94"/>
              </w:rPr>
              <w:t>The following table presents the assets and liabilities of Corporate Items and Other at the dates indicated:</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87"/>
        </w:trPr>
        <w:tc>
          <w:tcPr>
            <w:tcW w:w="8320" w:type="dxa"/>
            <w:vAlign w:val="bottom"/>
          </w:tcPr>
          <w:p>
            <w:pPr>
              <w:spacing w:after="0"/>
              <w:rPr>
                <w:sz w:val="24"/>
                <w:szCs w:val="24"/>
                <w:color w:val="auto"/>
              </w:rPr>
            </w:pPr>
          </w:p>
        </w:tc>
        <w:tc>
          <w:tcPr>
            <w:tcW w:w="196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8320" w:type="dxa"/>
            <w:vAlign w:val="bottom"/>
            <w:tcBorders>
              <w:bottom w:val="single" w:sz="8" w:color="CCEECC"/>
            </w:tcBorders>
          </w:tcPr>
          <w:p>
            <w:pPr>
              <w:spacing w:after="0"/>
              <w:rPr>
                <w:sz w:val="20"/>
                <w:szCs w:val="20"/>
                <w:color w:val="auto"/>
              </w:rPr>
            </w:pPr>
          </w:p>
        </w:tc>
        <w:tc>
          <w:tcPr>
            <w:tcW w:w="42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r>
      <w:tr>
        <w:trPr>
          <w:trHeight w:val="210"/>
        </w:trPr>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Cash</w:t>
            </w:r>
          </w:p>
        </w:tc>
        <w:tc>
          <w:tcPr>
            <w:tcW w:w="42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357,473</w:t>
            </w:r>
          </w:p>
        </w:tc>
        <w:tc>
          <w:tcPr>
            <w:tcW w:w="4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220,130</w:t>
            </w: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Loans held for sale, at lower of cost or fair value (1)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18,152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82,720</w:t>
            </w:r>
          </w:p>
        </w:tc>
        <w:tc>
          <w:tcPr>
            <w:tcW w:w="80" w:type="dxa"/>
            <w:vAlign w:val="bottom"/>
          </w:tcPr>
          <w:p>
            <w:pPr>
              <w:spacing w:after="0"/>
              <w:rPr>
                <w:sz w:val="18"/>
                <w:szCs w:val="18"/>
                <w:color w:val="auto"/>
              </w:rPr>
            </w:pPr>
          </w:p>
        </w:tc>
      </w:tr>
      <w:tr>
        <w:trPr>
          <w:trHeight w:val="216"/>
        </w:trPr>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Advances</w:t>
            </w:r>
          </w:p>
        </w:tc>
        <w:tc>
          <w:tcPr>
            <w:tcW w:w="4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8,620</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8,144</w:t>
            </w:r>
          </w:p>
        </w:tc>
        <w:tc>
          <w:tcPr>
            <w:tcW w:w="80" w:type="dxa"/>
            <w:vAlign w:val="bottom"/>
            <w:shd w:val="clear" w:color="auto" w:fill="CCEEC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23,955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25,546</w:t>
            </w:r>
          </w:p>
        </w:tc>
        <w:tc>
          <w:tcPr>
            <w:tcW w:w="80" w:type="dxa"/>
            <w:vAlign w:val="bottom"/>
          </w:tcPr>
          <w:p>
            <w:pPr>
              <w:spacing w:after="0"/>
              <w:rPr>
                <w:sz w:val="18"/>
                <w:szCs w:val="18"/>
                <w:color w:val="auto"/>
              </w:rPr>
            </w:pPr>
          </w:p>
        </w:tc>
      </w:tr>
      <w:tr>
        <w:trPr>
          <w:trHeight w:val="216"/>
        </w:trPr>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Other receivables, net</w:t>
            </w:r>
          </w:p>
        </w:tc>
        <w:tc>
          <w:tcPr>
            <w:tcW w:w="4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16,876</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15,733</w:t>
            </w:r>
          </w:p>
        </w:tc>
        <w:tc>
          <w:tcPr>
            <w:tcW w:w="80" w:type="dxa"/>
            <w:vAlign w:val="bottom"/>
            <w:shd w:val="clear" w:color="auto" w:fill="CCEEC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Goodwill (2)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81,607</w:t>
            </w:r>
          </w:p>
        </w:tc>
        <w:tc>
          <w:tcPr>
            <w:tcW w:w="80" w:type="dxa"/>
            <w:vAlign w:val="bottom"/>
          </w:tcPr>
          <w:p>
            <w:pPr>
              <w:spacing w:after="0"/>
              <w:rPr>
                <w:sz w:val="18"/>
                <w:szCs w:val="18"/>
                <w:color w:val="auto"/>
              </w:rPr>
            </w:pPr>
          </w:p>
        </w:tc>
      </w:tr>
      <w:tr>
        <w:trPr>
          <w:trHeight w:val="216"/>
        </w:trPr>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Deferred tax assets, net</w:t>
            </w:r>
          </w:p>
        </w:tc>
        <w:tc>
          <w:tcPr>
            <w:tcW w:w="4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93,343</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92,136</w:t>
            </w:r>
          </w:p>
        </w:tc>
        <w:tc>
          <w:tcPr>
            <w:tcW w:w="80" w:type="dxa"/>
            <w:vAlign w:val="bottom"/>
            <w:shd w:val="clear" w:color="auto" w:fill="CCEEC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27,517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19,289</w:t>
            </w:r>
          </w:p>
        </w:tc>
        <w:tc>
          <w:tcPr>
            <w:tcW w:w="80" w:type="dxa"/>
            <w:vAlign w:val="bottom"/>
          </w:tcPr>
          <w:p>
            <w:pPr>
              <w:spacing w:after="0"/>
              <w:rPr>
                <w:sz w:val="18"/>
                <w:szCs w:val="18"/>
                <w:color w:val="auto"/>
              </w:rPr>
            </w:pPr>
          </w:p>
        </w:tc>
      </w:tr>
      <w:tr>
        <w:trPr>
          <w:trHeight w:val="216"/>
        </w:trPr>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Investment in unconsolidated entities (3)</w:t>
            </w:r>
          </w:p>
        </w:tc>
        <w:tc>
          <w:tcPr>
            <w:tcW w:w="4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11,766</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25,187</w:t>
            </w:r>
          </w:p>
        </w:tc>
        <w:tc>
          <w:tcPr>
            <w:tcW w:w="80" w:type="dxa"/>
            <w:vAlign w:val="bottom"/>
            <w:shd w:val="clear" w:color="auto" w:fill="CCEEC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Interest-earning collateral deposits (4)</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5,533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23,193</w:t>
            </w:r>
          </w:p>
        </w:tc>
        <w:tc>
          <w:tcPr>
            <w:tcW w:w="80" w:type="dxa"/>
            <w:vAlign w:val="bottom"/>
          </w:tcPr>
          <w:p>
            <w:pPr>
              <w:spacing w:after="0"/>
              <w:rPr>
                <w:sz w:val="18"/>
                <w:szCs w:val="18"/>
                <w:color w:val="auto"/>
              </w:rPr>
            </w:pPr>
          </w:p>
        </w:tc>
      </w:tr>
      <w:tr>
        <w:trPr>
          <w:trHeight w:val="216"/>
        </w:trPr>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Prepaid income taxes</w:t>
            </w:r>
          </w:p>
        </w:tc>
        <w:tc>
          <w:tcPr>
            <w:tcW w:w="4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23,112</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23,112</w:t>
            </w:r>
          </w:p>
        </w:tc>
        <w:tc>
          <w:tcPr>
            <w:tcW w:w="80" w:type="dxa"/>
            <w:vAlign w:val="bottom"/>
            <w:shd w:val="clear" w:color="auto" w:fill="CCEEC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Real estate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8,083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6,205</w:t>
            </w:r>
          </w:p>
        </w:tc>
        <w:tc>
          <w:tcPr>
            <w:tcW w:w="80" w:type="dxa"/>
            <w:vAlign w:val="bottom"/>
          </w:tcPr>
          <w:p>
            <w:pPr>
              <w:spacing w:after="0"/>
              <w:rPr>
                <w:sz w:val="18"/>
                <w:szCs w:val="18"/>
                <w:color w:val="auto"/>
              </w:rPr>
            </w:pPr>
          </w:p>
        </w:tc>
      </w:tr>
      <w:tr>
        <w:trPr>
          <w:trHeight w:val="216"/>
        </w:trPr>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Due from related parties</w:t>
            </w:r>
          </w:p>
        </w:tc>
        <w:tc>
          <w:tcPr>
            <w:tcW w:w="4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1,842</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4,250</w:t>
            </w:r>
          </w:p>
        </w:tc>
        <w:tc>
          <w:tcPr>
            <w:tcW w:w="80" w:type="dxa"/>
            <w:vAlign w:val="bottom"/>
            <w:shd w:val="clear" w:color="auto" w:fill="CCEECC"/>
          </w:tcPr>
          <w:p>
            <w:pPr>
              <w:spacing w:after="0"/>
              <w:rPr>
                <w:sz w:val="18"/>
                <w:szCs w:val="18"/>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11,020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6,891</w:t>
            </w:r>
          </w:p>
        </w:tc>
        <w:tc>
          <w:tcPr>
            <w:tcW w:w="80" w:type="dxa"/>
            <w:vAlign w:val="bottom"/>
          </w:tcPr>
          <w:p>
            <w:pPr>
              <w:spacing w:after="0"/>
              <w:rPr>
                <w:sz w:val="19"/>
                <w:szCs w:val="19"/>
                <w:color w:val="auto"/>
              </w:rPr>
            </w:pPr>
          </w:p>
        </w:tc>
      </w:tr>
      <w:tr>
        <w:trPr>
          <w:trHeight w:val="223"/>
        </w:trPr>
        <w:tc>
          <w:tcPr>
            <w:tcW w:w="8320" w:type="dxa"/>
            <w:vAlign w:val="bottom"/>
            <w:tcBorders>
              <w:top w:val="single" w:sz="8" w:color="CCEECC"/>
              <w:bottom w:val="single" w:sz="8" w:color="CCEECC"/>
            </w:tcBorders>
            <w:shd w:val="clear" w:color="auto" w:fill="CCEECC"/>
          </w:tcPr>
          <w:p>
            <w:pPr>
              <w:ind w:left="16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607,393</w:t>
            </w:r>
          </w:p>
        </w:tc>
        <w:tc>
          <w:tcPr>
            <w:tcW w:w="460" w:type="dxa"/>
            <w:vAlign w:val="bottom"/>
            <w:tcBorders>
              <w:top w:val="single" w:sz="8" w:color="CCEECC"/>
              <w:bottom w:val="single" w:sz="8" w:color="CCEECC"/>
            </w:tcBorders>
            <w:shd w:val="clear" w:color="auto" w:fill="CCEECC"/>
          </w:tcPr>
          <w:p>
            <w:pPr>
              <w:spacing w:after="0"/>
              <w:rPr>
                <w:sz w:val="19"/>
                <w:szCs w:val="19"/>
                <w:color w:val="auto"/>
              </w:rPr>
            </w:pP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634,143</w:t>
            </w: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8320" w:type="dxa"/>
            <w:vAlign w:val="bottom"/>
          </w:tcPr>
          <w:p>
            <w:pPr>
              <w:spacing w:after="0"/>
              <w:rPr>
                <w:sz w:val="20"/>
                <w:szCs w:val="20"/>
                <w:color w:val="auto"/>
              </w:rPr>
            </w:pPr>
            <w:r>
              <w:rPr>
                <w:rFonts w:ascii="Arial" w:cs="Arial" w:eastAsia="Arial" w:hAnsi="Arial"/>
                <w:sz w:val="18"/>
                <w:szCs w:val="18"/>
                <w:color w:val="auto"/>
              </w:rPr>
              <w:t>Other borrowings</w:t>
            </w:r>
          </w:p>
        </w:tc>
        <w:tc>
          <w:tcPr>
            <w:tcW w:w="6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3,223</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2,833</w:t>
            </w:r>
          </w:p>
        </w:tc>
        <w:tc>
          <w:tcPr>
            <w:tcW w:w="80" w:type="dxa"/>
            <w:vAlign w:val="bottom"/>
          </w:tcPr>
          <w:p>
            <w:pPr>
              <w:spacing w:after="0"/>
              <w:rPr>
                <w:sz w:val="24"/>
                <w:szCs w:val="24"/>
                <w:color w:val="auto"/>
              </w:rPr>
            </w:pPr>
          </w:p>
        </w:tc>
      </w:tr>
      <w:tr>
        <w:trPr>
          <w:trHeight w:val="216"/>
        </w:trPr>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Liability for certain foreclosure matters (5)</w:t>
            </w:r>
          </w:p>
        </w:tc>
        <w:tc>
          <w:tcPr>
            <w:tcW w:w="4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66,431</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13,602</w:t>
            </w:r>
          </w:p>
        </w:tc>
        <w:tc>
          <w:tcPr>
            <w:tcW w:w="80" w:type="dxa"/>
            <w:vAlign w:val="bottom"/>
            <w:shd w:val="clear" w:color="auto" w:fill="CCEEC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Accrued expenses (6)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49,574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22,192</w:t>
            </w:r>
          </w:p>
        </w:tc>
        <w:tc>
          <w:tcPr>
            <w:tcW w:w="80" w:type="dxa"/>
            <w:vAlign w:val="bottom"/>
          </w:tcPr>
          <w:p>
            <w:pPr>
              <w:spacing w:after="0"/>
              <w:rPr>
                <w:sz w:val="18"/>
                <w:szCs w:val="18"/>
                <w:color w:val="auto"/>
              </w:rPr>
            </w:pPr>
          </w:p>
        </w:tc>
      </w:tr>
      <w:tr>
        <w:trPr>
          <w:trHeight w:val="216"/>
        </w:trPr>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Liability for selected tax items</w:t>
            </w:r>
          </w:p>
        </w:tc>
        <w:tc>
          <w:tcPr>
            <w:tcW w:w="4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22,338</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22,702</w:t>
            </w:r>
          </w:p>
        </w:tc>
        <w:tc>
          <w:tcPr>
            <w:tcW w:w="80" w:type="dxa"/>
            <w:vAlign w:val="bottom"/>
            <w:shd w:val="clear" w:color="auto" w:fill="CCEEC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Derivatives, at fair value (4)</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15,614</w:t>
            </w:r>
          </w:p>
        </w:tc>
        <w:tc>
          <w:tcPr>
            <w:tcW w:w="80" w:type="dxa"/>
            <w:vAlign w:val="bottom"/>
          </w:tcPr>
          <w:p>
            <w:pPr>
              <w:spacing w:after="0"/>
              <w:rPr>
                <w:sz w:val="18"/>
                <w:szCs w:val="18"/>
                <w:color w:val="auto"/>
              </w:rPr>
            </w:pPr>
          </w:p>
        </w:tc>
      </w:tr>
      <w:tr>
        <w:trPr>
          <w:trHeight w:val="216"/>
        </w:trPr>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Checks held for escheat</w:t>
            </w:r>
          </w:p>
        </w:tc>
        <w:tc>
          <w:tcPr>
            <w:tcW w:w="4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810</w:t>
            </w: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CCEEC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Due to related parties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3,982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7,775</w:t>
            </w:r>
          </w:p>
        </w:tc>
        <w:tc>
          <w:tcPr>
            <w:tcW w:w="80" w:type="dxa"/>
            <w:vAlign w:val="bottom"/>
          </w:tcPr>
          <w:p>
            <w:pPr>
              <w:spacing w:after="0"/>
              <w:rPr>
                <w:sz w:val="18"/>
                <w:szCs w:val="18"/>
                <w:color w:val="auto"/>
              </w:rPr>
            </w:pPr>
          </w:p>
        </w:tc>
      </w:tr>
      <w:tr>
        <w:trPr>
          <w:trHeight w:val="230"/>
        </w:trPr>
        <w:tc>
          <w:tcPr>
            <w:tcW w:w="8320" w:type="dxa"/>
            <w:vAlign w:val="bottom"/>
            <w:shd w:val="clear" w:color="auto" w:fill="CCEECC"/>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320" w:type="dxa"/>
            <w:vAlign w:val="bottom"/>
            <w:gridSpan w:val="2"/>
            <w:shd w:val="clear" w:color="auto" w:fill="CCEECC"/>
          </w:tcPr>
          <w:p>
            <w:pPr>
              <w:jc w:val="right"/>
              <w:ind w:right="460"/>
              <w:spacing w:after="0"/>
              <w:rPr>
                <w:sz w:val="20"/>
                <w:szCs w:val="20"/>
                <w:color w:val="auto"/>
              </w:rPr>
            </w:pPr>
            <w:r>
              <w:rPr>
                <w:rFonts w:ascii="Arial" w:cs="Arial" w:eastAsia="Arial" w:hAnsi="Arial"/>
                <w:sz w:val="18"/>
                <w:szCs w:val="18"/>
                <w:color w:val="auto"/>
              </w:rPr>
              <w:t>5,882</w:t>
            </w: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3,975</w:t>
            </w:r>
          </w:p>
        </w:tc>
        <w:tc>
          <w:tcPr>
            <w:tcW w:w="80" w:type="dxa"/>
            <w:vAlign w:val="bottom"/>
            <w:shd w:val="clear" w:color="auto" w:fill="CCEECC"/>
          </w:tcPr>
          <w:p>
            <w:pPr>
              <w:spacing w:after="0"/>
              <w:rPr>
                <w:sz w:val="19"/>
                <w:szCs w:val="19"/>
                <w:color w:val="auto"/>
              </w:rPr>
            </w:pPr>
          </w:p>
        </w:tc>
      </w:tr>
      <w:tr>
        <w:trPr>
          <w:trHeight w:val="223"/>
        </w:trPr>
        <w:tc>
          <w:tcPr>
            <w:tcW w:w="832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152,240</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340" w:right="280" w:hanging="332"/>
        <w:spacing w:after="0" w:line="312"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Loans held for sale are net of valuation allowances of $12.7 million and $13.8 million at September 30, 2013 and December 31, 2012, respectively. In December 2012, we acquired non-performing mortgage loans with an aggregate UPB of $124.3 million for a purchase price of $65.4 million. We sold these loans to Altisource Residential, LP in February 2013 for an insignificant gain. See </w:t>
      </w:r>
      <w:hyperlink w:anchor="page42">
        <w:r>
          <w:rPr>
            <w:rFonts w:ascii="Arial" w:cs="Arial" w:eastAsia="Arial" w:hAnsi="Arial"/>
            <w:sz w:val="16"/>
            <w:szCs w:val="16"/>
            <w:u w:val="single" w:color="auto"/>
            <w:color w:val="0000EE"/>
          </w:rPr>
          <w:t>Note 23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Related Party Transactions.</w:t>
      </w:r>
    </w:p>
    <w:p>
      <w:pPr>
        <w:spacing w:after="0" w:line="106" w:lineRule="exact"/>
        <w:rPr>
          <w:rFonts w:ascii="Arial" w:cs="Arial" w:eastAsia="Arial" w:hAnsi="Arial"/>
          <w:sz w:val="16"/>
          <w:szCs w:val="16"/>
          <w:color w:val="auto"/>
        </w:rPr>
      </w:pPr>
    </w:p>
    <w:p>
      <w:pPr>
        <w:ind w:left="340" w:right="14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Goodwill assigned to the diversified fee-based business acquired from Homeward in 2012 was derecognized upon the sale of this business to Altisource on March 29 2013. See </w:t>
      </w:r>
      <w:hyperlink w:anchor="page16">
        <w:r>
          <w:rPr>
            <w:rFonts w:ascii="Arial" w:cs="Arial" w:eastAsia="Arial" w:hAnsi="Arial"/>
            <w:sz w:val="18"/>
            <w:szCs w:val="18"/>
            <w:u w:val="single" w:color="auto"/>
            <w:color w:val="0000EE"/>
          </w:rPr>
          <w:t>Note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Business Acquisitions to the unaudited Consolidated Financial Statements.</w:t>
      </w:r>
    </w:p>
    <w:p>
      <w:pPr>
        <w:spacing w:after="0" w:line="143" w:lineRule="exact"/>
        <w:rPr>
          <w:rFonts w:ascii="Arial" w:cs="Arial" w:eastAsia="Arial" w:hAnsi="Arial"/>
          <w:sz w:val="18"/>
          <w:szCs w:val="18"/>
          <w:color w:val="auto"/>
        </w:rPr>
      </w:pPr>
    </w:p>
    <w:p>
      <w:pPr>
        <w:ind w:left="340" w:right="80" w:hanging="332"/>
        <w:spacing w:after="0" w:line="286"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On March 31, 2013, we increased our ownership in Correspondent One to 100% by acquiring the 51% of shares held by others (including 49% held by Altisource). As a result, we began including the accounts of Correspondent One in our unaudited Consolidated Financial Statements as of the acquisition date and have eliminated our investment. See </w:t>
      </w:r>
      <w:hyperlink w:anchor="page16">
        <w:r>
          <w:rPr>
            <w:rFonts w:ascii="Arial" w:cs="Arial" w:eastAsia="Arial" w:hAnsi="Arial"/>
            <w:sz w:val="17"/>
            <w:szCs w:val="17"/>
            <w:u w:val="single" w:color="auto"/>
            <w:color w:val="0000EE"/>
          </w:rPr>
          <w:t>Note 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Business Acquisitions to the unaudited Consolidated Financial Statements.</w:t>
      </w:r>
    </w:p>
    <w:p>
      <w:pPr>
        <w:spacing w:after="0" w:line="125" w:lineRule="exact"/>
        <w:rPr>
          <w:rFonts w:ascii="Arial" w:cs="Arial" w:eastAsia="Arial" w:hAnsi="Arial"/>
          <w:sz w:val="17"/>
          <w:szCs w:val="17"/>
          <w:color w:val="auto"/>
        </w:rPr>
      </w:pPr>
    </w:p>
    <w:p>
      <w:pPr>
        <w:ind w:left="340" w:right="40" w:hanging="332"/>
        <w:spacing w:after="0" w:line="25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On May 31, 2013, we terminated our interest rate swap agreements that we purchased to hedge against our exposure to an increase in variable interest rates on match funded advance borrowings. Interest-earning collateral deposits at December 31, 2012 included $19.3 million of cash collateral on deposit with the counterparties to our derivatives, the majority of which related to the swap agreements. See </w:t>
      </w:r>
      <w:hyperlink w:anchor="page36">
        <w:r>
          <w:rPr>
            <w:rFonts w:ascii="Arial" w:cs="Arial" w:eastAsia="Arial" w:hAnsi="Arial"/>
            <w:sz w:val="18"/>
            <w:szCs w:val="18"/>
            <w:u w:val="single" w:color="auto"/>
            <w:color w:val="0000EE"/>
          </w:rPr>
          <w:t>Note 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Derivative Financial Instruments and Hedging Activities to the unaudited Consolidated Financial Statements.</w:t>
      </w:r>
    </w:p>
    <w:p>
      <w:pPr>
        <w:spacing w:after="0" w:line="146" w:lineRule="exact"/>
        <w:rPr>
          <w:rFonts w:ascii="Arial" w:cs="Arial" w:eastAsia="Arial" w:hAnsi="Arial"/>
          <w:sz w:val="18"/>
          <w:szCs w:val="18"/>
          <w:color w:val="auto"/>
        </w:rPr>
      </w:pPr>
    </w:p>
    <w:p>
      <w:pPr>
        <w:ind w:left="340" w:right="500" w:hanging="332"/>
        <w:spacing w:after="0" w:line="264"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balance represents a liability established in connection with our ongoing discussions with the MMC, CFPB and state Attorneys General in connection with certain foreclosure related matters. See the Regulatory Contingencies section of Note 25 – Commitments and Contingencies to the unaudited Consolidated Financial Statements for additional information.</w:t>
      </w:r>
    </w:p>
    <w:p>
      <w:pPr>
        <w:spacing w:after="0" w:line="154"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increase in accrued expenses occurred largely because of compensation related accruals associated with increased headcount resulting primarily from the ResCap and Homeward Acquisitions.</w:t>
      </w:r>
    </w:p>
    <w:p>
      <w:pPr>
        <w:spacing w:after="0" w:line="170"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At September 30, 2013, our cash position was $357.5 million compared to $220.1 million at December 31, 2012. We invest cash that is in excess of our immediate operating needs primarily in money market deposit accounts.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pacing w:after="0" w:line="229"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Proceeds from sales of Rights to MSRs and servicing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Proceeds from sales of originated loans.</w:t>
      </w:r>
    </w:p>
    <w:p>
      <w:pPr>
        <w:spacing w:after="0" w:line="18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Advances and Match funded advances comprised 28% of total assets at September 30, 2013. Most of our advances have the highest reimbursement priority (i.e., “top of the waterfall”) whereby we are entitled to repayment from respective loan or REO liquidation proceeds before any interest or principal is paid to investors. At September 30, 2013, $37.0 million of the total maximum borrowing capacity under our servicing advance facilities of $400.0 million remained available; however, only $0.1 million could be used based on the amount of available collateral.</w:t>
      </w:r>
    </w:p>
    <w:p>
      <w:pPr>
        <w:spacing w:after="0" w:line="131" w:lineRule="exact"/>
        <w:rPr>
          <w:sz w:val="20"/>
          <w:szCs w:val="20"/>
          <w:color w:val="auto"/>
        </w:rPr>
      </w:pPr>
    </w:p>
    <w:p>
      <w:pPr>
        <w:ind w:right="40" w:firstLine="324"/>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We use mortgage loan warehouse facilities to fund newly-originated loans on a short-term basis until they are sold to secondary market investors, including GSEs or other third party investors. The majority of these warehouse facilities are structured as repurchase agreements under which ownership of the loans is temporarily transferred to a lender. The loans are transferred at a discount or “haircut” which serves as the primary credit enhancement for the lender. The funds are repaid using the proceeds from the sale of the loans to the secondary market investors, usually within 30-45 days. In the first quarter of 2013, we extended the maturity date of a number of our warehouse facilities and increased the maximum borrowing capacity. At September 30, 2013, $635.6 million of borrowing capacity was available under our lending warehouse facilities including our warehouse facilities for reverse mortgages. See </w:t>
      </w:r>
      <w:hyperlink w:anchor="page32">
        <w:r>
          <w:rPr>
            <w:rFonts w:ascii="Arial" w:cs="Arial" w:eastAsia="Arial" w:hAnsi="Arial"/>
            <w:sz w:val="17"/>
            <w:szCs w:val="17"/>
            <w:u w:val="single" w:color="auto"/>
            <w:color w:val="0000EE"/>
          </w:rPr>
          <w:t>Note 15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Other Borrowings to our unaudited Consolidated Financial Statements for additional details.</w:t>
      </w:r>
    </w:p>
    <w:p>
      <w:pPr>
        <w:spacing w:after="0" w:line="15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to these near-term sources, potential additional long-term sources of liquidity include proceeds from long-term secured borrowings such as the SSTL facility and proceeds from the issuance of debt securities and equity capital; although we cannot assure that they will be available on terms that we find acceptable. In connection with the ResCap Acquisition in February 2013, we repaid the borrowings under our previous SSTL with a portion of the proceeds of a new $1.3 billion SSTL facility. In September 2013, the terms of our new SSTL facility were amended to allow for changes in our capital structure, including issuing additional debt and repurchasing common stock.</w:t>
      </w:r>
    </w:p>
    <w:p>
      <w:pPr>
        <w:spacing w:after="0" w:line="148"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or, in the case of mortgage backed securities guaranteed by Ginnie Mae, are mortgage loans insured or guaranteed by the FHA or VA.</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98"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 of MSRs and related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Funding of originated loans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w:t>
      </w:r>
    </w:p>
    <w:p>
      <w:pPr>
        <w:spacing w:after="0" w:line="18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 In assessing our liquidity outlook, our primary focus is on four measures:</w:t>
      </w:r>
    </w:p>
    <w:p>
      <w:pPr>
        <w:spacing w:after="0" w:line="13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Future sales of Rights to MSRs and servicing advances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change in advances and match funded advances compared to the change in match funded liabilities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Available borrowing capacity.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66" w:name="page67"/>
    <w:bookmarkEnd w:id="66"/>
    <w:p>
      <w:pPr>
        <w:ind w:right="240" w:firstLine="324"/>
        <w:spacing w:after="0" w:line="261" w:lineRule="auto"/>
        <w:rPr>
          <w:sz w:val="20"/>
          <w:szCs w:val="20"/>
          <w:color w:val="auto"/>
        </w:rPr>
      </w:pPr>
      <w:r>
        <w:rPr>
          <w:rFonts w:ascii="Arial" w:cs="Arial" w:eastAsia="Arial" w:hAnsi="Arial"/>
          <w:sz w:val="18"/>
          <w:szCs w:val="18"/>
          <w:b w:val="1"/>
          <w:bCs w:val="1"/>
          <w:color w:val="auto"/>
        </w:rPr>
        <w:t xml:space="preserve">Outlook. </w:t>
      </w:r>
      <w:r>
        <w:rPr>
          <w:rFonts w:ascii="Arial" w:cs="Arial" w:eastAsia="Arial" w:hAnsi="Arial"/>
          <w:sz w:val="18"/>
          <w:szCs w:val="18"/>
          <w:color w:val="auto"/>
        </w:rPr>
        <w:t>In order to reduce fees charged by lenders (which we recognize as interest expense), we limit available borrowing capacity to a level that we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 prudent relative to the current levels of advances and to our funding needs for reasonably foreseeable changes in advances. We also monitor the duration of our funding sources. Increases in the term of our funding sources allows us to better match the duration of our advances and corresponding borrowings and to further reduce the relative cost of up-front facility fees and expenses.</w:t>
      </w:r>
    </w:p>
    <w:p>
      <w:pPr>
        <w:spacing w:after="0" w:line="14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Although we substantially reduced both the maximum and available borrowing capacities under our advance financing facilities during the third quarter of 2013, we believe that we have sufficient sources of debt financing to fund all but the largest servicing acquisitions without issuing common equity capital. Additional senior secured debt, borrowings under servicing advance facilities and net proceeds from sales of MSRs and Rights to MSRs and related advances were sufficient to fund the ResCap Acquisition and the Ally and OneWest MSR Transactions. We believe that the expected proceeds from a planned HLSS Transaction in the fourth quarter will be sufficient to fund additional asset acquisitions in the short term. In addition, we are negotiating a new advance financing facility that we expect to close in the fourth quarter that will add substantially to our borrowing capacity.</w:t>
      </w:r>
    </w:p>
    <w:p>
      <w:pPr>
        <w:spacing w:after="0" w:line="15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disclosed in Note 18 – Equity, we announced on October 31, 2013 that our Board of Directors had authorized a share repurchase program for up to an aggregate of $500.0 million of our issued and outstanding shares of common stock. Repurchases may be made in open market transactions at prevailing market prices or in privately negotiated transactions. Unless we amend the share repurchase program or repurchase the full $500.0 million amount by an earlier date, the share repurchase program will continue through July 2016. We may use SEC Rule 10b5-1 plans in connection with our share repurchase program. No assurances can be given as to the amount of shares, if any, that we may repurchase in any given period. To date, we have not repurchased any shares under this program. The repurchase of shares issued in connection with the conversion of Preferred Shares is not considered to be part of this repurchase program and, therefore, does not count against the $500.0 million aggregate value limit.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the nine months ended September 30, 2013:</w:t>
      </w:r>
    </w:p>
    <w:p>
      <w:pPr>
        <w:spacing w:after="0" w:line="189" w:lineRule="exact"/>
        <w:rPr>
          <w:sz w:val="20"/>
          <w:szCs w:val="20"/>
          <w:color w:val="auto"/>
        </w:rPr>
      </w:pPr>
    </w:p>
    <w:p>
      <w:pPr>
        <w:ind w:left="660" w:right="2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borrowed $1.3 billion under a new SSTL facility in connection with the ResCap Acquisition and repaid the remaining balance of the previous SSTL.</w:t>
      </w:r>
    </w:p>
    <w:p>
      <w:pPr>
        <w:spacing w:after="0" w:line="143" w:lineRule="exact"/>
        <w:rPr>
          <w:rFonts w:ascii="Arial" w:cs="Arial" w:eastAsia="Arial" w:hAnsi="Arial"/>
          <w:sz w:val="18"/>
          <w:szCs w:val="18"/>
          <w:color w:val="auto"/>
        </w:rPr>
      </w:pPr>
    </w:p>
    <w:p>
      <w:pPr>
        <w:ind w:left="660" w:right="580" w:hanging="328"/>
        <w:spacing w:after="0" w:line="34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borrowed $1.2 billion under two new facilities and one existing facility in connection with the financing of advances that we acquired in connection with the ResCap Acquisition. These facilities were repaid and terminated in conjunction with the July 1, 2013 HLSS Transaction;</w:t>
      </w:r>
    </w:p>
    <w:p>
      <w:pPr>
        <w:spacing w:after="0" w:line="83"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borrowed $1.2 billion under a new $1.4 billion bridge facility. The proceeds from this bridge facility were used to repay certain advance facilities that were assumed in the Homeward Acquisition. This facility was repaid and terminated in connection with the July 1, 2013 HLSS Transaction;</w:t>
      </w:r>
    </w:p>
    <w:p>
      <w:pPr>
        <w:spacing w:after="0" w:line="83"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amended the maximum borrowing capacity of certain warehouse facilities and added two new warehouse facilities, increasing the available borrowing capacity available to our Lending business activities by $286.5 million.</w:t>
      </w:r>
    </w:p>
    <w:p>
      <w:pPr>
        <w:spacing w:after="0" w:line="14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Maximum borrowing capacity for match funded advances decreased by $3.3 billion from $3.7 billion at December 31, 2012 to $400.0 million at September 30, 2013. During the first nine months of 2013, we fully repaid and terminated match funded advance financing facilities that had total aggregate maximum borrowing capacity of $3.7 billion at December 31, 2012. We also fully repaid two facilities with a maximum borrowing capacity of $1.4 billion that we had entered into in connection with the ResCap acquisition, and we reduced the borrowing capacity under another facility from $450.0 million to $100.0 million.</w:t>
      </w:r>
    </w:p>
    <w:p>
      <w:pPr>
        <w:spacing w:after="0" w:line="14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available advance borrowing capacity decreased from $1.2 billion at December 31, 2012 to $37.0 million at September 30, 2013, although only $0.1 million could be used given the amount of available collateral. Match funded advance financing facilities that we repaid and terminated during the first nine months of 2013 had total aggregate available borrowing capacity of $1.1 billion at December 31, 2012.</w:t>
      </w:r>
    </w:p>
    <w:p>
      <w:pPr>
        <w:spacing w:after="0" w:line="14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ability to finance servicing advances is a significant factor that affects our liquidity. Our ability to continue to pledge collateral under each advance facility depends on the performance of the collateral. In addition, a number of our match funded advance facilities contain provisions that limit the eligibility of advances to be financed based on the length of time that advances are outstanding, and certain of our match funded advance facilities have provisions that limit new borrowings if average foreclosure timelines extend beyond a certain time period, either of which, if such provisions applied, could adversely affect liquidity by reducing our average effective advance rate. Currently, the large majority of our collateral qualifies for financing under the advance facility to which it is pledged.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7" w:name="page68"/>
    <w:bookmarkEnd w:id="67"/>
    <w:p>
      <w:pPr>
        <w:ind w:right="60" w:firstLine="324"/>
        <w:spacing w:after="0" w:line="272" w:lineRule="auto"/>
        <w:rPr>
          <w:sz w:val="20"/>
          <w:szCs w:val="20"/>
          <w:color w:val="auto"/>
        </w:rPr>
      </w:pPr>
      <w:r>
        <w:rPr>
          <w:rFonts w:ascii="Arial" w:cs="Arial" w:eastAsia="Arial" w:hAnsi="Arial"/>
          <w:sz w:val="17"/>
          <w:szCs w:val="17"/>
          <w:color w:val="auto"/>
        </w:rPr>
        <w:t>Ongoing inquiries into servicer foreclosure processes could result in actions by state or federal governmental bodies, regulators or the courts that could result in a further extension of foreclosure timelines. The effect of such extensions could be an increase in advances, but if foreclosure moratoria are issued in a manner that brings into question the timely recovery of advances on foreclosed properties Ocwen may no longer be obligated to make further advances and may be able to recover existing advances in certain securitizations from pool-level collections which could mitigate any advance increase. The effects of the extension of foreclosure timelines have, thus far, been more than offset by the effects of lower UPB delinquencies through loss mitigation efforts and increases in modifications and other forms of resolution, and advances have continued to decline. Absent significant changes in the foreclosure process, we expect advances with respect to our existing portfolios to continue to decline.</w:t>
      </w:r>
    </w:p>
    <w:p>
      <w:pPr>
        <w:spacing w:after="0" w:line="13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Certain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believe that we are currently in compliance with these covenants and do not expect them to restrict our activities.</w:t>
      </w:r>
    </w:p>
    <w:p>
      <w:pPr>
        <w:spacing w:after="0" w:line="156"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b w:val="1"/>
          <w:bCs w:val="1"/>
          <w:color w:val="auto"/>
        </w:rPr>
        <w:t xml:space="preserve">Cash flows for the nine months ended September 30, 2013. </w:t>
      </w:r>
      <w:r>
        <w:rPr>
          <w:rFonts w:ascii="Arial" w:cs="Arial" w:eastAsia="Arial" w:hAnsi="Arial"/>
          <w:sz w:val="18"/>
          <w:szCs w:val="18"/>
          <w:color w:val="auto"/>
        </w:rPr>
        <w:t>Our operating activities provided $1.0 billion of cash largely due to $424.0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collections of servicing advances, and net income of $188.9 million, adjusted for MSR amortization of $197.4 million and other non-cash items. Operating cash flows were used principally to repay related match funded liabilities and to fund the portions of the ResCap Acquisition and the Ally and OneWest MSR Transactions not funded through borrowings.</w:t>
      </w:r>
    </w:p>
    <w:p>
      <w:pPr>
        <w:spacing w:after="0" w:line="144"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Our investing activities provided $50.0 million of cash. We paid $2.3 billion to acquire ResCap, including advances of $1.7 billion and MSRs of $391.9 million. We paid $620.7 million to acquire MSRs and advances in the Ally MSR Transaction, net of assumed liabilities for origination and representation warranty obligations of $136.7 million. For the OneWest MSR Transaction, we paid $498.7 million to acquire MSRs and advances. Cash inflows from investing activities include $3.5 billion of proceeds from HLSS from the sale of advances and $215.7 million from the sales to Altisource of the diversified fee-based businesses acquired in the Homeward and ResCap Acquisitions. As disclosed below in the discussion of financing activities, we used a portion of the proceeds from the sales to HLSS to repay match funded liabilities and for required prepayments of the SSTL.</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financing activities used $933.1 million of cash. To finance the ResCap acquisition, we deployed approximately $840.0 million of net additional capital from the proceeds of a new $1.3 billion SSTL facility and borrowed $1.2 billion pursuant to three servicing advance facilities, offset by our repayment of the old SSTL which had an outstanding principal balance of $314.2 million at December 31, 2012. We received $387.3 million from the sale of Rights to MSRs to HLSS in transactions accounted for as financings. We used collections of servicing advances and $2.7 billion of the proceeds received from the HLSS Transactions to repay match funded liabilities. Debt issuance costs paid on the new SSTL were $25.5 million. Borrowings under mortgage loan warehouse facilities used to fund newly-originated forward loans until they are sold declined by $175.5 million as sales exceeded originations during the period. We paid $157.9 million to repurchase the 3,145,640 shares of common stock we issued upon conversion of 100,000 of the outstanding shares of Series A Perpetual Convertible Preferred stock.</w:t>
      </w:r>
    </w:p>
    <w:p>
      <w:pPr>
        <w:spacing w:after="0" w:line="161" w:lineRule="exact"/>
        <w:rPr>
          <w:sz w:val="20"/>
          <w:szCs w:val="20"/>
          <w:color w:val="auto"/>
        </w:rPr>
      </w:pPr>
    </w:p>
    <w:p>
      <w:pPr>
        <w:ind w:right="280" w:firstLine="324"/>
        <w:spacing w:after="0" w:line="258" w:lineRule="auto"/>
        <w:rPr>
          <w:sz w:val="20"/>
          <w:szCs w:val="20"/>
          <w:color w:val="auto"/>
        </w:rPr>
      </w:pPr>
      <w:r>
        <w:rPr>
          <w:rFonts w:ascii="Arial" w:cs="Arial" w:eastAsia="Arial" w:hAnsi="Arial"/>
          <w:sz w:val="18"/>
          <w:szCs w:val="18"/>
          <w:b w:val="1"/>
          <w:bCs w:val="1"/>
          <w:color w:val="auto"/>
        </w:rPr>
        <w:t xml:space="preserve">Cash flows for the nine months ended September 30, 2012. </w:t>
      </w:r>
      <w:r>
        <w:rPr>
          <w:rFonts w:ascii="Arial" w:cs="Arial" w:eastAsia="Arial" w:hAnsi="Arial"/>
          <w:sz w:val="18"/>
          <w:szCs w:val="18"/>
          <w:color w:val="auto"/>
        </w:rPr>
        <w:t>Our operating activities provided $1.4 billion of cash largely due to collections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servicing advances (primarily on the Litton portfolio) and net income adjusted for amortization and other non-cash items. Excluding the proceeds from the sale of match funded advances to HLSS in connection with the HLSS Transactions which is reported as investing activity, net collections of servicing advances were $1.2 billion. Operating cash flows were used principally to repay related match funded liabilities and to fund the portions of the Saxon and JPMCB MSR transactions not funded through borrowings.</w:t>
      </w:r>
    </w:p>
    <w:p>
      <w:pPr>
        <w:spacing w:after="0" w:line="14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investing activities used $944.8 million of cash. We paid $2.1 billion to purchase MSRs and advances in connection with the acquisition of several MSR portfolios during the second and third quarters. We used cash balances accumulated through the acquisition date as well as borrowings under both new and existing facilities to fund the acquisitions. Cash used for additions to premises and equipment of $16.6 million primarily relates to the build-out of two new leased facilities in India and the disaster recovery facility located in the U.S. Cash inflows from investing activities include $1.1 billion of proceeds from HLSS on the sale of advances and $2.8 million of distributions from our asset management entities. We used $731.8 million of the proceeds from the sales to HLSS to repay match funded liabilities and $143.4 million for required prepayments of the senior secured term loan.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ind w:right="140" w:firstLine="324"/>
        <w:spacing w:after="0" w:line="271" w:lineRule="auto"/>
        <w:rPr>
          <w:sz w:val="20"/>
          <w:szCs w:val="20"/>
          <w:color w:val="auto"/>
        </w:rPr>
      </w:pPr>
      <w:r>
        <w:rPr>
          <w:rFonts w:ascii="Arial" w:cs="Arial" w:eastAsia="Arial" w:hAnsi="Arial"/>
          <w:sz w:val="17"/>
          <w:szCs w:val="17"/>
          <w:color w:val="auto"/>
        </w:rPr>
        <w:t>Our financing activities used $363.1 million of cash primarily due to net repayments of $352.9 million on match funded liabilities. Net repayments on match funded liabilities exclude $358.3 million of match funded liabilities assumed by HLSS in connection with the sale of Advance SPEs (reported as investing activity). We used collections of servicing advances and proceeds received from the HLSS Transactions to repay match funded liabilities. In the second quarter we had significantly increased borrowings under new and existing facilities to finance advances acquired in connection with MSR acquisitions, primarily the Saxon MSR Transaction and the JPMCB MSR Transaction. In addition to the net repayments on match funded liabilities, we also repaid $186.6 million of the $575.0 million senior secured term loan and paid $26.8 million to redeem the remaining balance of our 10.875% Capital Securities at a price of 102.719%. These cash outflows were partly offset by $184.2 million of proceeds from the sale of Rights to MSRs to HLSS in transactions accounted for as financings.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20" w:firstLine="324"/>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We believe that we have adequate resources to satisfy all unfunded commitments to the extent required and meet all contractual obligations as they come due. At September 30, 2013, such contractual obligations were comprised of secured borrowings, interest payments and operating leases. Other than changes to our secured borrowings, including the effects of the ResCap and Liberty Acquisitions, there were no significant changes to our contractual obligations during the nine months ended September 30, 2013. See “Liquidity and Capital Resources – Debt financing summary” above for a discussion of changes to our secured borrowings related to our Servicing and Lending businesses. See </w:t>
      </w:r>
      <w:hyperlink w:anchor="page31">
        <w:r>
          <w:rPr>
            <w:rFonts w:ascii="Arial" w:cs="Arial" w:eastAsia="Arial" w:hAnsi="Arial"/>
            <w:sz w:val="17"/>
            <w:szCs w:val="17"/>
            <w:u w:val="single" w:color="auto"/>
            <w:color w:val="0000EE"/>
          </w:rPr>
          <w:t>Note 14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Match Funded Liabilities, Note 15 – Other Borrowings and Note 25 – Commitments and Contingencies to the unaudited Consolidated Financial Statements for 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right="46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146" w:lineRule="exact"/>
        <w:rPr>
          <w:sz w:val="20"/>
          <w:szCs w:val="20"/>
          <w:color w:val="auto"/>
        </w:rPr>
      </w:pPr>
    </w:p>
    <w:p>
      <w:pPr>
        <w:ind w:right="420" w:firstLine="324"/>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rate risk as well as our exposure to changes in the value of the India Rupee. The notional amounts of our derivative contracts do not reflect our exposure to credit loss. See </w:t>
      </w:r>
      <w:hyperlink w:anchor="page36">
        <w:r>
          <w:rPr>
            <w:rFonts w:ascii="Arial" w:cs="Arial" w:eastAsia="Arial" w:hAnsi="Arial"/>
            <w:sz w:val="18"/>
            <w:szCs w:val="18"/>
            <w:u w:val="single" w:color="auto"/>
            <w:color w:val="0000EE"/>
          </w:rPr>
          <w:t>Note 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Derivative Financial Instruments and Hedging Activities to the unaudited Consolidated Financial Statements for additional information regarding derivatives.</w:t>
      </w:r>
    </w:p>
    <w:p>
      <w:pPr>
        <w:spacing w:after="0" w:line="14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4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advances are transferred in the securitization transaction are included in our consolidated financial statements either because we have the majority equity interest in the SPE or because we are the primary beneficiary where the SPE is a VIE. The holders of the debt of these SPEs can look only to the assets of the SPEs for satisfaction of the debt and have no recourse against OCN.</w:t>
      </w:r>
    </w:p>
    <w:p>
      <w:pPr>
        <w:spacing w:after="0" w:line="146" w:lineRule="exact"/>
        <w:rPr>
          <w:sz w:val="20"/>
          <w:szCs w:val="20"/>
          <w:color w:val="auto"/>
        </w:rPr>
      </w:pPr>
    </w:p>
    <w:p>
      <w:pPr>
        <w:ind w:right="200" w:firstLine="324"/>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 We have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w:t>
      </w:r>
      <w:hyperlink w:anchor="page13">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Securitizations and Variable Interest Entities and Note 3 – Transfers of Financial Assets to the unaudited Consolidated Financial Statements for additional information.</w:t>
      </w:r>
    </w:p>
    <w:p>
      <w:pPr>
        <w:spacing w:after="0" w:line="1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Mortgage Loan Repurchase and Indemnification Liability. </w:t>
      </w:r>
      <w:r>
        <w:rPr>
          <w:rFonts w:ascii="Arial" w:cs="Arial" w:eastAsia="Arial" w:hAnsi="Arial"/>
          <w:sz w:val="18"/>
          <w:szCs w:val="18"/>
          <w:color w:val="auto"/>
        </w:rPr>
        <w:t>We have exposure to representation, warranty and indemnification obligations. We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161" w:lineRule="exact"/>
        <w:rPr>
          <w:sz w:val="20"/>
          <w:szCs w:val="20"/>
          <w:color w:val="auto"/>
        </w:rPr>
      </w:pPr>
    </w:p>
    <w:p>
      <w:pPr>
        <w:ind w:firstLine="324"/>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w:t>
      </w:r>
      <w:hyperlink w:anchor="page13">
        <w:r>
          <w:rPr>
            <w:rFonts w:ascii="Arial" w:cs="Arial" w:eastAsia="Arial" w:hAnsi="Arial"/>
            <w:sz w:val="17"/>
            <w:szCs w:val="17"/>
            <w:u w:val="single" w:color="auto"/>
            <w:color w:val="0000EE"/>
          </w:rPr>
          <w:t>Note 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Securitizations and Variable Interest Entities, Note 16 – Other Liabilities and Note 25 – Commitments and Contingencies to the unaudited Consolidated Financial Statements for additional information.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Listed below are recent accounting pronouncements that we had not yet adopted as of September 30, 2013. We are currently evaluating the effect of adopting these standards effective January 1, 2014, but we do not anticipate that our adoption will have a material impact on our consolidated financial statements:</w:t>
      </w:r>
    </w:p>
    <w:p>
      <w:pPr>
        <w:spacing w:after="0" w:line="141" w:lineRule="exact"/>
        <w:rPr>
          <w:sz w:val="20"/>
          <w:szCs w:val="20"/>
          <w:color w:val="auto"/>
        </w:rPr>
      </w:pPr>
    </w:p>
    <w:p>
      <w:pPr>
        <w:ind w:left="660" w:right="4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ASU 2013-04 (ASC 405, Liabilities): Obligations Resulting from Joint and Several Liability Arrangements for Which the Total Amount of the Obligation Is Fixed at the Reporting Date, a consensus of the FASB Emerging Issues Task Force.</w:t>
      </w:r>
    </w:p>
    <w:p>
      <w:pPr>
        <w:spacing w:after="0" w:line="129"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ASU 2013-05 (ASC 830, Foreign Currency Matters): Parent’s Accounting for the Cumulative Translation Adjustment upon Derecognition of Certain Subsidiaries or Groups of Assets within a Foreign Entity or of an Investment in a Foreign Entity, a consensus of the FASB Emerging Issues Task Force.</w:t>
      </w:r>
    </w:p>
    <w:p>
      <w:pPr>
        <w:spacing w:after="0" w:line="154"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ASU 2013-11 (ASC 740, Income Taxes): Presentation of an Unrecognized Tax Benefit When a Net Operating Loss Carryforward, a Similar Tax Loss, or a Tax Credit Carryforward Exists (a consensus of the FASB Emerging Issues Task Force).</w:t>
      </w:r>
    </w:p>
    <w:p>
      <w:pPr>
        <w:spacing w:after="0" w:line="130"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In addition to the recently issued accounting pronouncements listed above, listed below are accounting pronouncements we adopted on January 1, 2013 that that require additional disclosures only and did not have a material effect on our unaudited Consolidated Financial Statements.</w:t>
      </w:r>
    </w:p>
    <w:p>
      <w:pPr>
        <w:spacing w:after="0" w:line="106"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ASU 2011-11 (ASC 210, Balance Sheet): Disclosures about Offsetting Assets and Liabilities.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ASU 2013-01 (ASC 210, Balance Sheet): Clarifying the Scope of Disclosures about Offsetting Assets and Liabilities</w:t>
      </w:r>
      <w:r>
        <w:rPr>
          <w:rFonts w:ascii="Arial" w:cs="Arial" w:eastAsia="Arial" w:hAnsi="Arial"/>
          <w:sz w:val="18"/>
          <w:szCs w:val="18"/>
          <w:i w:val="1"/>
          <w:iCs w:val="1"/>
          <w:color w:val="auto"/>
        </w:rPr>
        <w: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ASU 2013-02 (ASC 220, Comprehensive Income): Reporting of Amounts Reclassified Out of Accumulated Other Comprehensive Income.</w:t>
      </w:r>
    </w:p>
    <w:p>
      <w:pPr>
        <w:spacing w:after="0" w:line="19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principal effect of ASU 2011-11 and ASU 2013-01 is to require additional disclosures that will enable users of an entity’s financial statements to evaluate the effect or potential effect of netting arrangements on an entity’s financial position, including the effect or potential effect of rights of setoff associated with certain financial instruments and derivative instruments. Other than this additional disclosure, our adoption of these two pronouncements did not have a material effect on our unaudited Consolidated Financial Statements.</w:t>
      </w:r>
    </w:p>
    <w:p>
      <w:pPr>
        <w:spacing w:after="0" w:line="160"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amendments in ASU 2013-02 did not have a material impact on our unaudited Consolidated Financial Statements. However, we are required to disclose on the face of our statement of operations or in footnotes thereto the line items affected by any significant items reclassified from accumulated other comprehensive income to earnings and the before tax amount and the related effect on income tax expense of the reclassification.</w:t>
      </w:r>
    </w:p>
    <w:p>
      <w:pPr>
        <w:spacing w:after="0" w:line="1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also adopted ASU 2013-10 (ASC 815, Derivatives and Hedging): Inclusion of the Fed Funds Effective Swap Rate (or Overnight Index Swap Rate) as a Benchmark Interest Rate for Hedge Accounting Purposes (a consensus of the FASB Emerging Issues Task Force) effective July 17, 2013. The ASU permits the use of the Fed Funds Effective Swap Rate as a U.S. benchmark interest rate for hedge accounting purposes. The ASU also removes the restriction on using different benchmark rates for similar hedges. We terminated our remaining interest rate swaps on May 31, 2013 and therefore our adoption of this standard did not have a material impact on our unaudited Consolidated Financial Statements.</w:t>
      </w:r>
    </w:p>
    <w:p>
      <w:pPr>
        <w:spacing w:after="0" w:line="132" w:lineRule="exact"/>
        <w:rPr>
          <w:sz w:val="20"/>
          <w:szCs w:val="20"/>
          <w:color w:val="auto"/>
        </w:rPr>
      </w:pPr>
    </w:p>
    <w:p>
      <w:pPr>
        <w:ind w:right="100"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10">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Description of Business, Basis of Presentation and Significant Accounting Policies to our unaudited Consolidated Financial Statements for additional information.</w:t>
      </w:r>
    </w:p>
    <w:p>
      <w:pPr>
        <w:spacing w:after="0" w:line="139" w:lineRule="exact"/>
        <w:rPr>
          <w:sz w:val="20"/>
          <w:szCs w:val="20"/>
          <w:color w:val="auto"/>
        </w:rPr>
      </w:pPr>
    </w:p>
    <w:p>
      <w:pPr>
        <w:ind w:left="1160" w:right="3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 (DOLLARS IN THOUSANDS EXCEPT AS OTHERWISE INDICATED)</w:t>
      </w:r>
    </w:p>
    <w:p>
      <w:pPr>
        <w:spacing w:after="0" w:line="1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principal exposures to market risk include interest rate risk, liquidity risk, consumer credit risk, counterparty credit risk and foreign currency exchange rate risk. Market risk also reflects the risk of declines in the valuation of financial instruments and the collateral underlying loans. Our Investment Committee reviews significant transactions that may affect market risk and is authorized to utilize a wide variety of techniques and strategies to manage market risk.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Loans Held for Sale and Interest Rate Lock Commitments</w:t>
      </w:r>
    </w:p>
    <w:p>
      <w:pPr>
        <w:spacing w:after="0" w:line="18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loan applicant, whereby the interest rate on the loan is set prior to funding. Our mortgage loans held for sale, which we hold in inventory while awaiting sale into the secondary market, and our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into the secondary mortgage market. Loan commitments generally range from 5 to 30 days; and our holding period of the mortgage loan from funding to sale is typically less than 20 days.</w:t>
      </w:r>
    </w:p>
    <w:p>
      <w:pPr>
        <w:spacing w:after="0" w:line="151" w:lineRule="exact"/>
        <w:rPr>
          <w:sz w:val="20"/>
          <w:szCs w:val="20"/>
          <w:color w:val="auto"/>
        </w:rPr>
      </w:pPr>
    </w:p>
    <w:p>
      <w:pPr>
        <w:ind w:right="360" w:firstLine="324"/>
        <w:spacing w:after="0" w:line="255" w:lineRule="auto"/>
        <w:rPr>
          <w:sz w:val="20"/>
          <w:szCs w:val="20"/>
          <w:color w:val="auto"/>
        </w:rPr>
      </w:pPr>
      <w:r>
        <w:rPr>
          <w:rFonts w:ascii="Arial" w:cs="Arial" w:eastAsia="Arial" w:hAnsi="Arial"/>
          <w:sz w:val="18"/>
          <w:szCs w:val="18"/>
          <w:color w:val="auto"/>
        </w:rPr>
        <w:t>For our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MSRs</w:t>
      </w:r>
    </w:p>
    <w:p>
      <w:pPr>
        <w:spacing w:after="0" w:line="18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Our MSRs that we have elected to carry at fair value are subject to interest rate risk as the mortgage notes underlying the MSRs permit the borrowers to prepay the loans. Consequently, the value of these MSRs generally tends to diminish in periods of declining interest rates (as prepayments increase) and tends to increase in periods of rising interest rates (as prepayments decrease). Although the level of interest rates is a key driver of prepayment activity, there are other factors that influence prepayments, including home prices, underwriting standards and product characteristics.</w:t>
      </w:r>
    </w:p>
    <w:p>
      <w:pPr>
        <w:spacing w:after="0" w:line="12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For these MSRs, we may enter into economic hedges, including interest rate swaps, U.S. Treasury futures and forward MBS trades to minimize the effects of loss in value associated with increased prepayment activity that generally results from declining interest rates. Our Investment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Our hedging policy permits us to use mortgage TBA instruments and options on mortgage TBAs, Treasury and Eurodollar futures and options on U.S. Treasury and Eurodollar futures as well as interest rate swaps, interest rate caps and interest rate forwards, floors and swaptions as hedge instruments in our MSR hedging program. Effective April 1, 2013, we terminated the hedging program for our fair value MSRs and closed out the remaining economic hedge positions.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MSRs, Loans Held for Sale and Related Derivatives</w:t>
      </w:r>
    </w:p>
    <w:p>
      <w:pPr>
        <w:spacing w:after="0" w:line="19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summarizes the estimated change in the fair value of our fair value elected MSRs, fair value elected loans held for sale and related derivatives as of September 30, 2013 given hypothetical instantaneous parallel shifts in the yield curve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9"/>
              </w:rPr>
              <w:t>Change in 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88"/>
              </w:rPr>
              <w:t>Down 25 bps</w:t>
            </w: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Up 25 bps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CC"/>
          </w:tcPr>
          <w:p>
            <w:pPr>
              <w:spacing w:after="0"/>
              <w:rPr>
                <w:sz w:val="20"/>
                <w:szCs w:val="20"/>
                <w:color w:val="auto"/>
              </w:rPr>
            </w:pPr>
            <w:r>
              <w:rPr>
                <w:rFonts w:ascii="Arial" w:cs="Arial" w:eastAsia="Arial" w:hAnsi="Arial"/>
                <w:sz w:val="18"/>
                <w:szCs w:val="18"/>
                <w:color w:val="auto"/>
              </w:rPr>
              <w:t>Loans held for sale</w:t>
            </w:r>
          </w:p>
        </w:tc>
        <w:tc>
          <w:tcPr>
            <w:tcW w:w="2900" w:type="dxa"/>
            <w:vAlign w:val="bottom"/>
            <w:gridSpan w:val="2"/>
            <w:shd w:val="clear" w:color="auto" w:fill="CCEEC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7,911</w:t>
            </w:r>
          </w:p>
        </w:tc>
        <w:tc>
          <w:tcPr>
            <w:tcW w:w="3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Forward MBS trades</w:t>
            </w:r>
          </w:p>
        </w:tc>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CC"/>
            </w:tcBorders>
            <w:shd w:val="clear" w:color="auto" w:fill="CCEECC"/>
          </w:tcPr>
          <w:p>
            <w:pPr>
              <w:ind w:left="140"/>
              <w:spacing w:after="0"/>
              <w:rPr>
                <w:sz w:val="20"/>
                <w:szCs w:val="20"/>
                <w:color w:val="auto"/>
              </w:rPr>
            </w:pPr>
            <w:r>
              <w:rPr>
                <w:rFonts w:ascii="Arial" w:cs="Arial" w:eastAsia="Arial" w:hAnsi="Arial"/>
                <w:sz w:val="18"/>
                <w:szCs w:val="18"/>
                <w:color w:val="auto"/>
              </w:rPr>
              <w:t>Total loans held for sale and related derivatives</w:t>
            </w:r>
          </w:p>
        </w:tc>
        <w:tc>
          <w:tcPr>
            <w:tcW w:w="264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bottom w:val="single" w:sz="8" w:color="auto"/>
            </w:tcBorders>
            <w:shd w:val="clear" w:color="auto" w:fill="CCEECC"/>
          </w:tcPr>
          <w:p>
            <w:pPr>
              <w:spacing w:after="0"/>
              <w:rPr>
                <w:sz w:val="18"/>
                <w:szCs w:val="18"/>
                <w:color w:val="auto"/>
              </w:rPr>
            </w:pP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top w:val="single" w:sz="8" w:color="CCEECC"/>
            </w:tcBorders>
            <w:shd w:val="clear" w:color="auto" w:fill="CCEEC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26"/>
        </w:trPr>
        <w:tc>
          <w:tcPr>
            <w:tcW w:w="6180" w:type="dxa"/>
            <w:vAlign w:val="bottom"/>
            <w:gridSpan w:val="2"/>
          </w:tcPr>
          <w:p>
            <w:pPr>
              <w:spacing w:after="0"/>
              <w:rPr>
                <w:sz w:val="20"/>
                <w:szCs w:val="20"/>
                <w:color w:val="auto"/>
              </w:rPr>
            </w:pPr>
            <w:r>
              <w:rPr>
                <w:rFonts w:ascii="Arial" w:cs="Arial" w:eastAsia="Arial" w:hAnsi="Arial"/>
                <w:sz w:val="18"/>
                <w:szCs w:val="18"/>
                <w:color w:val="auto"/>
              </w:rPr>
              <w:t>Fair value MSRs</w:t>
            </w: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(6,755)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CEECC"/>
          </w:tcPr>
          <w:p>
            <w:pPr>
              <w:spacing w:after="0"/>
              <w:rPr>
                <w:sz w:val="20"/>
                <w:szCs w:val="20"/>
                <w:color w:val="auto"/>
              </w:rPr>
            </w:pPr>
            <w:r>
              <w:rPr>
                <w:rFonts w:ascii="Arial" w:cs="Arial" w:eastAsia="Arial" w:hAnsi="Arial"/>
                <w:sz w:val="18"/>
                <w:szCs w:val="18"/>
                <w:color w:val="auto"/>
              </w:rPr>
              <w:t>MSRs, embedded in pipeline</w:t>
            </w:r>
          </w:p>
        </w:tc>
        <w:tc>
          <w:tcPr>
            <w:tcW w:w="264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140"/>
              <w:spacing w:after="0"/>
              <w:rPr>
                <w:sz w:val="20"/>
                <w:szCs w:val="20"/>
                <w:color w:val="auto"/>
              </w:rPr>
            </w:pPr>
            <w:r>
              <w:rPr>
                <w:rFonts w:ascii="Arial" w:cs="Arial" w:eastAsia="Arial" w:hAnsi="Arial"/>
                <w:sz w:val="18"/>
                <w:szCs w:val="18"/>
                <w:color w:val="auto"/>
              </w:rPr>
              <w:t>Total fair value MSRs (1)</w:t>
            </w:r>
          </w:p>
        </w:tc>
        <w:tc>
          <w:tcPr>
            <w:tcW w:w="26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Total, net</w:t>
            </w:r>
          </w:p>
        </w:tc>
        <w:tc>
          <w:tcPr>
            <w:tcW w:w="2900" w:type="dxa"/>
            <w:vAlign w:val="bottom"/>
            <w:gridSpan w:val="2"/>
            <w:shd w:val="clear" w:color="auto" w:fill="CCEEC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(6,809)</w:t>
            </w:r>
          </w:p>
        </w:tc>
        <w:tc>
          <w:tcPr>
            <w:tcW w:w="3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CC"/>
            </w:tcBorders>
          </w:tcPr>
          <w:p>
            <w:pPr>
              <w:spacing w:after="0" w:line="20" w:lineRule="exact"/>
              <w:rPr>
                <w:sz w:val="1"/>
                <w:szCs w:val="1"/>
                <w:color w:val="auto"/>
              </w:rPr>
            </w:pPr>
          </w:p>
        </w:tc>
        <w:tc>
          <w:tcPr>
            <w:tcW w:w="2640" w:type="dxa"/>
            <w:vAlign w:val="bottom"/>
            <w:tcBorders>
              <w:top w:val="single" w:sz="8" w:color="CCEE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20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disclosed above, effective April 1, 2013, we terminated the hedging program for our fair value MSRs and closed out the remaining economic hedge positions.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1" w:name="page72"/>
    <w:bookmarkEnd w:id="71"/>
    <w:p>
      <w:pPr>
        <w:ind w:right="60" w:firstLine="324"/>
        <w:spacing w:after="0" w:line="259" w:lineRule="auto"/>
        <w:rPr>
          <w:sz w:val="20"/>
          <w:szCs w:val="20"/>
          <w:color w:val="auto"/>
        </w:rPr>
      </w:pPr>
      <w:r>
        <w:rPr>
          <w:rFonts w:ascii="Arial" w:cs="Arial" w:eastAsia="Arial" w:hAnsi="Arial"/>
          <w:sz w:val="18"/>
          <w:szCs w:val="18"/>
          <w:color w:val="auto"/>
        </w:rPr>
        <w:t>We used September 30, 2013 market rates on our instruments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of the change in fair value may not be linear.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Borrowings</w:t>
      </w:r>
    </w:p>
    <w:p>
      <w:pPr>
        <w:spacing w:after="0" w:line="19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13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Based on September 30, 2013 balances, if interest rates were to increase by 1% on our variable rate debt (excluding our SSTL) and interest earning cash and float balances, we estimate a net positive impact of $31.1 million resulting from an increase of $38.5 million in annual interest income and an increase of $7.4 million in annual interest expense. See the tables below and Note 19 – Derivative Financial Instruments and Hedging Activities to the unaudited Consolidated Financial Statements for additional information regarding our use of derivatives.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0" w:type="dxa"/>
            <w:vAlign w:val="bottom"/>
            <w:shd w:val="clear" w:color="auto" w:fill="CCEECC"/>
          </w:tcPr>
          <w:p>
            <w:pPr>
              <w:spacing w:after="0"/>
              <w:rPr>
                <w:sz w:val="20"/>
                <w:szCs w:val="20"/>
                <w:color w:val="auto"/>
              </w:rPr>
            </w:pPr>
            <w:r>
              <w:rPr>
                <w:rFonts w:ascii="Arial" w:cs="Arial" w:eastAsia="Arial" w:hAnsi="Arial"/>
                <w:sz w:val="18"/>
                <w:szCs w:val="18"/>
                <w:color w:val="auto"/>
              </w:rPr>
              <w:t>Fixed-rate borrowings</w:t>
            </w:r>
          </w:p>
        </w:tc>
        <w:tc>
          <w:tcPr>
            <w:tcW w:w="22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20" w:type="dxa"/>
            <w:vAlign w:val="bottom"/>
            <w:gridSpan w:val="2"/>
          </w:tcPr>
          <w:p>
            <w:pPr>
              <w:spacing w:after="0"/>
              <w:rPr>
                <w:sz w:val="20"/>
                <w:szCs w:val="20"/>
                <w:color w:val="auto"/>
              </w:rPr>
            </w:pPr>
            <w:r>
              <w:rPr>
                <w:rFonts w:ascii="Arial" w:cs="Arial" w:eastAsia="Arial" w:hAnsi="Arial"/>
                <w:sz w:val="18"/>
                <w:szCs w:val="18"/>
                <w:color w:val="auto"/>
              </w:rPr>
              <w:t>Variable-rate borrowings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Match funded servicing advance facilities (3)</w:t>
            </w:r>
          </w:p>
        </w:tc>
        <w:tc>
          <w:tcPr>
            <w:tcW w:w="22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363,012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tcPr>
          <w:p>
            <w:pPr>
              <w:ind w:left="140"/>
              <w:spacing w:after="0"/>
              <w:rPr>
                <w:sz w:val="20"/>
                <w:szCs w:val="20"/>
                <w:color w:val="auto"/>
              </w:rPr>
            </w:pPr>
            <w:r>
              <w:rPr>
                <w:rFonts w:ascii="Arial" w:cs="Arial" w:eastAsia="Arial" w:hAnsi="Arial"/>
                <w:sz w:val="18"/>
                <w:szCs w:val="18"/>
                <w:color w:val="auto"/>
              </w:rPr>
              <w:t>Senior secured term loan (1)</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shd w:val="clear" w:color="auto" w:fill="CCEECC"/>
          </w:tcPr>
          <w:p>
            <w:pPr>
              <w:ind w:left="140"/>
              <w:spacing w:after="0"/>
              <w:rPr>
                <w:sz w:val="20"/>
                <w:szCs w:val="20"/>
                <w:color w:val="auto"/>
              </w:rPr>
            </w:pPr>
            <w:r>
              <w:rPr>
                <w:rFonts w:ascii="Arial" w:cs="Arial" w:eastAsia="Arial" w:hAnsi="Arial"/>
                <w:sz w:val="18"/>
                <w:szCs w:val="18"/>
                <w:color w:val="auto"/>
              </w:rPr>
              <w:t>Lending warehouse facilities</w:t>
            </w:r>
          </w:p>
        </w:tc>
        <w:tc>
          <w:tcPr>
            <w:tcW w:w="220" w:type="dxa"/>
            <w:vAlign w:val="bottom"/>
            <w:shd w:val="clear" w:color="auto" w:fill="CCEECC"/>
          </w:tcPr>
          <w:p>
            <w:pPr>
              <w:spacing w:after="0"/>
              <w:rPr>
                <w:sz w:val="18"/>
                <w:szCs w:val="18"/>
                <w:color w:val="auto"/>
              </w:rPr>
            </w:pP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293,988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0" w:type="dxa"/>
            <w:vAlign w:val="bottom"/>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bottom w:val="single" w:sz="8" w:color="auto"/>
            </w:tcBorders>
            <w:shd w:val="clear" w:color="auto" w:fill="CCEECC"/>
          </w:tcPr>
          <w:p>
            <w:pPr>
              <w:spacing w:after="0"/>
              <w:rPr>
                <w:sz w:val="18"/>
                <w:szCs w:val="18"/>
                <w:color w:val="auto"/>
              </w:rPr>
            </w:pP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2,023,008</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Total borrowings outstanding (2)</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0" w:type="dxa"/>
            <w:vAlign w:val="bottom"/>
            <w:shd w:val="clear" w:color="auto" w:fill="CCEECC"/>
          </w:tcPr>
          <w:p>
            <w:pPr>
              <w:spacing w:after="0"/>
              <w:rPr>
                <w:sz w:val="20"/>
                <w:szCs w:val="20"/>
                <w:color w:val="auto"/>
              </w:rPr>
            </w:pPr>
            <w:r>
              <w:rPr>
                <w:rFonts w:ascii="Arial" w:cs="Arial" w:eastAsia="Arial" w:hAnsi="Arial"/>
                <w:sz w:val="18"/>
                <w:szCs w:val="18"/>
                <w:color w:val="auto"/>
              </w:rPr>
              <w:t>Float balances (held in custodial accounts, excluded from our consolidated balance sheet) (3)</w:t>
            </w:r>
          </w:p>
        </w:tc>
        <w:tc>
          <w:tcPr>
            <w:tcW w:w="22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3,496,251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Balance excludes the unamortized discount of $5.7 million.</w:t>
      </w:r>
    </w:p>
    <w:p>
      <w:pPr>
        <w:spacing w:after="0" w:line="184" w:lineRule="exact"/>
        <w:rPr>
          <w:rFonts w:ascii="Arial" w:cs="Arial" w:eastAsia="Arial" w:hAnsi="Arial"/>
          <w:sz w:val="18"/>
          <w:szCs w:val="18"/>
          <w:color w:val="auto"/>
        </w:rPr>
      </w:pPr>
    </w:p>
    <w:p>
      <w:pPr>
        <w:ind w:left="340" w:right="20" w:hanging="332"/>
        <w:spacing w:after="0" w:line="276"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Total borrowings exclude the financing liabilities recognized in connection with sales of MSRs. Total borrowings also exclude Secured borrowings – owed to securitization investors because the interest rate sensitive assets and liabilities of the consolidated trusts do not represent an interest rate risk for Ocwen. Ocwen has no obligation to provide financial support to the trusts. The creditors of the trusts can look only to the assets of the trusts themselves for satisfaction of the debt and have no recourse against the assets of Ocwen. Similarly, the general creditors of Ocwen have no claim on the assets of the trusts. See </w:t>
      </w:r>
      <w:hyperlink w:anchor="page32">
        <w:r>
          <w:rPr>
            <w:rFonts w:ascii="Arial" w:cs="Arial" w:eastAsia="Arial" w:hAnsi="Arial"/>
            <w:sz w:val="17"/>
            <w:szCs w:val="17"/>
            <w:u w:val="single" w:color="auto"/>
            <w:color w:val="0000EE"/>
          </w:rPr>
          <w:t>Note 15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Other Borrowings to the unaudited Consolidated Financial Statements for additional information.</w:t>
      </w:r>
    </w:p>
    <w:p>
      <w:pPr>
        <w:spacing w:after="0" w:line="13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May 31, 2013, we terminated our remaining interest rates swaps that we had purchased to hedge against the effects of changes in interest rates on our borrowings under advance funding facilities. Float balances, which earn a variable rate of interest, are well in excess of variable rate borrowings under advance facilities and therefore reduce our exposure to changes in interest rates.</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Excluding Loans – restricted for securitization investors, our Consolidated Balance Sheet at September 30, 2013 and December 31, 2012 included interest-earning assets totaling $607.7 million and $738.6 million, respectively. Interest-earning assets at September 30, 2013 are comprised of $133.8 million of interest-earning cash accounts, $45.5 million of debt service accounts, $6.5 million of interest-earning collateral deposit and $421.9 million of loans held for sale (fair value and lower of cost or fair value combined).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“Overview - Liquidity Summary” and “Liquidity and Capital Resources” for additional discussions of liquidity.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Credit Risk</w:t>
      </w:r>
    </w:p>
    <w:p>
      <w:pPr>
        <w:spacing w:after="0" w:line="189" w:lineRule="exact"/>
        <w:rPr>
          <w:sz w:val="20"/>
          <w:szCs w:val="20"/>
          <w:color w:val="auto"/>
        </w:rPr>
      </w:pPr>
    </w:p>
    <w:p>
      <w:pPr>
        <w:ind w:right="280" w:firstLine="324"/>
        <w:spacing w:after="0" w:line="276" w:lineRule="auto"/>
        <w:rPr>
          <w:sz w:val="20"/>
          <w:szCs w:val="20"/>
          <w:color w:val="auto"/>
        </w:rPr>
      </w:pPr>
      <w:r>
        <w:rPr>
          <w:rFonts w:ascii="Arial" w:cs="Arial" w:eastAsia="Arial" w:hAnsi="Arial"/>
          <w:sz w:val="17"/>
          <w:szCs w:val="17"/>
          <w:color w:val="auto"/>
        </w:rPr>
        <w:t>We sell our loans on a non-recourse basis. However, we also provide representations and warranties to purchasers and insurers of the loans sold that typically are in place for the life of the loan. In the event of a breach of these representations and warranties, we may be required to repurchase a mortgage loan or indemnify the purchaser, and any subsequent loss on the mortgage loan may be borne by us. If there is no breach of a representation and warranty provision, we have no obligation to repurchase the loan or indemnify the investor against loss. The outstanding UPB of loans sold by us represents the maximum potential exposure related to representation and warranty provisions.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ind w:right="60" w:firstLine="324"/>
        <w:spacing w:after="0" w:line="272" w:lineRule="auto"/>
        <w:rPr>
          <w:sz w:val="20"/>
          <w:szCs w:val="20"/>
          <w:color w:val="auto"/>
        </w:rPr>
      </w:pPr>
      <w:r>
        <w:rPr>
          <w:rFonts w:ascii="Arial" w:cs="Arial" w:eastAsia="Arial" w:hAnsi="Arial"/>
          <w:sz w:val="17"/>
          <w:szCs w:val="17"/>
          <w:color w:val="auto"/>
        </w:rPr>
        <w:t>We maintain a reserve for losses on loans that may be repurchased or indemnified as a result of breaches of representations and warranties on our sold loans. We base our estimate on our most recent data regarding loan repurchases and indemnity payments, actual credit losses on repurchased loans and recovery history, among other factors. Internal factors that affect our estimate include, among other things, level of loan sales, to whom the loans are sold, the expectation of credit loss on repurchases and indemnifications, our success rate at appealing repurchase demands and our ability to recover any losses from third parties. External factors that may affect our estimate include, among other things, the overall economic condition in the housing market, the economic condition of borrowers, the political environment at GSEs and the overall U.S. and world economy. Many of the factors are beyond our control and may lead to judgments that are susceptible to change.</w:t>
      </w:r>
    </w:p>
    <w:p>
      <w:pPr>
        <w:spacing w:after="0" w:line="13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are not subject to the majority of the credit-related risk inherent in maintaining a mortgage loan portfolio because we do not hold loans for investment purposes. We generally sell newly originated loans in the secondary market within 20 days of origination.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 &amp; Concentration Risk</w:t>
      </w:r>
    </w:p>
    <w:p>
      <w:pPr>
        <w:spacing w:after="0" w:line="18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Credit risk represents the potential loss that may occur because a party to a transaction fails to perform according to the terms of the contract. The measure of credit exposure is the replacement cost of contracts with a positive fair value. We manage credit risk by entering into financial instrument transactions through national exchanges, primary dealers or approved counterparties and the use of mutual margining agreements whenever possible to limit potential exposure. We are exposed to counterparty credit risk in the event of non-performance by counterparties to various agreements. We manage such risk by monitoring the credit ratings of our counterparties and do not anticipate losses due to counterparty nonperformance.</w:t>
      </w:r>
    </w:p>
    <w:p>
      <w:pPr>
        <w:spacing w:after="0" w:line="132"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Counterparty credit risk exists with our third party originators from whom we purchase originated mortgage loans. The third party originators incur a representation and warranty obligation when we acquire the mortgage loan from them, and they agree to reimburse us for any losses incurred due to an origination defect. We become exposed to losses for origination defects if the third party originator is not able to reimburse us for losses incurred for indemnification or repurchase. We mitigate this risk by monitoring purchase limits from our third party originators (to reduce any concentration exposure), quality control reviews of the third party originators, underwriting standards and monitoring the credit worthiness of third party originators on a periodic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We periodically enter into foreign exchange forward contracts to hedge against the effect of changes in the value of the India Rupee (INR) on amounts payable to our India subsidiary, OFSPL. Our operations in Uruguay expose us to foreign currency exchange rate risk, but we consider this risk to be insignificant.</w:t>
      </w:r>
    </w:p>
    <w:p>
      <w:pPr>
        <w:spacing w:after="0" w:line="14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management, under the supervision of and with the participation of our Chief Executive Officer and Chief Financial Officer, evaluated the effectiveness of our disclosure controls and procedures (as defined in Rules 13a-15(e) and 15d-15(e) under the Securities Exchange Act) as of September 30, 2013. Based on this evaluation, our Chief Executive Officer and Chief Financial Officer concluded that, as of September 30, 2013,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14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Securities Exchange Act) occurred during the fiscal quarter ended September 30, 2013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3" w:name="page74"/>
    <w:bookmarkEnd w:id="73"/>
    <w:p>
      <w:pPr>
        <w:jc w:val="center"/>
        <w:ind w:left="32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44">
        <w:r>
          <w:rPr>
            <w:rFonts w:ascii="Arial" w:cs="Arial" w:eastAsia="Arial" w:hAnsi="Arial"/>
            <w:sz w:val="18"/>
            <w:szCs w:val="18"/>
            <w:u w:val="single" w:color="auto"/>
            <w:color w:val="0000EE"/>
          </w:rPr>
          <w:t>Note 25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Commitments and Contingencies to the Consolidated Financial Statements for information regarding legal proceedings.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include a discussion of the principal risks and uncertainties that affect or could affect our business operations under Item 1A on pages 19 through 32 of our Annual Report on Form 10-K for the year ended December 31, 2012 which should be read in conjunction with such disclosures.</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85" w:lineRule="exact"/>
        <w:rPr>
          <w:sz w:val="20"/>
          <w:szCs w:val="20"/>
          <w:color w:val="auto"/>
        </w:rPr>
      </w:pPr>
    </w:p>
    <w:p>
      <w:pPr>
        <w:ind w:left="920" w:hanging="898"/>
        <w:spacing w:after="0"/>
        <w:tabs>
          <w:tab w:leader="none" w:pos="9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jc w:val="center"/>
              <w:ind w:left="430"/>
              <w:spacing w:after="0"/>
              <w:rPr>
                <w:sz w:val="20"/>
                <w:szCs w:val="20"/>
                <w:color w:val="auto"/>
              </w:rPr>
            </w:pPr>
            <w:r>
              <w:rPr>
                <w:rFonts w:ascii="Arial" w:cs="Arial" w:eastAsia="Arial" w:hAnsi="Arial"/>
                <w:sz w:val="18"/>
                <w:szCs w:val="18"/>
                <w:color w:val="auto"/>
                <w:w w:val="87"/>
              </w:rPr>
              <w:t>2.1</w:t>
            </w:r>
          </w:p>
        </w:tc>
        <w:tc>
          <w:tcPr>
            <w:tcW w:w="9800" w:type="dxa"/>
            <w:vAlign w:val="bottom"/>
          </w:tcPr>
          <w:p>
            <w:pPr>
              <w:ind w:left="220"/>
              <w:spacing w:after="0"/>
              <w:rPr>
                <w:sz w:val="20"/>
                <w:szCs w:val="20"/>
                <w:color w:val="auto"/>
              </w:rPr>
            </w:pPr>
            <w:r>
              <w:rPr>
                <w:rFonts w:ascii="Arial" w:cs="Arial" w:eastAsia="Arial" w:hAnsi="Arial"/>
                <w:sz w:val="18"/>
                <w:szCs w:val="18"/>
                <w:color w:val="auto"/>
                <w:w w:val="91"/>
              </w:rPr>
              <w:t>Mortgage Servicing Rights Purchase and Sale Agreement between Ocwen Loan Servicing, LLC and One West Bank, FSB dated as</w:t>
            </w:r>
          </w:p>
        </w:tc>
      </w:tr>
      <w:tr>
        <w:trPr>
          <w:trHeight w:val="230"/>
        </w:trPr>
        <w:tc>
          <w:tcPr>
            <w:tcW w:w="1620" w:type="dxa"/>
            <w:vAlign w:val="bottom"/>
          </w:tcPr>
          <w:p>
            <w:pPr>
              <w:spacing w:after="0"/>
              <w:rPr>
                <w:sz w:val="20"/>
                <w:szCs w:val="20"/>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of June 13, 2013 (1)</w:t>
            </w:r>
          </w:p>
        </w:tc>
      </w:tr>
      <w:tr>
        <w:trPr>
          <w:trHeight w:val="432"/>
        </w:trPr>
        <w:tc>
          <w:tcPr>
            <w:tcW w:w="1620" w:type="dxa"/>
            <w:vAlign w:val="bottom"/>
          </w:tcPr>
          <w:p>
            <w:pPr>
              <w:jc w:val="center"/>
              <w:ind w:left="430"/>
              <w:spacing w:after="0"/>
              <w:rPr>
                <w:sz w:val="20"/>
                <w:szCs w:val="20"/>
                <w:color w:val="auto"/>
              </w:rPr>
            </w:pPr>
            <w:r>
              <w:rPr>
                <w:rFonts w:ascii="Arial" w:cs="Arial" w:eastAsia="Arial" w:hAnsi="Arial"/>
                <w:sz w:val="18"/>
                <w:szCs w:val="18"/>
                <w:color w:val="auto"/>
                <w:w w:val="87"/>
              </w:rPr>
              <w:t>3.1</w:t>
            </w:r>
          </w:p>
        </w:tc>
        <w:tc>
          <w:tcPr>
            <w:tcW w:w="9800" w:type="dxa"/>
            <w:vAlign w:val="bottom"/>
          </w:tcPr>
          <w:p>
            <w:pPr>
              <w:ind w:left="220"/>
              <w:spacing w:after="0"/>
              <w:rPr>
                <w:sz w:val="20"/>
                <w:szCs w:val="20"/>
                <w:color w:val="auto"/>
              </w:rPr>
            </w:pPr>
            <w:r>
              <w:rPr>
                <w:rFonts w:ascii="Arial" w:cs="Arial" w:eastAsia="Arial" w:hAnsi="Arial"/>
                <w:sz w:val="18"/>
                <w:szCs w:val="18"/>
                <w:color w:val="auto"/>
              </w:rPr>
              <w:t>Amended and Restated Articles of Incorporation (2)</w:t>
            </w:r>
          </w:p>
        </w:tc>
      </w:tr>
      <w:tr>
        <w:trPr>
          <w:trHeight w:val="432"/>
        </w:trPr>
        <w:tc>
          <w:tcPr>
            <w:tcW w:w="1620" w:type="dxa"/>
            <w:vAlign w:val="bottom"/>
          </w:tcPr>
          <w:p>
            <w:pPr>
              <w:jc w:val="center"/>
              <w:ind w:left="430"/>
              <w:spacing w:after="0"/>
              <w:rPr>
                <w:sz w:val="20"/>
                <w:szCs w:val="20"/>
                <w:color w:val="auto"/>
              </w:rPr>
            </w:pPr>
            <w:r>
              <w:rPr>
                <w:rFonts w:ascii="Arial" w:cs="Arial" w:eastAsia="Arial" w:hAnsi="Arial"/>
                <w:sz w:val="18"/>
                <w:szCs w:val="18"/>
                <w:color w:val="auto"/>
                <w:w w:val="87"/>
              </w:rPr>
              <w:t>3.2</w:t>
            </w:r>
          </w:p>
        </w:tc>
        <w:tc>
          <w:tcPr>
            <w:tcW w:w="980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(3)</w:t>
            </w:r>
          </w:p>
        </w:tc>
      </w:tr>
      <w:tr>
        <w:trPr>
          <w:trHeight w:val="432"/>
        </w:trPr>
        <w:tc>
          <w:tcPr>
            <w:tcW w:w="1620" w:type="dxa"/>
            <w:vAlign w:val="bottom"/>
          </w:tcPr>
          <w:p>
            <w:pPr>
              <w:jc w:val="center"/>
              <w:ind w:left="430"/>
              <w:spacing w:after="0"/>
              <w:rPr>
                <w:sz w:val="20"/>
                <w:szCs w:val="20"/>
                <w:color w:val="auto"/>
              </w:rPr>
            </w:pPr>
            <w:r>
              <w:rPr>
                <w:rFonts w:ascii="Arial" w:cs="Arial" w:eastAsia="Arial" w:hAnsi="Arial"/>
                <w:sz w:val="18"/>
                <w:szCs w:val="18"/>
                <w:color w:val="auto"/>
                <w:w w:val="87"/>
              </w:rPr>
              <w:t>3.3</w:t>
            </w:r>
          </w:p>
        </w:tc>
        <w:tc>
          <w:tcPr>
            <w:tcW w:w="9800" w:type="dxa"/>
            <w:vAlign w:val="bottom"/>
          </w:tcPr>
          <w:p>
            <w:pPr>
              <w:ind w:left="220"/>
              <w:spacing w:after="0"/>
              <w:rPr>
                <w:sz w:val="20"/>
                <w:szCs w:val="20"/>
                <w:color w:val="auto"/>
              </w:rPr>
            </w:pPr>
            <w:r>
              <w:rPr>
                <w:rFonts w:ascii="Arial" w:cs="Arial" w:eastAsia="Arial" w:hAnsi="Arial"/>
                <w:sz w:val="18"/>
                <w:szCs w:val="18"/>
                <w:color w:val="auto"/>
              </w:rPr>
              <w:t>Articles of Correction (3)</w:t>
            </w:r>
          </w:p>
        </w:tc>
      </w:tr>
      <w:tr>
        <w:trPr>
          <w:trHeight w:val="432"/>
        </w:trPr>
        <w:tc>
          <w:tcPr>
            <w:tcW w:w="1620" w:type="dxa"/>
            <w:vAlign w:val="bottom"/>
          </w:tcPr>
          <w:p>
            <w:pPr>
              <w:jc w:val="center"/>
              <w:ind w:left="430"/>
              <w:spacing w:after="0"/>
              <w:rPr>
                <w:sz w:val="20"/>
                <w:szCs w:val="20"/>
                <w:color w:val="auto"/>
              </w:rPr>
            </w:pPr>
            <w:r>
              <w:rPr>
                <w:rFonts w:ascii="Arial" w:cs="Arial" w:eastAsia="Arial" w:hAnsi="Arial"/>
                <w:sz w:val="18"/>
                <w:szCs w:val="18"/>
                <w:color w:val="auto"/>
                <w:w w:val="87"/>
              </w:rPr>
              <w:t>3.4</w:t>
            </w:r>
          </w:p>
        </w:tc>
        <w:tc>
          <w:tcPr>
            <w:tcW w:w="980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(4)</w:t>
            </w:r>
          </w:p>
        </w:tc>
      </w:tr>
      <w:tr>
        <w:trPr>
          <w:trHeight w:val="432"/>
        </w:trPr>
        <w:tc>
          <w:tcPr>
            <w:tcW w:w="1620" w:type="dxa"/>
            <w:vAlign w:val="bottom"/>
          </w:tcPr>
          <w:p>
            <w:pPr>
              <w:jc w:val="center"/>
              <w:ind w:left="430"/>
              <w:spacing w:after="0"/>
              <w:rPr>
                <w:sz w:val="20"/>
                <w:szCs w:val="20"/>
                <w:color w:val="auto"/>
              </w:rPr>
            </w:pPr>
            <w:r>
              <w:rPr>
                <w:rFonts w:ascii="Arial" w:cs="Arial" w:eastAsia="Arial" w:hAnsi="Arial"/>
                <w:sz w:val="18"/>
                <w:szCs w:val="18"/>
                <w:color w:val="auto"/>
                <w:w w:val="87"/>
              </w:rPr>
              <w:t>3.5</w:t>
            </w:r>
          </w:p>
        </w:tc>
        <w:tc>
          <w:tcPr>
            <w:tcW w:w="9800" w:type="dxa"/>
            <w:vAlign w:val="bottom"/>
          </w:tcPr>
          <w:p>
            <w:pPr>
              <w:ind w:left="220"/>
              <w:spacing w:after="0"/>
              <w:rPr>
                <w:sz w:val="20"/>
                <w:szCs w:val="20"/>
                <w:color w:val="auto"/>
              </w:rPr>
            </w:pPr>
            <w:r>
              <w:rPr>
                <w:rFonts w:ascii="Arial" w:cs="Arial" w:eastAsia="Arial" w:hAnsi="Arial"/>
                <w:sz w:val="18"/>
                <w:szCs w:val="18"/>
                <w:color w:val="auto"/>
              </w:rPr>
              <w:t>Amended and Restated Bylaws of Ocwen Financial Corporation (5)</w:t>
            </w:r>
          </w:p>
        </w:tc>
      </w:tr>
      <w:tr>
        <w:trPr>
          <w:trHeight w:val="418"/>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1"/>
              </w:rPr>
              <w:t>10.1</w:t>
            </w:r>
          </w:p>
        </w:tc>
        <w:tc>
          <w:tcPr>
            <w:tcW w:w="9800" w:type="dxa"/>
            <w:vAlign w:val="bottom"/>
          </w:tcPr>
          <w:p>
            <w:pPr>
              <w:ind w:left="220"/>
              <w:spacing w:after="0"/>
              <w:rPr>
                <w:sz w:val="20"/>
                <w:szCs w:val="20"/>
                <w:color w:val="auto"/>
              </w:rPr>
            </w:pPr>
            <w:r>
              <w:rPr>
                <w:rFonts w:ascii="Arial" w:cs="Arial" w:eastAsia="Arial" w:hAnsi="Arial"/>
                <w:sz w:val="18"/>
                <w:szCs w:val="18"/>
                <w:color w:val="auto"/>
                <w:w w:val="97"/>
              </w:rPr>
              <w:t>Agreement, dated as of April 12, 2013, by and among Altisource Solutions S.à r.l., Ocwen Financial Corporation and Ocwen</w:t>
            </w:r>
          </w:p>
        </w:tc>
      </w:tr>
      <w:tr>
        <w:trPr>
          <w:trHeight w:val="230"/>
        </w:trPr>
        <w:tc>
          <w:tcPr>
            <w:tcW w:w="1620" w:type="dxa"/>
            <w:vAlign w:val="bottom"/>
          </w:tcPr>
          <w:p>
            <w:pPr>
              <w:spacing w:after="0"/>
              <w:rPr>
                <w:sz w:val="20"/>
                <w:szCs w:val="20"/>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Mortgage Servicing, Inc. (6)</w:t>
            </w:r>
          </w:p>
        </w:tc>
      </w:tr>
      <w:tr>
        <w:trPr>
          <w:trHeight w:val="432"/>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1"/>
              </w:rPr>
              <w:t>10.2</w:t>
            </w:r>
          </w:p>
        </w:tc>
        <w:tc>
          <w:tcPr>
            <w:tcW w:w="9800" w:type="dxa"/>
            <w:vAlign w:val="bottom"/>
          </w:tcPr>
          <w:p>
            <w:pPr>
              <w:ind w:left="220"/>
              <w:spacing w:after="0"/>
              <w:rPr>
                <w:sz w:val="20"/>
                <w:szCs w:val="20"/>
                <w:color w:val="auto"/>
              </w:rPr>
            </w:pPr>
            <w:r>
              <w:rPr>
                <w:rFonts w:ascii="Arial" w:cs="Arial" w:eastAsia="Arial" w:hAnsi="Arial"/>
                <w:sz w:val="18"/>
                <w:szCs w:val="18"/>
                <w:color w:val="auto"/>
              </w:rPr>
              <w:t>Guarantee between Ocwen Financial Corporation and OneWest Bank, FSB dated as of June 13, 2013 (1)</w:t>
            </w:r>
          </w:p>
        </w:tc>
      </w:tr>
      <w:tr>
        <w:trPr>
          <w:trHeight w:val="418"/>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1"/>
              </w:rPr>
              <w:t>10.3</w:t>
            </w:r>
          </w:p>
        </w:tc>
        <w:tc>
          <w:tcPr>
            <w:tcW w:w="9800" w:type="dxa"/>
            <w:vAlign w:val="bottom"/>
          </w:tcPr>
          <w:p>
            <w:pPr>
              <w:ind w:left="220"/>
              <w:spacing w:after="0"/>
              <w:rPr>
                <w:sz w:val="20"/>
                <w:szCs w:val="20"/>
                <w:color w:val="auto"/>
              </w:rPr>
            </w:pPr>
            <w:r>
              <w:rPr>
                <w:rFonts w:ascii="Arial" w:cs="Arial" w:eastAsia="Arial" w:hAnsi="Arial"/>
                <w:sz w:val="18"/>
                <w:szCs w:val="18"/>
                <w:color w:val="auto"/>
                <w:w w:val="90"/>
              </w:rPr>
              <w:t>Amendment No. 1 to Senior Secured Term Loan Facility Agreement and Amendment No. 1 to Pledge and Security Agreement dated</w:t>
            </w:r>
          </w:p>
        </w:tc>
      </w:tr>
      <w:tr>
        <w:trPr>
          <w:trHeight w:val="216"/>
        </w:trPr>
        <w:tc>
          <w:tcPr>
            <w:tcW w:w="162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96"/>
              </w:rPr>
              <w:t>as of September 23, 2013 by and among Ocwen Loan Servicing, LLC, as Borrower, Ocwen Financial Corporation, as Parent,</w:t>
            </w:r>
          </w:p>
        </w:tc>
      </w:tr>
      <w:tr>
        <w:trPr>
          <w:trHeight w:val="216"/>
        </w:trPr>
        <w:tc>
          <w:tcPr>
            <w:tcW w:w="162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90"/>
              </w:rPr>
              <w:t>Certain Subsidiaries of Ocwen Financial Corporation, as Subsidiary Guarantors, the Lender Parties thereto, and Barclays Bank PLC,</w:t>
            </w:r>
          </w:p>
        </w:tc>
      </w:tr>
      <w:tr>
        <w:trPr>
          <w:trHeight w:val="230"/>
        </w:trPr>
        <w:tc>
          <w:tcPr>
            <w:tcW w:w="1620" w:type="dxa"/>
            <w:vAlign w:val="bottom"/>
          </w:tcPr>
          <w:p>
            <w:pPr>
              <w:spacing w:after="0"/>
              <w:rPr>
                <w:sz w:val="20"/>
                <w:szCs w:val="20"/>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as Administrative Agent and Collateral Agent (7)</w:t>
            </w:r>
          </w:p>
        </w:tc>
      </w:tr>
      <w:tr>
        <w:trPr>
          <w:trHeight w:val="418"/>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1"/>
              </w:rPr>
              <w:t>10.4</w:t>
            </w:r>
          </w:p>
        </w:tc>
        <w:tc>
          <w:tcPr>
            <w:tcW w:w="9800" w:type="dxa"/>
            <w:vAlign w:val="bottom"/>
          </w:tcPr>
          <w:p>
            <w:pPr>
              <w:ind w:left="220"/>
              <w:spacing w:after="0"/>
              <w:rPr>
                <w:sz w:val="20"/>
                <w:szCs w:val="20"/>
                <w:color w:val="auto"/>
              </w:rPr>
            </w:pPr>
            <w:r>
              <w:rPr>
                <w:rFonts w:ascii="Arial" w:cs="Arial" w:eastAsia="Arial" w:hAnsi="Arial"/>
                <w:sz w:val="18"/>
                <w:szCs w:val="18"/>
                <w:color w:val="auto"/>
                <w:w w:val="94"/>
              </w:rPr>
              <w:t>Amendment, dated as of September 30, 2013, to the Sale Supplement, dated as of July 1, 2013, to the Master Servicing Rights</w:t>
            </w:r>
          </w:p>
        </w:tc>
      </w:tr>
      <w:tr>
        <w:trPr>
          <w:trHeight w:val="216"/>
        </w:trPr>
        <w:tc>
          <w:tcPr>
            <w:tcW w:w="162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w w:val="94"/>
              </w:rPr>
              <w:t>Purchase Agreement, dated as of October 1, 2012, between Ocwen Loan Servicing, LLC, HLSS Holdings, LLC and Home Loan</w:t>
            </w:r>
          </w:p>
        </w:tc>
      </w:tr>
      <w:tr>
        <w:trPr>
          <w:trHeight w:val="230"/>
        </w:trPr>
        <w:tc>
          <w:tcPr>
            <w:tcW w:w="1620" w:type="dxa"/>
            <w:vAlign w:val="bottom"/>
          </w:tcPr>
          <w:p>
            <w:pPr>
              <w:spacing w:after="0"/>
              <w:rPr>
                <w:sz w:val="20"/>
                <w:szCs w:val="20"/>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Servicing Solutions, Ltd. (filed herewith)</w:t>
            </w:r>
          </w:p>
        </w:tc>
      </w:tr>
      <w:tr>
        <w:trPr>
          <w:trHeight w:val="418"/>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1"/>
              </w:rPr>
              <w:t>10.5</w:t>
            </w:r>
          </w:p>
        </w:tc>
        <w:tc>
          <w:tcPr>
            <w:tcW w:w="9800" w:type="dxa"/>
            <w:vAlign w:val="bottom"/>
          </w:tcPr>
          <w:p>
            <w:pPr>
              <w:ind w:left="220"/>
              <w:spacing w:after="0"/>
              <w:rPr>
                <w:sz w:val="20"/>
                <w:szCs w:val="20"/>
                <w:color w:val="auto"/>
              </w:rPr>
            </w:pPr>
            <w:r>
              <w:rPr>
                <w:rFonts w:ascii="Arial" w:cs="Arial" w:eastAsia="Arial" w:hAnsi="Arial"/>
                <w:sz w:val="18"/>
                <w:szCs w:val="18"/>
                <w:color w:val="auto"/>
                <w:w w:val="90"/>
              </w:rPr>
              <w:t>Amendment, dated as of September 30, 2013, to the Subservicing Supplement, dated as of July 1, 2013, to the Master Subservicing</w:t>
            </w:r>
          </w:p>
        </w:tc>
      </w:tr>
      <w:tr>
        <w:trPr>
          <w:trHeight w:val="230"/>
        </w:trPr>
        <w:tc>
          <w:tcPr>
            <w:tcW w:w="1620" w:type="dxa"/>
            <w:vAlign w:val="bottom"/>
          </w:tcPr>
          <w:p>
            <w:pPr>
              <w:spacing w:after="0"/>
              <w:rPr>
                <w:sz w:val="20"/>
                <w:szCs w:val="20"/>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Agreement, dated as of October 1, 2012, between Ocwen Loan Servicing, LLC and HLSS Holdings (filed herewith)</w:t>
            </w:r>
          </w:p>
        </w:tc>
      </w:tr>
      <w:tr>
        <w:trPr>
          <w:trHeight w:val="432"/>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1"/>
              </w:rPr>
              <w:t>11.1</w:t>
            </w:r>
          </w:p>
        </w:tc>
        <w:tc>
          <w:tcPr>
            <w:tcW w:w="9800" w:type="dxa"/>
            <w:vAlign w:val="bottom"/>
          </w:tcPr>
          <w:p>
            <w:pPr>
              <w:ind w:left="220"/>
              <w:spacing w:after="0"/>
              <w:rPr>
                <w:sz w:val="20"/>
                <w:szCs w:val="20"/>
                <w:color w:val="auto"/>
              </w:rPr>
            </w:pPr>
            <w:r>
              <w:rPr>
                <w:rFonts w:ascii="Arial" w:cs="Arial" w:eastAsia="Arial" w:hAnsi="Arial"/>
                <w:sz w:val="18"/>
                <w:szCs w:val="18"/>
                <w:color w:val="auto"/>
              </w:rPr>
              <w:t>Computation of earnings per share (8)</w:t>
            </w:r>
          </w:p>
        </w:tc>
      </w:tr>
      <w:tr>
        <w:trPr>
          <w:trHeight w:val="432"/>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1"/>
              </w:rPr>
              <w:t>31.1</w:t>
            </w:r>
          </w:p>
        </w:tc>
        <w:tc>
          <w:tcPr>
            <w:tcW w:w="980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432"/>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1"/>
              </w:rPr>
              <w:t>31.2</w:t>
            </w:r>
          </w:p>
        </w:tc>
        <w:tc>
          <w:tcPr>
            <w:tcW w:w="9800" w:type="dxa"/>
            <w:vAlign w:val="bottom"/>
          </w:tcPr>
          <w:p>
            <w:pPr>
              <w:ind w:left="2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418"/>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1"/>
              </w:rPr>
              <w:t>32.1</w:t>
            </w:r>
          </w:p>
        </w:tc>
        <w:tc>
          <w:tcPr>
            <w:tcW w:w="9800" w:type="dxa"/>
            <w:vAlign w:val="bottom"/>
          </w:tcPr>
          <w:p>
            <w:pPr>
              <w:ind w:left="220"/>
              <w:spacing w:after="0"/>
              <w:rPr>
                <w:sz w:val="20"/>
                <w:szCs w:val="20"/>
                <w:color w:val="auto"/>
              </w:rPr>
            </w:pPr>
            <w:r>
              <w:rPr>
                <w:rFonts w:ascii="Arial" w:cs="Arial" w:eastAsia="Arial" w:hAnsi="Arial"/>
                <w:sz w:val="18"/>
                <w:szCs w:val="18"/>
                <w:color w:val="auto"/>
                <w:w w:val="90"/>
              </w:rPr>
              <w:t>Certification of the Chief Executive Officer pursuant to 18 U.S.C. Section 1350, as adopted pursuant to Section 906 of the Sarbanes-</w:t>
            </w:r>
          </w:p>
        </w:tc>
      </w:tr>
      <w:tr>
        <w:trPr>
          <w:trHeight w:val="230"/>
        </w:trPr>
        <w:tc>
          <w:tcPr>
            <w:tcW w:w="1620" w:type="dxa"/>
            <w:vAlign w:val="bottom"/>
          </w:tcPr>
          <w:p>
            <w:pPr>
              <w:spacing w:after="0"/>
              <w:rPr>
                <w:sz w:val="20"/>
                <w:szCs w:val="20"/>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Oxley Act of 2002 (filed herewith)</w:t>
            </w:r>
          </w:p>
        </w:tc>
      </w:tr>
      <w:tr>
        <w:trPr>
          <w:trHeight w:val="418"/>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1"/>
              </w:rPr>
              <w:t>32.2</w:t>
            </w:r>
          </w:p>
        </w:tc>
        <w:tc>
          <w:tcPr>
            <w:tcW w:w="9800" w:type="dxa"/>
            <w:vAlign w:val="bottom"/>
          </w:tcPr>
          <w:p>
            <w:pPr>
              <w:ind w:left="22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w:t>
            </w:r>
          </w:p>
        </w:tc>
      </w:tr>
      <w:tr>
        <w:trPr>
          <w:trHeight w:val="230"/>
        </w:trPr>
        <w:tc>
          <w:tcPr>
            <w:tcW w:w="1620" w:type="dxa"/>
            <w:vAlign w:val="bottom"/>
          </w:tcPr>
          <w:p>
            <w:pPr>
              <w:spacing w:after="0"/>
              <w:rPr>
                <w:sz w:val="20"/>
                <w:szCs w:val="20"/>
                <w:color w:val="auto"/>
              </w:rPr>
            </w:pPr>
          </w:p>
        </w:tc>
        <w:tc>
          <w:tcPr>
            <w:tcW w:w="9800" w:type="dxa"/>
            <w:vAlign w:val="bottom"/>
          </w:tcPr>
          <w:p>
            <w:pPr>
              <w:ind w:left="220"/>
              <w:spacing w:after="0"/>
              <w:rPr>
                <w:sz w:val="20"/>
                <w:szCs w:val="20"/>
                <w:color w:val="auto"/>
              </w:rPr>
            </w:pPr>
            <w:r>
              <w:rPr>
                <w:rFonts w:ascii="Arial" w:cs="Arial" w:eastAsia="Arial" w:hAnsi="Arial"/>
                <w:sz w:val="18"/>
                <w:szCs w:val="18"/>
                <w:color w:val="auto"/>
              </w:rPr>
              <w:t>Oxley Act of 2002 (filed herewith)</w:t>
            </w:r>
          </w:p>
        </w:tc>
      </w:tr>
      <w:tr>
        <w:trPr>
          <w:trHeight w:val="432"/>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2"/>
              </w:rPr>
              <w:t>101.INS</w:t>
            </w:r>
          </w:p>
        </w:tc>
        <w:tc>
          <w:tcPr>
            <w:tcW w:w="980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3"/>
              </w:rPr>
              <w:t>101.SCH</w:t>
            </w:r>
          </w:p>
        </w:tc>
        <w:tc>
          <w:tcPr>
            <w:tcW w:w="980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432"/>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7"/>
              </w:rPr>
              <w:t>101.CAL</w:t>
            </w:r>
          </w:p>
        </w:tc>
        <w:tc>
          <w:tcPr>
            <w:tcW w:w="980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432"/>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0"/>
              </w:rPr>
              <w:t>101.DEF</w:t>
            </w:r>
          </w:p>
        </w:tc>
        <w:tc>
          <w:tcPr>
            <w:tcW w:w="980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432"/>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98"/>
              </w:rPr>
              <w:t>101.LAB</w:t>
            </w:r>
          </w:p>
        </w:tc>
        <w:tc>
          <w:tcPr>
            <w:tcW w:w="980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432"/>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88"/>
              </w:rPr>
              <w:t>101.PRE</w:t>
            </w:r>
          </w:p>
        </w:tc>
        <w:tc>
          <w:tcPr>
            <w:tcW w:w="980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54"/>
        </w:trPr>
        <w:tc>
          <w:tcPr>
            <w:tcW w:w="1620" w:type="dxa"/>
            <w:vAlign w:val="bottom"/>
            <w:tcBorders>
              <w:bottom w:val="single" w:sz="8" w:color="auto"/>
            </w:tcBorders>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r>
      <w:tr>
        <w:trPr>
          <w:trHeight w:val="460"/>
        </w:trPr>
        <w:tc>
          <w:tcPr>
            <w:tcW w:w="162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ind w:left="400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420"/>
          </w:cols>
          <w:pgMar w:left="240" w:top="661" w:right="239" w:bottom="670" w:gutter="0" w:footer="0" w:header="0"/>
        </w:sectPr>
      </w:pPr>
    </w:p>
    <w:bookmarkStart w:id="74" w:name="page75"/>
    <w:bookmarkEnd w:id="74"/>
    <w:p>
      <w:pPr>
        <w:ind w:left="332" w:hanging="332"/>
        <w:spacing w:after="0"/>
        <w:tabs>
          <w:tab w:leader="none" w:pos="332"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June 13, 2013.</w:t>
      </w:r>
    </w:p>
    <w:p>
      <w:pPr>
        <w:spacing w:after="0" w:line="196" w:lineRule="exact"/>
        <w:rPr>
          <w:rFonts w:ascii="Arial" w:cs="Arial" w:eastAsia="Arial" w:hAnsi="Arial"/>
          <w:sz w:val="17"/>
          <w:szCs w:val="17"/>
          <w:color w:val="auto"/>
        </w:rPr>
      </w:pPr>
    </w:p>
    <w:p>
      <w:pPr>
        <w:ind w:left="332" w:right="260" w:hanging="332"/>
        <w:spacing w:after="0" w:line="277" w:lineRule="auto"/>
        <w:tabs>
          <w:tab w:leader="none" w:pos="3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spacing w:after="0" w:line="143"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spacing w:after="0" w:line="129" w:lineRule="exact"/>
        <w:rPr>
          <w:rFonts w:ascii="Arial" w:cs="Arial" w:eastAsia="Arial" w:hAnsi="Arial"/>
          <w:sz w:val="18"/>
          <w:szCs w:val="18"/>
          <w:color w:val="auto"/>
        </w:rPr>
      </w:pPr>
    </w:p>
    <w:p>
      <w:pPr>
        <w:ind w:left="332" w:hanging="332"/>
        <w:spacing w:after="0"/>
        <w:tabs>
          <w:tab w:leader="none" w:pos="3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Exhibit 99.1 of the Registrant’s Form 8-K filed with the SEC on January 6, 2011.</w:t>
      </w:r>
    </w:p>
    <w:p>
      <w:pPr>
        <w:spacing w:after="0" w:line="144" w:lineRule="exact"/>
        <w:rPr>
          <w:rFonts w:ascii="Arial" w:cs="Arial" w:eastAsia="Arial" w:hAnsi="Arial"/>
          <w:sz w:val="18"/>
          <w:szCs w:val="18"/>
          <w:color w:val="auto"/>
        </w:rPr>
      </w:pPr>
    </w:p>
    <w:p>
      <w:pPr>
        <w:ind w:left="332" w:hanging="332"/>
        <w:spacing w:after="0"/>
        <w:tabs>
          <w:tab w:leader="none" w:pos="3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May 10, 2013.</w:t>
      </w:r>
    </w:p>
    <w:p>
      <w:pPr>
        <w:spacing w:after="0" w:line="184" w:lineRule="exact"/>
        <w:rPr>
          <w:rFonts w:ascii="Arial" w:cs="Arial" w:eastAsia="Arial" w:hAnsi="Arial"/>
          <w:sz w:val="18"/>
          <w:szCs w:val="18"/>
          <w:color w:val="auto"/>
        </w:rPr>
      </w:pPr>
    </w:p>
    <w:p>
      <w:pPr>
        <w:ind w:left="332" w:hanging="332"/>
        <w:spacing w:after="0"/>
        <w:tabs>
          <w:tab w:leader="none" w:pos="3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with the SEC on April 18, 2013.</w:t>
      </w:r>
    </w:p>
    <w:p>
      <w:pPr>
        <w:spacing w:after="0" w:line="198" w:lineRule="exact"/>
        <w:rPr>
          <w:rFonts w:ascii="Arial" w:cs="Arial" w:eastAsia="Arial" w:hAnsi="Arial"/>
          <w:sz w:val="18"/>
          <w:szCs w:val="18"/>
          <w:color w:val="auto"/>
        </w:rPr>
      </w:pPr>
    </w:p>
    <w:p>
      <w:pPr>
        <w:ind w:left="332" w:hanging="332"/>
        <w:spacing w:after="0"/>
        <w:tabs>
          <w:tab w:leader="none" w:pos="332"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September 24, 2013.</w:t>
      </w:r>
    </w:p>
    <w:p>
      <w:pPr>
        <w:spacing w:after="0" w:line="196" w:lineRule="exact"/>
        <w:rPr>
          <w:rFonts w:ascii="Arial" w:cs="Arial" w:eastAsia="Arial" w:hAnsi="Arial"/>
          <w:sz w:val="17"/>
          <w:szCs w:val="17"/>
          <w:color w:val="auto"/>
        </w:rPr>
      </w:pPr>
    </w:p>
    <w:p>
      <w:pPr>
        <w:ind w:left="332" w:hanging="332"/>
        <w:spacing w:after="0"/>
        <w:tabs>
          <w:tab w:leader="none" w:pos="3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from Note 21 – Basic and Diluted Earnings per Share to the unaudited Consolidated Financial Statements.</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32"/>
          </w:cols>
          <w:pgMar w:left="248" w:top="665" w:right="319" w:bottom="1440" w:gutter="0" w:footer="0" w:header="0"/>
        </w:sectPr>
      </w:pPr>
    </w:p>
    <w:bookmarkStart w:id="75" w:name="page76"/>
    <w:bookmarkEnd w:id="7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OCWEN FINANCIAL CORPORATION</w:t>
      </w:r>
    </w:p>
    <w:p>
      <w:pPr>
        <w:spacing w:after="0" w:line="229" w:lineRule="exact"/>
        <w:rPr>
          <w:sz w:val="20"/>
          <w:szCs w:val="20"/>
          <w:color w:val="auto"/>
        </w:rPr>
      </w:pPr>
    </w:p>
    <w:p>
      <w:pPr>
        <w:spacing w:after="0"/>
        <w:tabs>
          <w:tab w:leader="none" w:pos="680" w:val="left"/>
          <w:tab w:leader="none" w:pos="4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2013</w:t>
      </w:r>
      <w:r>
        <w:rPr>
          <w:sz w:val="20"/>
          <w:szCs w:val="20"/>
          <w:color w:val="auto"/>
        </w:rPr>
        <w:tab/>
      </w:r>
      <w:r>
        <w:rPr>
          <w:rFonts w:ascii="Arial" w:cs="Arial" w:eastAsia="Arial" w:hAnsi="Arial"/>
          <w:sz w:val="16"/>
          <w:szCs w:val="16"/>
          <w:color w:val="auto"/>
        </w:rPr>
        <w:t>By: /s/ John V. Britti</w:t>
      </w:r>
    </w:p>
    <w:p>
      <w:pPr>
        <w:spacing w:after="0" w:line="3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-130175</wp:posOffset>
            </wp:positionV>
            <wp:extent cx="21780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(On behalf of the Registrant and as its principal financial officer)</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661" w:right="3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148590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10.4</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SALE SUPPLEMENT</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Amendment (the “Amendment”), dated as of September 30, 2013, between Ocwen Loan Servicing, LLC, a Delaware limited liability company (“Seller”), HLSS Holdings, LLC, a Delaware limited liability company (“Holdings”) and Home Loan Servicing Solutions, Ltd. (“HLSS” and, together with Holdings, the “Purchasers”):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98"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WHEREAS, Seller and Holdings entered into that certain Master Servicing Rights Purchase Agreement, dated as of February 10, 2012 (as amended, supplemented and modified from time to time, the “Original Agreement”), with respect to the sale by Seller and the purchase by Holdings of certain Rights to MSRs, Servicing Rights and other assets;</w:t>
      </w:r>
    </w:p>
    <w:p>
      <w:pPr>
        <w:spacing w:after="0" w:line="14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WHEREAS, Seller and Holdings terminated the Original Agreement pursuant to certain Master Servicing Rights Purchase Agreement, dated as of October 1, 2012 (as amended, supplemented and modified from time to time, the “Agreement”), which also provided for the sale by Seller and the purchase by Holdings of certain Rights to MSRs, Servicing Rights and other assets;</w:t>
      </w:r>
    </w:p>
    <w:p>
      <w:pPr>
        <w:spacing w:after="0" w:line="14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WHEREAS, Seller and Holdings entered into that certain Sale Supplement dated as of July 1, 2013 (collectively, as amended, supplemented and modified from time to time, the “Sale Supplement”); and</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Seller and Purchasers desire to amend the Sale Supplement to make amend certain definitions and schedules thereto;</w:t>
      </w:r>
    </w:p>
    <w:p>
      <w:pPr>
        <w:spacing w:after="0" w:line="196" w:lineRule="exact"/>
        <w:rPr>
          <w:sz w:val="20"/>
          <w:szCs w:val="20"/>
          <w:color w:val="auto"/>
        </w:rPr>
      </w:pPr>
    </w:p>
    <w:p>
      <w:pPr>
        <w:ind w:right="800" w:firstLine="1297"/>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consideration of the mutual covenants herein contained, the parties hereto hereby agree as follows: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98"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Amendment of Sale Supplement</w:t>
      </w:r>
      <w:r>
        <w:rPr>
          <w:rFonts w:ascii="Arial" w:cs="Arial" w:eastAsia="Arial" w:hAnsi="Arial"/>
          <w:sz w:val="16"/>
          <w:szCs w:val="16"/>
          <w:color w:val="auto"/>
        </w:rPr>
        <w:t>. The Sale Supplement shall be deemed amended as follows:</w:t>
      </w:r>
    </w:p>
    <w:p>
      <w:pPr>
        <w:spacing w:after="0" w:line="185" w:lineRule="exact"/>
        <w:rPr>
          <w:sz w:val="20"/>
          <w:szCs w:val="20"/>
          <w:color w:val="auto"/>
        </w:rPr>
      </w:pPr>
    </w:p>
    <w:p>
      <w:pPr>
        <w:ind w:left="660" w:right="320" w:firstLine="645"/>
        <w:spacing w:after="0" w:line="277" w:lineRule="auto"/>
        <w:tabs>
          <w:tab w:leader="none" w:pos="2003"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definition of Excess Servicing Fees, “9.0 annualized basis points” in clause (i) therein shall be deleted in its entirety and replaced with “10.5 annualized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77" w:name="page78"/>
    <w:bookmarkEnd w:id="77"/>
    <w:p>
      <w:pPr>
        <w:ind w:left="660" w:right="460" w:firstLine="645"/>
        <w:spacing w:after="0" w:line="277" w:lineRule="auto"/>
        <w:tabs>
          <w:tab w:leader="none" w:pos="2013"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Schedule I, Schedule III, Schedule IV, and Schedule V of the Sale Supplement is hereby amended by deleting such Schedule in its entirety and inserting Schedules I, III, IV and V hereto, respectively.</w:t>
      </w:r>
    </w:p>
    <w:p>
      <w:pPr>
        <w:spacing w:after="0" w:line="129" w:lineRule="exact"/>
        <w:rPr>
          <w:rFonts w:ascii="Arial" w:cs="Arial" w:eastAsia="Arial" w:hAnsi="Arial"/>
          <w:sz w:val="18"/>
          <w:szCs w:val="18"/>
          <w:color w:val="auto"/>
        </w:rPr>
      </w:pPr>
    </w:p>
    <w:p>
      <w:pPr>
        <w:ind w:left="2000" w:hanging="695"/>
        <w:spacing w:after="0"/>
        <w:tabs>
          <w:tab w:leader="none" w:pos="2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these amendments shall be deemed effective as of July 1, 2013.</w:t>
      </w:r>
    </w:p>
    <w:p>
      <w:pPr>
        <w:spacing w:after="0" w:line="198"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Limited Effect</w:t>
      </w:r>
      <w:r>
        <w:rPr>
          <w:rFonts w:ascii="Arial" w:cs="Arial" w:eastAsia="Arial" w:hAnsi="Arial"/>
          <w:sz w:val="18"/>
          <w:szCs w:val="18"/>
          <w:color w:val="auto"/>
        </w:rPr>
        <w:t>. Except as expressly amended and modified by this Amendment, the Agreement and the Sale Supplement shall continue to be, and shall remain, in full force and effect in accordance with their terms.</w:t>
      </w:r>
    </w:p>
    <w:p>
      <w:pPr>
        <w:spacing w:after="0" w:line="130"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each of the parties hereto on any number of separate counterparts, each of which shall be an original and all of which taken together shall constitute one and the same instrument.</w:t>
      </w:r>
    </w:p>
    <w:p>
      <w:pPr>
        <w:spacing w:after="0" w:line="13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REFERENCE TO ITS CONFLICT OF LAW PROVISIONS (OTHER THAN SECTION 5-1401 AND SECTION 5-1402 OF THE GENERAL OBLIGATIONS LAW) AND THE OBLIGATIONS, RIGHTS AND REMEDIES OF THE PARTIES HEREUNDER AND THEREUNDER SHALL BE DETERMINED IN ACCORDANCE WITH SUCH LAWS.</w:t>
      </w:r>
    </w:p>
    <w:p>
      <w:pPr>
        <w:spacing w:after="0" w:line="160"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but not defined herein have the meaning set forth in the Agreement.</w:t>
      </w:r>
    </w:p>
    <w:p>
      <w:pPr>
        <w:spacing w:after="0" w:line="18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78" w:name="page79"/>
    <w:bookmarkEnd w:id="78"/>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and delivered by its respective officer thereunto duly authorized as of the date above written.</w:t>
      </w:r>
    </w:p>
    <w:p>
      <w:pPr>
        <w:spacing w:after="0" w:line="15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OCWEN LOAN SERVICING, LLC</w:t>
      </w: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Ocwen Mortgage Servicing, Inc., as its sole member</w:t>
      </w:r>
    </w:p>
    <w:p>
      <w:pPr>
        <w:spacing w:after="0" w:line="198" w:lineRule="exact"/>
        <w:rPr>
          <w:sz w:val="20"/>
          <w:szCs w:val="20"/>
          <w:color w:val="auto"/>
        </w:rPr>
      </w:pPr>
    </w:p>
    <w:p>
      <w:pPr>
        <w:ind w:left="558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L. Cooperstein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14605</wp:posOffset>
            </wp:positionV>
            <wp:extent cx="33445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Richard L. Cooperstein</w:t>
      </w:r>
    </w:p>
    <w:p>
      <w:pPr>
        <w:spacing w:after="0" w:line="198" w:lineRule="exact"/>
        <w:rPr>
          <w:sz w:val="20"/>
          <w:szCs w:val="20"/>
          <w:color w:val="auto"/>
        </w:rPr>
      </w:pPr>
    </w:p>
    <w:p>
      <w:pPr>
        <w:ind w:left="5580"/>
        <w:spacing w:after="0"/>
        <w:tabs>
          <w:tab w:leader="none" w:pos="6140" w:val="left"/>
        </w:tabs>
        <w:rPr>
          <w:sz w:val="20"/>
          <w:szCs w:val="20"/>
          <w:color w:val="auto"/>
        </w:rPr>
      </w:pPr>
      <w:r>
        <w:rPr>
          <w:rFonts w:ascii="Arial" w:cs="Arial" w:eastAsia="Arial" w:hAnsi="Arial"/>
          <w:sz w:val="18"/>
          <w:szCs w:val="18"/>
          <w:color w:val="auto"/>
        </w:rPr>
        <w:t>Title:</w:t>
        <w:tab/>
        <w:t>Treasurer</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HLSS HOLDINGS, LLC</w:t>
      </w:r>
    </w:p>
    <w:p>
      <w:pPr>
        <w:spacing w:after="0" w:line="202" w:lineRule="exact"/>
        <w:rPr>
          <w:sz w:val="20"/>
          <w:szCs w:val="20"/>
          <w:color w:val="auto"/>
        </w:rPr>
      </w:pPr>
    </w:p>
    <w:p>
      <w:pPr>
        <w:ind w:left="558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Lauter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14605</wp:posOffset>
            </wp:positionV>
            <wp:extent cx="33445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James Lauter</w:t>
      </w:r>
    </w:p>
    <w:p>
      <w:pPr>
        <w:spacing w:after="0" w:line="198" w:lineRule="exact"/>
        <w:rPr>
          <w:sz w:val="20"/>
          <w:szCs w:val="20"/>
          <w:color w:val="auto"/>
        </w:rPr>
      </w:pPr>
    </w:p>
    <w:p>
      <w:pPr>
        <w:ind w:left="5580"/>
        <w:spacing w:after="0"/>
        <w:tabs>
          <w:tab w:leader="none" w:pos="6140" w:val="left"/>
        </w:tabs>
        <w:rPr>
          <w:sz w:val="20"/>
          <w:szCs w:val="20"/>
          <w:color w:val="auto"/>
        </w:rPr>
      </w:pPr>
      <w:r>
        <w:rPr>
          <w:rFonts w:ascii="Arial" w:cs="Arial" w:eastAsia="Arial" w:hAnsi="Arial"/>
          <w:sz w:val="18"/>
          <w:szCs w:val="18"/>
          <w:color w:val="auto"/>
        </w:rPr>
        <w:t>Title:</w:t>
        <w:tab/>
        <w:t>Senior Vice President and CFO</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HOME LOAN SERVICING SOLUTIONS, LTD.</w:t>
      </w:r>
    </w:p>
    <w:p>
      <w:pPr>
        <w:spacing w:after="0" w:line="202" w:lineRule="exact"/>
        <w:rPr>
          <w:sz w:val="20"/>
          <w:szCs w:val="20"/>
          <w:color w:val="auto"/>
        </w:rPr>
      </w:pPr>
    </w:p>
    <w:p>
      <w:pPr>
        <w:ind w:left="558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Lauter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14605</wp:posOffset>
            </wp:positionV>
            <wp:extent cx="33445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James Lauter</w:t>
      </w:r>
    </w:p>
    <w:p>
      <w:pPr>
        <w:spacing w:after="0" w:line="198" w:lineRule="exact"/>
        <w:rPr>
          <w:sz w:val="20"/>
          <w:szCs w:val="20"/>
          <w:color w:val="auto"/>
        </w:rPr>
      </w:pPr>
    </w:p>
    <w:p>
      <w:pPr>
        <w:ind w:left="5580"/>
        <w:spacing w:after="0"/>
        <w:tabs>
          <w:tab w:leader="none" w:pos="6140" w:val="left"/>
        </w:tabs>
        <w:rPr>
          <w:sz w:val="20"/>
          <w:szCs w:val="20"/>
          <w:color w:val="auto"/>
        </w:rPr>
      </w:pPr>
      <w:r>
        <w:rPr>
          <w:rFonts w:ascii="Arial" w:cs="Arial" w:eastAsia="Arial" w:hAnsi="Arial"/>
          <w:sz w:val="18"/>
          <w:szCs w:val="18"/>
          <w:color w:val="auto"/>
        </w:rPr>
        <w:t>Title:</w:t>
        <w:tab/>
        <w:t>Senior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00"/>
          </w:cols>
          <w:pgMar w:left="240" w:top="665" w:right="6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80" w:type="dxa"/>
            <w:vAlign w:val="bottom"/>
            <w:gridSpan w:val="3"/>
          </w:tcPr>
          <w:p>
            <w:pPr>
              <w:ind w:left="1620"/>
              <w:spacing w:after="0"/>
              <w:rPr>
                <w:sz w:val="20"/>
                <w:szCs w:val="20"/>
                <w:color w:val="auto"/>
              </w:rPr>
            </w:pPr>
            <w:r>
              <w:rPr>
                <w:rFonts w:ascii="Arial" w:cs="Arial" w:eastAsia="Arial" w:hAnsi="Arial"/>
                <w:sz w:val="18"/>
                <w:szCs w:val="18"/>
                <w:b w:val="1"/>
                <w:bCs w:val="1"/>
                <w:color w:val="auto"/>
              </w:rPr>
              <w:t>SCHEDULE I</w:t>
            </w:r>
          </w:p>
        </w:tc>
      </w:tr>
      <w:tr>
        <w:trPr>
          <w:trHeight w:val="432"/>
        </w:trPr>
        <w:tc>
          <w:tcPr>
            <w:tcW w:w="2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80" w:type="dxa"/>
            <w:vAlign w:val="bottom"/>
            <w:gridSpan w:val="3"/>
          </w:tcPr>
          <w:p>
            <w:pPr>
              <w:ind w:left="1000"/>
              <w:spacing w:after="0"/>
              <w:rPr>
                <w:sz w:val="20"/>
                <w:szCs w:val="20"/>
                <w:color w:val="auto"/>
              </w:rPr>
            </w:pPr>
            <w:r>
              <w:rPr>
                <w:rFonts w:ascii="Arial" w:cs="Arial" w:eastAsia="Arial" w:hAnsi="Arial"/>
                <w:sz w:val="18"/>
                <w:szCs w:val="18"/>
                <w:b w:val="1"/>
                <w:bCs w:val="1"/>
                <w:color w:val="auto"/>
              </w:rPr>
              <w:t>SERVICING AGREEMENTS</w:t>
            </w:r>
          </w:p>
        </w:tc>
      </w:tr>
      <w:tr>
        <w:trPr>
          <w:trHeight w:val="351"/>
        </w:trPr>
        <w:tc>
          <w:tcPr>
            <w:tcW w:w="3540" w:type="dxa"/>
            <w:vAlign w:val="bottom"/>
            <w:gridSpan w:val="3"/>
          </w:tcPr>
          <w:p>
            <w:pPr>
              <w:jc w:val="center"/>
              <w:ind w:left="1730"/>
              <w:spacing w:after="0"/>
              <w:rPr>
                <w:sz w:val="20"/>
                <w:szCs w:val="20"/>
                <w:color w:val="auto"/>
              </w:rPr>
            </w:pPr>
            <w:r>
              <w:rPr>
                <w:rFonts w:ascii="Arial" w:cs="Arial" w:eastAsia="Arial" w:hAnsi="Arial"/>
                <w:sz w:val="18"/>
                <w:szCs w:val="18"/>
                <w:b w:val="1"/>
                <w:bCs w:val="1"/>
                <w:color w:val="auto"/>
                <w:w w:val="92"/>
              </w:rPr>
              <w:t>Investor Number</w:t>
            </w:r>
          </w:p>
        </w:tc>
        <w:tc>
          <w:tcPr>
            <w:tcW w:w="7880" w:type="dxa"/>
            <w:vAlign w:val="bottom"/>
            <w:gridSpan w:val="3"/>
          </w:tcPr>
          <w:p>
            <w:pPr>
              <w:ind w:left="2720"/>
              <w:spacing w:after="0"/>
              <w:rPr>
                <w:sz w:val="20"/>
                <w:szCs w:val="20"/>
                <w:color w:val="auto"/>
              </w:rPr>
            </w:pPr>
            <w:r>
              <w:rPr>
                <w:rFonts w:ascii="Arial" w:cs="Arial" w:eastAsia="Arial" w:hAnsi="Arial"/>
                <w:sz w:val="18"/>
                <w:szCs w:val="18"/>
                <w:b w:val="1"/>
                <w:bCs w:val="1"/>
                <w:color w:val="auto"/>
              </w:rPr>
              <w:t>Deal Name</w:t>
            </w:r>
          </w:p>
        </w:tc>
      </w:tr>
      <w:tr>
        <w:trPr>
          <w:trHeight w:val="195"/>
        </w:trPr>
        <w:tc>
          <w:tcPr>
            <w:tcW w:w="2020" w:type="dxa"/>
            <w:vAlign w:val="bottom"/>
          </w:tcPr>
          <w:p>
            <w:pPr>
              <w:spacing w:after="0"/>
              <w:rPr>
                <w:sz w:val="16"/>
                <w:szCs w:val="16"/>
                <w:color w:val="auto"/>
              </w:rPr>
            </w:pPr>
          </w:p>
        </w:tc>
        <w:tc>
          <w:tcPr>
            <w:tcW w:w="1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2959</w:t>
            </w:r>
          </w:p>
        </w:tc>
        <w:tc>
          <w:tcPr>
            <w:tcW w:w="200" w:type="dxa"/>
            <w:vAlign w:val="bottom"/>
          </w:tcPr>
          <w:p>
            <w:pPr>
              <w:spacing w:after="0"/>
              <w:rPr>
                <w:sz w:val="16"/>
                <w:szCs w:val="16"/>
                <w:color w:val="auto"/>
              </w:rPr>
            </w:pPr>
          </w:p>
        </w:tc>
        <w:tc>
          <w:tcPr>
            <w:tcW w:w="2720" w:type="dxa"/>
            <w:vAlign w:val="bottom"/>
          </w:tcPr>
          <w:p>
            <w:pPr>
              <w:ind w:left="200"/>
              <w:spacing w:after="0" w:line="195" w:lineRule="exact"/>
              <w:rPr>
                <w:sz w:val="20"/>
                <w:szCs w:val="20"/>
                <w:color w:val="auto"/>
              </w:rPr>
            </w:pPr>
            <w:r>
              <w:rPr>
                <w:rFonts w:ascii="Arial" w:cs="Arial" w:eastAsia="Arial" w:hAnsi="Arial"/>
                <w:sz w:val="18"/>
                <w:szCs w:val="18"/>
                <w:color w:val="auto"/>
              </w:rPr>
              <w:t>AMSI 2002-AR1</w:t>
            </w:r>
          </w:p>
        </w:tc>
        <w:tc>
          <w:tcPr>
            <w:tcW w:w="840" w:type="dxa"/>
            <w:vAlign w:val="bottom"/>
            <w:tcBorders>
              <w:top w:val="single" w:sz="8" w:color="auto"/>
            </w:tcBorders>
          </w:tcPr>
          <w:p>
            <w:pPr>
              <w:spacing w:after="0"/>
              <w:rPr>
                <w:sz w:val="16"/>
                <w:szCs w:val="16"/>
                <w:color w:val="auto"/>
              </w:rPr>
            </w:pPr>
          </w:p>
        </w:tc>
        <w:tc>
          <w:tcPr>
            <w:tcW w:w="4320" w:type="dxa"/>
            <w:vAlign w:val="bottom"/>
          </w:tcPr>
          <w:p>
            <w:pPr>
              <w:spacing w:after="0"/>
              <w:rPr>
                <w:sz w:val="16"/>
                <w:szCs w:val="16"/>
                <w:color w:val="auto"/>
              </w:rPr>
            </w:pP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2960</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AMSI 2003-7</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2964</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ARSI 2003-W4</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2965</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ARSI 2004-W3</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2969</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BOND SECURITIZATION 2003-1</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2971</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C-BASS 1999-CB1</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2972</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C-BASS 1999-CB2</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3105</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FREMONT HM LN TR 2002-1</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3106</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FREMONT HM LN TR 2002-2</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3107</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FREMONT HM LN TR 2003-1</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3142</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GSAMP 2003-NC1</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3195</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MLMI 2002-NC1</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3201</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MORGAN STANLEY 2002-AM2</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3203</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MORGAN STANLEY 2002-HE2</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3214</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NAAC 2003-A2</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3234</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PC 2005-2</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3322</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RAAC 2007-SP2</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3327</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RALI 2003-QS17</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3329</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RALI 2003-QS19</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3337</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RALI 2005-QS6</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3346</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RALI 2003-QS15</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3350</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RALI 2004-QA6</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3354</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RALI 2004-QS16</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3358</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RALI 2004-QS7</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3359</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RALI 2005-QA3</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3361</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RALI 2005-QS14</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3362</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RALI 2005-QS16</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3363</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RALI 2005-QS17</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3366</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RALI 2006-QS7</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3371</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RAMP 2003-RP1</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3372</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RAMP 2003-RP2</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3374</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RAMP 2003-SL1</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3381</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RAMP 2005-RP2</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3385</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RAMP 2006-RP1</w:t>
            </w:r>
          </w:p>
        </w:tc>
      </w:tr>
      <w:tr>
        <w:trPr>
          <w:trHeight w:val="203"/>
        </w:trPr>
        <w:tc>
          <w:tcPr>
            <w:tcW w:w="3340" w:type="dxa"/>
            <w:vAlign w:val="bottom"/>
            <w:gridSpan w:val="2"/>
          </w:tcPr>
          <w:p>
            <w:pPr>
              <w:jc w:val="center"/>
              <w:ind w:left="1930"/>
              <w:spacing w:after="0" w:line="202" w:lineRule="exact"/>
              <w:rPr>
                <w:sz w:val="20"/>
                <w:szCs w:val="20"/>
                <w:color w:val="auto"/>
              </w:rPr>
            </w:pPr>
            <w:r>
              <w:rPr>
                <w:rFonts w:ascii="Arial" w:cs="Arial" w:eastAsia="Arial" w:hAnsi="Arial"/>
                <w:sz w:val="18"/>
                <w:szCs w:val="18"/>
                <w:color w:val="auto"/>
                <w:w w:val="89"/>
              </w:rPr>
              <w:t>3386</w:t>
            </w:r>
          </w:p>
        </w:tc>
        <w:tc>
          <w:tcPr>
            <w:tcW w:w="200" w:type="dxa"/>
            <w:vAlign w:val="bottom"/>
          </w:tcPr>
          <w:p>
            <w:pPr>
              <w:spacing w:after="0"/>
              <w:rPr>
                <w:sz w:val="17"/>
                <w:szCs w:val="17"/>
                <w:color w:val="auto"/>
              </w:rPr>
            </w:pPr>
          </w:p>
        </w:tc>
        <w:tc>
          <w:tcPr>
            <w:tcW w:w="78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RAMP 2006-RP2</w:t>
            </w:r>
          </w:p>
        </w:tc>
      </w:tr>
      <w:tr>
        <w:trPr>
          <w:trHeight w:val="230"/>
        </w:trPr>
        <w:tc>
          <w:tcPr>
            <w:tcW w:w="3340" w:type="dxa"/>
            <w:vAlign w:val="bottom"/>
            <w:gridSpan w:val="2"/>
          </w:tcPr>
          <w:p>
            <w:pPr>
              <w:jc w:val="center"/>
              <w:ind w:left="1930"/>
              <w:spacing w:after="0"/>
              <w:rPr>
                <w:sz w:val="20"/>
                <w:szCs w:val="20"/>
                <w:color w:val="auto"/>
              </w:rPr>
            </w:pPr>
            <w:r>
              <w:rPr>
                <w:rFonts w:ascii="Arial" w:cs="Arial" w:eastAsia="Arial" w:hAnsi="Arial"/>
                <w:sz w:val="18"/>
                <w:szCs w:val="18"/>
                <w:color w:val="auto"/>
                <w:w w:val="89"/>
              </w:rPr>
              <w:t>3387</w:t>
            </w:r>
          </w:p>
        </w:tc>
        <w:tc>
          <w:tcPr>
            <w:tcW w:w="200" w:type="dxa"/>
            <w:vAlign w:val="bottom"/>
          </w:tcPr>
          <w:p>
            <w:pPr>
              <w:spacing w:after="0"/>
              <w:rPr>
                <w:sz w:val="20"/>
                <w:szCs w:val="20"/>
                <w:color w:val="auto"/>
              </w:rPr>
            </w:pPr>
          </w:p>
        </w:tc>
        <w:tc>
          <w:tcPr>
            <w:tcW w:w="7880" w:type="dxa"/>
            <w:vAlign w:val="bottom"/>
            <w:gridSpan w:val="3"/>
          </w:tcPr>
          <w:p>
            <w:pPr>
              <w:ind w:left="200"/>
              <w:spacing w:after="0"/>
              <w:rPr>
                <w:sz w:val="20"/>
                <w:szCs w:val="20"/>
                <w:color w:val="auto"/>
              </w:rPr>
            </w:pPr>
            <w:r>
              <w:rPr>
                <w:rFonts w:ascii="Arial" w:cs="Arial" w:eastAsia="Arial" w:hAnsi="Arial"/>
                <w:sz w:val="18"/>
                <w:szCs w:val="18"/>
                <w:color w:val="auto"/>
              </w:rPr>
              <w:t>RAMP 2006-RP3</w:t>
            </w:r>
          </w:p>
        </w:tc>
      </w:tr>
      <w:tr>
        <w:trPr>
          <w:trHeight w:val="439"/>
        </w:trPr>
        <w:tc>
          <w:tcPr>
            <w:tcW w:w="20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3389</w:t>
            </w:r>
          </w:p>
        </w:tc>
        <w:tc>
          <w:tcPr>
            <w:tcW w:w="8120" w:type="dxa"/>
            <w:vAlign w:val="bottom"/>
          </w:tcPr>
          <w:p>
            <w:pPr>
              <w:ind w:left="440"/>
              <w:spacing w:after="0"/>
              <w:rPr>
                <w:sz w:val="20"/>
                <w:szCs w:val="20"/>
                <w:color w:val="auto"/>
              </w:rPr>
            </w:pPr>
            <w:r>
              <w:rPr>
                <w:rFonts w:ascii="Arial" w:cs="Arial" w:eastAsia="Arial" w:hAnsi="Arial"/>
                <w:sz w:val="18"/>
                <w:szCs w:val="18"/>
                <w:color w:val="auto"/>
              </w:rPr>
              <w:t>RAMP 2007-RP1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3392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2007-RP4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3402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SABR 2004-NC3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3404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SBM7 2002-WMC2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3408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Soundview 2001-2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3413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Soundview 2007-2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TERWIN 2003-7SL</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3428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TERWIN 2004-10SL</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3429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TERWIN 2004-2SL</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3430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TERWIN 2004-6SL</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3451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CMLTI 2003-HE2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3535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C-BASS 2003-CB4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3553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2007-S1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3218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Option One 2002-5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3315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RAAC 2005-SP2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3318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RAAC 2006-SP2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3321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RAAC 2007-SP1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2003-QS13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3376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2004-SL1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3380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2005-RP1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2005-SL2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3388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2006-RP4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3390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2007-RP2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3391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2007-RP3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3452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CMLTI 2004-NCM1 (Nat City)</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3778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MSMLT 2007-2AX</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3779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MSMLT 2007-5AX</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3785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2006-15XS</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3787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2007-8XS</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3788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2007-10XS</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3796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2007-11AR</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3810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MSAC 2007-SEA1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2007-13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2007-14AR</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3827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2007-15AR</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3853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Saxon 01-3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3856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Saxon 02-1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3976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ABFC 2001-AQ1</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3977</w:t>
            </w:r>
          </w:p>
        </w:tc>
        <w:tc>
          <w:tcPr>
            <w:tcW w:w="8120" w:type="dxa"/>
            <w:vAlign w:val="bottom"/>
          </w:tcPr>
          <w:p>
            <w:pPr>
              <w:ind w:left="440"/>
              <w:spacing w:after="0"/>
              <w:rPr>
                <w:sz w:val="20"/>
                <w:szCs w:val="20"/>
                <w:color w:val="auto"/>
              </w:rPr>
            </w:pPr>
            <w:r>
              <w:rPr>
                <w:rFonts w:ascii="Arial" w:cs="Arial" w:eastAsia="Arial" w:hAnsi="Arial"/>
                <w:sz w:val="18"/>
                <w:szCs w:val="18"/>
                <w:color w:val="auto"/>
              </w:rPr>
              <w:t>ABFC 2002-OPT1</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3978</w:t>
            </w:r>
          </w:p>
        </w:tc>
        <w:tc>
          <w:tcPr>
            <w:tcW w:w="8120" w:type="dxa"/>
            <w:vAlign w:val="bottom"/>
          </w:tcPr>
          <w:p>
            <w:pPr>
              <w:ind w:left="440"/>
              <w:spacing w:after="0"/>
              <w:rPr>
                <w:sz w:val="20"/>
                <w:szCs w:val="20"/>
                <w:color w:val="auto"/>
              </w:rPr>
            </w:pPr>
            <w:r>
              <w:rPr>
                <w:rFonts w:ascii="Arial" w:cs="Arial" w:eastAsia="Arial" w:hAnsi="Arial"/>
                <w:sz w:val="18"/>
                <w:szCs w:val="18"/>
                <w:color w:val="auto"/>
              </w:rPr>
              <w:t>ABFC 2003-OPT1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ABFC 2005-AQ1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3985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ABFC 2005-HE1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3988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ABFC 2006-OPT1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3989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ABFC 2006-OPT2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3990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ABFC 2006-OPT3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3992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ABSC 2001-HE3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3998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ACE Series 2001-AQ1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4002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ACE Series 2005-SD1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4005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2005-1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4006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2005-2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4007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2006-1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4008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2006-2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4011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2006-5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4012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2006-6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4015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2007-3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4016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2007-4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4017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2007-5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2004-2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2004-3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2004-4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2005-1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2005-2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2005-3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2005-4A</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2005-SD1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4030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2006-2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4031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2006-3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4032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2007-1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4033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2007-2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4034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2007-A</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4036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2007-SD1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2001-2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2001-A</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2002-2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2002-3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2002-4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2002-A</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2002-AR1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2002-B</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4049</w:t>
            </w:r>
          </w:p>
        </w:tc>
        <w:tc>
          <w:tcPr>
            <w:tcW w:w="8120" w:type="dxa"/>
            <w:vAlign w:val="bottom"/>
          </w:tcPr>
          <w:p>
            <w:pPr>
              <w:ind w:left="440"/>
              <w:spacing w:after="0"/>
              <w:rPr>
                <w:sz w:val="20"/>
                <w:szCs w:val="20"/>
                <w:color w:val="auto"/>
              </w:rPr>
            </w:pPr>
            <w:r>
              <w:rPr>
                <w:rFonts w:ascii="Arial" w:cs="Arial" w:eastAsia="Arial" w:hAnsi="Arial"/>
                <w:sz w:val="18"/>
                <w:szCs w:val="18"/>
                <w:color w:val="auto"/>
              </w:rPr>
              <w:t>AMSI 2002-C</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4050</w:t>
            </w:r>
          </w:p>
        </w:tc>
        <w:tc>
          <w:tcPr>
            <w:tcW w:w="8120" w:type="dxa"/>
            <w:vAlign w:val="bottom"/>
          </w:tcPr>
          <w:p>
            <w:pPr>
              <w:ind w:left="440"/>
              <w:spacing w:after="0"/>
              <w:rPr>
                <w:sz w:val="20"/>
                <w:szCs w:val="20"/>
                <w:color w:val="auto"/>
              </w:rPr>
            </w:pPr>
            <w:r>
              <w:rPr>
                <w:rFonts w:ascii="Arial" w:cs="Arial" w:eastAsia="Arial" w:hAnsi="Arial"/>
                <w:sz w:val="18"/>
                <w:szCs w:val="18"/>
                <w:color w:val="auto"/>
              </w:rPr>
              <w:t>AMSI 2002-D</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2003-12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2003-13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2003-AR1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2003-AR2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2003-AR3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2003-IA1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2004-FR1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2004-IA1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2004-R12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4090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4091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4092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4094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4095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2006-R1</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4096</w:t>
            </w:r>
          </w:p>
        </w:tc>
        <w:tc>
          <w:tcPr>
            <w:tcW w:w="8120" w:type="dxa"/>
            <w:vAlign w:val="bottom"/>
          </w:tcPr>
          <w:p>
            <w:pPr>
              <w:ind w:left="440"/>
              <w:spacing w:after="0"/>
              <w:rPr>
                <w:sz w:val="20"/>
                <w:szCs w:val="20"/>
                <w:color w:val="auto"/>
              </w:rPr>
            </w:pPr>
            <w:r>
              <w:rPr>
                <w:rFonts w:ascii="Arial" w:cs="Arial" w:eastAsia="Arial" w:hAnsi="Arial"/>
                <w:sz w:val="18"/>
                <w:szCs w:val="18"/>
                <w:color w:val="auto"/>
              </w:rPr>
              <w:t>AMSI 2006-R2</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4101</w:t>
            </w:r>
          </w:p>
        </w:tc>
        <w:tc>
          <w:tcPr>
            <w:tcW w:w="8120" w:type="dxa"/>
            <w:vAlign w:val="bottom"/>
          </w:tcPr>
          <w:p>
            <w:pPr>
              <w:ind w:left="440"/>
              <w:spacing w:after="0"/>
              <w:rPr>
                <w:sz w:val="20"/>
                <w:szCs w:val="20"/>
                <w:color w:val="auto"/>
              </w:rPr>
            </w:pPr>
            <w:r>
              <w:rPr>
                <w:rFonts w:ascii="Arial" w:cs="Arial" w:eastAsia="Arial" w:hAnsi="Arial"/>
                <w:sz w:val="18"/>
                <w:szCs w:val="18"/>
                <w:color w:val="auto"/>
              </w:rPr>
              <w:t>Lehman ARC 2002-BC6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ARC 2002-BC8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2004-PW1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2005-W1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2005-W3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2005-W4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2006-M1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2006-M2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2006-M3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2006-W3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2006-W4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2006-W5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Banc of America Funding Corp. 2008-1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4142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Bear Stearns ABS I Trust 2006-AC3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4151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Citigroup CMLTI 2006-AMC1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4152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Citigroup CMLTI 2006-HE2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4165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Deutsche DBALT 2006-AB2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4166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Deutsche DBALT 2006-AB3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4167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Deutsche DBALT 2006-AB4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4171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Deutsche DBALT 2006-AR5</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4172</w:t>
            </w:r>
          </w:p>
        </w:tc>
        <w:tc>
          <w:tcPr>
            <w:tcW w:w="8120" w:type="dxa"/>
            <w:vAlign w:val="bottom"/>
          </w:tcPr>
          <w:p>
            <w:pPr>
              <w:ind w:left="440"/>
              <w:spacing w:after="0"/>
              <w:rPr>
                <w:sz w:val="20"/>
                <w:szCs w:val="20"/>
                <w:color w:val="auto"/>
              </w:rPr>
            </w:pPr>
            <w:r>
              <w:rPr>
                <w:rFonts w:ascii="Arial" w:cs="Arial" w:eastAsia="Arial" w:hAnsi="Arial"/>
                <w:sz w:val="18"/>
                <w:szCs w:val="18"/>
                <w:color w:val="auto"/>
              </w:rPr>
              <w:t>Deutsche DBALT 2006-AR6</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4173</w:t>
            </w:r>
          </w:p>
        </w:tc>
        <w:tc>
          <w:tcPr>
            <w:tcW w:w="8120" w:type="dxa"/>
            <w:vAlign w:val="bottom"/>
          </w:tcPr>
          <w:p>
            <w:pPr>
              <w:ind w:left="440"/>
              <w:spacing w:after="0"/>
              <w:rPr>
                <w:sz w:val="20"/>
                <w:szCs w:val="20"/>
                <w:color w:val="auto"/>
              </w:rPr>
            </w:pPr>
            <w:r>
              <w:rPr>
                <w:rFonts w:ascii="Arial" w:cs="Arial" w:eastAsia="Arial" w:hAnsi="Arial"/>
                <w:sz w:val="18"/>
                <w:szCs w:val="18"/>
                <w:color w:val="auto"/>
              </w:rPr>
              <w:t>Deutsche DBALT 2007-1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4175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Deutsche DBALT 2007-AB1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4176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First Franklin 2001-FF1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4177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First Franklin 2001-FF2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4179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GSAA Home Equity 2006-10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GSAA Home Equity 2006-11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GSAA Home Equity 2006-6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GSAA Home Equity 2006-9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GSAMP 2003-HE2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GSAMP 2004-OPT</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GSAMP 2006-S4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GSR 2006-AR1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GSR 2006-AR2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GSR 2006-OA1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4192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HSBC HASCO 2005-I1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4193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HSBC HASCO 2005-OPT1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4198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HSBC HASCO 2007-HE1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4207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HarborView Mortgage Loan Trust 2006-14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4208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HarborView Mortgage Loan Trust 2006-6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4209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HarborView Mortgage Loan Trust 2006-7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4210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HarborView Mortgage Loan Trust 2007-2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4216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Luminent Mortgage Trust 2006-7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4223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MASTR ABS Trust 2007-HE2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4224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MASTR ALT Series 2006-2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MASTR ARM Trust 2005-8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4227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MASTR ARM Trust 2006-OA1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4229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MASTR ARM Trust 2007-1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4231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MESA Trust 2001-2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4237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Merrill Lynch Series 2002-HE1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4240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Merrill Lynch Series 2004-OPT1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4243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Morgan Stanley 2004-OP1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4244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Morgan Stanley 2005-HE1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4245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Morgan Stanley 2005-HE2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4247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Morgan Stanley 2006-5AR</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4255</w:t>
            </w:r>
          </w:p>
        </w:tc>
        <w:tc>
          <w:tcPr>
            <w:tcW w:w="8120" w:type="dxa"/>
            <w:vAlign w:val="bottom"/>
          </w:tcPr>
          <w:p>
            <w:pPr>
              <w:ind w:left="440"/>
              <w:spacing w:after="0"/>
              <w:rPr>
                <w:sz w:val="20"/>
                <w:szCs w:val="20"/>
                <w:color w:val="auto"/>
              </w:rPr>
            </w:pPr>
            <w:r>
              <w:rPr>
                <w:rFonts w:ascii="Arial" w:cs="Arial" w:eastAsia="Arial" w:hAnsi="Arial"/>
                <w:sz w:val="18"/>
                <w:szCs w:val="18"/>
                <w:color w:val="auto"/>
              </w:rPr>
              <w:t>OOMC Loan Trust 1999-A</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4256</w:t>
            </w:r>
          </w:p>
        </w:tc>
        <w:tc>
          <w:tcPr>
            <w:tcW w:w="8120" w:type="dxa"/>
            <w:vAlign w:val="bottom"/>
          </w:tcPr>
          <w:p>
            <w:pPr>
              <w:ind w:left="440"/>
              <w:spacing w:after="0"/>
              <w:rPr>
                <w:sz w:val="20"/>
                <w:szCs w:val="20"/>
                <w:color w:val="auto"/>
              </w:rPr>
            </w:pPr>
            <w:r>
              <w:rPr>
                <w:rFonts w:ascii="Arial" w:cs="Arial" w:eastAsia="Arial" w:hAnsi="Arial"/>
                <w:sz w:val="18"/>
                <w:szCs w:val="18"/>
                <w:color w:val="auto"/>
              </w:rPr>
              <w:t>OOMC Loan Trust 1999-B</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4257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1999-C</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2000-A</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2000-B</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2000-C</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2000-D</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2001-4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2001-A</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2001-B</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2001-C</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2001-D</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4270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2002-2 -STEP</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4272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2002-4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4273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2002-5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4275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2002-A -STEP</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4302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2007-HL1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4304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Woodbridge 2002-2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4308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2002-X1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4309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2003-X2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2003-X3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2003-X4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2004-X1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2004-X2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2004-X3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2005-X1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2005-X2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2006-X1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2006-X2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4324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2003-BC10 Step Fee</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2003-BC11 Step Fee</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2003-BC12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4327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2003-BC13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4328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4329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4331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4332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4333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4334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4337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2004-11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4338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2004-2</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4339</w:t>
            </w:r>
          </w:p>
        </w:tc>
        <w:tc>
          <w:tcPr>
            <w:tcW w:w="8120" w:type="dxa"/>
            <w:vAlign w:val="bottom"/>
          </w:tcPr>
          <w:p>
            <w:pPr>
              <w:ind w:left="440"/>
              <w:spacing w:after="0"/>
              <w:rPr>
                <w:sz w:val="20"/>
                <w:szCs w:val="20"/>
                <w:color w:val="auto"/>
              </w:rPr>
            </w:pPr>
            <w:r>
              <w:rPr>
                <w:rFonts w:ascii="Arial" w:cs="Arial" w:eastAsia="Arial" w:hAnsi="Arial"/>
                <w:sz w:val="18"/>
                <w:szCs w:val="18"/>
                <w:color w:val="auto"/>
              </w:rPr>
              <w:t>Lehman SAIL 2004-3</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4340</w:t>
            </w:r>
          </w:p>
        </w:tc>
        <w:tc>
          <w:tcPr>
            <w:tcW w:w="8120" w:type="dxa"/>
            <w:vAlign w:val="bottom"/>
          </w:tcPr>
          <w:p>
            <w:pPr>
              <w:ind w:left="440"/>
              <w:spacing w:after="0"/>
              <w:rPr>
                <w:sz w:val="20"/>
                <w:szCs w:val="20"/>
                <w:color w:val="auto"/>
              </w:rPr>
            </w:pPr>
            <w:r>
              <w:rPr>
                <w:rFonts w:ascii="Arial" w:cs="Arial" w:eastAsia="Arial" w:hAnsi="Arial"/>
                <w:sz w:val="18"/>
                <w:szCs w:val="18"/>
                <w:color w:val="auto"/>
              </w:rPr>
              <w:t>Lehman SAIL 2004-4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4341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2004-6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4342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2004-7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4344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2004-8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4349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2005-3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4350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2005-4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4351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2005-5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4352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2005-6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4355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2006-BNC3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4356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Bear Stearns SAMI II Trust 2006-AR5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4360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SASCO 1999-BC4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4372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SASCO 2005-S7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4373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SASCO 2005-SC1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4379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SASCO 2006-Z</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4381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SASCO 2007-GEL2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4382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SASCO 2007-TC1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Salomon Brothers 1997-LB6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4385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Salomon Brothers 1998-AQ1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4386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Salomon Brothers 1998-NC7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4403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Soundview 2007-OPT2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4404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Soundview 2007-OPT3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4422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2007-SD2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2652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SGMS 2007-AHL1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2709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NMFT 2003-2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2710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NMFT 2003-3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2711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NMFT 2003-4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2715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NMFT 2004-4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2764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NMI 2006-5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3048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2002-4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3052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2003-3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3056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2004-3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3058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2004-5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3065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2005-C</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3066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2005-5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3067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2005-D</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3114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GPMF 2006-OH1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3115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3116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3117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2006-14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3118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2006-15</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3119</w:t>
            </w:r>
          </w:p>
        </w:tc>
        <w:tc>
          <w:tcPr>
            <w:tcW w:w="8120" w:type="dxa"/>
            <w:vAlign w:val="bottom"/>
          </w:tcPr>
          <w:p>
            <w:pPr>
              <w:ind w:left="440"/>
              <w:spacing w:after="0"/>
              <w:rPr>
                <w:sz w:val="20"/>
                <w:szCs w:val="20"/>
                <w:color w:val="auto"/>
              </w:rPr>
            </w:pPr>
            <w:r>
              <w:rPr>
                <w:rFonts w:ascii="Arial" w:cs="Arial" w:eastAsia="Arial" w:hAnsi="Arial"/>
                <w:sz w:val="18"/>
                <w:szCs w:val="18"/>
                <w:color w:val="auto"/>
              </w:rPr>
              <w:t>GSAA 2006-16</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3120</w:t>
            </w:r>
          </w:p>
        </w:tc>
        <w:tc>
          <w:tcPr>
            <w:tcW w:w="8120" w:type="dxa"/>
            <w:vAlign w:val="bottom"/>
          </w:tcPr>
          <w:p>
            <w:pPr>
              <w:ind w:left="440"/>
              <w:spacing w:after="0"/>
              <w:rPr>
                <w:sz w:val="20"/>
                <w:szCs w:val="20"/>
                <w:color w:val="auto"/>
              </w:rPr>
            </w:pPr>
            <w:r>
              <w:rPr>
                <w:rFonts w:ascii="Arial" w:cs="Arial" w:eastAsia="Arial" w:hAnsi="Arial"/>
                <w:sz w:val="18"/>
                <w:szCs w:val="18"/>
                <w:color w:val="auto"/>
              </w:rPr>
              <w:t>GSAA 2006-17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2006-18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2006-19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2006-20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2007-07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2007-08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2007-09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3140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2006-10F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2006-2F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2006-3F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2006-4F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2006-5F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2006-8F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2006-OA1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2007-1F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2007-2F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3180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2007-4F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3181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2007-5F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3182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2007-AR1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3183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2007-OA1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2007-OA2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3187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Homeowner’s Financial 1996-1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3238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CWABS 2002-03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3241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CWABS 2002-BC1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3243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CWABS 2002-BC3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3244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CWABS 2004-BC2</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3245</w:t>
            </w:r>
          </w:p>
        </w:tc>
        <w:tc>
          <w:tcPr>
            <w:tcW w:w="8120" w:type="dxa"/>
            <w:vAlign w:val="bottom"/>
          </w:tcPr>
          <w:p>
            <w:pPr>
              <w:ind w:left="440"/>
              <w:spacing w:after="0"/>
              <w:rPr>
                <w:sz w:val="20"/>
                <w:szCs w:val="20"/>
                <w:color w:val="auto"/>
              </w:rPr>
            </w:pPr>
            <w:r>
              <w:rPr>
                <w:rFonts w:ascii="Arial" w:cs="Arial" w:eastAsia="Arial" w:hAnsi="Arial"/>
                <w:sz w:val="18"/>
                <w:szCs w:val="18"/>
                <w:color w:val="auto"/>
              </w:rPr>
              <w:t>CWABS 2004-BC3</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3253</w:t>
            </w:r>
          </w:p>
        </w:tc>
        <w:tc>
          <w:tcPr>
            <w:tcW w:w="8120" w:type="dxa"/>
            <w:vAlign w:val="bottom"/>
          </w:tcPr>
          <w:p>
            <w:pPr>
              <w:ind w:left="440"/>
              <w:spacing w:after="0"/>
              <w:rPr>
                <w:sz w:val="20"/>
                <w:szCs w:val="20"/>
                <w:color w:val="auto"/>
              </w:rPr>
            </w:pPr>
            <w:r>
              <w:rPr>
                <w:rFonts w:ascii="Arial" w:cs="Arial" w:eastAsia="Arial" w:hAnsi="Arial"/>
                <w:sz w:val="18"/>
                <w:szCs w:val="18"/>
                <w:color w:val="auto"/>
              </w:rPr>
              <w:t>CWALT 2004-09T1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3260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CWALT 2004-J2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3261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CWALT 2004-J3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3263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CWALT 2004-J8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3264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CWALT 2007-2 CB</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3266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CWALT 2007-6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3267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1998-04 ALT 1998-2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3273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2002-39_CHL 2002-39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3274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2002-J5_CHL 2002-J5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3275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2003-01_CHL 2003-1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3277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2003-03_CHL 2003-03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2003-11_CHL 2003-11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2003-13 ALT 2003-5T2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2003-16 ALT 2003-6T2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2003-22 ALT 2003-9T1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2003-25 ALT 2003-11T1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2003-33 ALT 2003-15T2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2003-34_CHL 2003-34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3293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2003-55 ALT 2003-21T1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3295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2003-J11 ALT 2003-J1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3300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2003-J8_CHL 2003-J8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3304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Popular 2006-C</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3305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Popular 2006-D</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3306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Popular 2006-E</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3314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RAAC 2004-SP3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3324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2002-QS6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3328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2003-QS18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2004-QA3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2004-QS15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2004-QS5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2004-QS8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2001-QS16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2001-QS17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2002-QS10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2002-QS3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2002-QS8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2004-QA4</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3352</w:t>
            </w:r>
          </w:p>
        </w:tc>
        <w:tc>
          <w:tcPr>
            <w:tcW w:w="8120" w:type="dxa"/>
            <w:vAlign w:val="bottom"/>
          </w:tcPr>
          <w:p>
            <w:pPr>
              <w:ind w:left="440"/>
              <w:spacing w:after="0"/>
              <w:rPr>
                <w:sz w:val="20"/>
                <w:szCs w:val="20"/>
                <w:color w:val="auto"/>
              </w:rPr>
            </w:pPr>
            <w:r>
              <w:rPr>
                <w:rFonts w:ascii="Arial" w:cs="Arial" w:eastAsia="Arial" w:hAnsi="Arial"/>
                <w:sz w:val="18"/>
                <w:szCs w:val="18"/>
                <w:color w:val="auto"/>
              </w:rPr>
              <w:t>RALI 2004-QS12</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center"/>
              <w:ind w:left="1950"/>
              <w:spacing w:after="0"/>
              <w:rPr>
                <w:sz w:val="20"/>
                <w:szCs w:val="20"/>
                <w:color w:val="auto"/>
              </w:rPr>
            </w:pPr>
            <w:r>
              <w:rPr>
                <w:rFonts w:ascii="Arial" w:cs="Arial" w:eastAsia="Arial" w:hAnsi="Arial"/>
                <w:sz w:val="18"/>
                <w:szCs w:val="18"/>
                <w:color w:val="auto"/>
                <w:w w:val="89"/>
              </w:rPr>
              <w:t>3353</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2004-QS14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3356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3364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3365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3367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2001-RS3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3377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3378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3379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2005-S8</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3400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2006-S10</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3453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CPT 2004-EC1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3458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Equity One 1999-1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3459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Equity One 2001-3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Equity One 2002-1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3464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Equity One 2005-2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3466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Equity One 2005-3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SASC 2004-13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SASC 2004-7</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3503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UBS 2001-PB1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3504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UBS 2001-PB2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3506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Chase 2003-S13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3797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NMFT 2005-1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3799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NMFT 2005-3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NMI 2006-2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3803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NMI 2006-3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3804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NMI 2006-4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3845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Saxon 99-3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3846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Saxon 99-5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3847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Saxon 00-1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3850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Saxon 00-4</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SARM 2007-3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10636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RFSC 2004-RP1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2007-SA4</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2007-SA3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2007-SA2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2007-SA1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10905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2007-S9</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2007-S8</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2007-S7</w:t>
            </w:r>
          </w:p>
        </w:tc>
      </w:tr>
      <w:tr>
        <w:trPr>
          <w:trHeight w:val="230"/>
        </w:trPr>
        <w:tc>
          <w:tcPr>
            <w:tcW w:w="3320" w:type="dxa"/>
            <w:vAlign w:val="bottom"/>
          </w:tcPr>
          <w:p>
            <w:pPr>
              <w:spacing w:after="0"/>
              <w:rPr>
                <w:sz w:val="20"/>
                <w:szCs w:val="20"/>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RFMSI 2007-S6</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10904</w:t>
            </w:r>
          </w:p>
        </w:tc>
        <w:tc>
          <w:tcPr>
            <w:tcW w:w="8100" w:type="dxa"/>
            <w:vAlign w:val="bottom"/>
          </w:tcPr>
          <w:p>
            <w:pPr>
              <w:ind w:left="420"/>
              <w:spacing w:after="0"/>
              <w:rPr>
                <w:sz w:val="20"/>
                <w:szCs w:val="20"/>
                <w:color w:val="auto"/>
              </w:rPr>
            </w:pPr>
            <w:r>
              <w:rPr>
                <w:rFonts w:ascii="Arial" w:cs="Arial" w:eastAsia="Arial" w:hAnsi="Arial"/>
                <w:sz w:val="18"/>
                <w:szCs w:val="18"/>
                <w:color w:val="auto"/>
              </w:rPr>
              <w:t>RFMSI 2007-S5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10903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2007-S4</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10902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2006-SA4</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2006-SA3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2006-SA2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10901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2006-SA1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2006-S9</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10900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2006-S6</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2006-S12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2006-S11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2005-SA5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2005-SA4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2005-SA3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2005-SA2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2005-SA1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2004-SA1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2004-S4</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10653</w:t>
            </w:r>
          </w:p>
        </w:tc>
        <w:tc>
          <w:tcPr>
            <w:tcW w:w="8100" w:type="dxa"/>
            <w:vAlign w:val="bottom"/>
          </w:tcPr>
          <w:p>
            <w:pPr>
              <w:ind w:left="420"/>
              <w:spacing w:after="0"/>
              <w:rPr>
                <w:sz w:val="20"/>
                <w:szCs w:val="20"/>
                <w:color w:val="auto"/>
              </w:rPr>
            </w:pPr>
            <w:r>
              <w:rPr>
                <w:rFonts w:ascii="Arial" w:cs="Arial" w:eastAsia="Arial" w:hAnsi="Arial"/>
                <w:sz w:val="18"/>
                <w:szCs w:val="18"/>
                <w:color w:val="auto"/>
              </w:rPr>
              <w:t>RFMSI 2004-S3</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10652</w:t>
            </w:r>
          </w:p>
        </w:tc>
        <w:tc>
          <w:tcPr>
            <w:tcW w:w="8100" w:type="dxa"/>
            <w:vAlign w:val="bottom"/>
          </w:tcPr>
          <w:p>
            <w:pPr>
              <w:ind w:left="420"/>
              <w:spacing w:after="0"/>
              <w:rPr>
                <w:sz w:val="20"/>
                <w:szCs w:val="20"/>
                <w:color w:val="auto"/>
              </w:rPr>
            </w:pPr>
            <w:r>
              <w:rPr>
                <w:rFonts w:ascii="Arial" w:cs="Arial" w:eastAsia="Arial" w:hAnsi="Arial"/>
                <w:sz w:val="18"/>
                <w:szCs w:val="18"/>
                <w:color w:val="auto"/>
              </w:rPr>
              <w:t>RFMSI 2004-S2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10606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2004-PS1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2003-S20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10559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10558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10557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10556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10555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10554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2007-KS4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2007-KS3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2007-KS2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2007-KS1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2005-KS11</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10697</w:t>
            </w:r>
          </w:p>
        </w:tc>
        <w:tc>
          <w:tcPr>
            <w:tcW w:w="8100" w:type="dxa"/>
            <w:vAlign w:val="bottom"/>
          </w:tcPr>
          <w:p>
            <w:pPr>
              <w:ind w:left="420"/>
              <w:spacing w:after="0"/>
              <w:rPr>
                <w:sz w:val="20"/>
                <w:szCs w:val="20"/>
                <w:color w:val="auto"/>
              </w:rPr>
            </w:pPr>
            <w:r>
              <w:rPr>
                <w:rFonts w:ascii="Arial" w:cs="Arial" w:eastAsia="Arial" w:hAnsi="Arial"/>
                <w:sz w:val="18"/>
                <w:szCs w:val="18"/>
                <w:color w:val="auto"/>
              </w:rPr>
              <w:t>RASC 2005-KS10</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10696</w:t>
            </w:r>
          </w:p>
        </w:tc>
        <w:tc>
          <w:tcPr>
            <w:tcW w:w="8100" w:type="dxa"/>
            <w:vAlign w:val="bottom"/>
          </w:tcPr>
          <w:p>
            <w:pPr>
              <w:ind w:left="420"/>
              <w:spacing w:after="0"/>
              <w:rPr>
                <w:sz w:val="20"/>
                <w:szCs w:val="20"/>
                <w:color w:val="auto"/>
              </w:rPr>
            </w:pPr>
            <w:r>
              <w:rPr>
                <w:rFonts w:ascii="Arial" w:cs="Arial" w:eastAsia="Arial" w:hAnsi="Arial"/>
                <w:sz w:val="18"/>
                <w:szCs w:val="18"/>
                <w:color w:val="auto"/>
              </w:rPr>
              <w:t>RASC 2005-KS1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10684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2005-AHL3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10683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2005-AHL2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10682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2005-AHL1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10600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10512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10511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10510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10509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10508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10507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10506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10461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2002-KS2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10444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2001-KS3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10443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2001-KS2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2007-RZ1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2007-RS2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2007-RS1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2006-RZ5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2006-RZ4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2006-RZ3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2006-RZ2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2006-RZ1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2006-NC3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2006-NC2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2006-NC1</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10848</w:t>
            </w:r>
          </w:p>
        </w:tc>
        <w:tc>
          <w:tcPr>
            <w:tcW w:w="8100" w:type="dxa"/>
            <w:vAlign w:val="bottom"/>
          </w:tcPr>
          <w:p>
            <w:pPr>
              <w:ind w:left="420"/>
              <w:spacing w:after="0"/>
              <w:rPr>
                <w:sz w:val="20"/>
                <w:szCs w:val="20"/>
                <w:color w:val="auto"/>
              </w:rPr>
            </w:pPr>
            <w:r>
              <w:rPr>
                <w:rFonts w:ascii="Arial" w:cs="Arial" w:eastAsia="Arial" w:hAnsi="Arial"/>
                <w:sz w:val="18"/>
                <w:szCs w:val="18"/>
                <w:color w:val="auto"/>
              </w:rPr>
              <w:t>RAMP 2006-EFC2</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10847</w:t>
            </w:r>
          </w:p>
        </w:tc>
        <w:tc>
          <w:tcPr>
            <w:tcW w:w="8100" w:type="dxa"/>
            <w:vAlign w:val="bottom"/>
          </w:tcPr>
          <w:p>
            <w:pPr>
              <w:ind w:left="420"/>
              <w:spacing w:after="0"/>
              <w:rPr>
                <w:sz w:val="20"/>
                <w:szCs w:val="20"/>
                <w:color w:val="auto"/>
              </w:rPr>
            </w:pPr>
            <w:r>
              <w:rPr>
                <w:rFonts w:ascii="Arial" w:cs="Arial" w:eastAsia="Arial" w:hAnsi="Arial"/>
                <w:sz w:val="18"/>
                <w:szCs w:val="18"/>
                <w:color w:val="auto"/>
              </w:rPr>
              <w:t>RAMP 2006-EFC1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2005-SL2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2005-SL1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2005-RZ4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2005-RZ3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2005-RZ2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2005-RZ1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2005-EFC6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2005-EFC5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2005-EFC4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2005-EFC3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2005-EFC2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10689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2005-EFC1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2004-RZ4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2004-RZ3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2004-RZ1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10639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10638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2004-KR2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2004-KR1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2003-SL1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10546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2003-RS7</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10544</w:t>
            </w:r>
          </w:p>
        </w:tc>
        <w:tc>
          <w:tcPr>
            <w:tcW w:w="8100" w:type="dxa"/>
            <w:vAlign w:val="bottom"/>
          </w:tcPr>
          <w:p>
            <w:pPr>
              <w:ind w:left="420"/>
              <w:spacing w:after="0"/>
              <w:rPr>
                <w:sz w:val="20"/>
                <w:szCs w:val="20"/>
                <w:color w:val="auto"/>
              </w:rPr>
            </w:pPr>
            <w:r>
              <w:rPr>
                <w:rFonts w:ascii="Arial" w:cs="Arial" w:eastAsia="Arial" w:hAnsi="Arial"/>
                <w:sz w:val="18"/>
                <w:szCs w:val="18"/>
                <w:color w:val="auto"/>
              </w:rPr>
              <w:t>RAMP 2003-RS10</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10499</w:t>
            </w:r>
          </w:p>
        </w:tc>
        <w:tc>
          <w:tcPr>
            <w:tcW w:w="8100" w:type="dxa"/>
            <w:vAlign w:val="bottom"/>
          </w:tcPr>
          <w:p>
            <w:pPr>
              <w:ind w:left="420"/>
              <w:spacing w:after="0"/>
              <w:rPr>
                <w:sz w:val="20"/>
                <w:szCs w:val="20"/>
                <w:color w:val="auto"/>
              </w:rPr>
            </w:pPr>
            <w:r>
              <w:rPr>
                <w:rFonts w:ascii="Arial" w:cs="Arial" w:eastAsia="Arial" w:hAnsi="Arial"/>
                <w:sz w:val="18"/>
                <w:szCs w:val="18"/>
                <w:color w:val="auto"/>
              </w:rPr>
              <w:t>RAMP 2002-SL1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2002-RZ3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10496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2002-RZ2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2002-RS3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2002-RS2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2001-RS2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2007-QS9</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10670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2007-QS10</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2007-QA5</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2007-QA4</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2007-QA3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2007-QA2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2007-QA1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2006-QS8</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2006-QS18</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2006-QS15</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10816</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2006-QA9</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10815</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2006-QA8</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2006-QA11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10742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10741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10740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2005-QA6</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2005-QA1</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10635</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2004-QS9</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10634</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2004-QS8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10633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10632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10631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10630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2004-QA6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2004-QA5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2004-QA4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2004-QA3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2004-QA2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2004-QA1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2003-QS23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2003-QS22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2003-QS21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2003-QS20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2003-QS13</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10520</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2003-QS12</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10519</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2003-QS11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10518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10517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2003-QA1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10490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10479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10478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10477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10476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10475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10474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10458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2001-QS19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10457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2001-QS18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10456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2001-QS17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10455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2001-QS16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10454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2001-QS13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2007-SP3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2007-SP2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2007-SP1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2007-RP4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2007-RP3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2007-RP2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2007-RP1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2006-SP4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2006-SP3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2006-SP2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2006-SP1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2006-RP4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2006-RP3</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10799</w:t>
            </w:r>
          </w:p>
        </w:tc>
        <w:tc>
          <w:tcPr>
            <w:tcW w:w="8100" w:type="dxa"/>
            <w:vAlign w:val="bottom"/>
          </w:tcPr>
          <w:p>
            <w:pPr>
              <w:ind w:left="420"/>
              <w:spacing w:after="0"/>
              <w:rPr>
                <w:sz w:val="20"/>
                <w:szCs w:val="20"/>
                <w:color w:val="auto"/>
              </w:rPr>
            </w:pPr>
            <w:r>
              <w:rPr>
                <w:rFonts w:ascii="Arial" w:cs="Arial" w:eastAsia="Arial" w:hAnsi="Arial"/>
                <w:sz w:val="18"/>
                <w:szCs w:val="18"/>
                <w:color w:val="auto"/>
              </w:rPr>
              <w:t>RAAC 2006-RP2</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center"/>
              <w:ind w:left="1950"/>
              <w:spacing w:after="0"/>
              <w:rPr>
                <w:sz w:val="20"/>
                <w:szCs w:val="20"/>
                <w:color w:val="auto"/>
              </w:rPr>
            </w:pPr>
            <w:r>
              <w:rPr>
                <w:rFonts w:ascii="Arial" w:cs="Arial" w:eastAsia="Arial" w:hAnsi="Arial"/>
                <w:sz w:val="18"/>
                <w:szCs w:val="18"/>
                <w:color w:val="auto"/>
                <w:w w:val="87"/>
              </w:rPr>
              <w:t>10798</w:t>
            </w:r>
          </w:p>
        </w:tc>
        <w:tc>
          <w:tcPr>
            <w:tcW w:w="8100" w:type="dxa"/>
            <w:vAlign w:val="bottom"/>
          </w:tcPr>
          <w:p>
            <w:pPr>
              <w:ind w:left="420"/>
              <w:spacing w:after="0"/>
              <w:rPr>
                <w:sz w:val="20"/>
                <w:szCs w:val="20"/>
                <w:color w:val="auto"/>
              </w:rPr>
            </w:pPr>
            <w:r>
              <w:rPr>
                <w:rFonts w:ascii="Arial" w:cs="Arial" w:eastAsia="Arial" w:hAnsi="Arial"/>
                <w:sz w:val="18"/>
                <w:szCs w:val="18"/>
                <w:color w:val="auto"/>
              </w:rPr>
              <w:t>RAAC 2006-RP1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2005-SP3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2005-SP2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2005-RP3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2005-RP2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2005-RP1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5216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MSLT 2007-2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MSLT 2007-1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LUM 2006-3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HALO 2007-AR1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GSR 2007-AR1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10789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GSR 2006-AR2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GSR 2006-AR2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2006-J1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2006-AR2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2006-AR1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2005-J1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2005-AR6</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2005-AR5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2005-AR4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2005-AR3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2005-AR2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2005-AR1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2005-AF2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2005-AF1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2005-AA1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2004-J6</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2004-J5</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2004-J4</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2004-J3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2004-J2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2004-J1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2004-GH1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2004-AR2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2004-AR1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2003-J9</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2003-J8</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2003-J7</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2003-J6</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2003-J5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2003-J10</w:t>
            </w:r>
          </w:p>
        </w:tc>
      </w:tr>
      <w:tr>
        <w:trPr>
          <w:trHeight w:val="230"/>
        </w:trPr>
        <w:tc>
          <w:tcPr>
            <w:tcW w:w="3320" w:type="dxa"/>
            <w:vAlign w:val="bottom"/>
          </w:tcPr>
          <w:p>
            <w:pPr>
              <w:spacing w:after="0"/>
              <w:rPr>
                <w:sz w:val="20"/>
                <w:szCs w:val="20"/>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GMACMLT 2003-GH2</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center"/>
              <w:ind w:left="1950"/>
              <w:spacing w:after="0"/>
              <w:rPr>
                <w:sz w:val="20"/>
                <w:szCs w:val="20"/>
                <w:color w:val="auto"/>
              </w:rPr>
            </w:pPr>
            <w:r>
              <w:rPr>
                <w:rFonts w:ascii="Arial" w:cs="Arial" w:eastAsia="Arial" w:hAnsi="Arial"/>
                <w:sz w:val="18"/>
                <w:szCs w:val="18"/>
                <w:color w:val="auto"/>
                <w:w w:val="89"/>
              </w:rPr>
              <w:t>4583</w:t>
            </w:r>
          </w:p>
        </w:tc>
        <w:tc>
          <w:tcPr>
            <w:tcW w:w="8100" w:type="dxa"/>
            <w:vAlign w:val="bottom"/>
          </w:tcPr>
          <w:p>
            <w:pPr>
              <w:ind w:left="420"/>
              <w:spacing w:after="0"/>
              <w:rPr>
                <w:sz w:val="20"/>
                <w:szCs w:val="20"/>
                <w:color w:val="auto"/>
              </w:rPr>
            </w:pPr>
            <w:r>
              <w:rPr>
                <w:rFonts w:ascii="Arial" w:cs="Arial" w:eastAsia="Arial" w:hAnsi="Arial"/>
                <w:sz w:val="18"/>
                <w:szCs w:val="18"/>
                <w:color w:val="auto"/>
              </w:rPr>
              <w:t>GMACMLT 2003-GH1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2003-AR2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2003-AR1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 2007-HE3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DBALT 2007-RAMP1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10779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2007-E1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2006-WH17</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5185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TCMLT 2006-1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5140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Subflow 2005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5240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Subflow 2005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4690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SEQ 2007-4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4688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SEQ 2007-2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4687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SEQ 2007-1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4677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SEQ 2004-4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4676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SEQ 2004-3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4675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SEQ 2004-12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4673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SEQ 2004-10</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SASCO 2007-GEL2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SASCO 2006-GEL3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5070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RAST 2005-A6CB</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4788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ONEWEST BANK FSB</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4748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NCHELT 2004-A</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5218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NAAC 2007-2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4746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NAAC 2005-AP1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5124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NAAC 2004-AP2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5117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NAAC 2004-AP1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5180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MSLT 2006-2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5192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MSLT 2006-03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5164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MSLT 2005-03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5146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MSLT 2005-01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5127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MSLT 2004-1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4743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MLMI 2005-A6</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5189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MARM 2006-OA2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4714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MARM 2005-1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4698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MANA 2007-OAR3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LXS 2006-GP4</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LXS 2006-GP3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LXS 2006-GP2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LXS 2006-GP1</w:t>
            </w:r>
          </w:p>
        </w:tc>
      </w:tr>
      <w:tr>
        <w:trPr>
          <w:trHeight w:val="230"/>
        </w:trPr>
        <w:tc>
          <w:tcPr>
            <w:tcW w:w="3320" w:type="dxa"/>
            <w:vAlign w:val="bottom"/>
          </w:tcPr>
          <w:p>
            <w:pPr>
              <w:spacing w:after="0"/>
              <w:rPr>
                <w:sz w:val="20"/>
                <w:szCs w:val="20"/>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LXS 2006-4N</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center"/>
              <w:ind w:left="1950"/>
              <w:spacing w:after="0"/>
              <w:rPr>
                <w:sz w:val="20"/>
                <w:szCs w:val="20"/>
                <w:color w:val="auto"/>
              </w:rPr>
            </w:pPr>
            <w:r>
              <w:rPr>
                <w:rFonts w:ascii="Arial" w:cs="Arial" w:eastAsia="Arial" w:hAnsi="Arial"/>
                <w:sz w:val="18"/>
                <w:szCs w:val="18"/>
                <w:color w:val="auto"/>
                <w:w w:val="87"/>
              </w:rPr>
              <w:t>10909</w:t>
            </w:r>
          </w:p>
        </w:tc>
        <w:tc>
          <w:tcPr>
            <w:tcW w:w="8100" w:type="dxa"/>
            <w:vAlign w:val="bottom"/>
          </w:tcPr>
          <w:p>
            <w:pPr>
              <w:ind w:left="420"/>
              <w:spacing w:after="0"/>
              <w:rPr>
                <w:sz w:val="20"/>
                <w:szCs w:val="20"/>
                <w:color w:val="auto"/>
              </w:rPr>
            </w:pPr>
            <w:r>
              <w:rPr>
                <w:rFonts w:ascii="Arial" w:cs="Arial" w:eastAsia="Arial" w:hAnsi="Arial"/>
                <w:sz w:val="18"/>
                <w:szCs w:val="18"/>
                <w:color w:val="auto"/>
              </w:rPr>
              <w:t>LXS 2006-12N</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10908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LXS 2006-10N</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5175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LUM 2006-4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2007-3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2006-5</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2006-4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2006-2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2006-1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2005-1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2004-4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2004-2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2004-1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2003-3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2003-1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2002-3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2002-2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2007-A</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2005-8</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2005-4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2005-2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2005-1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2004-9</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2004-8</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4509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2004-7</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4508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4507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4902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2004-11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4506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2004-10</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4505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2003-9F</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5214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2007-4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5205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2007-3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5222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2007-07</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5220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2007-06</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2006-SB1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2006-14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2006-10</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5163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2005-15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5158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2005-11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GSR 2006-AR1</w:t>
            </w:r>
          </w:p>
        </w:tc>
      </w:tr>
      <w:tr>
        <w:trPr>
          <w:trHeight w:val="230"/>
        </w:trPr>
        <w:tc>
          <w:tcPr>
            <w:tcW w:w="3320" w:type="dxa"/>
            <w:vAlign w:val="bottom"/>
          </w:tcPr>
          <w:p>
            <w:pPr>
              <w:spacing w:after="0"/>
              <w:rPr>
                <w:sz w:val="20"/>
                <w:szCs w:val="20"/>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GSR 2006-4F</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center"/>
              <w:ind w:left="1950"/>
              <w:spacing w:after="0"/>
              <w:rPr>
                <w:sz w:val="20"/>
                <w:szCs w:val="20"/>
                <w:color w:val="auto"/>
              </w:rPr>
            </w:pPr>
            <w:r>
              <w:rPr>
                <w:rFonts w:ascii="Arial" w:cs="Arial" w:eastAsia="Arial" w:hAnsi="Arial"/>
                <w:sz w:val="18"/>
                <w:szCs w:val="18"/>
                <w:color w:val="auto"/>
                <w:w w:val="89"/>
              </w:rPr>
              <w:t>5188</w:t>
            </w:r>
          </w:p>
        </w:tc>
        <w:tc>
          <w:tcPr>
            <w:tcW w:w="8100" w:type="dxa"/>
            <w:vAlign w:val="bottom"/>
          </w:tcPr>
          <w:p>
            <w:pPr>
              <w:ind w:left="420"/>
              <w:spacing w:after="0"/>
              <w:rPr>
                <w:sz w:val="20"/>
                <w:szCs w:val="20"/>
                <w:color w:val="auto"/>
              </w:rPr>
            </w:pPr>
            <w:r>
              <w:rPr>
                <w:rFonts w:ascii="Arial" w:cs="Arial" w:eastAsia="Arial" w:hAnsi="Arial"/>
                <w:sz w:val="18"/>
                <w:szCs w:val="18"/>
                <w:color w:val="auto"/>
              </w:rPr>
              <w:t>GSMPS 2006-RP2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2007-AR2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2007-AR1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2006-AR8</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2006-AR7</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2006-AR6</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2006-AR5</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2006-AR4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FHAVA 2002-9</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DMSI 2004-5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DMSI 2004-4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DMSI 2004-1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5219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DBALT 2007-OA5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5215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DBALT 2007-OA4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5213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DBALT 2007-OA3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4774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DBALT 2005-3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4773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DBALT 2003-4XS</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4772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DBALT 2003-2XS</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4766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CSFB 2005-9</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BSALTA 2006-3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5169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BSALTA 2006-1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4865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BSABS 2004-BO1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4804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WELLS FARGO BANK, N.A.</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4627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BAFC 2006-4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4623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ARMT 2005-9</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4645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ARMT 2005-11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5207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ACE 2007-HE4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5057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2004-WH6</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10020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2003-7</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5073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2002-Flow</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E*Trade Bank - FB</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5096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E*Trade Bank</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5210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Macquarie Mortgages USA, Inc. - FB</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5236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E*Trade Bank</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5072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EMC FHA/VA 2002-1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5071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EMC FHA/VA 2003-1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AMALGAMATED BANK</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Washington Mutual Mortgage Securities Corp</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5173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TCF National Bank</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Everbank</w:t>
            </w:r>
          </w:p>
        </w:tc>
      </w:tr>
      <w:tr>
        <w:trPr>
          <w:trHeight w:val="230"/>
        </w:trPr>
        <w:tc>
          <w:tcPr>
            <w:tcW w:w="3320" w:type="dxa"/>
            <w:vAlign w:val="bottom"/>
          </w:tcPr>
          <w:p>
            <w:pPr>
              <w:spacing w:after="0"/>
              <w:rPr>
                <w:sz w:val="20"/>
                <w:szCs w:val="20"/>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BOA Merrill Lynch Global Securities</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02" w:name="page103"/>
    <w:bookmarkEnd w:id="102"/>
    <w:p>
      <w:pPr>
        <w:spacing w:after="0" w:line="1" w:lineRule="exact"/>
        <w:rPr>
          <w:sz w:val="20"/>
          <w:szCs w:val="20"/>
          <w:color w:val="auto"/>
        </w:rPr>
      </w:pPr>
    </w:p>
    <w:tbl>
      <w:tblPr>
        <w:tblLayout w:type="fixed"/>
        <w:tblInd w:w="1712"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SCHEDULE III</w:t>
            </w: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20" w:type="dxa"/>
            <w:vAlign w:val="bottom"/>
            <w:gridSpan w:val="5"/>
          </w:tcPr>
          <w:p>
            <w:pPr>
              <w:ind w:left="160"/>
              <w:spacing w:after="0"/>
              <w:rPr>
                <w:sz w:val="20"/>
                <w:szCs w:val="20"/>
                <w:color w:val="auto"/>
              </w:rPr>
            </w:pPr>
            <w:r>
              <w:rPr>
                <w:rFonts w:ascii="Arial" w:cs="Arial" w:eastAsia="Arial" w:hAnsi="Arial"/>
                <w:sz w:val="18"/>
                <w:szCs w:val="18"/>
                <w:b w:val="1"/>
                <w:bCs w:val="1"/>
                <w:color w:val="auto"/>
              </w:rPr>
              <w:t>RETAINED SERVICING FEE PERCENTAGE</w:t>
            </w:r>
          </w:p>
        </w:tc>
      </w:tr>
      <w:tr>
        <w:trPr>
          <w:trHeight w:val="412"/>
        </w:trPr>
        <w:tc>
          <w:tcPr>
            <w:tcW w:w="9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From Month</w:t>
            </w:r>
            <w:r>
              <w:rPr>
                <w:rFonts w:ascii="Arial" w:cs="Arial" w:eastAsia="Arial" w:hAnsi="Arial"/>
                <w:sz w:val="30"/>
                <w:szCs w:val="30"/>
                <w:b w:val="1"/>
                <w:bCs w:val="1"/>
                <w:color w:val="auto"/>
                <w:vertAlign w:val="superscript"/>
              </w:rPr>
              <w:t>1</w:t>
            </w:r>
          </w:p>
        </w:tc>
        <w:tc>
          <w:tcPr>
            <w:tcW w:w="37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To Month</w:t>
            </w:r>
          </w:p>
        </w:tc>
        <w:tc>
          <w:tcPr>
            <w:tcW w:w="204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Retained Fee</w:t>
            </w:r>
          </w:p>
        </w:tc>
      </w:tr>
      <w:tr>
        <w:trPr>
          <w:trHeight w:val="217"/>
        </w:trPr>
        <w:tc>
          <w:tcPr>
            <w:tcW w:w="920" w:type="dxa"/>
            <w:vAlign w:val="bottom"/>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003300"/>
                <w:w w:val="79"/>
              </w:rPr>
              <w:t>1</w:t>
            </w:r>
          </w:p>
        </w:tc>
        <w:tc>
          <w:tcPr>
            <w:tcW w:w="240" w:type="dxa"/>
            <w:vAlign w:val="bottom"/>
            <w:shd w:val="clear" w:color="auto" w:fill="CCEECC"/>
          </w:tcPr>
          <w:p>
            <w:pPr>
              <w:spacing w:after="0"/>
              <w:rPr>
                <w:sz w:val="18"/>
                <w:szCs w:val="18"/>
                <w:color w:val="auto"/>
              </w:rPr>
            </w:pPr>
          </w:p>
        </w:tc>
        <w:tc>
          <w:tcPr>
            <w:tcW w:w="1440" w:type="dxa"/>
            <w:vAlign w:val="bottom"/>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003300"/>
                <w:w w:val="79"/>
              </w:rPr>
              <w:t>3</w:t>
            </w:r>
          </w:p>
        </w:tc>
        <w:tc>
          <w:tcPr>
            <w:tcW w:w="1580" w:type="dxa"/>
            <w:vAlign w:val="bottom"/>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8"/>
              </w:rPr>
              <w:t>16.75</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910"/>
              <w:spacing w:after="0"/>
              <w:rPr>
                <w:sz w:val="20"/>
                <w:szCs w:val="20"/>
                <w:color w:val="auto"/>
              </w:rPr>
            </w:pPr>
            <w:r>
              <w:rPr>
                <w:rFonts w:ascii="Arial" w:cs="Arial" w:eastAsia="Arial" w:hAnsi="Arial"/>
                <w:sz w:val="18"/>
                <w:szCs w:val="18"/>
                <w:color w:val="003300"/>
                <w:w w:val="79"/>
              </w:rPr>
              <w:t>4</w:t>
            </w:r>
          </w:p>
        </w:tc>
        <w:tc>
          <w:tcPr>
            <w:tcW w:w="240" w:type="dxa"/>
            <w:vAlign w:val="bottom"/>
          </w:tcPr>
          <w:p>
            <w:pPr>
              <w:spacing w:after="0"/>
              <w:rPr>
                <w:sz w:val="18"/>
                <w:szCs w:val="18"/>
                <w:color w:val="auto"/>
              </w:rPr>
            </w:pPr>
          </w:p>
        </w:tc>
        <w:tc>
          <w:tcPr>
            <w:tcW w:w="2200" w:type="dxa"/>
            <w:vAlign w:val="bottom"/>
            <w:gridSpan w:val="2"/>
          </w:tcPr>
          <w:p>
            <w:pPr>
              <w:jc w:val="center"/>
              <w:ind w:left="1350"/>
              <w:spacing w:after="0"/>
              <w:rPr>
                <w:sz w:val="20"/>
                <w:szCs w:val="20"/>
                <w:color w:val="auto"/>
              </w:rPr>
            </w:pPr>
            <w:r>
              <w:rPr>
                <w:rFonts w:ascii="Arial" w:cs="Arial" w:eastAsia="Arial" w:hAnsi="Arial"/>
                <w:sz w:val="18"/>
                <w:szCs w:val="18"/>
                <w:color w:val="003300"/>
                <w:w w:val="79"/>
              </w:rPr>
              <w:t>6</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15.75</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910"/>
              <w:spacing w:after="0"/>
              <w:rPr>
                <w:sz w:val="20"/>
                <w:szCs w:val="20"/>
                <w:color w:val="auto"/>
              </w:rPr>
            </w:pPr>
            <w:r>
              <w:rPr>
                <w:rFonts w:ascii="Arial" w:cs="Arial" w:eastAsia="Arial" w:hAnsi="Arial"/>
                <w:sz w:val="18"/>
                <w:szCs w:val="18"/>
                <w:color w:val="003300"/>
                <w:w w:val="79"/>
              </w:rPr>
              <w:t>7</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50"/>
              <w:spacing w:after="0"/>
              <w:rPr>
                <w:sz w:val="20"/>
                <w:szCs w:val="20"/>
                <w:color w:val="auto"/>
              </w:rPr>
            </w:pPr>
            <w:r>
              <w:rPr>
                <w:rFonts w:ascii="Arial" w:cs="Arial" w:eastAsia="Arial" w:hAnsi="Arial"/>
                <w:sz w:val="18"/>
                <w:szCs w:val="18"/>
                <w:color w:val="003300"/>
                <w:w w:val="79"/>
              </w:rPr>
              <w:t>9</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15.25</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10</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12</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14.75</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13</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15</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14.75</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16</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18</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14.25</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19</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21</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13.75</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22</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24</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13.50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25</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27</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13.50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28</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30</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13.25</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31</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33</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34</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36</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37</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39</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40</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42</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43</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45</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46</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48</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49</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51</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52</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54</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55</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57</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58</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60</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61</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63</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64</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66</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67</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69</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30"/>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70</w:t>
            </w:r>
          </w:p>
        </w:tc>
        <w:tc>
          <w:tcPr>
            <w:tcW w:w="240" w:type="dxa"/>
            <w:vAlign w:val="bottom"/>
          </w:tcPr>
          <w:p>
            <w:pPr>
              <w:spacing w:after="0"/>
              <w:rPr>
                <w:sz w:val="20"/>
                <w:szCs w:val="20"/>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72</w:t>
            </w:r>
          </w:p>
        </w:tc>
        <w:tc>
          <w:tcPr>
            <w:tcW w:w="15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18097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0" w:lineRule="exact"/>
        <w:rPr>
          <w:sz w:val="20"/>
          <w:szCs w:val="20"/>
          <w:color w:val="auto"/>
        </w:rPr>
      </w:pPr>
    </w:p>
    <w:p>
      <w:pPr>
        <w:ind w:left="112" w:hanging="112"/>
        <w:spacing w:after="0"/>
        <w:tabs>
          <w:tab w:leader="none" w:pos="112" w:val="left"/>
        </w:tabs>
        <w:numPr>
          <w:ilvl w:val="0"/>
          <w:numId w:val="67"/>
        </w:numPr>
        <w:rPr>
          <w:rFonts w:ascii="Arial" w:cs="Arial" w:eastAsia="Arial" w:hAnsi="Arial"/>
          <w:sz w:val="30"/>
          <w:szCs w:val="30"/>
          <w:color w:val="auto"/>
          <w:vertAlign w:val="superscript"/>
        </w:rPr>
      </w:pPr>
      <w:r>
        <w:rPr>
          <w:rFonts w:ascii="Arial" w:cs="Arial" w:eastAsia="Arial" w:hAnsi="Arial"/>
          <w:sz w:val="18"/>
          <w:szCs w:val="18"/>
          <w:color w:val="auto"/>
        </w:rPr>
        <w:t>Starting with July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1"/>
          </w:cols>
          <w:pgMar w:left="248" w:top="661" w:right="1440" w:bottom="1440" w:gutter="0" w:footer="0" w:header="0"/>
        </w:sectPr>
      </w:pPr>
    </w:p>
    <w:bookmarkStart w:id="103" w:name="page104"/>
    <w:bookmarkEnd w:id="103"/>
    <w:tbl>
      <w:tblPr>
        <w:tblLayout w:type="fixed"/>
        <w:tblInd w:w="1712"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rPr>
              <w:t>SCHEDULE IV</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5"/>
        </w:trPr>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40" w:type="dxa"/>
            <w:vAlign w:val="bottom"/>
            <w:gridSpan w:val="5"/>
          </w:tcPr>
          <w:p>
            <w:pPr>
              <w:jc w:val="center"/>
              <w:ind w:left="910"/>
              <w:spacing w:after="0"/>
              <w:rPr>
                <w:sz w:val="20"/>
                <w:szCs w:val="20"/>
                <w:color w:val="auto"/>
              </w:rPr>
            </w:pPr>
            <w:r>
              <w:rPr>
                <w:rFonts w:ascii="Arial" w:cs="Arial" w:eastAsia="Arial" w:hAnsi="Arial"/>
                <w:sz w:val="18"/>
                <w:szCs w:val="18"/>
                <w:b w:val="1"/>
                <w:bCs w:val="1"/>
                <w:color w:val="auto"/>
              </w:rPr>
              <w:t>TARGET RATIO SCHEDULE</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25"/>
        </w:trPr>
        <w:tc>
          <w:tcPr>
            <w:tcW w:w="18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Month</w:t>
            </w:r>
            <w:r>
              <w:rPr>
                <w:rFonts w:ascii="Arial" w:cs="Arial" w:eastAsia="Arial" w:hAnsi="Arial"/>
                <w:sz w:val="30"/>
                <w:szCs w:val="30"/>
                <w:b w:val="1"/>
                <w:bCs w:val="1"/>
                <w:color w:val="auto"/>
                <w:vertAlign w:val="superscript"/>
              </w:rPr>
              <w:t>1</w:t>
            </w:r>
          </w:p>
        </w:tc>
        <w:tc>
          <w:tcPr>
            <w:tcW w:w="214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0"/>
              </w:rPr>
              <w:t>Target Advance Ratio</w:t>
            </w:r>
          </w:p>
        </w:tc>
        <w:tc>
          <w:tcPr>
            <w:tcW w:w="1000" w:type="dxa"/>
            <w:vAlign w:val="bottom"/>
          </w:tcPr>
          <w:p>
            <w:pPr>
              <w:spacing w:after="0"/>
              <w:rPr>
                <w:sz w:val="24"/>
                <w:szCs w:val="24"/>
                <w:color w:val="auto"/>
              </w:rPr>
            </w:pPr>
          </w:p>
        </w:tc>
        <w:tc>
          <w:tcPr>
            <w:tcW w:w="126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6"/>
              </w:rPr>
              <w:t>Month</w:t>
            </w:r>
          </w:p>
        </w:tc>
        <w:tc>
          <w:tcPr>
            <w:tcW w:w="24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Target Advance Ratio</w:t>
            </w:r>
          </w:p>
        </w:tc>
      </w:tr>
      <w:tr>
        <w:trPr>
          <w:trHeight w:val="203"/>
        </w:trPr>
        <w:tc>
          <w:tcPr>
            <w:tcW w:w="180" w:type="dxa"/>
            <w:vAlign w:val="bottom"/>
            <w:shd w:val="clear" w:color="auto" w:fill="CCEECC"/>
          </w:tcPr>
          <w:p>
            <w:pPr>
              <w:spacing w:after="0"/>
              <w:rPr>
                <w:sz w:val="17"/>
                <w:szCs w:val="17"/>
                <w:color w:val="auto"/>
              </w:rPr>
            </w:pPr>
          </w:p>
        </w:tc>
        <w:tc>
          <w:tcPr>
            <w:tcW w:w="520" w:type="dxa"/>
            <w:vAlign w:val="bottom"/>
            <w:tcBorders>
              <w:top w:val="single" w:sz="8" w:color="auto"/>
            </w:tcBorders>
            <w:shd w:val="clear" w:color="auto" w:fill="CCEECC"/>
          </w:tcPr>
          <w:p>
            <w:pPr>
              <w:jc w:val="center"/>
              <w:spacing w:after="0" w:line="203" w:lineRule="exact"/>
              <w:rPr>
                <w:sz w:val="20"/>
                <w:szCs w:val="20"/>
                <w:color w:val="auto"/>
              </w:rPr>
            </w:pPr>
            <w:r>
              <w:rPr>
                <w:rFonts w:ascii="Arial" w:cs="Arial" w:eastAsia="Arial" w:hAnsi="Arial"/>
                <w:sz w:val="18"/>
                <w:szCs w:val="18"/>
                <w:color w:val="auto"/>
                <w:w w:val="79"/>
              </w:rPr>
              <w:t>1</w:t>
            </w:r>
          </w:p>
        </w:tc>
        <w:tc>
          <w:tcPr>
            <w:tcW w:w="42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680" w:type="dxa"/>
            <w:vAlign w:val="bottom"/>
            <w:tcBorders>
              <w:top w:val="single" w:sz="8" w:color="auto"/>
            </w:tcBorders>
            <w:shd w:val="clear" w:color="auto" w:fill="CCEECC"/>
          </w:tcPr>
          <w:p>
            <w:pPr>
              <w:jc w:val="center"/>
              <w:spacing w:after="0" w:line="203" w:lineRule="exact"/>
              <w:rPr>
                <w:sz w:val="20"/>
                <w:szCs w:val="20"/>
                <w:color w:val="auto"/>
              </w:rPr>
            </w:pPr>
            <w:r>
              <w:rPr>
                <w:rFonts w:ascii="Arial" w:cs="Arial" w:eastAsia="Arial" w:hAnsi="Arial"/>
                <w:sz w:val="18"/>
                <w:szCs w:val="18"/>
                <w:color w:val="auto"/>
                <w:w w:val="93"/>
              </w:rPr>
              <w:t>2.87%</w:t>
            </w:r>
          </w:p>
        </w:tc>
        <w:tc>
          <w:tcPr>
            <w:tcW w:w="10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520" w:type="dxa"/>
            <w:vAlign w:val="bottom"/>
            <w:tcBorders>
              <w:top w:val="single" w:sz="8" w:color="auto"/>
            </w:tcBorders>
            <w:shd w:val="clear" w:color="auto" w:fill="CCEECC"/>
          </w:tcPr>
          <w:p>
            <w:pPr>
              <w:jc w:val="center"/>
              <w:spacing w:after="0" w:line="203" w:lineRule="exact"/>
              <w:rPr>
                <w:sz w:val="20"/>
                <w:szCs w:val="20"/>
                <w:color w:val="auto"/>
              </w:rPr>
            </w:pPr>
            <w:r>
              <w:rPr>
                <w:rFonts w:ascii="Arial" w:cs="Arial" w:eastAsia="Arial" w:hAnsi="Arial"/>
                <w:sz w:val="18"/>
                <w:szCs w:val="18"/>
                <w:color w:val="auto"/>
                <w:w w:val="89"/>
              </w:rPr>
              <w:t>37</w:t>
            </w:r>
          </w:p>
        </w:tc>
        <w:tc>
          <w:tcPr>
            <w:tcW w:w="74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680" w:type="dxa"/>
            <w:vAlign w:val="bottom"/>
            <w:tcBorders>
              <w:top w:val="single" w:sz="8" w:color="auto"/>
            </w:tcBorders>
            <w:shd w:val="clear" w:color="auto" w:fill="CCEECC"/>
          </w:tcPr>
          <w:p>
            <w:pPr>
              <w:jc w:val="center"/>
              <w:spacing w:after="0" w:line="203" w:lineRule="exact"/>
              <w:rPr>
                <w:sz w:val="20"/>
                <w:szCs w:val="20"/>
                <w:color w:val="auto"/>
              </w:rPr>
            </w:pPr>
            <w:r>
              <w:rPr>
                <w:rFonts w:ascii="Arial" w:cs="Arial" w:eastAsia="Arial" w:hAnsi="Arial"/>
                <w:sz w:val="18"/>
                <w:szCs w:val="18"/>
                <w:color w:val="auto"/>
                <w:w w:val="90"/>
              </w:rPr>
              <w:t>1.67%</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79"/>
              </w:rPr>
              <w:t>2</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2.82%</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38</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1.64%</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70"/>
              <w:spacing w:after="0" w:line="202" w:lineRule="exact"/>
              <w:rPr>
                <w:sz w:val="20"/>
                <w:szCs w:val="20"/>
                <w:color w:val="auto"/>
              </w:rPr>
            </w:pPr>
            <w:r>
              <w:rPr>
                <w:rFonts w:ascii="Arial" w:cs="Arial" w:eastAsia="Arial" w:hAnsi="Arial"/>
                <w:sz w:val="18"/>
                <w:szCs w:val="18"/>
                <w:color w:val="auto"/>
                <w:w w:val="79"/>
              </w:rPr>
              <w:t>3</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2.85%</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39</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1.62%</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79"/>
              </w:rPr>
              <w:t>4</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2.77%</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40</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1.59%</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70"/>
              <w:spacing w:after="0" w:line="202" w:lineRule="exact"/>
              <w:rPr>
                <w:sz w:val="20"/>
                <w:szCs w:val="20"/>
                <w:color w:val="auto"/>
              </w:rPr>
            </w:pPr>
            <w:r>
              <w:rPr>
                <w:rFonts w:ascii="Arial" w:cs="Arial" w:eastAsia="Arial" w:hAnsi="Arial"/>
                <w:sz w:val="18"/>
                <w:szCs w:val="18"/>
                <w:color w:val="auto"/>
                <w:w w:val="79"/>
              </w:rPr>
              <w:t>5</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2.70%</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41</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1.57%</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79"/>
              </w:rPr>
              <w:t>6</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2.66%</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42</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1.54%</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70"/>
              <w:spacing w:after="0" w:line="202" w:lineRule="exact"/>
              <w:rPr>
                <w:sz w:val="20"/>
                <w:szCs w:val="20"/>
                <w:color w:val="auto"/>
              </w:rPr>
            </w:pPr>
            <w:r>
              <w:rPr>
                <w:rFonts w:ascii="Arial" w:cs="Arial" w:eastAsia="Arial" w:hAnsi="Arial"/>
                <w:sz w:val="18"/>
                <w:szCs w:val="18"/>
                <w:color w:val="auto"/>
                <w:w w:val="79"/>
              </w:rPr>
              <w:t>7</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2.62%</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43</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1.52%</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79"/>
              </w:rPr>
              <w:t>8</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2.58%</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44</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70"/>
              <w:spacing w:after="0" w:line="202" w:lineRule="exact"/>
              <w:rPr>
                <w:sz w:val="20"/>
                <w:szCs w:val="20"/>
                <w:color w:val="auto"/>
              </w:rPr>
            </w:pPr>
            <w:r>
              <w:rPr>
                <w:rFonts w:ascii="Arial" w:cs="Arial" w:eastAsia="Arial" w:hAnsi="Arial"/>
                <w:sz w:val="18"/>
                <w:szCs w:val="18"/>
                <w:color w:val="auto"/>
                <w:w w:val="79"/>
              </w:rPr>
              <w:t>9</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2.54%</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45</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10</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2.50%</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46</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70"/>
              <w:spacing w:after="0" w:line="202" w:lineRule="exact"/>
              <w:rPr>
                <w:sz w:val="20"/>
                <w:szCs w:val="20"/>
                <w:color w:val="auto"/>
              </w:rPr>
            </w:pPr>
            <w:r>
              <w:rPr>
                <w:rFonts w:ascii="Arial" w:cs="Arial" w:eastAsia="Arial" w:hAnsi="Arial"/>
                <w:sz w:val="18"/>
                <w:szCs w:val="18"/>
                <w:color w:val="auto"/>
                <w:w w:val="79"/>
              </w:rPr>
              <w:t>11</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2.47%</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47</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12</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2.43%</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48</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90"/>
              <w:spacing w:after="0" w:line="202" w:lineRule="exact"/>
              <w:rPr>
                <w:sz w:val="20"/>
                <w:szCs w:val="20"/>
                <w:color w:val="auto"/>
              </w:rPr>
            </w:pPr>
            <w:r>
              <w:rPr>
                <w:rFonts w:ascii="Arial" w:cs="Arial" w:eastAsia="Arial" w:hAnsi="Arial"/>
                <w:sz w:val="18"/>
                <w:szCs w:val="18"/>
                <w:color w:val="auto"/>
                <w:w w:val="89"/>
              </w:rPr>
              <w:t>13</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2.39%</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49</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14</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2.36%</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50</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90"/>
              <w:spacing w:after="0" w:line="202" w:lineRule="exact"/>
              <w:rPr>
                <w:sz w:val="20"/>
                <w:szCs w:val="20"/>
                <w:color w:val="auto"/>
              </w:rPr>
            </w:pPr>
            <w:r>
              <w:rPr>
                <w:rFonts w:ascii="Arial" w:cs="Arial" w:eastAsia="Arial" w:hAnsi="Arial"/>
                <w:sz w:val="18"/>
                <w:szCs w:val="18"/>
                <w:color w:val="auto"/>
                <w:w w:val="89"/>
              </w:rPr>
              <w:t>15</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2.32%</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51</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16</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2.29%</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52</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90"/>
              <w:spacing w:after="0" w:line="202" w:lineRule="exact"/>
              <w:rPr>
                <w:sz w:val="20"/>
                <w:szCs w:val="20"/>
                <w:color w:val="auto"/>
              </w:rPr>
            </w:pPr>
            <w:r>
              <w:rPr>
                <w:rFonts w:ascii="Arial" w:cs="Arial" w:eastAsia="Arial" w:hAnsi="Arial"/>
                <w:sz w:val="18"/>
                <w:szCs w:val="18"/>
                <w:color w:val="auto"/>
                <w:w w:val="89"/>
              </w:rPr>
              <w:t>17</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2.25%</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53</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18</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2.22%</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54</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90"/>
              <w:spacing w:after="0" w:line="202" w:lineRule="exact"/>
              <w:rPr>
                <w:sz w:val="20"/>
                <w:szCs w:val="20"/>
                <w:color w:val="auto"/>
              </w:rPr>
            </w:pPr>
            <w:r>
              <w:rPr>
                <w:rFonts w:ascii="Arial" w:cs="Arial" w:eastAsia="Arial" w:hAnsi="Arial"/>
                <w:sz w:val="18"/>
                <w:szCs w:val="18"/>
                <w:color w:val="auto"/>
                <w:w w:val="89"/>
              </w:rPr>
              <w:t>19</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2.19%</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55</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20</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2.15%</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56</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90"/>
              <w:spacing w:after="0" w:line="202" w:lineRule="exact"/>
              <w:rPr>
                <w:sz w:val="20"/>
                <w:szCs w:val="20"/>
                <w:color w:val="auto"/>
              </w:rPr>
            </w:pPr>
            <w:r>
              <w:rPr>
                <w:rFonts w:ascii="Arial" w:cs="Arial" w:eastAsia="Arial" w:hAnsi="Arial"/>
                <w:sz w:val="18"/>
                <w:szCs w:val="18"/>
                <w:color w:val="auto"/>
                <w:w w:val="89"/>
              </w:rPr>
              <w:t>21</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2.12%</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57</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22</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2.09%</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58</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90"/>
              <w:spacing w:after="0" w:line="202" w:lineRule="exact"/>
              <w:rPr>
                <w:sz w:val="20"/>
                <w:szCs w:val="20"/>
                <w:color w:val="auto"/>
              </w:rPr>
            </w:pPr>
            <w:r>
              <w:rPr>
                <w:rFonts w:ascii="Arial" w:cs="Arial" w:eastAsia="Arial" w:hAnsi="Arial"/>
                <w:sz w:val="18"/>
                <w:szCs w:val="18"/>
                <w:color w:val="auto"/>
                <w:w w:val="89"/>
              </w:rPr>
              <w:t>23</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2.06%</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59</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24</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2.03%</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60</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90"/>
              <w:spacing w:after="0" w:line="202" w:lineRule="exact"/>
              <w:rPr>
                <w:sz w:val="20"/>
                <w:szCs w:val="20"/>
                <w:color w:val="auto"/>
              </w:rPr>
            </w:pPr>
            <w:r>
              <w:rPr>
                <w:rFonts w:ascii="Arial" w:cs="Arial" w:eastAsia="Arial" w:hAnsi="Arial"/>
                <w:sz w:val="18"/>
                <w:szCs w:val="18"/>
                <w:color w:val="auto"/>
                <w:w w:val="89"/>
              </w:rPr>
              <w:t>25</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2.00%</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61</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26</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1.97%</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62</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90"/>
              <w:spacing w:after="0" w:line="202" w:lineRule="exact"/>
              <w:rPr>
                <w:sz w:val="20"/>
                <w:szCs w:val="20"/>
                <w:color w:val="auto"/>
              </w:rPr>
            </w:pPr>
            <w:r>
              <w:rPr>
                <w:rFonts w:ascii="Arial" w:cs="Arial" w:eastAsia="Arial" w:hAnsi="Arial"/>
                <w:sz w:val="18"/>
                <w:szCs w:val="18"/>
                <w:color w:val="auto"/>
                <w:w w:val="89"/>
              </w:rPr>
              <w:t>27</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1.94%</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63</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28</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1.91%</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64</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90"/>
              <w:spacing w:after="0" w:line="202" w:lineRule="exact"/>
              <w:rPr>
                <w:sz w:val="20"/>
                <w:szCs w:val="20"/>
                <w:color w:val="auto"/>
              </w:rPr>
            </w:pPr>
            <w:r>
              <w:rPr>
                <w:rFonts w:ascii="Arial" w:cs="Arial" w:eastAsia="Arial" w:hAnsi="Arial"/>
                <w:sz w:val="18"/>
                <w:szCs w:val="18"/>
                <w:color w:val="auto"/>
                <w:w w:val="89"/>
              </w:rPr>
              <w:t>29</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1.88%</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65</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30</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1.85%</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66</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90"/>
              <w:spacing w:after="0" w:line="202" w:lineRule="exact"/>
              <w:rPr>
                <w:sz w:val="20"/>
                <w:szCs w:val="20"/>
                <w:color w:val="auto"/>
              </w:rPr>
            </w:pPr>
            <w:r>
              <w:rPr>
                <w:rFonts w:ascii="Arial" w:cs="Arial" w:eastAsia="Arial" w:hAnsi="Arial"/>
                <w:sz w:val="18"/>
                <w:szCs w:val="18"/>
                <w:color w:val="auto"/>
                <w:w w:val="89"/>
              </w:rPr>
              <w:t>31</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1.82%</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67</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32</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1.80%</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68</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90"/>
              <w:spacing w:after="0" w:line="202" w:lineRule="exact"/>
              <w:rPr>
                <w:sz w:val="20"/>
                <w:szCs w:val="20"/>
                <w:color w:val="auto"/>
              </w:rPr>
            </w:pPr>
            <w:r>
              <w:rPr>
                <w:rFonts w:ascii="Arial" w:cs="Arial" w:eastAsia="Arial" w:hAnsi="Arial"/>
                <w:sz w:val="18"/>
                <w:szCs w:val="18"/>
                <w:color w:val="auto"/>
                <w:w w:val="89"/>
              </w:rPr>
              <w:t>33</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1.77%</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69</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03"/>
        </w:trPr>
        <w:tc>
          <w:tcPr>
            <w:tcW w:w="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34</w:t>
            </w:r>
          </w:p>
        </w:tc>
        <w:tc>
          <w:tcPr>
            <w:tcW w:w="420" w:type="dxa"/>
            <w:vAlign w:val="bottom"/>
          </w:tcPr>
          <w:p>
            <w:pPr>
              <w:spacing w:after="0"/>
              <w:rPr>
                <w:sz w:val="17"/>
                <w:szCs w:val="17"/>
                <w:color w:val="auto"/>
              </w:rPr>
            </w:pPr>
          </w:p>
        </w:tc>
        <w:tc>
          <w:tcPr>
            <w:tcW w:w="204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3"/>
              </w:rPr>
              <w:t>1.74%</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70</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r>
      <w:tr>
        <w:trPr>
          <w:trHeight w:val="203"/>
        </w:trPr>
        <w:tc>
          <w:tcPr>
            <w:tcW w:w="700" w:type="dxa"/>
            <w:vAlign w:val="bottom"/>
            <w:gridSpan w:val="2"/>
            <w:shd w:val="clear" w:color="auto" w:fill="CCEECC"/>
          </w:tcPr>
          <w:p>
            <w:pPr>
              <w:jc w:val="center"/>
              <w:ind w:left="190"/>
              <w:spacing w:after="0" w:line="202" w:lineRule="exact"/>
              <w:rPr>
                <w:sz w:val="20"/>
                <w:szCs w:val="20"/>
                <w:color w:val="auto"/>
              </w:rPr>
            </w:pPr>
            <w:r>
              <w:rPr>
                <w:rFonts w:ascii="Arial" w:cs="Arial" w:eastAsia="Arial" w:hAnsi="Arial"/>
                <w:sz w:val="18"/>
                <w:szCs w:val="18"/>
                <w:color w:val="auto"/>
                <w:w w:val="89"/>
              </w:rPr>
              <w:t>35</w:t>
            </w:r>
          </w:p>
        </w:tc>
        <w:tc>
          <w:tcPr>
            <w:tcW w:w="420" w:type="dxa"/>
            <w:vAlign w:val="bottom"/>
            <w:shd w:val="clear" w:color="auto" w:fill="CCEECC"/>
          </w:tcPr>
          <w:p>
            <w:pPr>
              <w:spacing w:after="0"/>
              <w:rPr>
                <w:sz w:val="17"/>
                <w:szCs w:val="17"/>
                <w:color w:val="auto"/>
              </w:rPr>
            </w:pPr>
          </w:p>
        </w:tc>
        <w:tc>
          <w:tcPr>
            <w:tcW w:w="2040" w:type="dxa"/>
            <w:vAlign w:val="bottom"/>
            <w:gridSpan w:val="2"/>
            <w:shd w:val="clear" w:color="auto" w:fill="CCEECC"/>
          </w:tcPr>
          <w:p>
            <w:pPr>
              <w:jc w:val="center"/>
              <w:ind w:left="270"/>
              <w:spacing w:after="0" w:line="202" w:lineRule="exact"/>
              <w:rPr>
                <w:sz w:val="20"/>
                <w:szCs w:val="20"/>
                <w:color w:val="auto"/>
              </w:rPr>
            </w:pPr>
            <w:r>
              <w:rPr>
                <w:rFonts w:ascii="Arial" w:cs="Arial" w:eastAsia="Arial" w:hAnsi="Arial"/>
                <w:sz w:val="18"/>
                <w:szCs w:val="18"/>
                <w:color w:val="auto"/>
                <w:w w:val="93"/>
              </w:rPr>
              <w:t>1.72%</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71</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r>
      <w:tr>
        <w:trPr>
          <w:trHeight w:val="230"/>
        </w:trPr>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36</w:t>
            </w:r>
          </w:p>
        </w:tc>
        <w:tc>
          <w:tcPr>
            <w:tcW w:w="420" w:type="dxa"/>
            <w:vAlign w:val="bottom"/>
          </w:tcPr>
          <w:p>
            <w:pPr>
              <w:spacing w:after="0"/>
              <w:rPr>
                <w:sz w:val="20"/>
                <w:szCs w:val="20"/>
                <w:color w:val="auto"/>
              </w:rPr>
            </w:pPr>
          </w:p>
        </w:tc>
        <w:tc>
          <w:tcPr>
            <w:tcW w:w="204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1.69%</w:t>
            </w:r>
          </w:p>
        </w:tc>
        <w:tc>
          <w:tcPr>
            <w:tcW w:w="100" w:type="dxa"/>
            <w:vAlign w:val="bottom"/>
          </w:tcPr>
          <w:p>
            <w:pPr>
              <w:spacing w:after="0"/>
              <w:rPr>
                <w:sz w:val="20"/>
                <w:szCs w:val="20"/>
                <w:color w:val="auto"/>
              </w:rPr>
            </w:pPr>
          </w:p>
        </w:tc>
        <w:tc>
          <w:tcPr>
            <w:tcW w:w="1520" w:type="dxa"/>
            <w:vAlign w:val="bottom"/>
            <w:gridSpan w:val="2"/>
          </w:tcPr>
          <w:p>
            <w:pPr>
              <w:jc w:val="center"/>
              <w:ind w:left="890"/>
              <w:spacing w:after="0"/>
              <w:rPr>
                <w:sz w:val="20"/>
                <w:szCs w:val="20"/>
                <w:color w:val="auto"/>
              </w:rPr>
            </w:pPr>
            <w:r>
              <w:rPr>
                <w:rFonts w:ascii="Arial" w:cs="Arial" w:eastAsia="Arial" w:hAnsi="Arial"/>
                <w:sz w:val="18"/>
                <w:szCs w:val="18"/>
                <w:color w:val="auto"/>
                <w:w w:val="89"/>
              </w:rPr>
              <w:t>72</w:t>
            </w:r>
          </w:p>
        </w:tc>
        <w:tc>
          <w:tcPr>
            <w:tcW w:w="740" w:type="dxa"/>
            <w:vAlign w:val="bottom"/>
          </w:tcPr>
          <w:p>
            <w:pPr>
              <w:spacing w:after="0"/>
              <w:rPr>
                <w:sz w:val="20"/>
                <w:szCs w:val="20"/>
                <w:color w:val="auto"/>
              </w:rPr>
            </w:pPr>
          </w:p>
        </w:tc>
        <w:tc>
          <w:tcPr>
            <w:tcW w:w="198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18097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5" w:lineRule="exact"/>
        <w:rPr>
          <w:sz w:val="20"/>
          <w:szCs w:val="20"/>
          <w:color w:val="auto"/>
        </w:rPr>
      </w:pPr>
    </w:p>
    <w:p>
      <w:pPr>
        <w:ind w:left="112" w:hanging="112"/>
        <w:spacing w:after="0"/>
        <w:tabs>
          <w:tab w:leader="none" w:pos="112" w:val="left"/>
        </w:tabs>
        <w:numPr>
          <w:ilvl w:val="0"/>
          <w:numId w:val="68"/>
        </w:numPr>
        <w:rPr>
          <w:rFonts w:ascii="Arial" w:cs="Arial" w:eastAsia="Arial" w:hAnsi="Arial"/>
          <w:sz w:val="30"/>
          <w:szCs w:val="30"/>
          <w:color w:val="auto"/>
          <w:vertAlign w:val="superscript"/>
        </w:rPr>
      </w:pPr>
      <w:r>
        <w:rPr>
          <w:rFonts w:ascii="Arial" w:cs="Arial" w:eastAsia="Arial" w:hAnsi="Arial"/>
          <w:sz w:val="18"/>
          <w:szCs w:val="18"/>
          <w:color w:val="auto"/>
        </w:rPr>
        <w:t>Starting with July 2013.</w:t>
      </w:r>
    </w:p>
    <w:p>
      <w:pPr>
        <w:spacing w:after="0" w:line="202" w:lineRule="exact"/>
        <w:rPr>
          <w:sz w:val="20"/>
          <w:szCs w:val="20"/>
          <w:color w:val="auto"/>
        </w:rPr>
      </w:pPr>
    </w:p>
    <w:p>
      <w:pPr>
        <w:ind w:left="5592"/>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1"/>
          </w:cols>
          <w:pgMar w:left="248" w:top="661"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SCHEDULE V</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60" w:type="dxa"/>
            <w:vAlign w:val="bottom"/>
            <w:gridSpan w:val="3"/>
          </w:tcPr>
          <w:p>
            <w:pPr>
              <w:ind w:left="2020"/>
              <w:spacing w:after="0"/>
              <w:rPr>
                <w:sz w:val="20"/>
                <w:szCs w:val="20"/>
                <w:color w:val="auto"/>
              </w:rPr>
            </w:pPr>
            <w:r>
              <w:rPr>
                <w:rFonts w:ascii="Arial" w:cs="Arial" w:eastAsia="Arial" w:hAnsi="Arial"/>
                <w:sz w:val="18"/>
                <w:szCs w:val="18"/>
                <w:b w:val="1"/>
                <w:bCs w:val="1"/>
                <w:color w:val="auto"/>
              </w:rPr>
              <w:t>VALUATION PERCENTAGE</w:t>
            </w:r>
          </w:p>
        </w:tc>
        <w:tc>
          <w:tcPr>
            <w:tcW w:w="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520" w:type="dxa"/>
            <w:vAlign w:val="bottom"/>
            <w:gridSpan w:val="3"/>
            <w:vMerge w:val="restart"/>
          </w:tcPr>
          <w:p>
            <w:pPr>
              <w:ind w:left="1720"/>
              <w:spacing w:after="0"/>
              <w:rPr>
                <w:sz w:val="20"/>
                <w:szCs w:val="20"/>
                <w:color w:val="auto"/>
              </w:rPr>
            </w:pPr>
            <w:r>
              <w:rPr>
                <w:rFonts w:ascii="Arial" w:cs="Arial" w:eastAsia="Arial" w:hAnsi="Arial"/>
                <w:sz w:val="18"/>
                <w:szCs w:val="18"/>
                <w:b w:val="1"/>
                <w:bCs w:val="1"/>
                <w:color w:val="auto"/>
              </w:rPr>
              <w:t>Investor</w:t>
            </w:r>
          </w:p>
        </w:tc>
        <w:tc>
          <w:tcPr>
            <w:tcW w:w="2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Purchase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20" w:type="dxa"/>
            <w:vAlign w:val="bottom"/>
            <w:gridSpan w:val="3"/>
            <w:vMerge w:val="continue"/>
          </w:tcPr>
          <w:p>
            <w:pPr>
              <w:spacing w:after="0"/>
              <w:rPr>
                <w:sz w:val="17"/>
                <w:szCs w:val="17"/>
                <w:color w:val="auto"/>
              </w:rPr>
            </w:pPr>
          </w:p>
        </w:tc>
        <w:tc>
          <w:tcPr>
            <w:tcW w:w="2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Price</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520" w:type="dxa"/>
            <w:vAlign w:val="bottom"/>
            <w:gridSpan w:val="3"/>
          </w:tcPr>
          <w:p>
            <w:pPr>
              <w:ind w:left="1720"/>
              <w:spacing w:after="0" w:line="174" w:lineRule="exact"/>
              <w:rPr>
                <w:sz w:val="20"/>
                <w:szCs w:val="20"/>
                <w:color w:val="auto"/>
              </w:rPr>
            </w:pPr>
            <w:r>
              <w:rPr>
                <w:rFonts w:ascii="Arial" w:cs="Arial" w:eastAsia="Arial" w:hAnsi="Arial"/>
                <w:sz w:val="18"/>
                <w:szCs w:val="18"/>
                <w:b w:val="1"/>
                <w:bCs w:val="1"/>
                <w:color w:val="auto"/>
              </w:rPr>
              <w:t>Number</w:t>
            </w:r>
          </w:p>
        </w:tc>
        <w:tc>
          <w:tcPr>
            <w:tcW w:w="2620" w:type="dxa"/>
            <w:vAlign w:val="bottom"/>
          </w:tcPr>
          <w:p>
            <w:pPr>
              <w:spacing w:after="0"/>
              <w:rPr>
                <w:sz w:val="16"/>
                <w:szCs w:val="16"/>
                <w:color w:val="auto"/>
              </w:rPr>
            </w:pPr>
          </w:p>
        </w:tc>
        <w:tc>
          <w:tcPr>
            <w:tcW w:w="3640" w:type="dxa"/>
            <w:vAlign w:val="bottom"/>
            <w:gridSpan w:val="2"/>
          </w:tcPr>
          <w:p>
            <w:pPr>
              <w:spacing w:after="0" w:line="174" w:lineRule="exact"/>
              <w:rPr>
                <w:sz w:val="20"/>
                <w:szCs w:val="20"/>
                <w:color w:val="auto"/>
              </w:rPr>
            </w:pPr>
            <w:r>
              <w:rPr>
                <w:rFonts w:ascii="Arial" w:cs="Arial" w:eastAsia="Arial" w:hAnsi="Arial"/>
                <w:sz w:val="18"/>
                <w:szCs w:val="18"/>
                <w:b w:val="1"/>
                <w:bCs w:val="1"/>
                <w:color w:val="auto"/>
              </w:rPr>
              <w:t>Deal Name</w:t>
            </w:r>
          </w:p>
        </w:tc>
        <w:tc>
          <w:tcPr>
            <w:tcW w:w="92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89"/>
              </w:rPr>
              <w:t>(BPs)</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640" w:type="dxa"/>
            <w:vAlign w:val="bottom"/>
            <w:tcBorders>
              <w:top w:val="single" w:sz="8" w:color="auto"/>
              <w:bottom w:val="single" w:sz="8" w:color="CCEECC"/>
            </w:tcBorders>
          </w:tcPr>
          <w:p>
            <w:pPr>
              <w:spacing w:after="0"/>
              <w:rPr>
                <w:sz w:val="2"/>
                <w:szCs w:val="2"/>
                <w:color w:val="auto"/>
              </w:rPr>
            </w:pPr>
          </w:p>
        </w:tc>
        <w:tc>
          <w:tcPr>
            <w:tcW w:w="160" w:type="dxa"/>
            <w:vAlign w:val="bottom"/>
            <w:tcBorders>
              <w:bottom w:val="single" w:sz="8" w:color="CCEECC"/>
            </w:tcBorders>
          </w:tcPr>
          <w:p>
            <w:pPr>
              <w:spacing w:after="0"/>
              <w:rPr>
                <w:sz w:val="2"/>
                <w:szCs w:val="2"/>
                <w:color w:val="auto"/>
              </w:rPr>
            </w:pPr>
          </w:p>
        </w:tc>
        <w:tc>
          <w:tcPr>
            <w:tcW w:w="2620" w:type="dxa"/>
            <w:vAlign w:val="bottom"/>
            <w:tcBorders>
              <w:bottom w:val="single" w:sz="8" w:color="CCEECC"/>
            </w:tcBorders>
          </w:tcPr>
          <w:p>
            <w:pPr>
              <w:spacing w:after="0"/>
              <w:rPr>
                <w:sz w:val="2"/>
                <w:szCs w:val="2"/>
                <w:color w:val="auto"/>
              </w:rPr>
            </w:pPr>
          </w:p>
        </w:tc>
        <w:tc>
          <w:tcPr>
            <w:tcW w:w="840" w:type="dxa"/>
            <w:vAlign w:val="bottom"/>
            <w:tcBorders>
              <w:top w:val="single" w:sz="8" w:color="auto"/>
              <w:bottom w:val="single" w:sz="8" w:color="CCEECC"/>
            </w:tcBorders>
          </w:tcPr>
          <w:p>
            <w:pPr>
              <w:spacing w:after="0"/>
              <w:rPr>
                <w:sz w:val="2"/>
                <w:szCs w:val="2"/>
                <w:color w:val="auto"/>
              </w:rPr>
            </w:pPr>
          </w:p>
        </w:tc>
        <w:tc>
          <w:tcPr>
            <w:tcW w:w="2800" w:type="dxa"/>
            <w:vAlign w:val="bottom"/>
            <w:tcBorders>
              <w:bottom w:val="single" w:sz="8" w:color="CCEE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2959</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AMSI 2002-AR1</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2960</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AMSI 2003-7</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2964</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ARSI 2003-W4</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2965</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ARSI 2004-W3</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2969</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BOND SECURITIZATION 2003-1</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2971</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C-BASS 1999-CB1</w:t>
            </w:r>
          </w:p>
        </w:tc>
        <w:tc>
          <w:tcPr>
            <w:tcW w:w="920" w:type="dxa"/>
            <w:vAlign w:val="bottom"/>
          </w:tcPr>
          <w:p>
            <w:pPr>
              <w:jc w:val="right"/>
              <w:spacing w:after="0"/>
              <w:rPr>
                <w:sz w:val="20"/>
                <w:szCs w:val="20"/>
                <w:color w:val="auto"/>
              </w:rPr>
            </w:pPr>
            <w:r>
              <w:rPr>
                <w:rFonts w:ascii="Arial" w:cs="Arial" w:eastAsia="Arial" w:hAnsi="Arial"/>
                <w:sz w:val="18"/>
                <w:szCs w:val="18"/>
                <w:color w:val="auto"/>
              </w:rPr>
              <w:t>(129.58)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2972</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C-BASS 1999-CB2</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(126.47)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3105</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FREMONT HM LN TR 2002-1</w:t>
            </w:r>
          </w:p>
        </w:tc>
        <w:tc>
          <w:tcPr>
            <w:tcW w:w="920" w:type="dxa"/>
            <w:vAlign w:val="bottom"/>
          </w:tcPr>
          <w:p>
            <w:pPr>
              <w:jc w:val="right"/>
              <w:spacing w:after="0"/>
              <w:rPr>
                <w:sz w:val="20"/>
                <w:szCs w:val="20"/>
                <w:color w:val="auto"/>
              </w:rPr>
            </w:pPr>
            <w:r>
              <w:rPr>
                <w:rFonts w:ascii="Arial" w:cs="Arial" w:eastAsia="Arial" w:hAnsi="Arial"/>
                <w:sz w:val="18"/>
                <w:szCs w:val="18"/>
                <w:color w:val="auto"/>
              </w:rPr>
              <w:t>22.42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FREMONT HM LN TR 2002-2</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37.18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3107</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FREMONT HM LN TR 2003-1</w:t>
            </w:r>
          </w:p>
        </w:tc>
        <w:tc>
          <w:tcPr>
            <w:tcW w:w="920" w:type="dxa"/>
            <w:vAlign w:val="bottom"/>
          </w:tcPr>
          <w:p>
            <w:pPr>
              <w:jc w:val="right"/>
              <w:spacing w:after="0"/>
              <w:rPr>
                <w:sz w:val="20"/>
                <w:szCs w:val="20"/>
                <w:color w:val="auto"/>
              </w:rPr>
            </w:pPr>
            <w:r>
              <w:rPr>
                <w:rFonts w:ascii="Arial" w:cs="Arial" w:eastAsia="Arial" w:hAnsi="Arial"/>
                <w:sz w:val="18"/>
                <w:szCs w:val="18"/>
                <w:color w:val="auto"/>
              </w:rPr>
              <w:t>34.13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3142</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GSAMP 2003-NC1</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42.95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3195</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MLMI 2002-NC1</w:t>
            </w:r>
          </w:p>
        </w:tc>
        <w:tc>
          <w:tcPr>
            <w:tcW w:w="920" w:type="dxa"/>
            <w:vAlign w:val="bottom"/>
          </w:tcPr>
          <w:p>
            <w:pPr>
              <w:jc w:val="right"/>
              <w:spacing w:after="0"/>
              <w:rPr>
                <w:sz w:val="20"/>
                <w:szCs w:val="20"/>
                <w:color w:val="auto"/>
              </w:rPr>
            </w:pPr>
            <w:r>
              <w:rPr>
                <w:rFonts w:ascii="Arial" w:cs="Arial" w:eastAsia="Arial" w:hAnsi="Arial"/>
                <w:sz w:val="18"/>
                <w:szCs w:val="18"/>
                <w:color w:val="auto"/>
              </w:rPr>
              <w:t>18.06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3201</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MORGAN STANLEY 2002-AM2</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(26.70)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3203</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MORGAN STANLEY 2002-HE2</w:t>
            </w:r>
          </w:p>
        </w:tc>
        <w:tc>
          <w:tcPr>
            <w:tcW w:w="920" w:type="dxa"/>
            <w:vAlign w:val="bottom"/>
          </w:tcPr>
          <w:p>
            <w:pPr>
              <w:jc w:val="right"/>
              <w:spacing w:after="0"/>
              <w:rPr>
                <w:sz w:val="20"/>
                <w:szCs w:val="20"/>
                <w:color w:val="auto"/>
              </w:rPr>
            </w:pPr>
            <w:r>
              <w:rPr>
                <w:rFonts w:ascii="Arial" w:cs="Arial" w:eastAsia="Arial" w:hAnsi="Arial"/>
                <w:sz w:val="18"/>
                <w:szCs w:val="18"/>
                <w:color w:val="auto"/>
              </w:rPr>
              <w:t>(58.88)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3214</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NAAC 2003-A2</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52.11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3234</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PC 2005-2</w:t>
            </w:r>
          </w:p>
        </w:tc>
        <w:tc>
          <w:tcPr>
            <w:tcW w:w="920" w:type="dxa"/>
            <w:vAlign w:val="bottom"/>
          </w:tcPr>
          <w:p>
            <w:pPr>
              <w:jc w:val="right"/>
              <w:spacing w:after="0"/>
              <w:rPr>
                <w:sz w:val="20"/>
                <w:szCs w:val="20"/>
                <w:color w:val="auto"/>
              </w:rPr>
            </w:pPr>
            <w:r>
              <w:rPr>
                <w:rFonts w:ascii="Arial" w:cs="Arial" w:eastAsia="Arial" w:hAnsi="Arial"/>
                <w:sz w:val="18"/>
                <w:szCs w:val="18"/>
                <w:color w:val="auto"/>
              </w:rPr>
              <w:t>37.73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3322</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RAAC 2007-SP2</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28.05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3327</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RALI 2003-QS17</w:t>
            </w:r>
          </w:p>
        </w:tc>
        <w:tc>
          <w:tcPr>
            <w:tcW w:w="920" w:type="dxa"/>
            <w:vAlign w:val="bottom"/>
          </w:tcPr>
          <w:p>
            <w:pPr>
              <w:jc w:val="right"/>
              <w:spacing w:after="0"/>
              <w:rPr>
                <w:sz w:val="20"/>
                <w:szCs w:val="20"/>
                <w:color w:val="auto"/>
              </w:rPr>
            </w:pPr>
            <w:r>
              <w:rPr>
                <w:rFonts w:ascii="Arial" w:cs="Arial" w:eastAsia="Arial" w:hAnsi="Arial"/>
                <w:sz w:val="18"/>
                <w:szCs w:val="18"/>
                <w:color w:val="auto"/>
              </w:rPr>
              <w:t>(21.89)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3329</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RALI 2003-QS19</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(41.57)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3337</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RALI 2005-QS6</w:t>
            </w:r>
          </w:p>
        </w:tc>
        <w:tc>
          <w:tcPr>
            <w:tcW w:w="920" w:type="dxa"/>
            <w:vAlign w:val="bottom"/>
          </w:tcPr>
          <w:p>
            <w:pPr>
              <w:jc w:val="right"/>
              <w:spacing w:after="0"/>
              <w:rPr>
                <w:sz w:val="20"/>
                <w:szCs w:val="20"/>
                <w:color w:val="auto"/>
              </w:rPr>
            </w:pPr>
            <w:r>
              <w:rPr>
                <w:rFonts w:ascii="Arial" w:cs="Arial" w:eastAsia="Arial" w:hAnsi="Arial"/>
                <w:sz w:val="18"/>
                <w:szCs w:val="18"/>
                <w:color w:val="auto"/>
              </w:rPr>
              <w:t>38.44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3346</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RALI 2003-QS15</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58.00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3350</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RALI 2004-QA6</w:t>
            </w:r>
          </w:p>
        </w:tc>
        <w:tc>
          <w:tcPr>
            <w:tcW w:w="920" w:type="dxa"/>
            <w:vAlign w:val="bottom"/>
          </w:tcPr>
          <w:p>
            <w:pPr>
              <w:jc w:val="right"/>
              <w:spacing w:after="0"/>
              <w:rPr>
                <w:sz w:val="20"/>
                <w:szCs w:val="20"/>
                <w:color w:val="auto"/>
              </w:rPr>
            </w:pPr>
            <w:r>
              <w:rPr>
                <w:rFonts w:ascii="Arial" w:cs="Arial" w:eastAsia="Arial" w:hAnsi="Arial"/>
                <w:sz w:val="18"/>
                <w:szCs w:val="18"/>
                <w:color w:val="auto"/>
              </w:rPr>
              <w:t>(26.94)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3354</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RALI 2004-QS16</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(32.61)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3358</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RALI 2004-QS7</w:t>
            </w:r>
          </w:p>
        </w:tc>
        <w:tc>
          <w:tcPr>
            <w:tcW w:w="920" w:type="dxa"/>
            <w:vAlign w:val="bottom"/>
          </w:tcPr>
          <w:p>
            <w:pPr>
              <w:jc w:val="right"/>
              <w:spacing w:after="0"/>
              <w:rPr>
                <w:sz w:val="20"/>
                <w:szCs w:val="20"/>
                <w:color w:val="auto"/>
              </w:rPr>
            </w:pPr>
            <w:r>
              <w:rPr>
                <w:rFonts w:ascii="Arial" w:cs="Arial" w:eastAsia="Arial" w:hAnsi="Arial"/>
                <w:sz w:val="18"/>
                <w:szCs w:val="18"/>
                <w:color w:val="auto"/>
              </w:rPr>
              <w:t>(0.62)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3359</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RALI 2005-QA3</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(18.65)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3361</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RALI 2005-QS14</w:t>
            </w:r>
          </w:p>
        </w:tc>
        <w:tc>
          <w:tcPr>
            <w:tcW w:w="920" w:type="dxa"/>
            <w:vAlign w:val="bottom"/>
          </w:tcPr>
          <w:p>
            <w:pPr>
              <w:jc w:val="right"/>
              <w:spacing w:after="0"/>
              <w:rPr>
                <w:sz w:val="20"/>
                <w:szCs w:val="20"/>
                <w:color w:val="auto"/>
              </w:rPr>
            </w:pPr>
            <w:r>
              <w:rPr>
                <w:rFonts w:ascii="Arial" w:cs="Arial" w:eastAsia="Arial" w:hAnsi="Arial"/>
                <w:sz w:val="18"/>
                <w:szCs w:val="18"/>
                <w:color w:val="auto"/>
              </w:rPr>
              <w:t>(9.97)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3362</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RALI 2005-QS16</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59.65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3363</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RALI 2005-QS17</w:t>
            </w:r>
          </w:p>
        </w:tc>
        <w:tc>
          <w:tcPr>
            <w:tcW w:w="920" w:type="dxa"/>
            <w:vAlign w:val="bottom"/>
          </w:tcPr>
          <w:p>
            <w:pPr>
              <w:jc w:val="right"/>
              <w:spacing w:after="0"/>
              <w:rPr>
                <w:sz w:val="20"/>
                <w:szCs w:val="20"/>
                <w:color w:val="auto"/>
              </w:rPr>
            </w:pPr>
            <w:r>
              <w:rPr>
                <w:rFonts w:ascii="Arial" w:cs="Arial" w:eastAsia="Arial" w:hAnsi="Arial"/>
                <w:sz w:val="18"/>
                <w:szCs w:val="18"/>
                <w:color w:val="auto"/>
              </w:rPr>
              <w:t>61.12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3366</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RALI 2006-QS7</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41.64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3371</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RAMP 2003-RP1</w:t>
            </w:r>
          </w:p>
        </w:tc>
        <w:tc>
          <w:tcPr>
            <w:tcW w:w="920" w:type="dxa"/>
            <w:vAlign w:val="bottom"/>
          </w:tcPr>
          <w:p>
            <w:pPr>
              <w:jc w:val="right"/>
              <w:spacing w:after="0"/>
              <w:rPr>
                <w:sz w:val="20"/>
                <w:szCs w:val="20"/>
                <w:color w:val="auto"/>
              </w:rPr>
            </w:pPr>
            <w:r>
              <w:rPr>
                <w:rFonts w:ascii="Arial" w:cs="Arial" w:eastAsia="Arial" w:hAnsi="Arial"/>
                <w:sz w:val="18"/>
                <w:szCs w:val="18"/>
                <w:color w:val="auto"/>
              </w:rPr>
              <w:t>(32.49)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3372</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RAMP 2003-RP2</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(13.07)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3374</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RAMP 2003-SL1</w:t>
            </w:r>
          </w:p>
        </w:tc>
        <w:tc>
          <w:tcPr>
            <w:tcW w:w="920" w:type="dxa"/>
            <w:vAlign w:val="bottom"/>
          </w:tcPr>
          <w:p>
            <w:pPr>
              <w:jc w:val="right"/>
              <w:spacing w:after="0"/>
              <w:rPr>
                <w:sz w:val="20"/>
                <w:szCs w:val="20"/>
                <w:color w:val="auto"/>
              </w:rPr>
            </w:pPr>
            <w:r>
              <w:rPr>
                <w:rFonts w:ascii="Arial" w:cs="Arial" w:eastAsia="Arial" w:hAnsi="Arial"/>
                <w:sz w:val="18"/>
                <w:szCs w:val="18"/>
                <w:color w:val="auto"/>
              </w:rPr>
              <w:t>77.10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3381</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RAMP 2005-RP2</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18.23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3385</w:t>
            </w:r>
          </w:p>
        </w:tc>
        <w:tc>
          <w:tcPr>
            <w:tcW w:w="160" w:type="dxa"/>
            <w:vAlign w:val="bottom"/>
          </w:tcPr>
          <w:p>
            <w:pPr>
              <w:spacing w:after="0"/>
              <w:rPr>
                <w:sz w:val="18"/>
                <w:szCs w:val="18"/>
                <w:color w:val="auto"/>
              </w:rPr>
            </w:pPr>
          </w:p>
        </w:tc>
        <w:tc>
          <w:tcPr>
            <w:tcW w:w="6260" w:type="dxa"/>
            <w:vAlign w:val="bottom"/>
            <w:gridSpan w:val="3"/>
          </w:tcPr>
          <w:p>
            <w:pPr>
              <w:ind w:left="160"/>
              <w:spacing w:after="0"/>
              <w:rPr>
                <w:sz w:val="20"/>
                <w:szCs w:val="20"/>
                <w:color w:val="auto"/>
              </w:rPr>
            </w:pPr>
            <w:r>
              <w:rPr>
                <w:rFonts w:ascii="Arial" w:cs="Arial" w:eastAsia="Arial" w:hAnsi="Arial"/>
                <w:sz w:val="18"/>
                <w:szCs w:val="18"/>
                <w:color w:val="auto"/>
              </w:rPr>
              <w:t>RAMP 2006-RP1</w:t>
            </w:r>
          </w:p>
        </w:tc>
        <w:tc>
          <w:tcPr>
            <w:tcW w:w="920" w:type="dxa"/>
            <w:vAlign w:val="bottom"/>
          </w:tcPr>
          <w:p>
            <w:pPr>
              <w:jc w:val="right"/>
              <w:spacing w:after="0"/>
              <w:rPr>
                <w:sz w:val="20"/>
                <w:szCs w:val="20"/>
                <w:color w:val="auto"/>
              </w:rPr>
            </w:pPr>
            <w:r>
              <w:rPr>
                <w:rFonts w:ascii="Arial" w:cs="Arial" w:eastAsia="Arial" w:hAnsi="Arial"/>
                <w:sz w:val="18"/>
                <w:szCs w:val="18"/>
                <w:color w:val="auto"/>
              </w:rPr>
              <w:t>25.64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3386</w:t>
            </w:r>
          </w:p>
        </w:tc>
        <w:tc>
          <w:tcPr>
            <w:tcW w:w="160" w:type="dxa"/>
            <w:vAlign w:val="bottom"/>
            <w:shd w:val="clear" w:color="auto" w:fill="CCEECC"/>
          </w:tcPr>
          <w:p>
            <w:pPr>
              <w:spacing w:after="0"/>
              <w:rPr>
                <w:sz w:val="18"/>
                <w:szCs w:val="18"/>
                <w:color w:val="auto"/>
              </w:rPr>
            </w:pPr>
          </w:p>
        </w:tc>
        <w:tc>
          <w:tcPr>
            <w:tcW w:w="6260" w:type="dxa"/>
            <w:vAlign w:val="bottom"/>
            <w:gridSpan w:val="3"/>
            <w:shd w:val="clear" w:color="auto" w:fill="CCEECC"/>
          </w:tcPr>
          <w:p>
            <w:pPr>
              <w:ind w:left="160"/>
              <w:spacing w:after="0"/>
              <w:rPr>
                <w:sz w:val="20"/>
                <w:szCs w:val="20"/>
                <w:color w:val="auto"/>
              </w:rPr>
            </w:pPr>
            <w:r>
              <w:rPr>
                <w:rFonts w:ascii="Arial" w:cs="Arial" w:eastAsia="Arial" w:hAnsi="Arial"/>
                <w:sz w:val="18"/>
                <w:szCs w:val="18"/>
                <w:color w:val="auto"/>
              </w:rPr>
              <w:t>RAMP 2006-RP2</w:t>
            </w:r>
          </w:p>
        </w:tc>
        <w:tc>
          <w:tcPr>
            <w:tcW w:w="9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10.83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2" w:right="2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3387</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2006-RP3</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3389</w:t>
            </w:r>
          </w:p>
        </w:tc>
        <w:tc>
          <w:tcPr>
            <w:tcW w:w="4640" w:type="dxa"/>
            <w:vAlign w:val="bottom"/>
          </w:tcPr>
          <w:p>
            <w:pPr>
              <w:ind w:left="160"/>
              <w:spacing w:after="0"/>
              <w:rPr>
                <w:sz w:val="20"/>
                <w:szCs w:val="20"/>
                <w:color w:val="auto"/>
              </w:rPr>
            </w:pPr>
            <w:r>
              <w:rPr>
                <w:rFonts w:ascii="Arial" w:cs="Arial" w:eastAsia="Arial" w:hAnsi="Arial"/>
                <w:sz w:val="18"/>
                <w:szCs w:val="18"/>
                <w:color w:val="auto"/>
              </w:rPr>
              <w:t>RAMP 2007-RP1</w:t>
            </w:r>
          </w:p>
        </w:tc>
        <w:tc>
          <w:tcPr>
            <w:tcW w:w="2720" w:type="dxa"/>
            <w:vAlign w:val="bottom"/>
          </w:tcPr>
          <w:p>
            <w:pPr>
              <w:jc w:val="right"/>
              <w:spacing w:after="0"/>
              <w:rPr>
                <w:sz w:val="20"/>
                <w:szCs w:val="20"/>
                <w:color w:val="auto"/>
              </w:rPr>
            </w:pPr>
            <w:r>
              <w:rPr>
                <w:rFonts w:ascii="Arial" w:cs="Arial" w:eastAsia="Arial" w:hAnsi="Arial"/>
                <w:sz w:val="18"/>
                <w:szCs w:val="18"/>
                <w:color w:val="auto"/>
              </w:rPr>
              <w:t>24.84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3392</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2007-RP4</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24.16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3402</w:t>
            </w:r>
          </w:p>
        </w:tc>
        <w:tc>
          <w:tcPr>
            <w:tcW w:w="4640" w:type="dxa"/>
            <w:vAlign w:val="bottom"/>
          </w:tcPr>
          <w:p>
            <w:pPr>
              <w:ind w:left="160"/>
              <w:spacing w:after="0"/>
              <w:rPr>
                <w:sz w:val="20"/>
                <w:szCs w:val="20"/>
                <w:color w:val="auto"/>
              </w:rPr>
            </w:pPr>
            <w:r>
              <w:rPr>
                <w:rFonts w:ascii="Arial" w:cs="Arial" w:eastAsia="Arial" w:hAnsi="Arial"/>
                <w:sz w:val="18"/>
                <w:szCs w:val="18"/>
                <w:color w:val="auto"/>
              </w:rPr>
              <w:t>SABR 2004-NC3</w:t>
            </w:r>
          </w:p>
        </w:tc>
        <w:tc>
          <w:tcPr>
            <w:tcW w:w="2720" w:type="dxa"/>
            <w:vAlign w:val="bottom"/>
          </w:tcPr>
          <w:p>
            <w:pPr>
              <w:jc w:val="right"/>
              <w:spacing w:after="0"/>
              <w:rPr>
                <w:sz w:val="20"/>
                <w:szCs w:val="20"/>
                <w:color w:val="auto"/>
              </w:rPr>
            </w:pPr>
            <w:r>
              <w:rPr>
                <w:rFonts w:ascii="Arial" w:cs="Arial" w:eastAsia="Arial" w:hAnsi="Arial"/>
                <w:sz w:val="18"/>
                <w:szCs w:val="18"/>
                <w:color w:val="auto"/>
              </w:rPr>
              <w:t>59.36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3404</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SBM7 2002-WMC2</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3408</w:t>
            </w:r>
          </w:p>
        </w:tc>
        <w:tc>
          <w:tcPr>
            <w:tcW w:w="4640" w:type="dxa"/>
            <w:vAlign w:val="bottom"/>
          </w:tcPr>
          <w:p>
            <w:pPr>
              <w:ind w:left="160"/>
              <w:spacing w:after="0"/>
              <w:rPr>
                <w:sz w:val="20"/>
                <w:szCs w:val="20"/>
                <w:color w:val="auto"/>
              </w:rPr>
            </w:pPr>
            <w:r>
              <w:rPr>
                <w:rFonts w:ascii="Arial" w:cs="Arial" w:eastAsia="Arial" w:hAnsi="Arial"/>
                <w:sz w:val="18"/>
                <w:szCs w:val="18"/>
                <w:color w:val="auto"/>
              </w:rPr>
              <w:t>Soundview 2001-2</w:t>
            </w:r>
          </w:p>
        </w:tc>
        <w:tc>
          <w:tcPr>
            <w:tcW w:w="2720" w:type="dxa"/>
            <w:vAlign w:val="bottom"/>
          </w:tcPr>
          <w:p>
            <w:pPr>
              <w:jc w:val="right"/>
              <w:spacing w:after="0"/>
              <w:rPr>
                <w:sz w:val="20"/>
                <w:szCs w:val="20"/>
                <w:color w:val="auto"/>
              </w:rPr>
            </w:pPr>
            <w:r>
              <w:rPr>
                <w:rFonts w:ascii="Arial" w:cs="Arial" w:eastAsia="Arial" w:hAnsi="Arial"/>
                <w:sz w:val="18"/>
                <w:szCs w:val="18"/>
                <w:color w:val="auto"/>
              </w:rPr>
              <w:t>(44.53)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3413</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Soundview 2007-2</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(70.26)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3425</w:t>
            </w:r>
          </w:p>
        </w:tc>
        <w:tc>
          <w:tcPr>
            <w:tcW w:w="4640" w:type="dxa"/>
            <w:vAlign w:val="bottom"/>
          </w:tcPr>
          <w:p>
            <w:pPr>
              <w:ind w:left="160"/>
              <w:spacing w:after="0"/>
              <w:rPr>
                <w:sz w:val="20"/>
                <w:szCs w:val="20"/>
                <w:color w:val="auto"/>
              </w:rPr>
            </w:pPr>
            <w:r>
              <w:rPr>
                <w:rFonts w:ascii="Arial" w:cs="Arial" w:eastAsia="Arial" w:hAnsi="Arial"/>
                <w:sz w:val="18"/>
                <w:szCs w:val="18"/>
                <w:color w:val="auto"/>
              </w:rPr>
              <w:t>TERWIN 2003-7SL</w:t>
            </w:r>
          </w:p>
        </w:tc>
        <w:tc>
          <w:tcPr>
            <w:tcW w:w="2720" w:type="dxa"/>
            <w:vAlign w:val="bottom"/>
          </w:tcPr>
          <w:p>
            <w:pPr>
              <w:jc w:val="right"/>
              <w:spacing w:after="0"/>
              <w:rPr>
                <w:sz w:val="20"/>
                <w:szCs w:val="20"/>
                <w:color w:val="auto"/>
              </w:rPr>
            </w:pPr>
            <w:r>
              <w:rPr>
                <w:rFonts w:ascii="Arial" w:cs="Arial" w:eastAsia="Arial" w:hAnsi="Arial"/>
                <w:sz w:val="18"/>
                <w:szCs w:val="18"/>
                <w:color w:val="auto"/>
              </w:rPr>
              <w:t>(66.05)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3428</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TERWIN 2004-10SL</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(91.24)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3429</w:t>
            </w:r>
          </w:p>
        </w:tc>
        <w:tc>
          <w:tcPr>
            <w:tcW w:w="4640" w:type="dxa"/>
            <w:vAlign w:val="bottom"/>
          </w:tcPr>
          <w:p>
            <w:pPr>
              <w:ind w:left="160"/>
              <w:spacing w:after="0"/>
              <w:rPr>
                <w:sz w:val="20"/>
                <w:szCs w:val="20"/>
                <w:color w:val="auto"/>
              </w:rPr>
            </w:pPr>
            <w:r>
              <w:rPr>
                <w:rFonts w:ascii="Arial" w:cs="Arial" w:eastAsia="Arial" w:hAnsi="Arial"/>
                <w:sz w:val="18"/>
                <w:szCs w:val="18"/>
                <w:color w:val="auto"/>
              </w:rPr>
              <w:t>TERWIN 2004-2SL</w:t>
            </w:r>
          </w:p>
        </w:tc>
        <w:tc>
          <w:tcPr>
            <w:tcW w:w="2720" w:type="dxa"/>
            <w:vAlign w:val="bottom"/>
          </w:tcPr>
          <w:p>
            <w:pPr>
              <w:jc w:val="right"/>
              <w:spacing w:after="0"/>
              <w:rPr>
                <w:sz w:val="20"/>
                <w:szCs w:val="20"/>
                <w:color w:val="auto"/>
              </w:rPr>
            </w:pPr>
            <w:r>
              <w:rPr>
                <w:rFonts w:ascii="Arial" w:cs="Arial" w:eastAsia="Arial" w:hAnsi="Arial"/>
                <w:sz w:val="18"/>
                <w:szCs w:val="18"/>
                <w:color w:val="auto"/>
              </w:rPr>
              <w:t>(51.65)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3430</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TERWIN 2004-6SL</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(42.61)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3451</w:t>
            </w:r>
          </w:p>
        </w:tc>
        <w:tc>
          <w:tcPr>
            <w:tcW w:w="4640" w:type="dxa"/>
            <w:vAlign w:val="bottom"/>
          </w:tcPr>
          <w:p>
            <w:pPr>
              <w:ind w:left="160"/>
              <w:spacing w:after="0"/>
              <w:rPr>
                <w:sz w:val="20"/>
                <w:szCs w:val="20"/>
                <w:color w:val="auto"/>
              </w:rPr>
            </w:pPr>
            <w:r>
              <w:rPr>
                <w:rFonts w:ascii="Arial" w:cs="Arial" w:eastAsia="Arial" w:hAnsi="Arial"/>
                <w:sz w:val="18"/>
                <w:szCs w:val="18"/>
                <w:color w:val="auto"/>
              </w:rPr>
              <w:t>CMLTI 2003-HE2</w:t>
            </w:r>
          </w:p>
        </w:tc>
        <w:tc>
          <w:tcPr>
            <w:tcW w:w="2720" w:type="dxa"/>
            <w:vAlign w:val="bottom"/>
          </w:tcPr>
          <w:p>
            <w:pPr>
              <w:jc w:val="right"/>
              <w:spacing w:after="0"/>
              <w:rPr>
                <w:sz w:val="20"/>
                <w:szCs w:val="20"/>
                <w:color w:val="auto"/>
              </w:rPr>
            </w:pPr>
            <w:r>
              <w:rPr>
                <w:rFonts w:ascii="Arial" w:cs="Arial" w:eastAsia="Arial" w:hAnsi="Arial"/>
                <w:sz w:val="18"/>
                <w:szCs w:val="18"/>
                <w:color w:val="auto"/>
              </w:rPr>
              <w:t>57.67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3535</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C-BASS 2003-CB4</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(10.74)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3553</w:t>
            </w:r>
          </w:p>
        </w:tc>
        <w:tc>
          <w:tcPr>
            <w:tcW w:w="4640" w:type="dxa"/>
            <w:vAlign w:val="bottom"/>
          </w:tcPr>
          <w:p>
            <w:pPr>
              <w:ind w:left="160"/>
              <w:spacing w:after="0"/>
              <w:rPr>
                <w:sz w:val="20"/>
                <w:szCs w:val="20"/>
                <w:color w:val="auto"/>
              </w:rPr>
            </w:pPr>
            <w:r>
              <w:rPr>
                <w:rFonts w:ascii="Arial" w:cs="Arial" w:eastAsia="Arial" w:hAnsi="Arial"/>
                <w:sz w:val="18"/>
                <w:szCs w:val="18"/>
                <w:color w:val="auto"/>
              </w:rPr>
              <w:t>GSAA 2007-S1</w:t>
            </w:r>
          </w:p>
        </w:tc>
        <w:tc>
          <w:tcPr>
            <w:tcW w:w="2720" w:type="dxa"/>
            <w:vAlign w:val="bottom"/>
          </w:tcPr>
          <w:p>
            <w:pPr>
              <w:jc w:val="right"/>
              <w:spacing w:after="0"/>
              <w:rPr>
                <w:sz w:val="20"/>
                <w:szCs w:val="20"/>
                <w:color w:val="auto"/>
              </w:rPr>
            </w:pPr>
            <w:r>
              <w:rPr>
                <w:rFonts w:ascii="Arial" w:cs="Arial" w:eastAsia="Arial" w:hAnsi="Arial"/>
                <w:sz w:val="18"/>
                <w:szCs w:val="18"/>
                <w:color w:val="auto"/>
              </w:rPr>
              <w:t>11.89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3218</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Option One 2002-5</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3315</w:t>
            </w:r>
          </w:p>
        </w:tc>
        <w:tc>
          <w:tcPr>
            <w:tcW w:w="4640" w:type="dxa"/>
            <w:vAlign w:val="bottom"/>
          </w:tcPr>
          <w:p>
            <w:pPr>
              <w:ind w:left="160"/>
              <w:spacing w:after="0"/>
              <w:rPr>
                <w:sz w:val="20"/>
                <w:szCs w:val="20"/>
                <w:color w:val="auto"/>
              </w:rPr>
            </w:pPr>
            <w:r>
              <w:rPr>
                <w:rFonts w:ascii="Arial" w:cs="Arial" w:eastAsia="Arial" w:hAnsi="Arial"/>
                <w:sz w:val="18"/>
                <w:szCs w:val="18"/>
                <w:color w:val="auto"/>
              </w:rPr>
              <w:t>RAAC 2005-SP2</w:t>
            </w:r>
          </w:p>
        </w:tc>
        <w:tc>
          <w:tcPr>
            <w:tcW w:w="2720" w:type="dxa"/>
            <w:vAlign w:val="bottom"/>
          </w:tcPr>
          <w:p>
            <w:pPr>
              <w:jc w:val="right"/>
              <w:spacing w:after="0"/>
              <w:rPr>
                <w:sz w:val="20"/>
                <w:szCs w:val="20"/>
                <w:color w:val="auto"/>
              </w:rPr>
            </w:pPr>
            <w:r>
              <w:rPr>
                <w:rFonts w:ascii="Arial" w:cs="Arial" w:eastAsia="Arial" w:hAnsi="Arial"/>
                <w:sz w:val="18"/>
                <w:szCs w:val="18"/>
                <w:color w:val="auto"/>
              </w:rPr>
              <w:t>31.98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3318</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RAAC 2006-SP2</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31.98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3321</w:t>
            </w:r>
          </w:p>
        </w:tc>
        <w:tc>
          <w:tcPr>
            <w:tcW w:w="4640" w:type="dxa"/>
            <w:vAlign w:val="bottom"/>
          </w:tcPr>
          <w:p>
            <w:pPr>
              <w:ind w:left="160"/>
              <w:spacing w:after="0"/>
              <w:rPr>
                <w:sz w:val="20"/>
                <w:szCs w:val="20"/>
                <w:color w:val="auto"/>
              </w:rPr>
            </w:pPr>
            <w:r>
              <w:rPr>
                <w:rFonts w:ascii="Arial" w:cs="Arial" w:eastAsia="Arial" w:hAnsi="Arial"/>
                <w:sz w:val="18"/>
                <w:szCs w:val="18"/>
                <w:color w:val="auto"/>
              </w:rPr>
              <w:t>RAAC 2007-SP1</w:t>
            </w:r>
          </w:p>
        </w:tc>
        <w:tc>
          <w:tcPr>
            <w:tcW w:w="2720" w:type="dxa"/>
            <w:vAlign w:val="bottom"/>
          </w:tcPr>
          <w:p>
            <w:pPr>
              <w:jc w:val="right"/>
              <w:spacing w:after="0"/>
              <w:rPr>
                <w:sz w:val="20"/>
                <w:szCs w:val="20"/>
                <w:color w:val="auto"/>
              </w:rPr>
            </w:pPr>
            <w:r>
              <w:rPr>
                <w:rFonts w:ascii="Arial" w:cs="Arial" w:eastAsia="Arial" w:hAnsi="Arial"/>
                <w:sz w:val="18"/>
                <w:szCs w:val="18"/>
                <w:color w:val="auto"/>
              </w:rPr>
              <w:t>23.23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3325</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2003-QS11</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3326</w:t>
            </w:r>
          </w:p>
        </w:tc>
        <w:tc>
          <w:tcPr>
            <w:tcW w:w="4640" w:type="dxa"/>
            <w:vAlign w:val="bottom"/>
          </w:tcPr>
          <w:p>
            <w:pPr>
              <w:ind w:left="160"/>
              <w:spacing w:after="0"/>
              <w:rPr>
                <w:sz w:val="20"/>
                <w:szCs w:val="20"/>
                <w:color w:val="auto"/>
              </w:rPr>
            </w:pPr>
            <w:r>
              <w:rPr>
                <w:rFonts w:ascii="Arial" w:cs="Arial" w:eastAsia="Arial" w:hAnsi="Arial"/>
                <w:sz w:val="18"/>
                <w:szCs w:val="18"/>
                <w:color w:val="auto"/>
              </w:rPr>
              <w:t>RALI 2003-QS13</w:t>
            </w:r>
          </w:p>
        </w:tc>
        <w:tc>
          <w:tcPr>
            <w:tcW w:w="2720" w:type="dxa"/>
            <w:vAlign w:val="bottom"/>
          </w:tcPr>
          <w:p>
            <w:pPr>
              <w:jc w:val="right"/>
              <w:spacing w:after="0"/>
              <w:rPr>
                <w:sz w:val="20"/>
                <w:szCs w:val="20"/>
                <w:color w:val="auto"/>
              </w:rPr>
            </w:pPr>
            <w:r>
              <w:rPr>
                <w:rFonts w:ascii="Arial" w:cs="Arial" w:eastAsia="Arial" w:hAnsi="Arial"/>
                <w:sz w:val="18"/>
                <w:szCs w:val="18"/>
                <w:color w:val="auto"/>
              </w:rPr>
              <w:t>(23.43)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3348</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2003-QS4</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14.98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3376</w:t>
            </w:r>
          </w:p>
        </w:tc>
        <w:tc>
          <w:tcPr>
            <w:tcW w:w="4640" w:type="dxa"/>
            <w:vAlign w:val="bottom"/>
          </w:tcPr>
          <w:p>
            <w:pPr>
              <w:ind w:left="160"/>
              <w:spacing w:after="0"/>
              <w:rPr>
                <w:sz w:val="20"/>
                <w:szCs w:val="20"/>
                <w:color w:val="auto"/>
              </w:rPr>
            </w:pPr>
            <w:r>
              <w:rPr>
                <w:rFonts w:ascii="Arial" w:cs="Arial" w:eastAsia="Arial" w:hAnsi="Arial"/>
                <w:sz w:val="18"/>
                <w:szCs w:val="18"/>
                <w:color w:val="auto"/>
              </w:rPr>
              <w:t>RAMP 2004-SL1</w:t>
            </w:r>
          </w:p>
        </w:tc>
        <w:tc>
          <w:tcPr>
            <w:tcW w:w="2720" w:type="dxa"/>
            <w:vAlign w:val="bottom"/>
          </w:tcPr>
          <w:p>
            <w:pPr>
              <w:jc w:val="right"/>
              <w:spacing w:after="0"/>
              <w:rPr>
                <w:sz w:val="20"/>
                <w:szCs w:val="20"/>
                <w:color w:val="auto"/>
              </w:rPr>
            </w:pPr>
            <w:r>
              <w:rPr>
                <w:rFonts w:ascii="Arial" w:cs="Arial" w:eastAsia="Arial" w:hAnsi="Arial"/>
                <w:sz w:val="18"/>
                <w:szCs w:val="18"/>
                <w:color w:val="auto"/>
              </w:rPr>
              <w:t>40.79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3380</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2005-RP1</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3384</w:t>
            </w:r>
          </w:p>
        </w:tc>
        <w:tc>
          <w:tcPr>
            <w:tcW w:w="4640" w:type="dxa"/>
            <w:vAlign w:val="bottom"/>
          </w:tcPr>
          <w:p>
            <w:pPr>
              <w:ind w:left="160"/>
              <w:spacing w:after="0"/>
              <w:rPr>
                <w:sz w:val="20"/>
                <w:szCs w:val="20"/>
                <w:color w:val="auto"/>
              </w:rPr>
            </w:pPr>
            <w:r>
              <w:rPr>
                <w:rFonts w:ascii="Arial" w:cs="Arial" w:eastAsia="Arial" w:hAnsi="Arial"/>
                <w:sz w:val="18"/>
                <w:szCs w:val="18"/>
                <w:color w:val="auto"/>
              </w:rPr>
              <w:t>RAMP 2005-SL2</w:t>
            </w:r>
          </w:p>
        </w:tc>
        <w:tc>
          <w:tcPr>
            <w:tcW w:w="2720" w:type="dxa"/>
            <w:vAlign w:val="bottom"/>
          </w:tcPr>
          <w:p>
            <w:pPr>
              <w:jc w:val="right"/>
              <w:spacing w:after="0"/>
              <w:rPr>
                <w:sz w:val="20"/>
                <w:szCs w:val="20"/>
                <w:color w:val="auto"/>
              </w:rPr>
            </w:pPr>
            <w:r>
              <w:rPr>
                <w:rFonts w:ascii="Arial" w:cs="Arial" w:eastAsia="Arial" w:hAnsi="Arial"/>
                <w:sz w:val="18"/>
                <w:szCs w:val="18"/>
                <w:color w:val="auto"/>
              </w:rPr>
              <w:t>14.14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3388</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2006-RP4</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22.60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3390</w:t>
            </w:r>
          </w:p>
        </w:tc>
        <w:tc>
          <w:tcPr>
            <w:tcW w:w="4640" w:type="dxa"/>
            <w:vAlign w:val="bottom"/>
          </w:tcPr>
          <w:p>
            <w:pPr>
              <w:ind w:left="160"/>
              <w:spacing w:after="0"/>
              <w:rPr>
                <w:sz w:val="20"/>
                <w:szCs w:val="20"/>
                <w:color w:val="auto"/>
              </w:rPr>
            </w:pPr>
            <w:r>
              <w:rPr>
                <w:rFonts w:ascii="Arial" w:cs="Arial" w:eastAsia="Arial" w:hAnsi="Arial"/>
                <w:sz w:val="18"/>
                <w:szCs w:val="18"/>
                <w:color w:val="auto"/>
              </w:rPr>
              <w:t>RAMP 2007-RP2</w:t>
            </w:r>
          </w:p>
        </w:tc>
        <w:tc>
          <w:tcPr>
            <w:tcW w:w="2720" w:type="dxa"/>
            <w:vAlign w:val="bottom"/>
          </w:tcPr>
          <w:p>
            <w:pPr>
              <w:jc w:val="right"/>
              <w:spacing w:after="0"/>
              <w:rPr>
                <w:sz w:val="20"/>
                <w:szCs w:val="20"/>
                <w:color w:val="auto"/>
              </w:rPr>
            </w:pPr>
            <w:r>
              <w:rPr>
                <w:rFonts w:ascii="Arial" w:cs="Arial" w:eastAsia="Arial" w:hAnsi="Arial"/>
                <w:sz w:val="18"/>
                <w:szCs w:val="18"/>
                <w:color w:val="auto"/>
              </w:rPr>
              <w:t>28.14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3391</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2007-RP3</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3452</w:t>
            </w:r>
          </w:p>
        </w:tc>
        <w:tc>
          <w:tcPr>
            <w:tcW w:w="4640" w:type="dxa"/>
            <w:vAlign w:val="bottom"/>
          </w:tcPr>
          <w:p>
            <w:pPr>
              <w:ind w:left="160"/>
              <w:spacing w:after="0"/>
              <w:rPr>
                <w:sz w:val="20"/>
                <w:szCs w:val="20"/>
                <w:color w:val="auto"/>
              </w:rPr>
            </w:pPr>
            <w:r>
              <w:rPr>
                <w:rFonts w:ascii="Arial" w:cs="Arial" w:eastAsia="Arial" w:hAnsi="Arial"/>
                <w:sz w:val="18"/>
                <w:szCs w:val="18"/>
                <w:color w:val="auto"/>
              </w:rPr>
              <w:t>CMLTI 2004-NCM1 (Nat City)</w:t>
            </w:r>
          </w:p>
        </w:tc>
        <w:tc>
          <w:tcPr>
            <w:tcW w:w="2720" w:type="dxa"/>
            <w:vAlign w:val="bottom"/>
          </w:tcPr>
          <w:p>
            <w:pPr>
              <w:jc w:val="right"/>
              <w:spacing w:after="0"/>
              <w:rPr>
                <w:sz w:val="20"/>
                <w:szCs w:val="20"/>
                <w:color w:val="auto"/>
              </w:rPr>
            </w:pPr>
            <w:r>
              <w:rPr>
                <w:rFonts w:ascii="Arial" w:cs="Arial" w:eastAsia="Arial" w:hAnsi="Arial"/>
                <w:sz w:val="18"/>
                <w:szCs w:val="18"/>
                <w:color w:val="auto"/>
              </w:rPr>
              <w:t>(24.97)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3778</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MSMLT 2007-2AX</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32.16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3779</w:t>
            </w:r>
          </w:p>
        </w:tc>
        <w:tc>
          <w:tcPr>
            <w:tcW w:w="4640" w:type="dxa"/>
            <w:vAlign w:val="bottom"/>
          </w:tcPr>
          <w:p>
            <w:pPr>
              <w:ind w:left="160"/>
              <w:spacing w:after="0"/>
              <w:rPr>
                <w:sz w:val="20"/>
                <w:szCs w:val="20"/>
                <w:color w:val="auto"/>
              </w:rPr>
            </w:pPr>
            <w:r>
              <w:rPr>
                <w:rFonts w:ascii="Arial" w:cs="Arial" w:eastAsia="Arial" w:hAnsi="Arial"/>
                <w:sz w:val="18"/>
                <w:szCs w:val="18"/>
                <w:color w:val="auto"/>
              </w:rPr>
              <w:t>MSMLT 2007-5AX</w:t>
            </w:r>
          </w:p>
        </w:tc>
        <w:tc>
          <w:tcPr>
            <w:tcW w:w="2720" w:type="dxa"/>
            <w:vAlign w:val="bottom"/>
          </w:tcPr>
          <w:p>
            <w:pPr>
              <w:jc w:val="right"/>
              <w:spacing w:after="0"/>
              <w:rPr>
                <w:sz w:val="20"/>
                <w:szCs w:val="20"/>
                <w:color w:val="auto"/>
              </w:rPr>
            </w:pPr>
            <w:r>
              <w:rPr>
                <w:rFonts w:ascii="Arial" w:cs="Arial" w:eastAsia="Arial" w:hAnsi="Arial"/>
                <w:sz w:val="18"/>
                <w:szCs w:val="18"/>
                <w:color w:val="auto"/>
              </w:rPr>
              <w:t>18.89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3785</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MSM 2006-15XS</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3787</w:t>
            </w:r>
          </w:p>
        </w:tc>
        <w:tc>
          <w:tcPr>
            <w:tcW w:w="4640" w:type="dxa"/>
            <w:vAlign w:val="bottom"/>
          </w:tcPr>
          <w:p>
            <w:pPr>
              <w:ind w:left="160"/>
              <w:spacing w:after="0"/>
              <w:rPr>
                <w:sz w:val="20"/>
                <w:szCs w:val="20"/>
                <w:color w:val="auto"/>
              </w:rPr>
            </w:pPr>
            <w:r>
              <w:rPr>
                <w:rFonts w:ascii="Arial" w:cs="Arial" w:eastAsia="Arial" w:hAnsi="Arial"/>
                <w:sz w:val="18"/>
                <w:szCs w:val="18"/>
                <w:color w:val="auto"/>
              </w:rPr>
              <w:t>MSM 2007-8XS</w:t>
            </w:r>
          </w:p>
        </w:tc>
        <w:tc>
          <w:tcPr>
            <w:tcW w:w="2720" w:type="dxa"/>
            <w:vAlign w:val="bottom"/>
          </w:tcPr>
          <w:p>
            <w:pPr>
              <w:jc w:val="right"/>
              <w:spacing w:after="0"/>
              <w:rPr>
                <w:sz w:val="20"/>
                <w:szCs w:val="20"/>
                <w:color w:val="auto"/>
              </w:rPr>
            </w:pPr>
            <w:r>
              <w:rPr>
                <w:rFonts w:ascii="Arial" w:cs="Arial" w:eastAsia="Arial" w:hAnsi="Arial"/>
                <w:sz w:val="18"/>
                <w:szCs w:val="18"/>
                <w:color w:val="auto"/>
              </w:rPr>
              <w:t>14.75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3788</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MSM 2007-10XS</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36.55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3796</w:t>
            </w:r>
          </w:p>
        </w:tc>
        <w:tc>
          <w:tcPr>
            <w:tcW w:w="4640" w:type="dxa"/>
            <w:vAlign w:val="bottom"/>
          </w:tcPr>
          <w:p>
            <w:pPr>
              <w:ind w:left="160"/>
              <w:spacing w:after="0"/>
              <w:rPr>
                <w:sz w:val="20"/>
                <w:szCs w:val="20"/>
                <w:color w:val="auto"/>
              </w:rPr>
            </w:pPr>
            <w:r>
              <w:rPr>
                <w:rFonts w:ascii="Arial" w:cs="Arial" w:eastAsia="Arial" w:hAnsi="Arial"/>
                <w:sz w:val="18"/>
                <w:szCs w:val="18"/>
                <w:color w:val="auto"/>
              </w:rPr>
              <w:t>MSM 2007-11AR</w:t>
            </w:r>
          </w:p>
        </w:tc>
        <w:tc>
          <w:tcPr>
            <w:tcW w:w="2720" w:type="dxa"/>
            <w:vAlign w:val="bottom"/>
          </w:tcPr>
          <w:p>
            <w:pPr>
              <w:jc w:val="right"/>
              <w:spacing w:after="0"/>
              <w:rPr>
                <w:sz w:val="20"/>
                <w:szCs w:val="20"/>
                <w:color w:val="auto"/>
              </w:rPr>
            </w:pPr>
            <w:r>
              <w:rPr>
                <w:rFonts w:ascii="Arial" w:cs="Arial" w:eastAsia="Arial" w:hAnsi="Arial"/>
                <w:sz w:val="18"/>
                <w:szCs w:val="18"/>
                <w:color w:val="auto"/>
              </w:rPr>
              <w:t>49.49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3810</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MSAC 2007-SEA1</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23.72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3825</w:t>
            </w:r>
          </w:p>
        </w:tc>
        <w:tc>
          <w:tcPr>
            <w:tcW w:w="4640" w:type="dxa"/>
            <w:vAlign w:val="bottom"/>
          </w:tcPr>
          <w:p>
            <w:pPr>
              <w:ind w:left="160"/>
              <w:spacing w:after="0"/>
              <w:rPr>
                <w:sz w:val="20"/>
                <w:szCs w:val="20"/>
                <w:color w:val="auto"/>
              </w:rPr>
            </w:pPr>
            <w:r>
              <w:rPr>
                <w:rFonts w:ascii="Arial" w:cs="Arial" w:eastAsia="Arial" w:hAnsi="Arial"/>
                <w:sz w:val="18"/>
                <w:szCs w:val="18"/>
                <w:color w:val="auto"/>
              </w:rPr>
              <w:t>MSM 2007-13</w:t>
            </w:r>
          </w:p>
        </w:tc>
        <w:tc>
          <w:tcPr>
            <w:tcW w:w="2720" w:type="dxa"/>
            <w:vAlign w:val="bottom"/>
          </w:tcPr>
          <w:p>
            <w:pPr>
              <w:jc w:val="right"/>
              <w:spacing w:after="0"/>
              <w:rPr>
                <w:sz w:val="20"/>
                <w:szCs w:val="20"/>
                <w:color w:val="auto"/>
              </w:rPr>
            </w:pPr>
            <w:r>
              <w:rPr>
                <w:rFonts w:ascii="Arial" w:cs="Arial" w:eastAsia="Arial" w:hAnsi="Arial"/>
                <w:sz w:val="18"/>
                <w:szCs w:val="18"/>
                <w:color w:val="auto"/>
              </w:rPr>
              <w:t>28.80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3826</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MSM 2007-14AR</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43.29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3827</w:t>
            </w:r>
          </w:p>
        </w:tc>
        <w:tc>
          <w:tcPr>
            <w:tcW w:w="4640" w:type="dxa"/>
            <w:vAlign w:val="bottom"/>
          </w:tcPr>
          <w:p>
            <w:pPr>
              <w:ind w:left="160"/>
              <w:spacing w:after="0"/>
              <w:rPr>
                <w:sz w:val="20"/>
                <w:szCs w:val="20"/>
                <w:color w:val="auto"/>
              </w:rPr>
            </w:pPr>
            <w:r>
              <w:rPr>
                <w:rFonts w:ascii="Arial" w:cs="Arial" w:eastAsia="Arial" w:hAnsi="Arial"/>
                <w:sz w:val="18"/>
                <w:szCs w:val="18"/>
                <w:color w:val="auto"/>
              </w:rPr>
              <w:t>MSM 2007-15AR</w:t>
            </w:r>
          </w:p>
        </w:tc>
        <w:tc>
          <w:tcPr>
            <w:tcW w:w="2720" w:type="dxa"/>
            <w:vAlign w:val="bottom"/>
          </w:tcPr>
          <w:p>
            <w:pPr>
              <w:jc w:val="right"/>
              <w:spacing w:after="0"/>
              <w:rPr>
                <w:sz w:val="20"/>
                <w:szCs w:val="20"/>
                <w:color w:val="auto"/>
              </w:rPr>
            </w:pPr>
            <w:r>
              <w:rPr>
                <w:rFonts w:ascii="Arial" w:cs="Arial" w:eastAsia="Arial" w:hAnsi="Arial"/>
                <w:sz w:val="18"/>
                <w:szCs w:val="18"/>
                <w:color w:val="auto"/>
              </w:rPr>
              <w:t>16.52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3853</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Saxon 01-3</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(23.91)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3856</w:t>
            </w:r>
          </w:p>
        </w:tc>
        <w:tc>
          <w:tcPr>
            <w:tcW w:w="4640" w:type="dxa"/>
            <w:vAlign w:val="bottom"/>
          </w:tcPr>
          <w:p>
            <w:pPr>
              <w:ind w:left="160"/>
              <w:spacing w:after="0"/>
              <w:rPr>
                <w:sz w:val="20"/>
                <w:szCs w:val="20"/>
                <w:color w:val="auto"/>
              </w:rPr>
            </w:pPr>
            <w:r>
              <w:rPr>
                <w:rFonts w:ascii="Arial" w:cs="Arial" w:eastAsia="Arial" w:hAnsi="Arial"/>
                <w:sz w:val="18"/>
                <w:szCs w:val="18"/>
                <w:color w:val="auto"/>
              </w:rPr>
              <w:t>Saxon 02-1</w:t>
            </w:r>
          </w:p>
        </w:tc>
        <w:tc>
          <w:tcPr>
            <w:tcW w:w="2720" w:type="dxa"/>
            <w:vAlign w:val="bottom"/>
          </w:tcPr>
          <w:p>
            <w:pPr>
              <w:jc w:val="right"/>
              <w:spacing w:after="0"/>
              <w:rPr>
                <w:sz w:val="20"/>
                <w:szCs w:val="20"/>
                <w:color w:val="auto"/>
              </w:rPr>
            </w:pPr>
            <w:r>
              <w:rPr>
                <w:rFonts w:ascii="Arial" w:cs="Arial" w:eastAsia="Arial" w:hAnsi="Arial"/>
                <w:sz w:val="18"/>
                <w:szCs w:val="18"/>
                <w:color w:val="auto"/>
              </w:rPr>
              <w:t>(14.66)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3976</w:t>
            </w:r>
          </w:p>
        </w:tc>
        <w:tc>
          <w:tcPr>
            <w:tcW w:w="46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ABFC 2001-AQ1</w:t>
            </w:r>
          </w:p>
        </w:tc>
        <w:tc>
          <w:tcPr>
            <w:tcW w:w="2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3977</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ABFC 2002-OPT1</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3978</w:t>
            </w:r>
          </w:p>
        </w:tc>
        <w:tc>
          <w:tcPr>
            <w:tcW w:w="4720" w:type="dxa"/>
            <w:vAlign w:val="bottom"/>
          </w:tcPr>
          <w:p>
            <w:pPr>
              <w:ind w:left="160"/>
              <w:spacing w:after="0"/>
              <w:rPr>
                <w:sz w:val="20"/>
                <w:szCs w:val="20"/>
                <w:color w:val="auto"/>
              </w:rPr>
            </w:pPr>
            <w:r>
              <w:rPr>
                <w:rFonts w:ascii="Arial" w:cs="Arial" w:eastAsia="Arial" w:hAnsi="Arial"/>
                <w:sz w:val="18"/>
                <w:szCs w:val="18"/>
                <w:color w:val="auto"/>
              </w:rPr>
              <w:t>ABFC 2003-OPT1</w:t>
            </w:r>
          </w:p>
        </w:tc>
        <w:tc>
          <w:tcPr>
            <w:tcW w:w="2640" w:type="dxa"/>
            <w:vAlign w:val="bottom"/>
          </w:tcPr>
          <w:p>
            <w:pPr>
              <w:jc w:val="right"/>
              <w:spacing w:after="0"/>
              <w:rPr>
                <w:sz w:val="20"/>
                <w:szCs w:val="20"/>
                <w:color w:val="auto"/>
              </w:rPr>
            </w:pPr>
            <w:r>
              <w:rPr>
                <w:rFonts w:ascii="Arial" w:cs="Arial" w:eastAsia="Arial" w:hAnsi="Arial"/>
                <w:sz w:val="18"/>
                <w:szCs w:val="18"/>
                <w:color w:val="auto"/>
              </w:rPr>
              <w:t>22.94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3984</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ABFC 2005-AQ1</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65.32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3985</w:t>
            </w:r>
          </w:p>
        </w:tc>
        <w:tc>
          <w:tcPr>
            <w:tcW w:w="4720" w:type="dxa"/>
            <w:vAlign w:val="bottom"/>
          </w:tcPr>
          <w:p>
            <w:pPr>
              <w:ind w:left="160"/>
              <w:spacing w:after="0"/>
              <w:rPr>
                <w:sz w:val="20"/>
                <w:szCs w:val="20"/>
                <w:color w:val="auto"/>
              </w:rPr>
            </w:pPr>
            <w:r>
              <w:rPr>
                <w:rFonts w:ascii="Arial" w:cs="Arial" w:eastAsia="Arial" w:hAnsi="Arial"/>
                <w:sz w:val="18"/>
                <w:szCs w:val="18"/>
                <w:color w:val="auto"/>
              </w:rPr>
              <w:t>ABFC 2005-HE1</w:t>
            </w:r>
          </w:p>
        </w:tc>
        <w:tc>
          <w:tcPr>
            <w:tcW w:w="2640" w:type="dxa"/>
            <w:vAlign w:val="bottom"/>
          </w:tcPr>
          <w:p>
            <w:pPr>
              <w:jc w:val="right"/>
              <w:spacing w:after="0"/>
              <w:rPr>
                <w:sz w:val="20"/>
                <w:szCs w:val="20"/>
                <w:color w:val="auto"/>
              </w:rPr>
            </w:pPr>
            <w:r>
              <w:rPr>
                <w:rFonts w:ascii="Arial" w:cs="Arial" w:eastAsia="Arial" w:hAnsi="Arial"/>
                <w:sz w:val="18"/>
                <w:szCs w:val="18"/>
                <w:color w:val="auto"/>
              </w:rPr>
              <w:t>65.99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3988</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ABFC 2006-OPT1</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3989</w:t>
            </w:r>
          </w:p>
        </w:tc>
        <w:tc>
          <w:tcPr>
            <w:tcW w:w="4720" w:type="dxa"/>
            <w:vAlign w:val="bottom"/>
          </w:tcPr>
          <w:p>
            <w:pPr>
              <w:ind w:left="160"/>
              <w:spacing w:after="0"/>
              <w:rPr>
                <w:sz w:val="20"/>
                <w:szCs w:val="20"/>
                <w:color w:val="auto"/>
              </w:rPr>
            </w:pPr>
            <w:r>
              <w:rPr>
                <w:rFonts w:ascii="Arial" w:cs="Arial" w:eastAsia="Arial" w:hAnsi="Arial"/>
                <w:sz w:val="18"/>
                <w:szCs w:val="18"/>
                <w:color w:val="auto"/>
              </w:rPr>
              <w:t>ABFC 2006-OPT2</w:t>
            </w:r>
          </w:p>
        </w:tc>
        <w:tc>
          <w:tcPr>
            <w:tcW w:w="2640" w:type="dxa"/>
            <w:vAlign w:val="bottom"/>
          </w:tcPr>
          <w:p>
            <w:pPr>
              <w:jc w:val="right"/>
              <w:spacing w:after="0"/>
              <w:rPr>
                <w:sz w:val="20"/>
                <w:szCs w:val="20"/>
                <w:color w:val="auto"/>
              </w:rPr>
            </w:pPr>
            <w:r>
              <w:rPr>
                <w:rFonts w:ascii="Arial" w:cs="Arial" w:eastAsia="Arial" w:hAnsi="Arial"/>
                <w:sz w:val="18"/>
                <w:szCs w:val="18"/>
                <w:color w:val="auto"/>
              </w:rPr>
              <w:t>58.69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3990</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ABFC 2006-OPT3</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3992</w:t>
            </w:r>
          </w:p>
        </w:tc>
        <w:tc>
          <w:tcPr>
            <w:tcW w:w="4720" w:type="dxa"/>
            <w:vAlign w:val="bottom"/>
          </w:tcPr>
          <w:p>
            <w:pPr>
              <w:ind w:left="160"/>
              <w:spacing w:after="0"/>
              <w:rPr>
                <w:sz w:val="20"/>
                <w:szCs w:val="20"/>
                <w:color w:val="auto"/>
              </w:rPr>
            </w:pPr>
            <w:r>
              <w:rPr>
                <w:rFonts w:ascii="Arial" w:cs="Arial" w:eastAsia="Arial" w:hAnsi="Arial"/>
                <w:sz w:val="18"/>
                <w:szCs w:val="18"/>
                <w:color w:val="auto"/>
              </w:rPr>
              <w:t>ABSC 2001-HE3</w:t>
            </w:r>
          </w:p>
        </w:tc>
        <w:tc>
          <w:tcPr>
            <w:tcW w:w="2640" w:type="dxa"/>
            <w:vAlign w:val="bottom"/>
          </w:tcPr>
          <w:p>
            <w:pPr>
              <w:jc w:val="right"/>
              <w:spacing w:after="0"/>
              <w:rPr>
                <w:sz w:val="20"/>
                <w:szCs w:val="20"/>
                <w:color w:val="auto"/>
              </w:rPr>
            </w:pPr>
            <w:r>
              <w:rPr>
                <w:rFonts w:ascii="Arial" w:cs="Arial" w:eastAsia="Arial" w:hAnsi="Arial"/>
                <w:sz w:val="18"/>
                <w:szCs w:val="18"/>
                <w:color w:val="auto"/>
              </w:rPr>
              <w:t>(24.41)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3998</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ACE Series 2001-AQ1</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4002</w:t>
            </w:r>
          </w:p>
        </w:tc>
        <w:tc>
          <w:tcPr>
            <w:tcW w:w="4720" w:type="dxa"/>
            <w:vAlign w:val="bottom"/>
          </w:tcPr>
          <w:p>
            <w:pPr>
              <w:ind w:left="160"/>
              <w:spacing w:after="0"/>
              <w:rPr>
                <w:sz w:val="20"/>
                <w:szCs w:val="20"/>
                <w:color w:val="auto"/>
              </w:rPr>
            </w:pPr>
            <w:r>
              <w:rPr>
                <w:rFonts w:ascii="Arial" w:cs="Arial" w:eastAsia="Arial" w:hAnsi="Arial"/>
                <w:sz w:val="18"/>
                <w:szCs w:val="18"/>
                <w:color w:val="auto"/>
              </w:rPr>
              <w:t>ACE Series 2005-SD1</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4005</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AHM Assets Trust 2005-1</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4006</w:t>
            </w:r>
          </w:p>
        </w:tc>
        <w:tc>
          <w:tcPr>
            <w:tcW w:w="4720" w:type="dxa"/>
            <w:vAlign w:val="bottom"/>
          </w:tcPr>
          <w:p>
            <w:pPr>
              <w:ind w:left="160"/>
              <w:spacing w:after="0"/>
              <w:rPr>
                <w:sz w:val="20"/>
                <w:szCs w:val="20"/>
                <w:color w:val="auto"/>
              </w:rPr>
            </w:pPr>
            <w:r>
              <w:rPr>
                <w:rFonts w:ascii="Arial" w:cs="Arial" w:eastAsia="Arial" w:hAnsi="Arial"/>
                <w:sz w:val="18"/>
                <w:szCs w:val="18"/>
                <w:color w:val="auto"/>
              </w:rPr>
              <w:t>AHM Assets Trust 2005-2</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4007</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AHM Assets Trust 2006-1</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27.73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4008</w:t>
            </w:r>
          </w:p>
        </w:tc>
        <w:tc>
          <w:tcPr>
            <w:tcW w:w="4720" w:type="dxa"/>
            <w:vAlign w:val="bottom"/>
          </w:tcPr>
          <w:p>
            <w:pPr>
              <w:ind w:left="160"/>
              <w:spacing w:after="0"/>
              <w:rPr>
                <w:sz w:val="20"/>
                <w:szCs w:val="20"/>
                <w:color w:val="auto"/>
              </w:rPr>
            </w:pPr>
            <w:r>
              <w:rPr>
                <w:rFonts w:ascii="Arial" w:cs="Arial" w:eastAsia="Arial" w:hAnsi="Arial"/>
                <w:sz w:val="18"/>
                <w:szCs w:val="18"/>
                <w:color w:val="auto"/>
              </w:rPr>
              <w:t>AHM Assets Trust 2006-2</w:t>
            </w:r>
          </w:p>
        </w:tc>
        <w:tc>
          <w:tcPr>
            <w:tcW w:w="2640" w:type="dxa"/>
            <w:vAlign w:val="bottom"/>
          </w:tcPr>
          <w:p>
            <w:pPr>
              <w:jc w:val="right"/>
              <w:spacing w:after="0"/>
              <w:rPr>
                <w:sz w:val="20"/>
                <w:szCs w:val="20"/>
                <w:color w:val="auto"/>
              </w:rPr>
            </w:pPr>
            <w:r>
              <w:rPr>
                <w:rFonts w:ascii="Arial" w:cs="Arial" w:eastAsia="Arial" w:hAnsi="Arial"/>
                <w:sz w:val="18"/>
                <w:szCs w:val="18"/>
                <w:color w:val="auto"/>
              </w:rPr>
              <w:t>30.45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3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w w:val="92"/>
              </w:rPr>
              <w:t>4011AHM Assets Trust 2006-5</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4012</w:t>
            </w:r>
          </w:p>
        </w:tc>
        <w:tc>
          <w:tcPr>
            <w:tcW w:w="4720" w:type="dxa"/>
            <w:vAlign w:val="bottom"/>
          </w:tcPr>
          <w:p>
            <w:pPr>
              <w:ind w:left="160"/>
              <w:spacing w:after="0"/>
              <w:rPr>
                <w:sz w:val="20"/>
                <w:szCs w:val="20"/>
                <w:color w:val="auto"/>
              </w:rPr>
            </w:pPr>
            <w:r>
              <w:rPr>
                <w:rFonts w:ascii="Arial" w:cs="Arial" w:eastAsia="Arial" w:hAnsi="Arial"/>
                <w:sz w:val="18"/>
                <w:szCs w:val="18"/>
                <w:color w:val="auto"/>
              </w:rPr>
              <w:t>AHM Assets Trust 2006-6</w:t>
            </w:r>
          </w:p>
        </w:tc>
        <w:tc>
          <w:tcPr>
            <w:tcW w:w="2640" w:type="dxa"/>
            <w:vAlign w:val="bottom"/>
          </w:tcPr>
          <w:p>
            <w:pPr>
              <w:jc w:val="right"/>
              <w:spacing w:after="0"/>
              <w:rPr>
                <w:sz w:val="20"/>
                <w:szCs w:val="20"/>
                <w:color w:val="auto"/>
              </w:rPr>
            </w:pPr>
            <w:r>
              <w:rPr>
                <w:rFonts w:ascii="Arial" w:cs="Arial" w:eastAsia="Arial" w:hAnsi="Arial"/>
                <w:sz w:val="18"/>
                <w:szCs w:val="18"/>
                <w:color w:val="auto"/>
              </w:rPr>
              <w:t>30.17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4015</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AHM Assets Trust 2007-3</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4016</w:t>
            </w:r>
          </w:p>
        </w:tc>
        <w:tc>
          <w:tcPr>
            <w:tcW w:w="4720" w:type="dxa"/>
            <w:vAlign w:val="bottom"/>
          </w:tcPr>
          <w:p>
            <w:pPr>
              <w:ind w:left="160"/>
              <w:spacing w:after="0"/>
              <w:rPr>
                <w:sz w:val="20"/>
                <w:szCs w:val="20"/>
                <w:color w:val="auto"/>
              </w:rPr>
            </w:pPr>
            <w:r>
              <w:rPr>
                <w:rFonts w:ascii="Arial" w:cs="Arial" w:eastAsia="Arial" w:hAnsi="Arial"/>
                <w:sz w:val="18"/>
                <w:szCs w:val="18"/>
                <w:color w:val="auto"/>
              </w:rPr>
              <w:t>AHM Assets Trust 2007-4</w:t>
            </w:r>
          </w:p>
        </w:tc>
        <w:tc>
          <w:tcPr>
            <w:tcW w:w="2640" w:type="dxa"/>
            <w:vAlign w:val="bottom"/>
          </w:tcPr>
          <w:p>
            <w:pPr>
              <w:jc w:val="right"/>
              <w:spacing w:after="0"/>
              <w:rPr>
                <w:sz w:val="20"/>
                <w:szCs w:val="20"/>
                <w:color w:val="auto"/>
              </w:rPr>
            </w:pPr>
            <w:r>
              <w:rPr>
                <w:rFonts w:ascii="Arial" w:cs="Arial" w:eastAsia="Arial" w:hAnsi="Arial"/>
                <w:sz w:val="18"/>
                <w:szCs w:val="18"/>
                <w:color w:val="auto"/>
              </w:rPr>
              <w:t>39.66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4017</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AHM Assets Trust 2007-5</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4020</w:t>
            </w:r>
          </w:p>
        </w:tc>
        <w:tc>
          <w:tcPr>
            <w:tcW w:w="4720" w:type="dxa"/>
            <w:vAlign w:val="bottom"/>
          </w:tcPr>
          <w:p>
            <w:pPr>
              <w:ind w:left="160"/>
              <w:spacing w:after="0"/>
              <w:rPr>
                <w:sz w:val="20"/>
                <w:szCs w:val="20"/>
                <w:color w:val="auto"/>
              </w:rPr>
            </w:pPr>
            <w:r>
              <w:rPr>
                <w:rFonts w:ascii="Arial" w:cs="Arial" w:eastAsia="Arial" w:hAnsi="Arial"/>
                <w:sz w:val="18"/>
                <w:szCs w:val="18"/>
                <w:color w:val="auto"/>
              </w:rPr>
              <w:t>AHM Investment Trust 2004-2</w:t>
            </w:r>
          </w:p>
        </w:tc>
        <w:tc>
          <w:tcPr>
            <w:tcW w:w="2640" w:type="dxa"/>
            <w:vAlign w:val="bottom"/>
          </w:tcPr>
          <w:p>
            <w:pPr>
              <w:jc w:val="right"/>
              <w:spacing w:after="0"/>
              <w:rPr>
                <w:sz w:val="20"/>
                <w:szCs w:val="20"/>
                <w:color w:val="auto"/>
              </w:rPr>
            </w:pPr>
            <w:r>
              <w:rPr>
                <w:rFonts w:ascii="Arial" w:cs="Arial" w:eastAsia="Arial" w:hAnsi="Arial"/>
                <w:sz w:val="18"/>
                <w:szCs w:val="18"/>
                <w:color w:val="auto"/>
              </w:rPr>
              <w:t>14.80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4021</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AHM Investment Trust 2004-3</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19.43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4022</w:t>
            </w:r>
          </w:p>
        </w:tc>
        <w:tc>
          <w:tcPr>
            <w:tcW w:w="4720" w:type="dxa"/>
            <w:vAlign w:val="bottom"/>
          </w:tcPr>
          <w:p>
            <w:pPr>
              <w:ind w:left="160"/>
              <w:spacing w:after="0"/>
              <w:rPr>
                <w:sz w:val="20"/>
                <w:szCs w:val="20"/>
                <w:color w:val="auto"/>
              </w:rPr>
            </w:pPr>
            <w:r>
              <w:rPr>
                <w:rFonts w:ascii="Arial" w:cs="Arial" w:eastAsia="Arial" w:hAnsi="Arial"/>
                <w:sz w:val="18"/>
                <w:szCs w:val="18"/>
                <w:color w:val="auto"/>
              </w:rPr>
              <w:t>AHM Investment Trust 2004-4</w:t>
            </w:r>
          </w:p>
        </w:tc>
        <w:tc>
          <w:tcPr>
            <w:tcW w:w="2640" w:type="dxa"/>
            <w:vAlign w:val="bottom"/>
          </w:tcPr>
          <w:p>
            <w:pPr>
              <w:jc w:val="right"/>
              <w:spacing w:after="0"/>
              <w:rPr>
                <w:sz w:val="20"/>
                <w:szCs w:val="20"/>
                <w:color w:val="auto"/>
              </w:rPr>
            </w:pPr>
            <w:r>
              <w:rPr>
                <w:rFonts w:ascii="Arial" w:cs="Arial" w:eastAsia="Arial" w:hAnsi="Arial"/>
                <w:sz w:val="18"/>
                <w:szCs w:val="18"/>
                <w:color w:val="auto"/>
              </w:rPr>
              <w:t>17.87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4023</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AHM Investment Trust 2005-1</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4024</w:t>
            </w:r>
          </w:p>
        </w:tc>
        <w:tc>
          <w:tcPr>
            <w:tcW w:w="4720" w:type="dxa"/>
            <w:vAlign w:val="bottom"/>
          </w:tcPr>
          <w:p>
            <w:pPr>
              <w:ind w:left="160"/>
              <w:spacing w:after="0"/>
              <w:rPr>
                <w:sz w:val="20"/>
                <w:szCs w:val="20"/>
                <w:color w:val="auto"/>
              </w:rPr>
            </w:pPr>
            <w:r>
              <w:rPr>
                <w:rFonts w:ascii="Arial" w:cs="Arial" w:eastAsia="Arial" w:hAnsi="Arial"/>
                <w:sz w:val="18"/>
                <w:szCs w:val="18"/>
                <w:color w:val="auto"/>
              </w:rPr>
              <w:t>AHM Investment Trust 2005-2</w:t>
            </w:r>
          </w:p>
        </w:tc>
        <w:tc>
          <w:tcPr>
            <w:tcW w:w="2640" w:type="dxa"/>
            <w:vAlign w:val="bottom"/>
          </w:tcPr>
          <w:p>
            <w:pPr>
              <w:jc w:val="right"/>
              <w:spacing w:after="0"/>
              <w:rPr>
                <w:sz w:val="20"/>
                <w:szCs w:val="20"/>
                <w:color w:val="auto"/>
              </w:rPr>
            </w:pPr>
            <w:r>
              <w:rPr>
                <w:rFonts w:ascii="Arial" w:cs="Arial" w:eastAsia="Arial" w:hAnsi="Arial"/>
                <w:sz w:val="18"/>
                <w:szCs w:val="18"/>
                <w:color w:val="auto"/>
              </w:rPr>
              <w:t>16.35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4025</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AHM Investment Trust 2005-3</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4026</w:t>
            </w:r>
          </w:p>
        </w:tc>
        <w:tc>
          <w:tcPr>
            <w:tcW w:w="4720" w:type="dxa"/>
            <w:vAlign w:val="bottom"/>
          </w:tcPr>
          <w:p>
            <w:pPr>
              <w:ind w:left="160"/>
              <w:spacing w:after="0"/>
              <w:rPr>
                <w:sz w:val="20"/>
                <w:szCs w:val="20"/>
                <w:color w:val="auto"/>
              </w:rPr>
            </w:pPr>
            <w:r>
              <w:rPr>
                <w:rFonts w:ascii="Arial" w:cs="Arial" w:eastAsia="Arial" w:hAnsi="Arial"/>
                <w:sz w:val="18"/>
                <w:szCs w:val="18"/>
                <w:color w:val="auto"/>
              </w:rPr>
              <w:t>AHM Investment Trust 2005-4A</w:t>
            </w:r>
          </w:p>
        </w:tc>
        <w:tc>
          <w:tcPr>
            <w:tcW w:w="2640" w:type="dxa"/>
            <w:vAlign w:val="bottom"/>
          </w:tcPr>
          <w:p>
            <w:pPr>
              <w:jc w:val="right"/>
              <w:spacing w:after="0"/>
              <w:rPr>
                <w:sz w:val="20"/>
                <w:szCs w:val="20"/>
                <w:color w:val="auto"/>
              </w:rPr>
            </w:pPr>
            <w:r>
              <w:rPr>
                <w:rFonts w:ascii="Arial" w:cs="Arial" w:eastAsia="Arial" w:hAnsi="Arial"/>
                <w:sz w:val="18"/>
                <w:szCs w:val="18"/>
                <w:color w:val="auto"/>
              </w:rPr>
              <w:t>20.13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4028</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AHM Investment Trust 2005-SD1</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4030</w:t>
            </w:r>
          </w:p>
        </w:tc>
        <w:tc>
          <w:tcPr>
            <w:tcW w:w="4720" w:type="dxa"/>
            <w:vAlign w:val="bottom"/>
          </w:tcPr>
          <w:p>
            <w:pPr>
              <w:ind w:left="160"/>
              <w:spacing w:after="0"/>
              <w:rPr>
                <w:sz w:val="20"/>
                <w:szCs w:val="20"/>
                <w:color w:val="auto"/>
              </w:rPr>
            </w:pPr>
            <w:r>
              <w:rPr>
                <w:rFonts w:ascii="Arial" w:cs="Arial" w:eastAsia="Arial" w:hAnsi="Arial"/>
                <w:sz w:val="18"/>
                <w:szCs w:val="18"/>
                <w:color w:val="auto"/>
              </w:rPr>
              <w:t>AHM Investment Trust 2006-2</w:t>
            </w:r>
          </w:p>
        </w:tc>
        <w:tc>
          <w:tcPr>
            <w:tcW w:w="2640" w:type="dxa"/>
            <w:vAlign w:val="bottom"/>
          </w:tcPr>
          <w:p>
            <w:pPr>
              <w:jc w:val="right"/>
              <w:spacing w:after="0"/>
              <w:rPr>
                <w:sz w:val="20"/>
                <w:szCs w:val="20"/>
                <w:color w:val="auto"/>
              </w:rPr>
            </w:pPr>
            <w:r>
              <w:rPr>
                <w:rFonts w:ascii="Arial" w:cs="Arial" w:eastAsia="Arial" w:hAnsi="Arial"/>
                <w:sz w:val="18"/>
                <w:szCs w:val="18"/>
                <w:color w:val="auto"/>
              </w:rPr>
              <w:t>5.83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4031</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AHM Investment Trust 2006-3</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4032</w:t>
            </w:r>
          </w:p>
        </w:tc>
        <w:tc>
          <w:tcPr>
            <w:tcW w:w="4720" w:type="dxa"/>
            <w:vAlign w:val="bottom"/>
          </w:tcPr>
          <w:p>
            <w:pPr>
              <w:ind w:left="160"/>
              <w:spacing w:after="0"/>
              <w:rPr>
                <w:sz w:val="20"/>
                <w:szCs w:val="20"/>
                <w:color w:val="auto"/>
              </w:rPr>
            </w:pPr>
            <w:r>
              <w:rPr>
                <w:rFonts w:ascii="Arial" w:cs="Arial" w:eastAsia="Arial" w:hAnsi="Arial"/>
                <w:sz w:val="18"/>
                <w:szCs w:val="18"/>
                <w:color w:val="auto"/>
              </w:rPr>
              <w:t>AHM Investment Trust 2007-1</w:t>
            </w:r>
          </w:p>
        </w:tc>
        <w:tc>
          <w:tcPr>
            <w:tcW w:w="2640" w:type="dxa"/>
            <w:vAlign w:val="bottom"/>
          </w:tcPr>
          <w:p>
            <w:pPr>
              <w:jc w:val="right"/>
              <w:spacing w:after="0"/>
              <w:rPr>
                <w:sz w:val="20"/>
                <w:szCs w:val="20"/>
                <w:color w:val="auto"/>
              </w:rPr>
            </w:pPr>
            <w:r>
              <w:rPr>
                <w:rFonts w:ascii="Arial" w:cs="Arial" w:eastAsia="Arial" w:hAnsi="Arial"/>
                <w:sz w:val="18"/>
                <w:szCs w:val="18"/>
                <w:color w:val="auto"/>
              </w:rPr>
              <w:t>26.61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4033</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AHM Investment Trust 2007-2</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4034</w:t>
            </w:r>
          </w:p>
        </w:tc>
        <w:tc>
          <w:tcPr>
            <w:tcW w:w="4720" w:type="dxa"/>
            <w:vAlign w:val="bottom"/>
          </w:tcPr>
          <w:p>
            <w:pPr>
              <w:ind w:left="160"/>
              <w:spacing w:after="0"/>
              <w:rPr>
                <w:sz w:val="20"/>
                <w:szCs w:val="20"/>
                <w:color w:val="auto"/>
              </w:rPr>
            </w:pPr>
            <w:r>
              <w:rPr>
                <w:rFonts w:ascii="Arial" w:cs="Arial" w:eastAsia="Arial" w:hAnsi="Arial"/>
                <w:sz w:val="18"/>
                <w:szCs w:val="18"/>
                <w:color w:val="auto"/>
              </w:rPr>
              <w:t>AHM Investment Trust 2007-A</w:t>
            </w:r>
          </w:p>
        </w:tc>
        <w:tc>
          <w:tcPr>
            <w:tcW w:w="2640" w:type="dxa"/>
            <w:vAlign w:val="bottom"/>
          </w:tcPr>
          <w:p>
            <w:pPr>
              <w:jc w:val="right"/>
              <w:spacing w:after="0"/>
              <w:rPr>
                <w:sz w:val="20"/>
                <w:szCs w:val="20"/>
                <w:color w:val="auto"/>
              </w:rPr>
            </w:pPr>
            <w:r>
              <w:rPr>
                <w:rFonts w:ascii="Arial" w:cs="Arial" w:eastAsia="Arial" w:hAnsi="Arial"/>
                <w:sz w:val="18"/>
                <w:szCs w:val="18"/>
                <w:color w:val="auto"/>
              </w:rPr>
              <w:t>(5.41)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4036</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AHM Investment Trust 2007-SD1</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4041</w:t>
            </w:r>
          </w:p>
        </w:tc>
        <w:tc>
          <w:tcPr>
            <w:tcW w:w="4720" w:type="dxa"/>
            <w:vAlign w:val="bottom"/>
          </w:tcPr>
          <w:p>
            <w:pPr>
              <w:ind w:left="160"/>
              <w:spacing w:after="0"/>
              <w:rPr>
                <w:sz w:val="20"/>
                <w:szCs w:val="20"/>
                <w:color w:val="auto"/>
              </w:rPr>
            </w:pPr>
            <w:r>
              <w:rPr>
                <w:rFonts w:ascii="Arial" w:cs="Arial" w:eastAsia="Arial" w:hAnsi="Arial"/>
                <w:sz w:val="18"/>
                <w:szCs w:val="18"/>
                <w:color w:val="auto"/>
              </w:rPr>
              <w:t>AMSI 2001-2</w:t>
            </w:r>
          </w:p>
        </w:tc>
        <w:tc>
          <w:tcPr>
            <w:tcW w:w="2640" w:type="dxa"/>
            <w:vAlign w:val="bottom"/>
          </w:tcPr>
          <w:p>
            <w:pPr>
              <w:jc w:val="right"/>
              <w:spacing w:after="0"/>
              <w:rPr>
                <w:sz w:val="20"/>
                <w:szCs w:val="20"/>
                <w:color w:val="auto"/>
              </w:rPr>
            </w:pPr>
            <w:r>
              <w:rPr>
                <w:rFonts w:ascii="Arial" w:cs="Arial" w:eastAsia="Arial" w:hAnsi="Arial"/>
                <w:sz w:val="18"/>
                <w:szCs w:val="18"/>
                <w:color w:val="auto"/>
              </w:rPr>
              <w:t>(28.03)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4042</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2001-A</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(22.51)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4043</w:t>
            </w:r>
          </w:p>
        </w:tc>
        <w:tc>
          <w:tcPr>
            <w:tcW w:w="4720" w:type="dxa"/>
            <w:vAlign w:val="bottom"/>
          </w:tcPr>
          <w:p>
            <w:pPr>
              <w:ind w:left="160"/>
              <w:spacing w:after="0"/>
              <w:rPr>
                <w:sz w:val="20"/>
                <w:szCs w:val="20"/>
                <w:color w:val="auto"/>
              </w:rPr>
            </w:pPr>
            <w:r>
              <w:rPr>
                <w:rFonts w:ascii="Arial" w:cs="Arial" w:eastAsia="Arial" w:hAnsi="Arial"/>
                <w:sz w:val="18"/>
                <w:szCs w:val="18"/>
                <w:color w:val="auto"/>
              </w:rPr>
              <w:t>AMSI 2002-2</w:t>
            </w:r>
          </w:p>
        </w:tc>
        <w:tc>
          <w:tcPr>
            <w:tcW w:w="2640" w:type="dxa"/>
            <w:vAlign w:val="bottom"/>
          </w:tcPr>
          <w:p>
            <w:pPr>
              <w:jc w:val="right"/>
              <w:spacing w:after="0"/>
              <w:rPr>
                <w:sz w:val="20"/>
                <w:szCs w:val="20"/>
                <w:color w:val="auto"/>
              </w:rPr>
            </w:pPr>
            <w:r>
              <w:rPr>
                <w:rFonts w:ascii="Arial" w:cs="Arial" w:eastAsia="Arial" w:hAnsi="Arial"/>
                <w:sz w:val="18"/>
                <w:szCs w:val="18"/>
                <w:color w:val="auto"/>
              </w:rPr>
              <w:t>7.83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4044</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2002-3</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4045</w:t>
            </w:r>
          </w:p>
        </w:tc>
        <w:tc>
          <w:tcPr>
            <w:tcW w:w="4720" w:type="dxa"/>
            <w:vAlign w:val="bottom"/>
          </w:tcPr>
          <w:p>
            <w:pPr>
              <w:ind w:left="160"/>
              <w:spacing w:after="0"/>
              <w:rPr>
                <w:sz w:val="20"/>
                <w:szCs w:val="20"/>
                <w:color w:val="auto"/>
              </w:rPr>
            </w:pPr>
            <w:r>
              <w:rPr>
                <w:rFonts w:ascii="Arial" w:cs="Arial" w:eastAsia="Arial" w:hAnsi="Arial"/>
                <w:sz w:val="18"/>
                <w:szCs w:val="18"/>
                <w:color w:val="auto"/>
              </w:rPr>
              <w:t>AMSI 2002-4</w:t>
            </w:r>
          </w:p>
        </w:tc>
        <w:tc>
          <w:tcPr>
            <w:tcW w:w="2640" w:type="dxa"/>
            <w:vAlign w:val="bottom"/>
          </w:tcPr>
          <w:p>
            <w:pPr>
              <w:jc w:val="right"/>
              <w:spacing w:after="0"/>
              <w:rPr>
                <w:sz w:val="20"/>
                <w:szCs w:val="20"/>
                <w:color w:val="auto"/>
              </w:rPr>
            </w:pPr>
            <w:r>
              <w:rPr>
                <w:rFonts w:ascii="Arial" w:cs="Arial" w:eastAsia="Arial" w:hAnsi="Arial"/>
                <w:sz w:val="18"/>
                <w:szCs w:val="18"/>
                <w:color w:val="auto"/>
              </w:rPr>
              <w:t>18.64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4046</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2002-A</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4047</w:t>
            </w:r>
          </w:p>
        </w:tc>
        <w:tc>
          <w:tcPr>
            <w:tcW w:w="4720" w:type="dxa"/>
            <w:vAlign w:val="bottom"/>
          </w:tcPr>
          <w:p>
            <w:pPr>
              <w:ind w:left="160"/>
              <w:spacing w:after="0"/>
              <w:rPr>
                <w:sz w:val="20"/>
                <w:szCs w:val="20"/>
                <w:color w:val="auto"/>
              </w:rPr>
            </w:pPr>
            <w:r>
              <w:rPr>
                <w:rFonts w:ascii="Arial" w:cs="Arial" w:eastAsia="Arial" w:hAnsi="Arial"/>
                <w:sz w:val="18"/>
                <w:szCs w:val="18"/>
                <w:color w:val="auto"/>
              </w:rPr>
              <w:t>AMSI 2002-AR1</w:t>
            </w:r>
          </w:p>
        </w:tc>
        <w:tc>
          <w:tcPr>
            <w:tcW w:w="2640" w:type="dxa"/>
            <w:vAlign w:val="bottom"/>
          </w:tcPr>
          <w:p>
            <w:pPr>
              <w:jc w:val="right"/>
              <w:spacing w:after="0"/>
              <w:rPr>
                <w:sz w:val="20"/>
                <w:szCs w:val="20"/>
                <w:color w:val="auto"/>
              </w:rPr>
            </w:pPr>
            <w:r>
              <w:rPr>
                <w:rFonts w:ascii="Arial" w:cs="Arial" w:eastAsia="Arial" w:hAnsi="Arial"/>
                <w:sz w:val="18"/>
                <w:szCs w:val="18"/>
                <w:color w:val="auto"/>
              </w:rPr>
              <w:t>(30.41)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4048</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2002-B</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(6.99)</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4049</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2002-C</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13.86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4050</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2002-D</w:t>
            </w:r>
          </w:p>
        </w:tc>
        <w:tc>
          <w:tcPr>
            <w:tcW w:w="3200" w:type="dxa"/>
            <w:vAlign w:val="bottom"/>
          </w:tcPr>
          <w:p>
            <w:pPr>
              <w:jc w:val="right"/>
              <w:spacing w:after="0"/>
              <w:rPr>
                <w:sz w:val="20"/>
                <w:szCs w:val="20"/>
                <w:color w:val="auto"/>
              </w:rPr>
            </w:pPr>
            <w:r>
              <w:rPr>
                <w:rFonts w:ascii="Arial" w:cs="Arial" w:eastAsia="Arial" w:hAnsi="Arial"/>
                <w:sz w:val="18"/>
                <w:szCs w:val="18"/>
                <w:color w:val="auto"/>
              </w:rPr>
              <w:t>19.81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4051</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2003-1</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4052</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2003-10</w:t>
            </w:r>
          </w:p>
        </w:tc>
        <w:tc>
          <w:tcPr>
            <w:tcW w:w="3200" w:type="dxa"/>
            <w:vAlign w:val="bottom"/>
          </w:tcPr>
          <w:p>
            <w:pPr>
              <w:jc w:val="right"/>
              <w:spacing w:after="0"/>
              <w:rPr>
                <w:sz w:val="20"/>
                <w:szCs w:val="20"/>
                <w:color w:val="auto"/>
              </w:rPr>
            </w:pPr>
            <w:r>
              <w:rPr>
                <w:rFonts w:ascii="Arial" w:cs="Arial" w:eastAsia="Arial" w:hAnsi="Arial"/>
                <w:sz w:val="18"/>
                <w:szCs w:val="18"/>
                <w:color w:val="auto"/>
              </w:rPr>
              <w:t>52.14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4053</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2003-11</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37.59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4054</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2003-12</w:t>
            </w:r>
          </w:p>
        </w:tc>
        <w:tc>
          <w:tcPr>
            <w:tcW w:w="3200" w:type="dxa"/>
            <w:vAlign w:val="bottom"/>
          </w:tcPr>
          <w:p>
            <w:pPr>
              <w:jc w:val="right"/>
              <w:spacing w:after="0"/>
              <w:rPr>
                <w:sz w:val="20"/>
                <w:szCs w:val="20"/>
                <w:color w:val="auto"/>
              </w:rPr>
            </w:pPr>
            <w:r>
              <w:rPr>
                <w:rFonts w:ascii="Arial" w:cs="Arial" w:eastAsia="Arial" w:hAnsi="Arial"/>
                <w:sz w:val="18"/>
                <w:szCs w:val="18"/>
                <w:color w:val="auto"/>
              </w:rPr>
              <w:t>42.24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4055</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2003-13</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4056</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2003-2</w:t>
            </w:r>
          </w:p>
        </w:tc>
        <w:tc>
          <w:tcPr>
            <w:tcW w:w="3200" w:type="dxa"/>
            <w:vAlign w:val="bottom"/>
          </w:tcPr>
          <w:p>
            <w:pPr>
              <w:jc w:val="right"/>
              <w:spacing w:after="0"/>
              <w:rPr>
                <w:sz w:val="20"/>
                <w:szCs w:val="20"/>
                <w:color w:val="auto"/>
              </w:rPr>
            </w:pPr>
            <w:r>
              <w:rPr>
                <w:rFonts w:ascii="Arial" w:cs="Arial" w:eastAsia="Arial" w:hAnsi="Arial"/>
                <w:sz w:val="18"/>
                <w:szCs w:val="18"/>
                <w:color w:val="auto"/>
              </w:rPr>
              <w:t>9.17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4057</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2003-5</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42.97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4058</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2003-6</w:t>
            </w:r>
          </w:p>
        </w:tc>
        <w:tc>
          <w:tcPr>
            <w:tcW w:w="3200" w:type="dxa"/>
            <w:vAlign w:val="bottom"/>
          </w:tcPr>
          <w:p>
            <w:pPr>
              <w:jc w:val="right"/>
              <w:spacing w:after="0"/>
              <w:rPr>
                <w:sz w:val="20"/>
                <w:szCs w:val="20"/>
                <w:color w:val="auto"/>
              </w:rPr>
            </w:pPr>
            <w:r>
              <w:rPr>
                <w:rFonts w:ascii="Arial" w:cs="Arial" w:eastAsia="Arial" w:hAnsi="Arial"/>
                <w:sz w:val="18"/>
                <w:szCs w:val="18"/>
                <w:color w:val="auto"/>
              </w:rPr>
              <w:t>35.40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4059</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2003-7</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4060</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2003-8</w:t>
            </w:r>
          </w:p>
        </w:tc>
        <w:tc>
          <w:tcPr>
            <w:tcW w:w="3200" w:type="dxa"/>
            <w:vAlign w:val="bottom"/>
          </w:tcPr>
          <w:p>
            <w:pPr>
              <w:jc w:val="right"/>
              <w:spacing w:after="0"/>
              <w:rPr>
                <w:sz w:val="20"/>
                <w:szCs w:val="20"/>
                <w:color w:val="auto"/>
              </w:rPr>
            </w:pPr>
            <w:r>
              <w:rPr>
                <w:rFonts w:ascii="Arial" w:cs="Arial" w:eastAsia="Arial" w:hAnsi="Arial"/>
                <w:sz w:val="18"/>
                <w:szCs w:val="18"/>
                <w:color w:val="auto"/>
              </w:rPr>
              <w:t>38.12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4061</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2003-9</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47.30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4062</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2003-AR1</w:t>
            </w:r>
          </w:p>
        </w:tc>
        <w:tc>
          <w:tcPr>
            <w:tcW w:w="3200" w:type="dxa"/>
            <w:vAlign w:val="bottom"/>
          </w:tcPr>
          <w:p>
            <w:pPr>
              <w:jc w:val="right"/>
              <w:spacing w:after="0"/>
              <w:rPr>
                <w:sz w:val="20"/>
                <w:szCs w:val="20"/>
                <w:color w:val="auto"/>
              </w:rPr>
            </w:pPr>
            <w:r>
              <w:rPr>
                <w:rFonts w:ascii="Arial" w:cs="Arial" w:eastAsia="Arial" w:hAnsi="Arial"/>
                <w:sz w:val="18"/>
                <w:szCs w:val="18"/>
                <w:color w:val="auto"/>
              </w:rPr>
              <w:t>32.38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4063</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2003-AR2</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37.17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4064</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2003-AR3</w:t>
            </w:r>
          </w:p>
        </w:tc>
        <w:tc>
          <w:tcPr>
            <w:tcW w:w="3200" w:type="dxa"/>
            <w:vAlign w:val="bottom"/>
          </w:tcPr>
          <w:p>
            <w:pPr>
              <w:jc w:val="right"/>
              <w:spacing w:after="0"/>
              <w:rPr>
                <w:sz w:val="20"/>
                <w:szCs w:val="20"/>
                <w:color w:val="auto"/>
              </w:rPr>
            </w:pPr>
            <w:r>
              <w:rPr>
                <w:rFonts w:ascii="Arial" w:cs="Arial" w:eastAsia="Arial" w:hAnsi="Arial"/>
                <w:sz w:val="18"/>
                <w:szCs w:val="18"/>
                <w:color w:val="auto"/>
              </w:rPr>
              <w:t>39.70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4065</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2003-IA1</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4066</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2004-FR1</w:t>
            </w:r>
          </w:p>
        </w:tc>
        <w:tc>
          <w:tcPr>
            <w:tcW w:w="3200" w:type="dxa"/>
            <w:vAlign w:val="bottom"/>
          </w:tcPr>
          <w:p>
            <w:pPr>
              <w:jc w:val="right"/>
              <w:spacing w:after="0"/>
              <w:rPr>
                <w:sz w:val="20"/>
                <w:szCs w:val="20"/>
                <w:color w:val="auto"/>
              </w:rPr>
            </w:pPr>
            <w:r>
              <w:rPr>
                <w:rFonts w:ascii="Arial" w:cs="Arial" w:eastAsia="Arial" w:hAnsi="Arial"/>
                <w:sz w:val="18"/>
                <w:szCs w:val="18"/>
                <w:color w:val="auto"/>
              </w:rPr>
              <w:t>62.70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4067</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2004-IA1</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27.73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4068</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2004-R1</w:t>
            </w:r>
          </w:p>
        </w:tc>
        <w:tc>
          <w:tcPr>
            <w:tcW w:w="3200" w:type="dxa"/>
            <w:vAlign w:val="bottom"/>
          </w:tcPr>
          <w:p>
            <w:pPr>
              <w:jc w:val="right"/>
              <w:spacing w:after="0"/>
              <w:rPr>
                <w:sz w:val="20"/>
                <w:szCs w:val="20"/>
                <w:color w:val="auto"/>
              </w:rPr>
            </w:pPr>
            <w:r>
              <w:rPr>
                <w:rFonts w:ascii="Arial" w:cs="Arial" w:eastAsia="Arial" w:hAnsi="Arial"/>
                <w:sz w:val="18"/>
                <w:szCs w:val="18"/>
                <w:color w:val="auto"/>
              </w:rPr>
              <w:t>53.10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4073</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2004-R10</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30.10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4074</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2004-R11</w:t>
            </w:r>
          </w:p>
        </w:tc>
        <w:tc>
          <w:tcPr>
            <w:tcW w:w="3200" w:type="dxa"/>
            <w:vAlign w:val="bottom"/>
          </w:tcPr>
          <w:p>
            <w:pPr>
              <w:jc w:val="right"/>
              <w:spacing w:after="0"/>
              <w:rPr>
                <w:sz w:val="20"/>
                <w:szCs w:val="20"/>
                <w:color w:val="auto"/>
              </w:rPr>
            </w:pPr>
            <w:r>
              <w:rPr>
                <w:rFonts w:ascii="Arial" w:cs="Arial" w:eastAsia="Arial" w:hAnsi="Arial"/>
                <w:sz w:val="18"/>
                <w:szCs w:val="18"/>
                <w:color w:val="auto"/>
              </w:rPr>
              <w:t>44.44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4075</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2004-R12</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4076</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2004-R2</w:t>
            </w:r>
          </w:p>
        </w:tc>
        <w:tc>
          <w:tcPr>
            <w:tcW w:w="3200" w:type="dxa"/>
            <w:vAlign w:val="bottom"/>
          </w:tcPr>
          <w:p>
            <w:pPr>
              <w:jc w:val="right"/>
              <w:spacing w:after="0"/>
              <w:rPr>
                <w:sz w:val="20"/>
                <w:szCs w:val="20"/>
                <w:color w:val="auto"/>
              </w:rPr>
            </w:pPr>
            <w:r>
              <w:rPr>
                <w:rFonts w:ascii="Arial" w:cs="Arial" w:eastAsia="Arial" w:hAnsi="Arial"/>
                <w:sz w:val="18"/>
                <w:szCs w:val="18"/>
                <w:color w:val="auto"/>
              </w:rPr>
              <w:t>49.85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4077</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2004-R3</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45.51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4078</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2004-R4</w:t>
            </w:r>
          </w:p>
        </w:tc>
        <w:tc>
          <w:tcPr>
            <w:tcW w:w="3200" w:type="dxa"/>
            <w:vAlign w:val="bottom"/>
          </w:tcPr>
          <w:p>
            <w:pPr>
              <w:jc w:val="right"/>
              <w:spacing w:after="0"/>
              <w:rPr>
                <w:sz w:val="20"/>
                <w:szCs w:val="20"/>
                <w:color w:val="auto"/>
              </w:rPr>
            </w:pPr>
            <w:r>
              <w:rPr>
                <w:rFonts w:ascii="Arial" w:cs="Arial" w:eastAsia="Arial" w:hAnsi="Arial"/>
                <w:sz w:val="18"/>
                <w:szCs w:val="18"/>
                <w:color w:val="auto"/>
              </w:rPr>
              <w:t>25.44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4079</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2004-R5</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35.34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4080</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2004-R6</w:t>
            </w:r>
          </w:p>
        </w:tc>
        <w:tc>
          <w:tcPr>
            <w:tcW w:w="3200" w:type="dxa"/>
            <w:vAlign w:val="bottom"/>
          </w:tcPr>
          <w:p>
            <w:pPr>
              <w:jc w:val="right"/>
              <w:spacing w:after="0"/>
              <w:rPr>
                <w:sz w:val="20"/>
                <w:szCs w:val="20"/>
                <w:color w:val="auto"/>
              </w:rPr>
            </w:pPr>
            <w:r>
              <w:rPr>
                <w:rFonts w:ascii="Arial" w:cs="Arial" w:eastAsia="Arial" w:hAnsi="Arial"/>
                <w:sz w:val="18"/>
                <w:szCs w:val="18"/>
                <w:color w:val="auto"/>
              </w:rPr>
              <w:t>33.85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4081</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2004-R7</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35.68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4082</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2004-R8</w:t>
            </w:r>
          </w:p>
        </w:tc>
        <w:tc>
          <w:tcPr>
            <w:tcW w:w="3200" w:type="dxa"/>
            <w:vAlign w:val="bottom"/>
          </w:tcPr>
          <w:p>
            <w:pPr>
              <w:jc w:val="right"/>
              <w:spacing w:after="0"/>
              <w:rPr>
                <w:sz w:val="20"/>
                <w:szCs w:val="20"/>
                <w:color w:val="auto"/>
              </w:rPr>
            </w:pPr>
            <w:r>
              <w:rPr>
                <w:rFonts w:ascii="Arial" w:cs="Arial" w:eastAsia="Arial" w:hAnsi="Arial"/>
                <w:sz w:val="18"/>
                <w:szCs w:val="18"/>
                <w:color w:val="auto"/>
              </w:rPr>
              <w:t>30.35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4083</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2004-R9</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4084</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2005-R1</w:t>
            </w:r>
          </w:p>
        </w:tc>
        <w:tc>
          <w:tcPr>
            <w:tcW w:w="3200" w:type="dxa"/>
            <w:vAlign w:val="bottom"/>
          </w:tcPr>
          <w:p>
            <w:pPr>
              <w:jc w:val="right"/>
              <w:spacing w:after="0"/>
              <w:rPr>
                <w:sz w:val="20"/>
                <w:szCs w:val="20"/>
                <w:color w:val="auto"/>
              </w:rPr>
            </w:pPr>
            <w:r>
              <w:rPr>
                <w:rFonts w:ascii="Arial" w:cs="Arial" w:eastAsia="Arial" w:hAnsi="Arial"/>
                <w:sz w:val="18"/>
                <w:szCs w:val="18"/>
                <w:color w:val="auto"/>
              </w:rPr>
              <w:t>39.05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4086</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2005-R11</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46.74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4087</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2005-R2</w:t>
            </w:r>
          </w:p>
        </w:tc>
        <w:tc>
          <w:tcPr>
            <w:tcW w:w="3200" w:type="dxa"/>
            <w:vAlign w:val="bottom"/>
          </w:tcPr>
          <w:p>
            <w:pPr>
              <w:jc w:val="right"/>
              <w:spacing w:after="0"/>
              <w:rPr>
                <w:sz w:val="20"/>
                <w:szCs w:val="20"/>
                <w:color w:val="auto"/>
              </w:rPr>
            </w:pPr>
            <w:r>
              <w:rPr>
                <w:rFonts w:ascii="Arial" w:cs="Arial" w:eastAsia="Arial" w:hAnsi="Arial"/>
                <w:sz w:val="18"/>
                <w:szCs w:val="18"/>
                <w:color w:val="auto"/>
              </w:rPr>
              <w:t>42.27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4088</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2005-R3</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42.25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4089</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2005-R4</w:t>
            </w:r>
          </w:p>
        </w:tc>
        <w:tc>
          <w:tcPr>
            <w:tcW w:w="3200" w:type="dxa"/>
            <w:vAlign w:val="bottom"/>
          </w:tcPr>
          <w:p>
            <w:pPr>
              <w:jc w:val="right"/>
              <w:spacing w:after="0"/>
              <w:rPr>
                <w:sz w:val="20"/>
                <w:szCs w:val="20"/>
                <w:color w:val="auto"/>
              </w:rPr>
            </w:pPr>
            <w:r>
              <w:rPr>
                <w:rFonts w:ascii="Arial" w:cs="Arial" w:eastAsia="Arial" w:hAnsi="Arial"/>
                <w:sz w:val="18"/>
                <w:szCs w:val="18"/>
                <w:color w:val="auto"/>
              </w:rPr>
              <w:t>39.61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4090</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2005-R5</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35.47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4091</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2005-R6</w:t>
            </w:r>
          </w:p>
        </w:tc>
        <w:tc>
          <w:tcPr>
            <w:tcW w:w="3200" w:type="dxa"/>
            <w:vAlign w:val="bottom"/>
          </w:tcPr>
          <w:p>
            <w:pPr>
              <w:jc w:val="right"/>
              <w:spacing w:after="0"/>
              <w:rPr>
                <w:sz w:val="20"/>
                <w:szCs w:val="20"/>
                <w:color w:val="auto"/>
              </w:rPr>
            </w:pPr>
            <w:r>
              <w:rPr>
                <w:rFonts w:ascii="Arial" w:cs="Arial" w:eastAsia="Arial" w:hAnsi="Arial"/>
                <w:sz w:val="18"/>
                <w:szCs w:val="18"/>
                <w:color w:val="auto"/>
              </w:rPr>
              <w:t>42.36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4092</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2005-R7</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39.66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4094</w:t>
            </w:r>
          </w:p>
        </w:tc>
        <w:tc>
          <w:tcPr>
            <w:tcW w:w="4160" w:type="dxa"/>
            <w:vAlign w:val="bottom"/>
          </w:tcPr>
          <w:p>
            <w:pPr>
              <w:ind w:left="160"/>
              <w:spacing w:after="0"/>
              <w:rPr>
                <w:sz w:val="20"/>
                <w:szCs w:val="20"/>
                <w:color w:val="auto"/>
              </w:rPr>
            </w:pPr>
            <w:r>
              <w:rPr>
                <w:rFonts w:ascii="Arial" w:cs="Arial" w:eastAsia="Arial" w:hAnsi="Arial"/>
                <w:sz w:val="18"/>
                <w:szCs w:val="18"/>
                <w:color w:val="auto"/>
              </w:rPr>
              <w:t>AMSI 2005-R9</w:t>
            </w:r>
          </w:p>
        </w:tc>
        <w:tc>
          <w:tcPr>
            <w:tcW w:w="3200" w:type="dxa"/>
            <w:vAlign w:val="bottom"/>
          </w:tcPr>
          <w:p>
            <w:pPr>
              <w:jc w:val="right"/>
              <w:spacing w:after="0"/>
              <w:rPr>
                <w:sz w:val="20"/>
                <w:szCs w:val="20"/>
                <w:color w:val="auto"/>
              </w:rPr>
            </w:pPr>
            <w:r>
              <w:rPr>
                <w:rFonts w:ascii="Arial" w:cs="Arial" w:eastAsia="Arial" w:hAnsi="Arial"/>
                <w:sz w:val="18"/>
                <w:szCs w:val="18"/>
                <w:color w:val="auto"/>
              </w:rPr>
              <w:t>56.79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4095</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2006-R1</w:t>
            </w:r>
          </w:p>
        </w:tc>
        <w:tc>
          <w:tcPr>
            <w:tcW w:w="3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37.44</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4096</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AMSI 2006-R2</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4101</w:t>
            </w:r>
          </w:p>
        </w:tc>
        <w:tc>
          <w:tcPr>
            <w:tcW w:w="4940" w:type="dxa"/>
            <w:vAlign w:val="bottom"/>
          </w:tcPr>
          <w:p>
            <w:pPr>
              <w:ind w:left="160"/>
              <w:spacing w:after="0"/>
              <w:rPr>
                <w:sz w:val="20"/>
                <w:szCs w:val="20"/>
                <w:color w:val="auto"/>
              </w:rPr>
            </w:pPr>
            <w:r>
              <w:rPr>
                <w:rFonts w:ascii="Arial" w:cs="Arial" w:eastAsia="Arial" w:hAnsi="Arial"/>
                <w:sz w:val="18"/>
                <w:szCs w:val="18"/>
                <w:color w:val="auto"/>
              </w:rPr>
              <w:t>Lehman ARC 2002-BC6</w:t>
            </w:r>
          </w:p>
        </w:tc>
        <w:tc>
          <w:tcPr>
            <w:tcW w:w="2420" w:type="dxa"/>
            <w:vAlign w:val="bottom"/>
          </w:tcPr>
          <w:p>
            <w:pPr>
              <w:jc w:val="right"/>
              <w:spacing w:after="0"/>
              <w:rPr>
                <w:sz w:val="20"/>
                <w:szCs w:val="20"/>
                <w:color w:val="auto"/>
              </w:rPr>
            </w:pPr>
            <w:r>
              <w:rPr>
                <w:rFonts w:ascii="Arial" w:cs="Arial" w:eastAsia="Arial" w:hAnsi="Arial"/>
                <w:sz w:val="18"/>
                <w:szCs w:val="18"/>
                <w:color w:val="auto"/>
              </w:rPr>
              <w:t>(0.30)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4102</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ARC 2002-BC8</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9.65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4104</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2003-W1</w:t>
            </w:r>
          </w:p>
        </w:tc>
        <w:tc>
          <w:tcPr>
            <w:tcW w:w="2420" w:type="dxa"/>
            <w:vAlign w:val="bottom"/>
          </w:tcPr>
          <w:p>
            <w:pPr>
              <w:jc w:val="right"/>
              <w:spacing w:after="0"/>
              <w:rPr>
                <w:sz w:val="20"/>
                <w:szCs w:val="20"/>
                <w:color w:val="auto"/>
              </w:rPr>
            </w:pPr>
            <w:r>
              <w:rPr>
                <w:rFonts w:ascii="Arial" w:cs="Arial" w:eastAsia="Arial" w:hAnsi="Arial"/>
                <w:sz w:val="18"/>
                <w:szCs w:val="18"/>
                <w:color w:val="auto"/>
              </w:rPr>
              <w:t>52.03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4105</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2003-W10</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39.14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4106</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2003-W2</w:t>
            </w:r>
          </w:p>
        </w:tc>
        <w:tc>
          <w:tcPr>
            <w:tcW w:w="2420" w:type="dxa"/>
            <w:vAlign w:val="bottom"/>
          </w:tcPr>
          <w:p>
            <w:pPr>
              <w:jc w:val="right"/>
              <w:spacing w:after="0"/>
              <w:rPr>
                <w:sz w:val="20"/>
                <w:szCs w:val="20"/>
                <w:color w:val="auto"/>
              </w:rPr>
            </w:pPr>
            <w:r>
              <w:rPr>
                <w:rFonts w:ascii="Arial" w:cs="Arial" w:eastAsia="Arial" w:hAnsi="Arial"/>
                <w:sz w:val="18"/>
                <w:szCs w:val="18"/>
                <w:color w:val="auto"/>
              </w:rPr>
              <w:t>36.79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4107</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2003-W3</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59.16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4108</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2003-W4</w:t>
            </w:r>
          </w:p>
        </w:tc>
        <w:tc>
          <w:tcPr>
            <w:tcW w:w="2420" w:type="dxa"/>
            <w:vAlign w:val="bottom"/>
          </w:tcPr>
          <w:p>
            <w:pPr>
              <w:jc w:val="right"/>
              <w:spacing w:after="0"/>
              <w:rPr>
                <w:sz w:val="20"/>
                <w:szCs w:val="20"/>
                <w:color w:val="auto"/>
              </w:rPr>
            </w:pPr>
            <w:r>
              <w:rPr>
                <w:rFonts w:ascii="Arial" w:cs="Arial" w:eastAsia="Arial" w:hAnsi="Arial"/>
                <w:sz w:val="18"/>
                <w:szCs w:val="18"/>
                <w:color w:val="auto"/>
              </w:rPr>
              <w:t>56.57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4109</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2003-W5</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66.01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4110</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2003-W6</w:t>
            </w:r>
          </w:p>
        </w:tc>
        <w:tc>
          <w:tcPr>
            <w:tcW w:w="2420" w:type="dxa"/>
            <w:vAlign w:val="bottom"/>
          </w:tcPr>
          <w:p>
            <w:pPr>
              <w:jc w:val="right"/>
              <w:spacing w:after="0"/>
              <w:rPr>
                <w:sz w:val="20"/>
                <w:szCs w:val="20"/>
                <w:color w:val="auto"/>
              </w:rPr>
            </w:pPr>
            <w:r>
              <w:rPr>
                <w:rFonts w:ascii="Arial" w:cs="Arial" w:eastAsia="Arial" w:hAnsi="Arial"/>
                <w:sz w:val="18"/>
                <w:szCs w:val="18"/>
                <w:color w:val="auto"/>
              </w:rPr>
              <w:t>51.22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4111</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2003-W7</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51.20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4112</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2003-W8</w:t>
            </w:r>
          </w:p>
        </w:tc>
        <w:tc>
          <w:tcPr>
            <w:tcW w:w="2420" w:type="dxa"/>
            <w:vAlign w:val="bottom"/>
          </w:tcPr>
          <w:p>
            <w:pPr>
              <w:jc w:val="right"/>
              <w:spacing w:after="0"/>
              <w:rPr>
                <w:sz w:val="20"/>
                <w:szCs w:val="20"/>
                <w:color w:val="auto"/>
              </w:rPr>
            </w:pPr>
            <w:r>
              <w:rPr>
                <w:rFonts w:ascii="Arial" w:cs="Arial" w:eastAsia="Arial" w:hAnsi="Arial"/>
                <w:sz w:val="18"/>
                <w:szCs w:val="18"/>
                <w:color w:val="auto"/>
              </w:rPr>
              <w:t>46.75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4113</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2003-W9</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4114</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2004-PW1</w:t>
            </w:r>
          </w:p>
        </w:tc>
        <w:tc>
          <w:tcPr>
            <w:tcW w:w="2420" w:type="dxa"/>
            <w:vAlign w:val="bottom"/>
          </w:tcPr>
          <w:p>
            <w:pPr>
              <w:jc w:val="right"/>
              <w:spacing w:after="0"/>
              <w:rPr>
                <w:sz w:val="20"/>
                <w:szCs w:val="20"/>
                <w:color w:val="auto"/>
              </w:rPr>
            </w:pPr>
            <w:r>
              <w:rPr>
                <w:rFonts w:ascii="Arial" w:cs="Arial" w:eastAsia="Arial" w:hAnsi="Arial"/>
                <w:sz w:val="18"/>
                <w:szCs w:val="18"/>
                <w:color w:val="auto"/>
              </w:rPr>
              <w:t>39.54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4115</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2004-W1</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48.13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4116</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2004-W10</w:t>
            </w:r>
          </w:p>
        </w:tc>
        <w:tc>
          <w:tcPr>
            <w:tcW w:w="2420" w:type="dxa"/>
            <w:vAlign w:val="bottom"/>
          </w:tcPr>
          <w:p>
            <w:pPr>
              <w:jc w:val="right"/>
              <w:spacing w:after="0"/>
              <w:rPr>
                <w:sz w:val="20"/>
                <w:szCs w:val="20"/>
                <w:color w:val="auto"/>
              </w:rPr>
            </w:pPr>
            <w:r>
              <w:rPr>
                <w:rFonts w:ascii="Arial" w:cs="Arial" w:eastAsia="Arial" w:hAnsi="Arial"/>
                <w:sz w:val="18"/>
                <w:szCs w:val="18"/>
                <w:color w:val="auto"/>
              </w:rPr>
              <w:t>39.51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4118</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2004-W2</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49.94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4119</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2004-W3</w:t>
            </w:r>
          </w:p>
        </w:tc>
        <w:tc>
          <w:tcPr>
            <w:tcW w:w="2420" w:type="dxa"/>
            <w:vAlign w:val="bottom"/>
          </w:tcPr>
          <w:p>
            <w:pPr>
              <w:jc w:val="right"/>
              <w:spacing w:after="0"/>
              <w:rPr>
                <w:sz w:val="20"/>
                <w:szCs w:val="20"/>
                <w:color w:val="auto"/>
              </w:rPr>
            </w:pPr>
            <w:r>
              <w:rPr>
                <w:rFonts w:ascii="Arial" w:cs="Arial" w:eastAsia="Arial" w:hAnsi="Arial"/>
                <w:sz w:val="18"/>
                <w:szCs w:val="18"/>
                <w:color w:val="auto"/>
              </w:rPr>
              <w:t>53.96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4120</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2004-W4</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45.38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4121</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2004-W5</w:t>
            </w:r>
          </w:p>
        </w:tc>
        <w:tc>
          <w:tcPr>
            <w:tcW w:w="2420" w:type="dxa"/>
            <w:vAlign w:val="bottom"/>
          </w:tcPr>
          <w:p>
            <w:pPr>
              <w:jc w:val="right"/>
              <w:spacing w:after="0"/>
              <w:rPr>
                <w:sz w:val="20"/>
                <w:szCs w:val="20"/>
                <w:color w:val="auto"/>
              </w:rPr>
            </w:pPr>
            <w:r>
              <w:rPr>
                <w:rFonts w:ascii="Arial" w:cs="Arial" w:eastAsia="Arial" w:hAnsi="Arial"/>
                <w:sz w:val="18"/>
                <w:szCs w:val="18"/>
                <w:color w:val="auto"/>
              </w:rPr>
              <w:t>54.17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4122</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2004-W6</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60.46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4123</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2004-W7</w:t>
            </w:r>
          </w:p>
        </w:tc>
        <w:tc>
          <w:tcPr>
            <w:tcW w:w="2420" w:type="dxa"/>
            <w:vAlign w:val="bottom"/>
          </w:tcPr>
          <w:p>
            <w:pPr>
              <w:jc w:val="right"/>
              <w:spacing w:after="0"/>
              <w:rPr>
                <w:sz w:val="20"/>
                <w:szCs w:val="20"/>
                <w:color w:val="auto"/>
              </w:rPr>
            </w:pPr>
            <w:r>
              <w:rPr>
                <w:rFonts w:ascii="Arial" w:cs="Arial" w:eastAsia="Arial" w:hAnsi="Arial"/>
                <w:sz w:val="18"/>
                <w:szCs w:val="18"/>
                <w:color w:val="auto"/>
              </w:rPr>
              <w:t>50.79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4124</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2004-W8</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31.56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4125</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2004-W9</w:t>
            </w:r>
          </w:p>
        </w:tc>
        <w:tc>
          <w:tcPr>
            <w:tcW w:w="2420" w:type="dxa"/>
            <w:vAlign w:val="bottom"/>
          </w:tcPr>
          <w:p>
            <w:pPr>
              <w:jc w:val="right"/>
              <w:spacing w:after="0"/>
              <w:rPr>
                <w:sz w:val="20"/>
                <w:szCs w:val="20"/>
                <w:color w:val="auto"/>
              </w:rPr>
            </w:pPr>
            <w:r>
              <w:rPr>
                <w:rFonts w:ascii="Arial" w:cs="Arial" w:eastAsia="Arial" w:hAnsi="Arial"/>
                <w:sz w:val="18"/>
                <w:szCs w:val="18"/>
                <w:color w:val="auto"/>
              </w:rPr>
              <w:t>53.25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4126</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2005-W1</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47.92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4128</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2005-W3</w:t>
            </w:r>
          </w:p>
        </w:tc>
        <w:tc>
          <w:tcPr>
            <w:tcW w:w="2420" w:type="dxa"/>
            <w:vAlign w:val="bottom"/>
          </w:tcPr>
          <w:p>
            <w:pPr>
              <w:jc w:val="right"/>
              <w:spacing w:after="0"/>
              <w:rPr>
                <w:sz w:val="20"/>
                <w:szCs w:val="20"/>
                <w:color w:val="auto"/>
              </w:rPr>
            </w:pPr>
            <w:r>
              <w:rPr>
                <w:rFonts w:ascii="Arial" w:cs="Arial" w:eastAsia="Arial" w:hAnsi="Arial"/>
                <w:sz w:val="18"/>
                <w:szCs w:val="18"/>
                <w:color w:val="auto"/>
              </w:rPr>
              <w:t>48.98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4129</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2005-W4</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46.60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4131</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2006-M1</w:t>
            </w:r>
          </w:p>
        </w:tc>
        <w:tc>
          <w:tcPr>
            <w:tcW w:w="2420" w:type="dxa"/>
            <w:vAlign w:val="bottom"/>
          </w:tcPr>
          <w:p>
            <w:pPr>
              <w:jc w:val="right"/>
              <w:spacing w:after="0"/>
              <w:rPr>
                <w:sz w:val="20"/>
                <w:szCs w:val="20"/>
                <w:color w:val="auto"/>
              </w:rPr>
            </w:pPr>
            <w:r>
              <w:rPr>
                <w:rFonts w:ascii="Arial" w:cs="Arial" w:eastAsia="Arial" w:hAnsi="Arial"/>
                <w:sz w:val="18"/>
                <w:szCs w:val="18"/>
                <w:color w:val="auto"/>
              </w:rPr>
              <w:t>28.32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4132</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2006-M2</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4133</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2006-M3</w:t>
            </w:r>
          </w:p>
        </w:tc>
        <w:tc>
          <w:tcPr>
            <w:tcW w:w="2420" w:type="dxa"/>
            <w:vAlign w:val="bottom"/>
          </w:tcPr>
          <w:p>
            <w:pPr>
              <w:jc w:val="right"/>
              <w:spacing w:after="0"/>
              <w:rPr>
                <w:sz w:val="20"/>
                <w:szCs w:val="20"/>
                <w:color w:val="auto"/>
              </w:rPr>
            </w:pPr>
            <w:r>
              <w:rPr>
                <w:rFonts w:ascii="Arial" w:cs="Arial" w:eastAsia="Arial" w:hAnsi="Arial"/>
                <w:sz w:val="18"/>
                <w:szCs w:val="18"/>
                <w:color w:val="auto"/>
              </w:rPr>
              <w:t>31.35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4136</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2006-W3</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29.58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4137</w:t>
            </w:r>
          </w:p>
        </w:tc>
        <w:tc>
          <w:tcPr>
            <w:tcW w:w="4940" w:type="dxa"/>
            <w:vAlign w:val="bottom"/>
          </w:tcPr>
          <w:p>
            <w:pPr>
              <w:ind w:left="160"/>
              <w:spacing w:after="0"/>
              <w:rPr>
                <w:sz w:val="20"/>
                <w:szCs w:val="20"/>
                <w:color w:val="auto"/>
              </w:rPr>
            </w:pPr>
            <w:r>
              <w:rPr>
                <w:rFonts w:ascii="Arial" w:cs="Arial" w:eastAsia="Arial" w:hAnsi="Arial"/>
                <w:sz w:val="18"/>
                <w:szCs w:val="18"/>
                <w:color w:val="auto"/>
              </w:rPr>
              <w:t>ARSI 2006-W4</w:t>
            </w:r>
          </w:p>
        </w:tc>
        <w:tc>
          <w:tcPr>
            <w:tcW w:w="2420" w:type="dxa"/>
            <w:vAlign w:val="bottom"/>
          </w:tcPr>
          <w:p>
            <w:pPr>
              <w:jc w:val="right"/>
              <w:spacing w:after="0"/>
              <w:rPr>
                <w:sz w:val="20"/>
                <w:szCs w:val="20"/>
                <w:color w:val="auto"/>
              </w:rPr>
            </w:pPr>
            <w:r>
              <w:rPr>
                <w:rFonts w:ascii="Arial" w:cs="Arial" w:eastAsia="Arial" w:hAnsi="Arial"/>
                <w:sz w:val="18"/>
                <w:szCs w:val="18"/>
                <w:color w:val="auto"/>
              </w:rPr>
              <w:t>28.44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4138</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ARSI 2006-W5</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26.98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4139</w:t>
            </w:r>
          </w:p>
        </w:tc>
        <w:tc>
          <w:tcPr>
            <w:tcW w:w="4940" w:type="dxa"/>
            <w:vAlign w:val="bottom"/>
          </w:tcPr>
          <w:p>
            <w:pPr>
              <w:ind w:left="160"/>
              <w:spacing w:after="0"/>
              <w:rPr>
                <w:sz w:val="20"/>
                <w:szCs w:val="20"/>
                <w:color w:val="auto"/>
              </w:rPr>
            </w:pPr>
            <w:r>
              <w:rPr>
                <w:rFonts w:ascii="Arial" w:cs="Arial" w:eastAsia="Arial" w:hAnsi="Arial"/>
                <w:sz w:val="18"/>
                <w:szCs w:val="18"/>
                <w:color w:val="auto"/>
              </w:rPr>
              <w:t>Banc of America Funding Corp. 2008-1</w:t>
            </w:r>
          </w:p>
        </w:tc>
        <w:tc>
          <w:tcPr>
            <w:tcW w:w="2420" w:type="dxa"/>
            <w:vAlign w:val="bottom"/>
          </w:tcPr>
          <w:p>
            <w:pPr>
              <w:jc w:val="right"/>
              <w:spacing w:after="0"/>
              <w:rPr>
                <w:sz w:val="20"/>
                <w:szCs w:val="20"/>
                <w:color w:val="auto"/>
              </w:rPr>
            </w:pPr>
            <w:r>
              <w:rPr>
                <w:rFonts w:ascii="Arial" w:cs="Arial" w:eastAsia="Arial" w:hAnsi="Arial"/>
                <w:sz w:val="18"/>
                <w:szCs w:val="18"/>
                <w:color w:val="auto"/>
              </w:rPr>
              <w:t>15.69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4142</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Bear Stearns ABS I Trust 2006-AC3</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(5.50)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4151</w:t>
            </w:r>
          </w:p>
        </w:tc>
        <w:tc>
          <w:tcPr>
            <w:tcW w:w="4940" w:type="dxa"/>
            <w:vAlign w:val="bottom"/>
          </w:tcPr>
          <w:p>
            <w:pPr>
              <w:ind w:left="160"/>
              <w:spacing w:after="0"/>
              <w:rPr>
                <w:sz w:val="20"/>
                <w:szCs w:val="20"/>
                <w:color w:val="auto"/>
              </w:rPr>
            </w:pPr>
            <w:r>
              <w:rPr>
                <w:rFonts w:ascii="Arial" w:cs="Arial" w:eastAsia="Arial" w:hAnsi="Arial"/>
                <w:sz w:val="18"/>
                <w:szCs w:val="18"/>
                <w:color w:val="auto"/>
              </w:rPr>
              <w:t>Citigroup CMLTI 2006-AMC1</w:t>
            </w:r>
          </w:p>
        </w:tc>
        <w:tc>
          <w:tcPr>
            <w:tcW w:w="2420" w:type="dxa"/>
            <w:vAlign w:val="bottom"/>
          </w:tcPr>
          <w:p>
            <w:pPr>
              <w:jc w:val="right"/>
              <w:spacing w:after="0"/>
              <w:rPr>
                <w:sz w:val="20"/>
                <w:szCs w:val="20"/>
                <w:color w:val="auto"/>
              </w:rPr>
            </w:pPr>
            <w:r>
              <w:rPr>
                <w:rFonts w:ascii="Arial" w:cs="Arial" w:eastAsia="Arial" w:hAnsi="Arial"/>
                <w:sz w:val="18"/>
                <w:szCs w:val="18"/>
                <w:color w:val="auto"/>
              </w:rPr>
              <w:t>29.65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4152</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Citigroup CMLTI 2006-HE2</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17.66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4165</w:t>
            </w:r>
          </w:p>
        </w:tc>
        <w:tc>
          <w:tcPr>
            <w:tcW w:w="4940" w:type="dxa"/>
            <w:vAlign w:val="bottom"/>
          </w:tcPr>
          <w:p>
            <w:pPr>
              <w:ind w:left="160"/>
              <w:spacing w:after="0"/>
              <w:rPr>
                <w:sz w:val="20"/>
                <w:szCs w:val="20"/>
                <w:color w:val="auto"/>
              </w:rPr>
            </w:pPr>
            <w:r>
              <w:rPr>
                <w:rFonts w:ascii="Arial" w:cs="Arial" w:eastAsia="Arial" w:hAnsi="Arial"/>
                <w:sz w:val="18"/>
                <w:szCs w:val="18"/>
                <w:color w:val="auto"/>
              </w:rPr>
              <w:t>Deutsche DBALT 2006-AB2</w:t>
            </w:r>
          </w:p>
        </w:tc>
        <w:tc>
          <w:tcPr>
            <w:tcW w:w="2420" w:type="dxa"/>
            <w:vAlign w:val="bottom"/>
          </w:tcPr>
          <w:p>
            <w:pPr>
              <w:jc w:val="right"/>
              <w:spacing w:after="0"/>
              <w:rPr>
                <w:sz w:val="20"/>
                <w:szCs w:val="20"/>
                <w:color w:val="auto"/>
              </w:rPr>
            </w:pPr>
            <w:r>
              <w:rPr>
                <w:rFonts w:ascii="Arial" w:cs="Arial" w:eastAsia="Arial" w:hAnsi="Arial"/>
                <w:sz w:val="18"/>
                <w:szCs w:val="18"/>
                <w:color w:val="auto"/>
              </w:rPr>
              <w:t>(12.08)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4166</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Deutsche DBALT 2006-AB3</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4167</w:t>
            </w:r>
          </w:p>
        </w:tc>
        <w:tc>
          <w:tcPr>
            <w:tcW w:w="4940" w:type="dxa"/>
            <w:vAlign w:val="bottom"/>
          </w:tcPr>
          <w:p>
            <w:pPr>
              <w:ind w:left="160"/>
              <w:spacing w:after="0"/>
              <w:rPr>
                <w:sz w:val="20"/>
                <w:szCs w:val="20"/>
                <w:color w:val="auto"/>
              </w:rPr>
            </w:pPr>
            <w:r>
              <w:rPr>
                <w:rFonts w:ascii="Arial" w:cs="Arial" w:eastAsia="Arial" w:hAnsi="Arial"/>
                <w:sz w:val="18"/>
                <w:szCs w:val="18"/>
                <w:color w:val="auto"/>
              </w:rPr>
              <w:t>Deutsche DBALT 2006-AB4</w:t>
            </w:r>
          </w:p>
        </w:tc>
        <w:tc>
          <w:tcPr>
            <w:tcW w:w="2420" w:type="dxa"/>
            <w:vAlign w:val="bottom"/>
          </w:tcPr>
          <w:p>
            <w:pPr>
              <w:jc w:val="right"/>
              <w:spacing w:after="0"/>
              <w:rPr>
                <w:sz w:val="20"/>
                <w:szCs w:val="20"/>
                <w:color w:val="auto"/>
              </w:rPr>
            </w:pPr>
            <w:r>
              <w:rPr>
                <w:rFonts w:ascii="Arial" w:cs="Arial" w:eastAsia="Arial" w:hAnsi="Arial"/>
                <w:sz w:val="18"/>
                <w:szCs w:val="18"/>
                <w:color w:val="auto"/>
              </w:rPr>
              <w:t>22.76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4171</w:t>
            </w:r>
          </w:p>
        </w:tc>
        <w:tc>
          <w:tcPr>
            <w:tcW w:w="49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Deutsche DBALT 2006-AR5</w:t>
            </w:r>
          </w:p>
        </w:tc>
        <w:tc>
          <w:tcPr>
            <w:tcW w:w="24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4172</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Deutsche DBALT 2006-AR6</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4173</w:t>
            </w:r>
          </w:p>
        </w:tc>
        <w:tc>
          <w:tcPr>
            <w:tcW w:w="5160" w:type="dxa"/>
            <w:vAlign w:val="bottom"/>
          </w:tcPr>
          <w:p>
            <w:pPr>
              <w:ind w:left="160"/>
              <w:spacing w:after="0"/>
              <w:rPr>
                <w:sz w:val="20"/>
                <w:szCs w:val="20"/>
                <w:color w:val="auto"/>
              </w:rPr>
            </w:pPr>
            <w:r>
              <w:rPr>
                <w:rFonts w:ascii="Arial" w:cs="Arial" w:eastAsia="Arial" w:hAnsi="Arial"/>
                <w:sz w:val="18"/>
                <w:szCs w:val="18"/>
                <w:color w:val="auto"/>
              </w:rPr>
              <w:t>Deutsche DBALT 2007-1</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4175</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Deutsche DBALT 2007-AB1</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4176</w:t>
            </w:r>
          </w:p>
        </w:tc>
        <w:tc>
          <w:tcPr>
            <w:tcW w:w="5160" w:type="dxa"/>
            <w:vAlign w:val="bottom"/>
          </w:tcPr>
          <w:p>
            <w:pPr>
              <w:ind w:left="160"/>
              <w:spacing w:after="0"/>
              <w:rPr>
                <w:sz w:val="20"/>
                <w:szCs w:val="20"/>
                <w:color w:val="auto"/>
              </w:rPr>
            </w:pPr>
            <w:r>
              <w:rPr>
                <w:rFonts w:ascii="Arial" w:cs="Arial" w:eastAsia="Arial" w:hAnsi="Arial"/>
                <w:sz w:val="18"/>
                <w:szCs w:val="18"/>
                <w:color w:val="auto"/>
              </w:rPr>
              <w:t>First Franklin 2001-FF1</w:t>
            </w:r>
          </w:p>
        </w:tc>
        <w:tc>
          <w:tcPr>
            <w:tcW w:w="2200" w:type="dxa"/>
            <w:vAlign w:val="bottom"/>
          </w:tcPr>
          <w:p>
            <w:pPr>
              <w:jc w:val="right"/>
              <w:spacing w:after="0"/>
              <w:rPr>
                <w:sz w:val="20"/>
                <w:szCs w:val="20"/>
                <w:color w:val="auto"/>
              </w:rPr>
            </w:pPr>
            <w:r>
              <w:rPr>
                <w:rFonts w:ascii="Arial" w:cs="Arial" w:eastAsia="Arial" w:hAnsi="Arial"/>
                <w:sz w:val="18"/>
                <w:szCs w:val="18"/>
                <w:color w:val="auto"/>
              </w:rPr>
              <w:t>(81.45)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4177</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First Franklin 2001-FF2</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(7.01)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4179</w:t>
            </w:r>
          </w:p>
        </w:tc>
        <w:tc>
          <w:tcPr>
            <w:tcW w:w="5160" w:type="dxa"/>
            <w:vAlign w:val="bottom"/>
          </w:tcPr>
          <w:p>
            <w:pPr>
              <w:ind w:left="160"/>
              <w:spacing w:after="0"/>
              <w:rPr>
                <w:sz w:val="20"/>
                <w:szCs w:val="20"/>
                <w:color w:val="auto"/>
              </w:rPr>
            </w:pPr>
            <w:r>
              <w:rPr>
                <w:rFonts w:ascii="Arial" w:cs="Arial" w:eastAsia="Arial" w:hAnsi="Arial"/>
                <w:sz w:val="18"/>
                <w:szCs w:val="18"/>
                <w:color w:val="auto"/>
              </w:rPr>
              <w:t>Goldman Sachs GSAA Home Equity 2006-10</w:t>
            </w:r>
          </w:p>
        </w:tc>
        <w:tc>
          <w:tcPr>
            <w:tcW w:w="2200" w:type="dxa"/>
            <w:vAlign w:val="bottom"/>
          </w:tcPr>
          <w:p>
            <w:pPr>
              <w:jc w:val="right"/>
              <w:spacing w:after="0"/>
              <w:rPr>
                <w:sz w:val="20"/>
                <w:szCs w:val="20"/>
                <w:color w:val="auto"/>
              </w:rPr>
            </w:pPr>
            <w:r>
              <w:rPr>
                <w:rFonts w:ascii="Arial" w:cs="Arial" w:eastAsia="Arial" w:hAnsi="Arial"/>
                <w:sz w:val="18"/>
                <w:szCs w:val="18"/>
                <w:color w:val="auto"/>
              </w:rPr>
              <w:t>(2.71)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4180</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Goldman Sachs GSAA Home Equity 2006-11</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15.65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4181</w:t>
            </w:r>
          </w:p>
        </w:tc>
        <w:tc>
          <w:tcPr>
            <w:tcW w:w="5160" w:type="dxa"/>
            <w:vAlign w:val="bottom"/>
          </w:tcPr>
          <w:p>
            <w:pPr>
              <w:ind w:left="160"/>
              <w:spacing w:after="0"/>
              <w:rPr>
                <w:sz w:val="20"/>
                <w:szCs w:val="20"/>
                <w:color w:val="auto"/>
              </w:rPr>
            </w:pPr>
            <w:r>
              <w:rPr>
                <w:rFonts w:ascii="Arial" w:cs="Arial" w:eastAsia="Arial" w:hAnsi="Arial"/>
                <w:sz w:val="18"/>
                <w:szCs w:val="18"/>
                <w:color w:val="auto"/>
              </w:rPr>
              <w:t>Goldman Sachs GSAA Home Equity 2006-6</w:t>
            </w:r>
          </w:p>
        </w:tc>
        <w:tc>
          <w:tcPr>
            <w:tcW w:w="2200" w:type="dxa"/>
            <w:vAlign w:val="bottom"/>
          </w:tcPr>
          <w:p>
            <w:pPr>
              <w:jc w:val="right"/>
              <w:spacing w:after="0"/>
              <w:rPr>
                <w:sz w:val="20"/>
                <w:szCs w:val="20"/>
                <w:color w:val="auto"/>
              </w:rPr>
            </w:pPr>
            <w:r>
              <w:rPr>
                <w:rFonts w:ascii="Arial" w:cs="Arial" w:eastAsia="Arial" w:hAnsi="Arial"/>
                <w:sz w:val="18"/>
                <w:szCs w:val="18"/>
                <w:color w:val="auto"/>
              </w:rPr>
              <w:t>(1.42)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4182</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Goldman Sachs GSAA Home Equity 2006-9</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4183</w:t>
            </w:r>
          </w:p>
        </w:tc>
        <w:tc>
          <w:tcPr>
            <w:tcW w:w="5160" w:type="dxa"/>
            <w:vAlign w:val="bottom"/>
          </w:tcPr>
          <w:p>
            <w:pPr>
              <w:ind w:left="160"/>
              <w:spacing w:after="0"/>
              <w:rPr>
                <w:sz w:val="20"/>
                <w:szCs w:val="20"/>
                <w:color w:val="auto"/>
              </w:rPr>
            </w:pPr>
            <w:r>
              <w:rPr>
                <w:rFonts w:ascii="Arial" w:cs="Arial" w:eastAsia="Arial" w:hAnsi="Arial"/>
                <w:sz w:val="18"/>
                <w:szCs w:val="18"/>
                <w:color w:val="auto"/>
              </w:rPr>
              <w:t>Goldman Sachs GSAMP 2003-HE2</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4184</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Goldman Sachs GSAMP 2004-OPT</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75.83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4185</w:t>
            </w:r>
          </w:p>
        </w:tc>
        <w:tc>
          <w:tcPr>
            <w:tcW w:w="5160" w:type="dxa"/>
            <w:vAlign w:val="bottom"/>
          </w:tcPr>
          <w:p>
            <w:pPr>
              <w:ind w:left="160"/>
              <w:spacing w:after="0"/>
              <w:rPr>
                <w:sz w:val="20"/>
                <w:szCs w:val="20"/>
                <w:color w:val="auto"/>
              </w:rPr>
            </w:pPr>
            <w:r>
              <w:rPr>
                <w:rFonts w:ascii="Arial" w:cs="Arial" w:eastAsia="Arial" w:hAnsi="Arial"/>
                <w:sz w:val="18"/>
                <w:szCs w:val="18"/>
                <w:color w:val="auto"/>
              </w:rPr>
              <w:t>Goldman Sachs GSAMP 2006-S4</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4186</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Goldman Sachs GSR 2006-AR1</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4187</w:t>
            </w:r>
          </w:p>
        </w:tc>
        <w:tc>
          <w:tcPr>
            <w:tcW w:w="5160" w:type="dxa"/>
            <w:vAlign w:val="bottom"/>
          </w:tcPr>
          <w:p>
            <w:pPr>
              <w:ind w:left="160"/>
              <w:spacing w:after="0"/>
              <w:rPr>
                <w:sz w:val="20"/>
                <w:szCs w:val="20"/>
                <w:color w:val="auto"/>
              </w:rPr>
            </w:pPr>
            <w:r>
              <w:rPr>
                <w:rFonts w:ascii="Arial" w:cs="Arial" w:eastAsia="Arial" w:hAnsi="Arial"/>
                <w:sz w:val="18"/>
                <w:szCs w:val="18"/>
                <w:color w:val="auto"/>
              </w:rPr>
              <w:t>Goldman Sachs GSR 2006-AR2</w:t>
            </w:r>
          </w:p>
        </w:tc>
        <w:tc>
          <w:tcPr>
            <w:tcW w:w="2200" w:type="dxa"/>
            <w:vAlign w:val="bottom"/>
          </w:tcPr>
          <w:p>
            <w:pPr>
              <w:jc w:val="right"/>
              <w:spacing w:after="0"/>
              <w:rPr>
                <w:sz w:val="20"/>
                <w:szCs w:val="20"/>
                <w:color w:val="auto"/>
              </w:rPr>
            </w:pPr>
            <w:r>
              <w:rPr>
                <w:rFonts w:ascii="Arial" w:cs="Arial" w:eastAsia="Arial" w:hAnsi="Arial"/>
                <w:sz w:val="18"/>
                <w:szCs w:val="18"/>
                <w:color w:val="auto"/>
              </w:rPr>
              <w:t>26.97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4188</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Goldman Sachs GSR 2006-OA1</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19.59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4192</w:t>
            </w:r>
          </w:p>
        </w:tc>
        <w:tc>
          <w:tcPr>
            <w:tcW w:w="5160" w:type="dxa"/>
            <w:vAlign w:val="bottom"/>
          </w:tcPr>
          <w:p>
            <w:pPr>
              <w:ind w:left="160"/>
              <w:spacing w:after="0"/>
              <w:rPr>
                <w:sz w:val="20"/>
                <w:szCs w:val="20"/>
                <w:color w:val="auto"/>
              </w:rPr>
            </w:pPr>
            <w:r>
              <w:rPr>
                <w:rFonts w:ascii="Arial" w:cs="Arial" w:eastAsia="Arial" w:hAnsi="Arial"/>
                <w:sz w:val="18"/>
                <w:szCs w:val="18"/>
                <w:color w:val="auto"/>
              </w:rPr>
              <w:t>HSBC HASCO 2005-I1</w:t>
            </w:r>
          </w:p>
        </w:tc>
        <w:tc>
          <w:tcPr>
            <w:tcW w:w="2200" w:type="dxa"/>
            <w:vAlign w:val="bottom"/>
          </w:tcPr>
          <w:p>
            <w:pPr>
              <w:jc w:val="right"/>
              <w:spacing w:after="0"/>
              <w:rPr>
                <w:sz w:val="20"/>
                <w:szCs w:val="20"/>
                <w:color w:val="auto"/>
              </w:rPr>
            </w:pPr>
            <w:r>
              <w:rPr>
                <w:rFonts w:ascii="Arial" w:cs="Arial" w:eastAsia="Arial" w:hAnsi="Arial"/>
                <w:sz w:val="18"/>
                <w:szCs w:val="18"/>
                <w:color w:val="auto"/>
              </w:rPr>
              <w:t>86.99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4193</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HSBC HASCO 2005-OPT1</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70.54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4198</w:t>
            </w:r>
          </w:p>
        </w:tc>
        <w:tc>
          <w:tcPr>
            <w:tcW w:w="5160" w:type="dxa"/>
            <w:vAlign w:val="bottom"/>
          </w:tcPr>
          <w:p>
            <w:pPr>
              <w:ind w:left="160"/>
              <w:spacing w:after="0"/>
              <w:rPr>
                <w:sz w:val="20"/>
                <w:szCs w:val="20"/>
                <w:color w:val="auto"/>
              </w:rPr>
            </w:pPr>
            <w:r>
              <w:rPr>
                <w:rFonts w:ascii="Arial" w:cs="Arial" w:eastAsia="Arial" w:hAnsi="Arial"/>
                <w:sz w:val="18"/>
                <w:szCs w:val="18"/>
                <w:color w:val="auto"/>
              </w:rPr>
              <w:t>HSBC HASCO 2007-HE1</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4207</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HarborView Mortgage Loan Trust 2006-14</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4208</w:t>
            </w:r>
          </w:p>
        </w:tc>
        <w:tc>
          <w:tcPr>
            <w:tcW w:w="5160" w:type="dxa"/>
            <w:vAlign w:val="bottom"/>
          </w:tcPr>
          <w:p>
            <w:pPr>
              <w:ind w:left="160"/>
              <w:spacing w:after="0"/>
              <w:rPr>
                <w:sz w:val="20"/>
                <w:szCs w:val="20"/>
                <w:color w:val="auto"/>
              </w:rPr>
            </w:pPr>
            <w:r>
              <w:rPr>
                <w:rFonts w:ascii="Arial" w:cs="Arial" w:eastAsia="Arial" w:hAnsi="Arial"/>
                <w:sz w:val="18"/>
                <w:szCs w:val="18"/>
                <w:color w:val="auto"/>
              </w:rPr>
              <w:t>HarborView Mortgage Loan Trust 2006-6</w:t>
            </w:r>
          </w:p>
        </w:tc>
        <w:tc>
          <w:tcPr>
            <w:tcW w:w="2200" w:type="dxa"/>
            <w:vAlign w:val="bottom"/>
          </w:tcPr>
          <w:p>
            <w:pPr>
              <w:jc w:val="right"/>
              <w:spacing w:after="0"/>
              <w:rPr>
                <w:sz w:val="20"/>
                <w:szCs w:val="20"/>
                <w:color w:val="auto"/>
              </w:rPr>
            </w:pPr>
            <w:r>
              <w:rPr>
                <w:rFonts w:ascii="Arial" w:cs="Arial" w:eastAsia="Arial" w:hAnsi="Arial"/>
                <w:sz w:val="18"/>
                <w:szCs w:val="18"/>
                <w:color w:val="auto"/>
              </w:rPr>
              <w:t>8.06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4209</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HarborView Mortgage Loan Trust 2006-7</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40.67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4210</w:t>
            </w:r>
          </w:p>
        </w:tc>
        <w:tc>
          <w:tcPr>
            <w:tcW w:w="5160" w:type="dxa"/>
            <w:vAlign w:val="bottom"/>
          </w:tcPr>
          <w:p>
            <w:pPr>
              <w:ind w:left="160"/>
              <w:spacing w:after="0"/>
              <w:rPr>
                <w:sz w:val="20"/>
                <w:szCs w:val="20"/>
                <w:color w:val="auto"/>
              </w:rPr>
            </w:pPr>
            <w:r>
              <w:rPr>
                <w:rFonts w:ascii="Arial" w:cs="Arial" w:eastAsia="Arial" w:hAnsi="Arial"/>
                <w:sz w:val="18"/>
                <w:szCs w:val="18"/>
                <w:color w:val="auto"/>
              </w:rPr>
              <w:t>HarborView Mortgage Loan Trust 2007-2</w:t>
            </w:r>
          </w:p>
        </w:tc>
        <w:tc>
          <w:tcPr>
            <w:tcW w:w="2200" w:type="dxa"/>
            <w:vAlign w:val="bottom"/>
          </w:tcPr>
          <w:p>
            <w:pPr>
              <w:jc w:val="right"/>
              <w:spacing w:after="0"/>
              <w:rPr>
                <w:sz w:val="20"/>
                <w:szCs w:val="20"/>
                <w:color w:val="auto"/>
              </w:rPr>
            </w:pPr>
            <w:r>
              <w:rPr>
                <w:rFonts w:ascii="Arial" w:cs="Arial" w:eastAsia="Arial" w:hAnsi="Arial"/>
                <w:sz w:val="18"/>
                <w:szCs w:val="18"/>
                <w:color w:val="auto"/>
              </w:rPr>
              <w:t>33.07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4216</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Luminent Mortgage Trust 2006-7</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4223</w:t>
            </w:r>
          </w:p>
        </w:tc>
        <w:tc>
          <w:tcPr>
            <w:tcW w:w="5160" w:type="dxa"/>
            <w:vAlign w:val="bottom"/>
          </w:tcPr>
          <w:p>
            <w:pPr>
              <w:ind w:left="160"/>
              <w:spacing w:after="0"/>
              <w:rPr>
                <w:sz w:val="20"/>
                <w:szCs w:val="20"/>
                <w:color w:val="auto"/>
              </w:rPr>
            </w:pPr>
            <w:r>
              <w:rPr>
                <w:rFonts w:ascii="Arial" w:cs="Arial" w:eastAsia="Arial" w:hAnsi="Arial"/>
                <w:sz w:val="18"/>
                <w:szCs w:val="18"/>
                <w:color w:val="auto"/>
              </w:rPr>
              <w:t>MASTR ABS Trust 2007-HE2</w:t>
            </w:r>
          </w:p>
        </w:tc>
        <w:tc>
          <w:tcPr>
            <w:tcW w:w="2200" w:type="dxa"/>
            <w:vAlign w:val="bottom"/>
          </w:tcPr>
          <w:p>
            <w:pPr>
              <w:jc w:val="right"/>
              <w:spacing w:after="0"/>
              <w:rPr>
                <w:sz w:val="20"/>
                <w:szCs w:val="20"/>
                <w:color w:val="auto"/>
              </w:rPr>
            </w:pPr>
            <w:r>
              <w:rPr>
                <w:rFonts w:ascii="Arial" w:cs="Arial" w:eastAsia="Arial" w:hAnsi="Arial"/>
                <w:sz w:val="18"/>
                <w:szCs w:val="18"/>
                <w:color w:val="auto"/>
              </w:rPr>
              <w:t>64.83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4224</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MASTR ALT Series 2006-2</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4226</w:t>
            </w:r>
          </w:p>
        </w:tc>
        <w:tc>
          <w:tcPr>
            <w:tcW w:w="5160" w:type="dxa"/>
            <w:vAlign w:val="bottom"/>
          </w:tcPr>
          <w:p>
            <w:pPr>
              <w:ind w:left="160"/>
              <w:spacing w:after="0"/>
              <w:rPr>
                <w:sz w:val="20"/>
                <w:szCs w:val="20"/>
                <w:color w:val="auto"/>
              </w:rPr>
            </w:pPr>
            <w:r>
              <w:rPr>
                <w:rFonts w:ascii="Arial" w:cs="Arial" w:eastAsia="Arial" w:hAnsi="Arial"/>
                <w:sz w:val="18"/>
                <w:szCs w:val="18"/>
                <w:color w:val="auto"/>
              </w:rPr>
              <w:t>MASTR ARM Trust 2005-8</w:t>
            </w:r>
          </w:p>
        </w:tc>
        <w:tc>
          <w:tcPr>
            <w:tcW w:w="2200" w:type="dxa"/>
            <w:vAlign w:val="bottom"/>
          </w:tcPr>
          <w:p>
            <w:pPr>
              <w:jc w:val="right"/>
              <w:spacing w:after="0"/>
              <w:rPr>
                <w:sz w:val="20"/>
                <w:szCs w:val="20"/>
                <w:color w:val="auto"/>
              </w:rPr>
            </w:pPr>
            <w:r>
              <w:rPr>
                <w:rFonts w:ascii="Arial" w:cs="Arial" w:eastAsia="Arial" w:hAnsi="Arial"/>
                <w:sz w:val="18"/>
                <w:szCs w:val="18"/>
                <w:color w:val="auto"/>
              </w:rPr>
              <w:t>21.50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4227</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MASTR ARM Trust 2006-OA1</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27.04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4229</w:t>
            </w:r>
          </w:p>
        </w:tc>
        <w:tc>
          <w:tcPr>
            <w:tcW w:w="5160" w:type="dxa"/>
            <w:vAlign w:val="bottom"/>
          </w:tcPr>
          <w:p>
            <w:pPr>
              <w:ind w:left="160"/>
              <w:spacing w:after="0"/>
              <w:rPr>
                <w:sz w:val="20"/>
                <w:szCs w:val="20"/>
                <w:color w:val="auto"/>
              </w:rPr>
            </w:pPr>
            <w:r>
              <w:rPr>
                <w:rFonts w:ascii="Arial" w:cs="Arial" w:eastAsia="Arial" w:hAnsi="Arial"/>
                <w:sz w:val="18"/>
                <w:szCs w:val="18"/>
                <w:color w:val="auto"/>
              </w:rPr>
              <w:t>MASTR ARM Trust 2007-1</w:t>
            </w:r>
          </w:p>
        </w:tc>
        <w:tc>
          <w:tcPr>
            <w:tcW w:w="2200" w:type="dxa"/>
            <w:vAlign w:val="bottom"/>
          </w:tcPr>
          <w:p>
            <w:pPr>
              <w:jc w:val="right"/>
              <w:spacing w:after="0"/>
              <w:rPr>
                <w:sz w:val="20"/>
                <w:szCs w:val="20"/>
                <w:color w:val="auto"/>
              </w:rPr>
            </w:pPr>
            <w:r>
              <w:rPr>
                <w:rFonts w:ascii="Arial" w:cs="Arial" w:eastAsia="Arial" w:hAnsi="Arial"/>
                <w:sz w:val="18"/>
                <w:szCs w:val="18"/>
                <w:color w:val="auto"/>
              </w:rPr>
              <w:t>52.04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4231</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OOMC MESA Trust 2001-2</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(43.03)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4237</w:t>
            </w:r>
          </w:p>
        </w:tc>
        <w:tc>
          <w:tcPr>
            <w:tcW w:w="5160" w:type="dxa"/>
            <w:vAlign w:val="bottom"/>
          </w:tcPr>
          <w:p>
            <w:pPr>
              <w:ind w:left="160"/>
              <w:spacing w:after="0"/>
              <w:rPr>
                <w:sz w:val="20"/>
                <w:szCs w:val="20"/>
                <w:color w:val="auto"/>
              </w:rPr>
            </w:pPr>
            <w:r>
              <w:rPr>
                <w:rFonts w:ascii="Arial" w:cs="Arial" w:eastAsia="Arial" w:hAnsi="Arial"/>
                <w:sz w:val="18"/>
                <w:szCs w:val="18"/>
                <w:color w:val="auto"/>
              </w:rPr>
              <w:t>Merrill Lynch Series 2002-HE1</w:t>
            </w:r>
          </w:p>
        </w:tc>
        <w:tc>
          <w:tcPr>
            <w:tcW w:w="2200" w:type="dxa"/>
            <w:vAlign w:val="bottom"/>
          </w:tcPr>
          <w:p>
            <w:pPr>
              <w:jc w:val="right"/>
              <w:spacing w:after="0"/>
              <w:rPr>
                <w:sz w:val="20"/>
                <w:szCs w:val="20"/>
                <w:color w:val="auto"/>
              </w:rPr>
            </w:pPr>
            <w:r>
              <w:rPr>
                <w:rFonts w:ascii="Arial" w:cs="Arial" w:eastAsia="Arial" w:hAnsi="Arial"/>
                <w:sz w:val="18"/>
                <w:szCs w:val="18"/>
                <w:color w:val="auto"/>
              </w:rPr>
              <w:t>5.73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4240</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Merrill Lynch Series 2004-OPT1</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4243</w:t>
            </w:r>
          </w:p>
        </w:tc>
        <w:tc>
          <w:tcPr>
            <w:tcW w:w="5160" w:type="dxa"/>
            <w:vAlign w:val="bottom"/>
          </w:tcPr>
          <w:p>
            <w:pPr>
              <w:ind w:left="160"/>
              <w:spacing w:after="0"/>
              <w:rPr>
                <w:sz w:val="20"/>
                <w:szCs w:val="20"/>
                <w:color w:val="auto"/>
              </w:rPr>
            </w:pPr>
            <w:r>
              <w:rPr>
                <w:rFonts w:ascii="Arial" w:cs="Arial" w:eastAsia="Arial" w:hAnsi="Arial"/>
                <w:sz w:val="18"/>
                <w:szCs w:val="18"/>
                <w:color w:val="auto"/>
              </w:rPr>
              <w:t>Morgan Stanley 2004-OP1</w:t>
            </w:r>
          </w:p>
        </w:tc>
        <w:tc>
          <w:tcPr>
            <w:tcW w:w="2200" w:type="dxa"/>
            <w:vAlign w:val="bottom"/>
          </w:tcPr>
          <w:p>
            <w:pPr>
              <w:jc w:val="right"/>
              <w:spacing w:after="0"/>
              <w:rPr>
                <w:sz w:val="20"/>
                <w:szCs w:val="20"/>
                <w:color w:val="auto"/>
              </w:rPr>
            </w:pPr>
            <w:r>
              <w:rPr>
                <w:rFonts w:ascii="Arial" w:cs="Arial" w:eastAsia="Arial" w:hAnsi="Arial"/>
                <w:sz w:val="18"/>
                <w:szCs w:val="18"/>
                <w:color w:val="auto"/>
              </w:rPr>
              <w:t>36.77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4244</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Morgan Stanley 2005-HE1</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4245</w:t>
            </w:r>
          </w:p>
        </w:tc>
        <w:tc>
          <w:tcPr>
            <w:tcW w:w="5160" w:type="dxa"/>
            <w:vAlign w:val="bottom"/>
          </w:tcPr>
          <w:p>
            <w:pPr>
              <w:ind w:left="160"/>
              <w:spacing w:after="0"/>
              <w:rPr>
                <w:sz w:val="20"/>
                <w:szCs w:val="20"/>
                <w:color w:val="auto"/>
              </w:rPr>
            </w:pPr>
            <w:r>
              <w:rPr>
                <w:rFonts w:ascii="Arial" w:cs="Arial" w:eastAsia="Arial" w:hAnsi="Arial"/>
                <w:sz w:val="18"/>
                <w:szCs w:val="18"/>
                <w:color w:val="auto"/>
              </w:rPr>
              <w:t>Morgan Stanley 2005-HE2</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4247</w:t>
            </w:r>
          </w:p>
        </w:tc>
        <w:tc>
          <w:tcPr>
            <w:tcW w:w="5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Morgan Stanley 2006-5AR</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34.25</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4255</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OOMC Loan Trust 1999-A</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(38.63)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4256</w:t>
            </w:r>
          </w:p>
        </w:tc>
        <w:tc>
          <w:tcPr>
            <w:tcW w:w="4780" w:type="dxa"/>
            <w:vAlign w:val="bottom"/>
          </w:tcPr>
          <w:p>
            <w:pPr>
              <w:ind w:left="160"/>
              <w:spacing w:after="0"/>
              <w:rPr>
                <w:sz w:val="20"/>
                <w:szCs w:val="20"/>
                <w:color w:val="auto"/>
              </w:rPr>
            </w:pPr>
            <w:r>
              <w:rPr>
                <w:rFonts w:ascii="Arial" w:cs="Arial" w:eastAsia="Arial" w:hAnsi="Arial"/>
                <w:sz w:val="18"/>
                <w:szCs w:val="18"/>
                <w:color w:val="auto"/>
              </w:rPr>
              <w:t>OOMC Loan Trust 1999-B</w:t>
            </w:r>
          </w:p>
        </w:tc>
        <w:tc>
          <w:tcPr>
            <w:tcW w:w="2580" w:type="dxa"/>
            <w:vAlign w:val="bottom"/>
          </w:tcPr>
          <w:p>
            <w:pPr>
              <w:jc w:val="right"/>
              <w:spacing w:after="0"/>
              <w:rPr>
                <w:sz w:val="20"/>
                <w:szCs w:val="20"/>
                <w:color w:val="auto"/>
              </w:rPr>
            </w:pPr>
            <w:r>
              <w:rPr>
                <w:rFonts w:ascii="Arial" w:cs="Arial" w:eastAsia="Arial" w:hAnsi="Arial"/>
                <w:sz w:val="18"/>
                <w:szCs w:val="18"/>
                <w:color w:val="auto"/>
              </w:rPr>
              <w:t>(46.50)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4257</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OOMC Loan Trust 1999-C</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(40.21)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4260</w:t>
            </w:r>
          </w:p>
        </w:tc>
        <w:tc>
          <w:tcPr>
            <w:tcW w:w="4780" w:type="dxa"/>
            <w:vAlign w:val="bottom"/>
          </w:tcPr>
          <w:p>
            <w:pPr>
              <w:ind w:left="160"/>
              <w:spacing w:after="0"/>
              <w:rPr>
                <w:sz w:val="20"/>
                <w:szCs w:val="20"/>
                <w:color w:val="auto"/>
              </w:rPr>
            </w:pPr>
            <w:r>
              <w:rPr>
                <w:rFonts w:ascii="Arial" w:cs="Arial" w:eastAsia="Arial" w:hAnsi="Arial"/>
                <w:sz w:val="18"/>
                <w:szCs w:val="18"/>
                <w:color w:val="auto"/>
              </w:rPr>
              <w:t>OOMC Loan Trust 2000-A</w:t>
            </w:r>
          </w:p>
        </w:tc>
        <w:tc>
          <w:tcPr>
            <w:tcW w:w="2580" w:type="dxa"/>
            <w:vAlign w:val="bottom"/>
          </w:tcPr>
          <w:p>
            <w:pPr>
              <w:jc w:val="right"/>
              <w:spacing w:after="0"/>
              <w:rPr>
                <w:sz w:val="20"/>
                <w:szCs w:val="20"/>
                <w:color w:val="auto"/>
              </w:rPr>
            </w:pPr>
            <w:r>
              <w:rPr>
                <w:rFonts w:ascii="Arial" w:cs="Arial" w:eastAsia="Arial" w:hAnsi="Arial"/>
                <w:sz w:val="18"/>
                <w:szCs w:val="18"/>
                <w:color w:val="auto"/>
              </w:rPr>
              <w:t>(43.05)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4261</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OOMC Loan Trust 2000-B</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4262</w:t>
            </w:r>
          </w:p>
        </w:tc>
        <w:tc>
          <w:tcPr>
            <w:tcW w:w="4780" w:type="dxa"/>
            <w:vAlign w:val="bottom"/>
          </w:tcPr>
          <w:p>
            <w:pPr>
              <w:ind w:left="160"/>
              <w:spacing w:after="0"/>
              <w:rPr>
                <w:sz w:val="20"/>
                <w:szCs w:val="20"/>
                <w:color w:val="auto"/>
              </w:rPr>
            </w:pPr>
            <w:r>
              <w:rPr>
                <w:rFonts w:ascii="Arial" w:cs="Arial" w:eastAsia="Arial" w:hAnsi="Arial"/>
                <w:sz w:val="18"/>
                <w:szCs w:val="18"/>
                <w:color w:val="auto"/>
              </w:rPr>
              <w:t>OOMC Loan Trust 2000-C</w:t>
            </w:r>
          </w:p>
        </w:tc>
        <w:tc>
          <w:tcPr>
            <w:tcW w:w="2580" w:type="dxa"/>
            <w:vAlign w:val="bottom"/>
          </w:tcPr>
          <w:p>
            <w:pPr>
              <w:jc w:val="right"/>
              <w:spacing w:after="0"/>
              <w:rPr>
                <w:sz w:val="20"/>
                <w:szCs w:val="20"/>
                <w:color w:val="auto"/>
              </w:rPr>
            </w:pPr>
            <w:r>
              <w:rPr>
                <w:rFonts w:ascii="Arial" w:cs="Arial" w:eastAsia="Arial" w:hAnsi="Arial"/>
                <w:sz w:val="18"/>
                <w:szCs w:val="18"/>
                <w:color w:val="auto"/>
              </w:rPr>
              <w:t>(48.62)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4263</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OOMC Loan Trust 2000-D</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(59.54)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4264</w:t>
            </w:r>
          </w:p>
        </w:tc>
        <w:tc>
          <w:tcPr>
            <w:tcW w:w="4780" w:type="dxa"/>
            <w:vAlign w:val="bottom"/>
          </w:tcPr>
          <w:p>
            <w:pPr>
              <w:ind w:left="160"/>
              <w:spacing w:after="0"/>
              <w:rPr>
                <w:sz w:val="20"/>
                <w:szCs w:val="20"/>
                <w:color w:val="auto"/>
              </w:rPr>
            </w:pPr>
            <w:r>
              <w:rPr>
                <w:rFonts w:ascii="Arial" w:cs="Arial" w:eastAsia="Arial" w:hAnsi="Arial"/>
                <w:sz w:val="18"/>
                <w:szCs w:val="18"/>
                <w:color w:val="auto"/>
              </w:rPr>
              <w:t>OOMC Loan Trust 2001-4</w:t>
            </w:r>
          </w:p>
        </w:tc>
        <w:tc>
          <w:tcPr>
            <w:tcW w:w="2580" w:type="dxa"/>
            <w:vAlign w:val="bottom"/>
          </w:tcPr>
          <w:p>
            <w:pPr>
              <w:jc w:val="right"/>
              <w:spacing w:after="0"/>
              <w:rPr>
                <w:sz w:val="20"/>
                <w:szCs w:val="20"/>
                <w:color w:val="auto"/>
              </w:rPr>
            </w:pPr>
            <w:r>
              <w:rPr>
                <w:rFonts w:ascii="Arial" w:cs="Arial" w:eastAsia="Arial" w:hAnsi="Arial"/>
                <w:sz w:val="18"/>
                <w:szCs w:val="18"/>
                <w:color w:val="auto"/>
              </w:rPr>
              <w:t>26.50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4265</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OOMC Loan Trust 2001-A</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(41.75)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4266</w:t>
            </w:r>
          </w:p>
        </w:tc>
        <w:tc>
          <w:tcPr>
            <w:tcW w:w="4780" w:type="dxa"/>
            <w:vAlign w:val="bottom"/>
          </w:tcPr>
          <w:p>
            <w:pPr>
              <w:ind w:left="160"/>
              <w:spacing w:after="0"/>
              <w:rPr>
                <w:sz w:val="20"/>
                <w:szCs w:val="20"/>
                <w:color w:val="auto"/>
              </w:rPr>
            </w:pPr>
            <w:r>
              <w:rPr>
                <w:rFonts w:ascii="Arial" w:cs="Arial" w:eastAsia="Arial" w:hAnsi="Arial"/>
                <w:sz w:val="18"/>
                <w:szCs w:val="18"/>
                <w:color w:val="auto"/>
              </w:rPr>
              <w:t>OOMC Loan Trust 2001-B</w:t>
            </w:r>
          </w:p>
        </w:tc>
        <w:tc>
          <w:tcPr>
            <w:tcW w:w="2580" w:type="dxa"/>
            <w:vAlign w:val="bottom"/>
          </w:tcPr>
          <w:p>
            <w:pPr>
              <w:jc w:val="right"/>
              <w:spacing w:after="0"/>
              <w:rPr>
                <w:sz w:val="20"/>
                <w:szCs w:val="20"/>
                <w:color w:val="auto"/>
              </w:rPr>
            </w:pPr>
            <w:r>
              <w:rPr>
                <w:rFonts w:ascii="Arial" w:cs="Arial" w:eastAsia="Arial" w:hAnsi="Arial"/>
                <w:sz w:val="18"/>
                <w:szCs w:val="18"/>
                <w:color w:val="auto"/>
              </w:rPr>
              <w:t>(37.99)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4267</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OOMC Loan Trust 2001-C</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(10.60)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4268</w:t>
            </w:r>
          </w:p>
        </w:tc>
        <w:tc>
          <w:tcPr>
            <w:tcW w:w="4780" w:type="dxa"/>
            <w:vAlign w:val="bottom"/>
          </w:tcPr>
          <w:p>
            <w:pPr>
              <w:ind w:left="160"/>
              <w:spacing w:after="0"/>
              <w:rPr>
                <w:sz w:val="20"/>
                <w:szCs w:val="20"/>
                <w:color w:val="auto"/>
              </w:rPr>
            </w:pPr>
            <w:r>
              <w:rPr>
                <w:rFonts w:ascii="Arial" w:cs="Arial" w:eastAsia="Arial" w:hAnsi="Arial"/>
                <w:sz w:val="18"/>
                <w:szCs w:val="18"/>
                <w:color w:val="auto"/>
              </w:rPr>
              <w:t>OOMC Loan Trust 2001-D</w:t>
            </w:r>
          </w:p>
        </w:tc>
        <w:tc>
          <w:tcPr>
            <w:tcW w:w="2580" w:type="dxa"/>
            <w:vAlign w:val="bottom"/>
          </w:tcPr>
          <w:p>
            <w:pPr>
              <w:jc w:val="right"/>
              <w:spacing w:after="0"/>
              <w:rPr>
                <w:sz w:val="20"/>
                <w:szCs w:val="20"/>
                <w:color w:val="auto"/>
              </w:rPr>
            </w:pPr>
            <w:r>
              <w:rPr>
                <w:rFonts w:ascii="Arial" w:cs="Arial" w:eastAsia="Arial" w:hAnsi="Arial"/>
                <w:sz w:val="18"/>
                <w:szCs w:val="18"/>
                <w:color w:val="auto"/>
              </w:rPr>
              <w:t>(12.02)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4270</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OOMC Loan Trust 2002-2 -STEP</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4272</w:t>
            </w:r>
          </w:p>
        </w:tc>
        <w:tc>
          <w:tcPr>
            <w:tcW w:w="4780" w:type="dxa"/>
            <w:vAlign w:val="bottom"/>
          </w:tcPr>
          <w:p>
            <w:pPr>
              <w:ind w:left="160"/>
              <w:spacing w:after="0"/>
              <w:rPr>
                <w:sz w:val="20"/>
                <w:szCs w:val="20"/>
                <w:color w:val="auto"/>
              </w:rPr>
            </w:pPr>
            <w:r>
              <w:rPr>
                <w:rFonts w:ascii="Arial" w:cs="Arial" w:eastAsia="Arial" w:hAnsi="Arial"/>
                <w:sz w:val="18"/>
                <w:szCs w:val="18"/>
                <w:color w:val="auto"/>
              </w:rPr>
              <w:t>OOMC Loan Trust 2002-4</w:t>
            </w:r>
          </w:p>
        </w:tc>
        <w:tc>
          <w:tcPr>
            <w:tcW w:w="2580" w:type="dxa"/>
            <w:vAlign w:val="bottom"/>
          </w:tcPr>
          <w:p>
            <w:pPr>
              <w:jc w:val="right"/>
              <w:spacing w:after="0"/>
              <w:rPr>
                <w:sz w:val="20"/>
                <w:szCs w:val="20"/>
                <w:color w:val="auto"/>
              </w:rPr>
            </w:pPr>
            <w:r>
              <w:rPr>
                <w:rFonts w:ascii="Arial" w:cs="Arial" w:eastAsia="Arial" w:hAnsi="Arial"/>
                <w:sz w:val="18"/>
                <w:szCs w:val="18"/>
                <w:color w:val="auto"/>
              </w:rPr>
              <w:t>18.67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4273</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OOMC Loan Trust 2002-5</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4275</w:t>
            </w:r>
          </w:p>
        </w:tc>
        <w:tc>
          <w:tcPr>
            <w:tcW w:w="4780" w:type="dxa"/>
            <w:vAlign w:val="bottom"/>
          </w:tcPr>
          <w:p>
            <w:pPr>
              <w:ind w:left="160"/>
              <w:spacing w:after="0"/>
              <w:rPr>
                <w:sz w:val="20"/>
                <w:szCs w:val="20"/>
                <w:color w:val="auto"/>
              </w:rPr>
            </w:pPr>
            <w:r>
              <w:rPr>
                <w:rFonts w:ascii="Arial" w:cs="Arial" w:eastAsia="Arial" w:hAnsi="Arial"/>
                <w:sz w:val="18"/>
                <w:szCs w:val="18"/>
                <w:color w:val="auto"/>
              </w:rPr>
              <w:t>OOMC Loan Trust 2002-A -STEP</w:t>
            </w:r>
          </w:p>
        </w:tc>
        <w:tc>
          <w:tcPr>
            <w:tcW w:w="2580" w:type="dxa"/>
            <w:vAlign w:val="bottom"/>
          </w:tcPr>
          <w:p>
            <w:pPr>
              <w:jc w:val="right"/>
              <w:spacing w:after="0"/>
              <w:rPr>
                <w:sz w:val="20"/>
                <w:szCs w:val="20"/>
                <w:color w:val="auto"/>
              </w:rPr>
            </w:pPr>
            <w:r>
              <w:rPr>
                <w:rFonts w:ascii="Arial" w:cs="Arial" w:eastAsia="Arial" w:hAnsi="Arial"/>
                <w:sz w:val="18"/>
                <w:szCs w:val="18"/>
                <w:color w:val="auto"/>
              </w:rPr>
              <w:t>61.20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4302</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OOMC Loan Trust 2007-HL1</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4304</w:t>
            </w:r>
          </w:p>
        </w:tc>
        <w:tc>
          <w:tcPr>
            <w:tcW w:w="4780" w:type="dxa"/>
            <w:vAlign w:val="bottom"/>
          </w:tcPr>
          <w:p>
            <w:pPr>
              <w:ind w:left="160"/>
              <w:spacing w:after="0"/>
              <w:rPr>
                <w:sz w:val="20"/>
                <w:szCs w:val="20"/>
                <w:color w:val="auto"/>
              </w:rPr>
            </w:pPr>
            <w:r>
              <w:rPr>
                <w:rFonts w:ascii="Arial" w:cs="Arial" w:eastAsia="Arial" w:hAnsi="Arial"/>
                <w:sz w:val="18"/>
                <w:szCs w:val="18"/>
                <w:color w:val="auto"/>
              </w:rPr>
              <w:t>OOMC Woodbridge 2002-2</w:t>
            </w:r>
          </w:p>
        </w:tc>
        <w:tc>
          <w:tcPr>
            <w:tcW w:w="2580" w:type="dxa"/>
            <w:vAlign w:val="bottom"/>
          </w:tcPr>
          <w:p>
            <w:pPr>
              <w:jc w:val="right"/>
              <w:spacing w:after="0"/>
              <w:rPr>
                <w:sz w:val="20"/>
                <w:szCs w:val="20"/>
                <w:color w:val="auto"/>
              </w:rPr>
            </w:pPr>
            <w:r>
              <w:rPr>
                <w:rFonts w:ascii="Arial" w:cs="Arial" w:eastAsia="Arial" w:hAnsi="Arial"/>
                <w:sz w:val="18"/>
                <w:szCs w:val="18"/>
                <w:color w:val="auto"/>
              </w:rPr>
              <w:t>(45.69)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4308</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QUEST 2002-X1</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(22.74)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4309</w:t>
            </w:r>
          </w:p>
        </w:tc>
        <w:tc>
          <w:tcPr>
            <w:tcW w:w="4780" w:type="dxa"/>
            <w:vAlign w:val="bottom"/>
          </w:tcPr>
          <w:p>
            <w:pPr>
              <w:ind w:left="160"/>
              <w:spacing w:after="0"/>
              <w:rPr>
                <w:sz w:val="20"/>
                <w:szCs w:val="20"/>
                <w:color w:val="auto"/>
              </w:rPr>
            </w:pPr>
            <w:r>
              <w:rPr>
                <w:rFonts w:ascii="Arial" w:cs="Arial" w:eastAsia="Arial" w:hAnsi="Arial"/>
                <w:sz w:val="18"/>
                <w:szCs w:val="18"/>
                <w:color w:val="auto"/>
              </w:rPr>
              <w:t>QUEST 2003-X2</w:t>
            </w:r>
          </w:p>
        </w:tc>
        <w:tc>
          <w:tcPr>
            <w:tcW w:w="2580" w:type="dxa"/>
            <w:vAlign w:val="bottom"/>
          </w:tcPr>
          <w:p>
            <w:pPr>
              <w:jc w:val="right"/>
              <w:spacing w:after="0"/>
              <w:rPr>
                <w:sz w:val="20"/>
                <w:szCs w:val="20"/>
                <w:color w:val="auto"/>
              </w:rPr>
            </w:pPr>
            <w:r>
              <w:rPr>
                <w:rFonts w:ascii="Arial" w:cs="Arial" w:eastAsia="Arial" w:hAnsi="Arial"/>
                <w:sz w:val="18"/>
                <w:szCs w:val="18"/>
                <w:color w:val="auto"/>
              </w:rPr>
              <w:t>(35.85)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4310</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QUEST 2003-X3</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4311</w:t>
            </w:r>
          </w:p>
        </w:tc>
        <w:tc>
          <w:tcPr>
            <w:tcW w:w="4780" w:type="dxa"/>
            <w:vAlign w:val="bottom"/>
          </w:tcPr>
          <w:p>
            <w:pPr>
              <w:ind w:left="160"/>
              <w:spacing w:after="0"/>
              <w:rPr>
                <w:sz w:val="20"/>
                <w:szCs w:val="20"/>
                <w:color w:val="auto"/>
              </w:rPr>
            </w:pPr>
            <w:r>
              <w:rPr>
                <w:rFonts w:ascii="Arial" w:cs="Arial" w:eastAsia="Arial" w:hAnsi="Arial"/>
                <w:sz w:val="18"/>
                <w:szCs w:val="18"/>
                <w:color w:val="auto"/>
              </w:rPr>
              <w:t>QUEST 2003-X4</w:t>
            </w:r>
          </w:p>
        </w:tc>
        <w:tc>
          <w:tcPr>
            <w:tcW w:w="2580" w:type="dxa"/>
            <w:vAlign w:val="bottom"/>
          </w:tcPr>
          <w:p>
            <w:pPr>
              <w:jc w:val="right"/>
              <w:spacing w:after="0"/>
              <w:rPr>
                <w:sz w:val="20"/>
                <w:szCs w:val="20"/>
                <w:color w:val="auto"/>
              </w:rPr>
            </w:pPr>
            <w:r>
              <w:rPr>
                <w:rFonts w:ascii="Arial" w:cs="Arial" w:eastAsia="Arial" w:hAnsi="Arial"/>
                <w:sz w:val="18"/>
                <w:szCs w:val="18"/>
                <w:color w:val="auto"/>
              </w:rPr>
              <w:t>(8.06)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4312</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QUEST 2004-X1</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(31.43)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4313</w:t>
            </w:r>
          </w:p>
        </w:tc>
        <w:tc>
          <w:tcPr>
            <w:tcW w:w="4780" w:type="dxa"/>
            <w:vAlign w:val="bottom"/>
          </w:tcPr>
          <w:p>
            <w:pPr>
              <w:ind w:left="160"/>
              <w:spacing w:after="0"/>
              <w:rPr>
                <w:sz w:val="20"/>
                <w:szCs w:val="20"/>
                <w:color w:val="auto"/>
              </w:rPr>
            </w:pPr>
            <w:r>
              <w:rPr>
                <w:rFonts w:ascii="Arial" w:cs="Arial" w:eastAsia="Arial" w:hAnsi="Arial"/>
                <w:sz w:val="18"/>
                <w:szCs w:val="18"/>
                <w:color w:val="auto"/>
              </w:rPr>
              <w:t>QUEST 2004-X2</w:t>
            </w:r>
          </w:p>
        </w:tc>
        <w:tc>
          <w:tcPr>
            <w:tcW w:w="2580" w:type="dxa"/>
            <w:vAlign w:val="bottom"/>
          </w:tcPr>
          <w:p>
            <w:pPr>
              <w:jc w:val="right"/>
              <w:spacing w:after="0"/>
              <w:rPr>
                <w:sz w:val="20"/>
                <w:szCs w:val="20"/>
                <w:color w:val="auto"/>
              </w:rPr>
            </w:pPr>
            <w:r>
              <w:rPr>
                <w:rFonts w:ascii="Arial" w:cs="Arial" w:eastAsia="Arial" w:hAnsi="Arial"/>
                <w:sz w:val="18"/>
                <w:szCs w:val="18"/>
                <w:color w:val="auto"/>
              </w:rPr>
              <w:t>25.17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4314</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QUEST 2004-X3</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22.78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4315</w:t>
            </w:r>
          </w:p>
        </w:tc>
        <w:tc>
          <w:tcPr>
            <w:tcW w:w="4780" w:type="dxa"/>
            <w:vAlign w:val="bottom"/>
          </w:tcPr>
          <w:p>
            <w:pPr>
              <w:ind w:left="160"/>
              <w:spacing w:after="0"/>
              <w:rPr>
                <w:sz w:val="20"/>
                <w:szCs w:val="20"/>
                <w:color w:val="auto"/>
              </w:rPr>
            </w:pPr>
            <w:r>
              <w:rPr>
                <w:rFonts w:ascii="Arial" w:cs="Arial" w:eastAsia="Arial" w:hAnsi="Arial"/>
                <w:sz w:val="18"/>
                <w:szCs w:val="18"/>
                <w:color w:val="auto"/>
              </w:rPr>
              <w:t>QUEST 2005-X1</w:t>
            </w:r>
          </w:p>
        </w:tc>
        <w:tc>
          <w:tcPr>
            <w:tcW w:w="2580" w:type="dxa"/>
            <w:vAlign w:val="bottom"/>
          </w:tcPr>
          <w:p>
            <w:pPr>
              <w:jc w:val="right"/>
              <w:spacing w:after="0"/>
              <w:rPr>
                <w:sz w:val="20"/>
                <w:szCs w:val="20"/>
                <w:color w:val="auto"/>
              </w:rPr>
            </w:pPr>
            <w:r>
              <w:rPr>
                <w:rFonts w:ascii="Arial" w:cs="Arial" w:eastAsia="Arial" w:hAnsi="Arial"/>
                <w:sz w:val="18"/>
                <w:szCs w:val="18"/>
                <w:color w:val="auto"/>
              </w:rPr>
              <w:t>30.87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4316</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QUEST 2005-X2</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26.06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4317</w:t>
            </w:r>
          </w:p>
        </w:tc>
        <w:tc>
          <w:tcPr>
            <w:tcW w:w="4780" w:type="dxa"/>
            <w:vAlign w:val="bottom"/>
          </w:tcPr>
          <w:p>
            <w:pPr>
              <w:ind w:left="160"/>
              <w:spacing w:after="0"/>
              <w:rPr>
                <w:sz w:val="20"/>
                <w:szCs w:val="20"/>
                <w:color w:val="auto"/>
              </w:rPr>
            </w:pPr>
            <w:r>
              <w:rPr>
                <w:rFonts w:ascii="Arial" w:cs="Arial" w:eastAsia="Arial" w:hAnsi="Arial"/>
                <w:sz w:val="18"/>
                <w:szCs w:val="18"/>
                <w:color w:val="auto"/>
              </w:rPr>
              <w:t>QUEST 2006-X1</w:t>
            </w:r>
          </w:p>
        </w:tc>
        <w:tc>
          <w:tcPr>
            <w:tcW w:w="2580" w:type="dxa"/>
            <w:vAlign w:val="bottom"/>
          </w:tcPr>
          <w:p>
            <w:pPr>
              <w:jc w:val="right"/>
              <w:spacing w:after="0"/>
              <w:rPr>
                <w:sz w:val="20"/>
                <w:szCs w:val="20"/>
                <w:color w:val="auto"/>
              </w:rPr>
            </w:pPr>
            <w:r>
              <w:rPr>
                <w:rFonts w:ascii="Arial" w:cs="Arial" w:eastAsia="Arial" w:hAnsi="Arial"/>
                <w:sz w:val="18"/>
                <w:szCs w:val="18"/>
                <w:color w:val="auto"/>
              </w:rPr>
              <w:t>19.58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4318</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QUEST 2006-X2</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(15.24)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4324</w:t>
            </w:r>
          </w:p>
        </w:tc>
        <w:tc>
          <w:tcPr>
            <w:tcW w:w="4780" w:type="dxa"/>
            <w:vAlign w:val="bottom"/>
          </w:tcPr>
          <w:p>
            <w:pPr>
              <w:ind w:left="160"/>
              <w:spacing w:after="0"/>
              <w:rPr>
                <w:sz w:val="20"/>
                <w:szCs w:val="20"/>
                <w:color w:val="auto"/>
              </w:rPr>
            </w:pPr>
            <w:r>
              <w:rPr>
                <w:rFonts w:ascii="Arial" w:cs="Arial" w:eastAsia="Arial" w:hAnsi="Arial"/>
                <w:sz w:val="18"/>
                <w:szCs w:val="18"/>
                <w:color w:val="auto"/>
              </w:rPr>
              <w:t>Lehman SAIL 2003-BC10 Step Fee</w:t>
            </w:r>
          </w:p>
        </w:tc>
        <w:tc>
          <w:tcPr>
            <w:tcW w:w="2580" w:type="dxa"/>
            <w:vAlign w:val="bottom"/>
          </w:tcPr>
          <w:p>
            <w:pPr>
              <w:jc w:val="right"/>
              <w:spacing w:after="0"/>
              <w:rPr>
                <w:sz w:val="20"/>
                <w:szCs w:val="20"/>
                <w:color w:val="auto"/>
              </w:rPr>
            </w:pPr>
            <w:r>
              <w:rPr>
                <w:rFonts w:ascii="Arial" w:cs="Arial" w:eastAsia="Arial" w:hAnsi="Arial"/>
                <w:sz w:val="18"/>
                <w:szCs w:val="18"/>
                <w:color w:val="auto"/>
              </w:rPr>
              <w:t>98.21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4325</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SAIL 2003-BC11 Step Fee</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(10.63)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4326</w:t>
            </w:r>
          </w:p>
        </w:tc>
        <w:tc>
          <w:tcPr>
            <w:tcW w:w="4780" w:type="dxa"/>
            <w:vAlign w:val="bottom"/>
          </w:tcPr>
          <w:p>
            <w:pPr>
              <w:ind w:left="160"/>
              <w:spacing w:after="0"/>
              <w:rPr>
                <w:sz w:val="20"/>
                <w:szCs w:val="20"/>
                <w:color w:val="auto"/>
              </w:rPr>
            </w:pPr>
            <w:r>
              <w:rPr>
                <w:rFonts w:ascii="Arial" w:cs="Arial" w:eastAsia="Arial" w:hAnsi="Arial"/>
                <w:sz w:val="18"/>
                <w:szCs w:val="18"/>
                <w:color w:val="auto"/>
              </w:rPr>
              <w:t>Lehman SAIL 2003-BC12</w:t>
            </w:r>
          </w:p>
        </w:tc>
        <w:tc>
          <w:tcPr>
            <w:tcW w:w="2580" w:type="dxa"/>
            <w:vAlign w:val="bottom"/>
          </w:tcPr>
          <w:p>
            <w:pPr>
              <w:jc w:val="right"/>
              <w:spacing w:after="0"/>
              <w:rPr>
                <w:sz w:val="20"/>
                <w:szCs w:val="20"/>
                <w:color w:val="auto"/>
              </w:rPr>
            </w:pPr>
            <w:r>
              <w:rPr>
                <w:rFonts w:ascii="Arial" w:cs="Arial" w:eastAsia="Arial" w:hAnsi="Arial"/>
                <w:sz w:val="18"/>
                <w:szCs w:val="18"/>
                <w:color w:val="auto"/>
              </w:rPr>
              <w:t>93.21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4327</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SAIL 2003-BC13</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97.96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4328</w:t>
            </w:r>
          </w:p>
        </w:tc>
        <w:tc>
          <w:tcPr>
            <w:tcW w:w="4780" w:type="dxa"/>
            <w:vAlign w:val="bottom"/>
          </w:tcPr>
          <w:p>
            <w:pPr>
              <w:ind w:left="160"/>
              <w:spacing w:after="0"/>
              <w:rPr>
                <w:sz w:val="20"/>
                <w:szCs w:val="20"/>
                <w:color w:val="auto"/>
              </w:rPr>
            </w:pPr>
            <w:r>
              <w:rPr>
                <w:rFonts w:ascii="Arial" w:cs="Arial" w:eastAsia="Arial" w:hAnsi="Arial"/>
                <w:sz w:val="18"/>
                <w:szCs w:val="18"/>
                <w:color w:val="auto"/>
              </w:rPr>
              <w:t>Lehman SAIL 2003-BC2</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4329</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SAIL 2003-BC4</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4331</w:t>
            </w:r>
          </w:p>
        </w:tc>
        <w:tc>
          <w:tcPr>
            <w:tcW w:w="4780" w:type="dxa"/>
            <w:vAlign w:val="bottom"/>
          </w:tcPr>
          <w:p>
            <w:pPr>
              <w:ind w:left="160"/>
              <w:spacing w:after="0"/>
              <w:rPr>
                <w:sz w:val="20"/>
                <w:szCs w:val="20"/>
                <w:color w:val="auto"/>
              </w:rPr>
            </w:pPr>
            <w:r>
              <w:rPr>
                <w:rFonts w:ascii="Arial" w:cs="Arial" w:eastAsia="Arial" w:hAnsi="Arial"/>
                <w:sz w:val="18"/>
                <w:szCs w:val="18"/>
                <w:color w:val="auto"/>
              </w:rPr>
              <w:t>Lehman SAIL 2003-BC6</w:t>
            </w:r>
          </w:p>
        </w:tc>
        <w:tc>
          <w:tcPr>
            <w:tcW w:w="2580" w:type="dxa"/>
            <w:vAlign w:val="bottom"/>
          </w:tcPr>
          <w:p>
            <w:pPr>
              <w:jc w:val="right"/>
              <w:spacing w:after="0"/>
              <w:rPr>
                <w:sz w:val="20"/>
                <w:szCs w:val="20"/>
                <w:color w:val="auto"/>
              </w:rPr>
            </w:pPr>
            <w:r>
              <w:rPr>
                <w:rFonts w:ascii="Arial" w:cs="Arial" w:eastAsia="Arial" w:hAnsi="Arial"/>
                <w:sz w:val="18"/>
                <w:szCs w:val="18"/>
                <w:color w:val="auto"/>
              </w:rPr>
              <w:t>24.14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4332</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SAIL 2003-BC7</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24.21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4333</w:t>
            </w:r>
          </w:p>
        </w:tc>
        <w:tc>
          <w:tcPr>
            <w:tcW w:w="4780" w:type="dxa"/>
            <w:vAlign w:val="bottom"/>
          </w:tcPr>
          <w:p>
            <w:pPr>
              <w:ind w:left="160"/>
              <w:spacing w:after="0"/>
              <w:rPr>
                <w:sz w:val="20"/>
                <w:szCs w:val="20"/>
                <w:color w:val="auto"/>
              </w:rPr>
            </w:pPr>
            <w:r>
              <w:rPr>
                <w:rFonts w:ascii="Arial" w:cs="Arial" w:eastAsia="Arial" w:hAnsi="Arial"/>
                <w:sz w:val="18"/>
                <w:szCs w:val="18"/>
                <w:color w:val="auto"/>
              </w:rPr>
              <w:t>Lehman SAIL 2003-BC8</w:t>
            </w:r>
          </w:p>
        </w:tc>
        <w:tc>
          <w:tcPr>
            <w:tcW w:w="2580" w:type="dxa"/>
            <w:vAlign w:val="bottom"/>
          </w:tcPr>
          <w:p>
            <w:pPr>
              <w:jc w:val="right"/>
              <w:spacing w:after="0"/>
              <w:rPr>
                <w:sz w:val="20"/>
                <w:szCs w:val="20"/>
                <w:color w:val="auto"/>
              </w:rPr>
            </w:pPr>
            <w:r>
              <w:rPr>
                <w:rFonts w:ascii="Arial" w:cs="Arial" w:eastAsia="Arial" w:hAnsi="Arial"/>
                <w:sz w:val="18"/>
                <w:szCs w:val="18"/>
                <w:color w:val="auto"/>
              </w:rPr>
              <w:t>33.09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4334</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SAIL 2003-BC9</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4337</w:t>
            </w:r>
          </w:p>
        </w:tc>
        <w:tc>
          <w:tcPr>
            <w:tcW w:w="4780" w:type="dxa"/>
            <w:vAlign w:val="bottom"/>
          </w:tcPr>
          <w:p>
            <w:pPr>
              <w:ind w:left="160"/>
              <w:spacing w:after="0"/>
              <w:rPr>
                <w:sz w:val="20"/>
                <w:szCs w:val="20"/>
                <w:color w:val="auto"/>
              </w:rPr>
            </w:pPr>
            <w:r>
              <w:rPr>
                <w:rFonts w:ascii="Arial" w:cs="Arial" w:eastAsia="Arial" w:hAnsi="Arial"/>
                <w:sz w:val="18"/>
                <w:szCs w:val="18"/>
                <w:color w:val="auto"/>
              </w:rPr>
              <w:t>Lehman SAIL 2004-11</w:t>
            </w:r>
          </w:p>
        </w:tc>
        <w:tc>
          <w:tcPr>
            <w:tcW w:w="2580" w:type="dxa"/>
            <w:vAlign w:val="bottom"/>
          </w:tcPr>
          <w:p>
            <w:pPr>
              <w:jc w:val="right"/>
              <w:spacing w:after="0"/>
              <w:rPr>
                <w:sz w:val="20"/>
                <w:szCs w:val="20"/>
                <w:color w:val="auto"/>
              </w:rPr>
            </w:pPr>
            <w:r>
              <w:rPr>
                <w:rFonts w:ascii="Arial" w:cs="Arial" w:eastAsia="Arial" w:hAnsi="Arial"/>
                <w:sz w:val="18"/>
                <w:szCs w:val="18"/>
                <w:color w:val="auto"/>
              </w:rPr>
              <w:t>70.98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4338</w:t>
            </w:r>
          </w:p>
        </w:tc>
        <w:tc>
          <w:tcPr>
            <w:tcW w:w="47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SAIL 2004-2</w:t>
            </w:r>
          </w:p>
        </w:tc>
        <w:tc>
          <w:tcPr>
            <w:tcW w:w="25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112.99</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4339</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SAIL 2004-3</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70.07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4340</w:t>
            </w:r>
          </w:p>
        </w:tc>
        <w:tc>
          <w:tcPr>
            <w:tcW w:w="4880" w:type="dxa"/>
            <w:vAlign w:val="bottom"/>
          </w:tcPr>
          <w:p>
            <w:pPr>
              <w:ind w:left="160"/>
              <w:spacing w:after="0"/>
              <w:rPr>
                <w:sz w:val="20"/>
                <w:szCs w:val="20"/>
                <w:color w:val="auto"/>
              </w:rPr>
            </w:pPr>
            <w:r>
              <w:rPr>
                <w:rFonts w:ascii="Arial" w:cs="Arial" w:eastAsia="Arial" w:hAnsi="Arial"/>
                <w:sz w:val="18"/>
                <w:szCs w:val="18"/>
                <w:color w:val="auto"/>
              </w:rPr>
              <w:t>Lehman SAIL 2004-4</w:t>
            </w:r>
          </w:p>
        </w:tc>
        <w:tc>
          <w:tcPr>
            <w:tcW w:w="2480" w:type="dxa"/>
            <w:vAlign w:val="bottom"/>
          </w:tcPr>
          <w:p>
            <w:pPr>
              <w:jc w:val="right"/>
              <w:spacing w:after="0"/>
              <w:rPr>
                <w:sz w:val="20"/>
                <w:szCs w:val="20"/>
                <w:color w:val="auto"/>
              </w:rPr>
            </w:pPr>
            <w:r>
              <w:rPr>
                <w:rFonts w:ascii="Arial" w:cs="Arial" w:eastAsia="Arial" w:hAnsi="Arial"/>
                <w:sz w:val="18"/>
                <w:szCs w:val="18"/>
                <w:color w:val="auto"/>
              </w:rPr>
              <w:t>55.19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4341</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SAIL 2004-6</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64.17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4342</w:t>
            </w:r>
          </w:p>
        </w:tc>
        <w:tc>
          <w:tcPr>
            <w:tcW w:w="4880" w:type="dxa"/>
            <w:vAlign w:val="bottom"/>
          </w:tcPr>
          <w:p>
            <w:pPr>
              <w:ind w:left="160"/>
              <w:spacing w:after="0"/>
              <w:rPr>
                <w:sz w:val="20"/>
                <w:szCs w:val="20"/>
                <w:color w:val="auto"/>
              </w:rPr>
            </w:pPr>
            <w:r>
              <w:rPr>
                <w:rFonts w:ascii="Arial" w:cs="Arial" w:eastAsia="Arial" w:hAnsi="Arial"/>
                <w:sz w:val="18"/>
                <w:szCs w:val="18"/>
                <w:color w:val="auto"/>
              </w:rPr>
              <w:t>Lehman SAIL 2004-7</w:t>
            </w:r>
          </w:p>
        </w:tc>
        <w:tc>
          <w:tcPr>
            <w:tcW w:w="2480" w:type="dxa"/>
            <w:vAlign w:val="bottom"/>
          </w:tcPr>
          <w:p>
            <w:pPr>
              <w:jc w:val="right"/>
              <w:spacing w:after="0"/>
              <w:rPr>
                <w:sz w:val="20"/>
                <w:szCs w:val="20"/>
                <w:color w:val="auto"/>
              </w:rPr>
            </w:pPr>
            <w:r>
              <w:rPr>
                <w:rFonts w:ascii="Arial" w:cs="Arial" w:eastAsia="Arial" w:hAnsi="Arial"/>
                <w:sz w:val="18"/>
                <w:szCs w:val="18"/>
                <w:color w:val="auto"/>
              </w:rPr>
              <w:t>94.80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4344</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SAIL 2004-8</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68.46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4349</w:t>
            </w:r>
          </w:p>
        </w:tc>
        <w:tc>
          <w:tcPr>
            <w:tcW w:w="4880" w:type="dxa"/>
            <w:vAlign w:val="bottom"/>
          </w:tcPr>
          <w:p>
            <w:pPr>
              <w:ind w:left="160"/>
              <w:spacing w:after="0"/>
              <w:rPr>
                <w:sz w:val="20"/>
                <w:szCs w:val="20"/>
                <w:color w:val="auto"/>
              </w:rPr>
            </w:pPr>
            <w:r>
              <w:rPr>
                <w:rFonts w:ascii="Arial" w:cs="Arial" w:eastAsia="Arial" w:hAnsi="Arial"/>
                <w:sz w:val="18"/>
                <w:szCs w:val="18"/>
                <w:color w:val="auto"/>
              </w:rPr>
              <w:t>Lehman SAIL 2005-3</w:t>
            </w:r>
          </w:p>
        </w:tc>
        <w:tc>
          <w:tcPr>
            <w:tcW w:w="2480" w:type="dxa"/>
            <w:vAlign w:val="bottom"/>
          </w:tcPr>
          <w:p>
            <w:pPr>
              <w:jc w:val="right"/>
              <w:spacing w:after="0"/>
              <w:rPr>
                <w:sz w:val="20"/>
                <w:szCs w:val="20"/>
                <w:color w:val="auto"/>
              </w:rPr>
            </w:pPr>
            <w:r>
              <w:rPr>
                <w:rFonts w:ascii="Arial" w:cs="Arial" w:eastAsia="Arial" w:hAnsi="Arial"/>
                <w:sz w:val="18"/>
                <w:szCs w:val="18"/>
                <w:color w:val="auto"/>
              </w:rPr>
              <w:t>70.68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4350</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SAIL 2005-4</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69.41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4351</w:t>
            </w:r>
          </w:p>
        </w:tc>
        <w:tc>
          <w:tcPr>
            <w:tcW w:w="4880" w:type="dxa"/>
            <w:vAlign w:val="bottom"/>
          </w:tcPr>
          <w:p>
            <w:pPr>
              <w:ind w:left="160"/>
              <w:spacing w:after="0"/>
              <w:rPr>
                <w:sz w:val="20"/>
                <w:szCs w:val="20"/>
                <w:color w:val="auto"/>
              </w:rPr>
            </w:pPr>
            <w:r>
              <w:rPr>
                <w:rFonts w:ascii="Arial" w:cs="Arial" w:eastAsia="Arial" w:hAnsi="Arial"/>
                <w:sz w:val="18"/>
                <w:szCs w:val="18"/>
                <w:color w:val="auto"/>
              </w:rPr>
              <w:t>Lehman SAIL 2005-5</w:t>
            </w:r>
          </w:p>
        </w:tc>
        <w:tc>
          <w:tcPr>
            <w:tcW w:w="2480" w:type="dxa"/>
            <w:vAlign w:val="bottom"/>
          </w:tcPr>
          <w:p>
            <w:pPr>
              <w:jc w:val="right"/>
              <w:spacing w:after="0"/>
              <w:rPr>
                <w:sz w:val="20"/>
                <w:szCs w:val="20"/>
                <w:color w:val="auto"/>
              </w:rPr>
            </w:pPr>
            <w:r>
              <w:rPr>
                <w:rFonts w:ascii="Arial" w:cs="Arial" w:eastAsia="Arial" w:hAnsi="Arial"/>
                <w:sz w:val="18"/>
                <w:szCs w:val="18"/>
                <w:color w:val="auto"/>
              </w:rPr>
              <w:t>68.49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4352</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SAIL 2005-6</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102.96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4355</w:t>
            </w:r>
          </w:p>
        </w:tc>
        <w:tc>
          <w:tcPr>
            <w:tcW w:w="4880" w:type="dxa"/>
            <w:vAlign w:val="bottom"/>
          </w:tcPr>
          <w:p>
            <w:pPr>
              <w:ind w:left="160"/>
              <w:spacing w:after="0"/>
              <w:rPr>
                <w:sz w:val="20"/>
                <w:szCs w:val="20"/>
                <w:color w:val="auto"/>
              </w:rPr>
            </w:pPr>
            <w:r>
              <w:rPr>
                <w:rFonts w:ascii="Arial" w:cs="Arial" w:eastAsia="Arial" w:hAnsi="Arial"/>
                <w:sz w:val="18"/>
                <w:szCs w:val="18"/>
                <w:color w:val="auto"/>
              </w:rPr>
              <w:t>Lehman SAIL 2006-BNC3</w:t>
            </w:r>
          </w:p>
        </w:tc>
        <w:tc>
          <w:tcPr>
            <w:tcW w:w="2480" w:type="dxa"/>
            <w:vAlign w:val="bottom"/>
          </w:tcPr>
          <w:p>
            <w:pPr>
              <w:jc w:val="right"/>
              <w:spacing w:after="0"/>
              <w:rPr>
                <w:sz w:val="20"/>
                <w:szCs w:val="20"/>
                <w:color w:val="auto"/>
              </w:rPr>
            </w:pPr>
            <w:r>
              <w:rPr>
                <w:rFonts w:ascii="Arial" w:cs="Arial" w:eastAsia="Arial" w:hAnsi="Arial"/>
                <w:sz w:val="18"/>
                <w:szCs w:val="18"/>
                <w:color w:val="auto"/>
              </w:rPr>
              <w:t>(39.26)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4356</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Bear Stearns SAMI II Trust 2006-AR5</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14.88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4360</w:t>
            </w:r>
          </w:p>
        </w:tc>
        <w:tc>
          <w:tcPr>
            <w:tcW w:w="4880" w:type="dxa"/>
            <w:vAlign w:val="bottom"/>
          </w:tcPr>
          <w:p>
            <w:pPr>
              <w:ind w:left="160"/>
              <w:spacing w:after="0"/>
              <w:rPr>
                <w:sz w:val="20"/>
                <w:szCs w:val="20"/>
                <w:color w:val="auto"/>
              </w:rPr>
            </w:pPr>
            <w:r>
              <w:rPr>
                <w:rFonts w:ascii="Arial" w:cs="Arial" w:eastAsia="Arial" w:hAnsi="Arial"/>
                <w:sz w:val="18"/>
                <w:szCs w:val="18"/>
                <w:color w:val="auto"/>
              </w:rPr>
              <w:t>Lehman SASCO 1999-BC4</w:t>
            </w:r>
          </w:p>
        </w:tc>
        <w:tc>
          <w:tcPr>
            <w:tcW w:w="2480" w:type="dxa"/>
            <w:vAlign w:val="bottom"/>
          </w:tcPr>
          <w:p>
            <w:pPr>
              <w:jc w:val="right"/>
              <w:spacing w:after="0"/>
              <w:rPr>
                <w:sz w:val="20"/>
                <w:szCs w:val="20"/>
                <w:color w:val="auto"/>
              </w:rPr>
            </w:pPr>
            <w:r>
              <w:rPr>
                <w:rFonts w:ascii="Arial" w:cs="Arial" w:eastAsia="Arial" w:hAnsi="Arial"/>
                <w:sz w:val="18"/>
                <w:szCs w:val="18"/>
                <w:color w:val="auto"/>
              </w:rPr>
              <w:t>(42.10)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4372</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SASCO 2005-S7</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(14.62)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4373</w:t>
            </w:r>
          </w:p>
        </w:tc>
        <w:tc>
          <w:tcPr>
            <w:tcW w:w="4880" w:type="dxa"/>
            <w:vAlign w:val="bottom"/>
          </w:tcPr>
          <w:p>
            <w:pPr>
              <w:ind w:left="160"/>
              <w:spacing w:after="0"/>
              <w:rPr>
                <w:sz w:val="20"/>
                <w:szCs w:val="20"/>
                <w:color w:val="auto"/>
              </w:rPr>
            </w:pPr>
            <w:r>
              <w:rPr>
                <w:rFonts w:ascii="Arial" w:cs="Arial" w:eastAsia="Arial" w:hAnsi="Arial"/>
                <w:sz w:val="18"/>
                <w:szCs w:val="18"/>
                <w:color w:val="auto"/>
              </w:rPr>
              <w:t>Lehman SASCO 2005-SC1</w:t>
            </w:r>
          </w:p>
        </w:tc>
        <w:tc>
          <w:tcPr>
            <w:tcW w:w="2480" w:type="dxa"/>
            <w:vAlign w:val="bottom"/>
          </w:tcPr>
          <w:p>
            <w:pPr>
              <w:jc w:val="right"/>
              <w:spacing w:after="0"/>
              <w:rPr>
                <w:sz w:val="20"/>
                <w:szCs w:val="20"/>
                <w:color w:val="auto"/>
              </w:rPr>
            </w:pPr>
            <w:r>
              <w:rPr>
                <w:rFonts w:ascii="Arial" w:cs="Arial" w:eastAsia="Arial" w:hAnsi="Arial"/>
                <w:sz w:val="18"/>
                <w:szCs w:val="18"/>
                <w:color w:val="auto"/>
              </w:rPr>
              <w:t>(71.55)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4379</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SASCO 2006-Z</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56.99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4381</w:t>
            </w:r>
          </w:p>
        </w:tc>
        <w:tc>
          <w:tcPr>
            <w:tcW w:w="4880" w:type="dxa"/>
            <w:vAlign w:val="bottom"/>
          </w:tcPr>
          <w:p>
            <w:pPr>
              <w:ind w:left="160"/>
              <w:spacing w:after="0"/>
              <w:rPr>
                <w:sz w:val="20"/>
                <w:szCs w:val="20"/>
                <w:color w:val="auto"/>
              </w:rPr>
            </w:pPr>
            <w:r>
              <w:rPr>
                <w:rFonts w:ascii="Arial" w:cs="Arial" w:eastAsia="Arial" w:hAnsi="Arial"/>
                <w:sz w:val="18"/>
                <w:szCs w:val="18"/>
                <w:color w:val="auto"/>
              </w:rPr>
              <w:t>Lehman SASCO 2007-GEL2</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4382</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Lehman SASCO 2007-TC1</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4384</w:t>
            </w:r>
          </w:p>
        </w:tc>
        <w:tc>
          <w:tcPr>
            <w:tcW w:w="4880" w:type="dxa"/>
            <w:vAlign w:val="bottom"/>
          </w:tcPr>
          <w:p>
            <w:pPr>
              <w:ind w:left="160"/>
              <w:spacing w:after="0"/>
              <w:rPr>
                <w:sz w:val="20"/>
                <w:szCs w:val="20"/>
                <w:color w:val="auto"/>
              </w:rPr>
            </w:pPr>
            <w:r>
              <w:rPr>
                <w:rFonts w:ascii="Arial" w:cs="Arial" w:eastAsia="Arial" w:hAnsi="Arial"/>
                <w:sz w:val="18"/>
                <w:szCs w:val="18"/>
                <w:color w:val="auto"/>
              </w:rPr>
              <w:t>Salomon Brothers 1997-LB6</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4385</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Salomon Brothers 1998-AQ1</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4386</w:t>
            </w:r>
          </w:p>
        </w:tc>
        <w:tc>
          <w:tcPr>
            <w:tcW w:w="4880" w:type="dxa"/>
            <w:vAlign w:val="bottom"/>
          </w:tcPr>
          <w:p>
            <w:pPr>
              <w:ind w:left="160"/>
              <w:spacing w:after="0"/>
              <w:rPr>
                <w:sz w:val="20"/>
                <w:szCs w:val="20"/>
                <w:color w:val="auto"/>
              </w:rPr>
            </w:pPr>
            <w:r>
              <w:rPr>
                <w:rFonts w:ascii="Arial" w:cs="Arial" w:eastAsia="Arial" w:hAnsi="Arial"/>
                <w:sz w:val="18"/>
                <w:szCs w:val="18"/>
                <w:color w:val="auto"/>
              </w:rPr>
              <w:t>Salomon Brothers 1998-NC7</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4403</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Soundview 2007-OPT2</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67.68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4404</w:t>
            </w:r>
          </w:p>
        </w:tc>
        <w:tc>
          <w:tcPr>
            <w:tcW w:w="4880" w:type="dxa"/>
            <w:vAlign w:val="bottom"/>
          </w:tcPr>
          <w:p>
            <w:pPr>
              <w:ind w:left="160"/>
              <w:spacing w:after="0"/>
              <w:rPr>
                <w:sz w:val="20"/>
                <w:szCs w:val="20"/>
                <w:color w:val="auto"/>
              </w:rPr>
            </w:pPr>
            <w:r>
              <w:rPr>
                <w:rFonts w:ascii="Arial" w:cs="Arial" w:eastAsia="Arial" w:hAnsi="Arial"/>
                <w:sz w:val="18"/>
                <w:szCs w:val="18"/>
                <w:color w:val="auto"/>
              </w:rPr>
              <w:t>Soundview 2007-OPT3</w:t>
            </w:r>
          </w:p>
        </w:tc>
        <w:tc>
          <w:tcPr>
            <w:tcW w:w="2480" w:type="dxa"/>
            <w:vAlign w:val="bottom"/>
          </w:tcPr>
          <w:p>
            <w:pPr>
              <w:jc w:val="right"/>
              <w:spacing w:after="0"/>
              <w:rPr>
                <w:sz w:val="20"/>
                <w:szCs w:val="20"/>
                <w:color w:val="auto"/>
              </w:rPr>
            </w:pPr>
            <w:r>
              <w:rPr>
                <w:rFonts w:ascii="Arial" w:cs="Arial" w:eastAsia="Arial" w:hAnsi="Arial"/>
                <w:sz w:val="18"/>
                <w:szCs w:val="18"/>
                <w:color w:val="auto"/>
              </w:rPr>
              <w:t>68.11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4422</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AHM Assets Trust 2007-SD2</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2652</w:t>
            </w:r>
          </w:p>
        </w:tc>
        <w:tc>
          <w:tcPr>
            <w:tcW w:w="4880" w:type="dxa"/>
            <w:vAlign w:val="bottom"/>
          </w:tcPr>
          <w:p>
            <w:pPr>
              <w:ind w:left="160"/>
              <w:spacing w:after="0"/>
              <w:rPr>
                <w:sz w:val="20"/>
                <w:szCs w:val="20"/>
                <w:color w:val="auto"/>
              </w:rPr>
            </w:pPr>
            <w:r>
              <w:rPr>
                <w:rFonts w:ascii="Arial" w:cs="Arial" w:eastAsia="Arial" w:hAnsi="Arial"/>
                <w:sz w:val="18"/>
                <w:szCs w:val="18"/>
                <w:color w:val="auto"/>
              </w:rPr>
              <w:t>SGMS 2007-AHL1</w:t>
            </w:r>
          </w:p>
        </w:tc>
        <w:tc>
          <w:tcPr>
            <w:tcW w:w="2480" w:type="dxa"/>
            <w:vAlign w:val="bottom"/>
          </w:tcPr>
          <w:p>
            <w:pPr>
              <w:jc w:val="right"/>
              <w:spacing w:after="0"/>
              <w:rPr>
                <w:sz w:val="20"/>
                <w:szCs w:val="20"/>
                <w:color w:val="auto"/>
              </w:rPr>
            </w:pPr>
            <w:r>
              <w:rPr>
                <w:rFonts w:ascii="Arial" w:cs="Arial" w:eastAsia="Arial" w:hAnsi="Arial"/>
                <w:sz w:val="18"/>
                <w:szCs w:val="18"/>
                <w:color w:val="auto"/>
              </w:rPr>
              <w:t>37.18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2709</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NMFT 2003-2</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36.94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2710</w:t>
            </w:r>
          </w:p>
        </w:tc>
        <w:tc>
          <w:tcPr>
            <w:tcW w:w="4880" w:type="dxa"/>
            <w:vAlign w:val="bottom"/>
          </w:tcPr>
          <w:p>
            <w:pPr>
              <w:ind w:left="160"/>
              <w:spacing w:after="0"/>
              <w:rPr>
                <w:sz w:val="20"/>
                <w:szCs w:val="20"/>
                <w:color w:val="auto"/>
              </w:rPr>
            </w:pPr>
            <w:r>
              <w:rPr>
                <w:rFonts w:ascii="Arial" w:cs="Arial" w:eastAsia="Arial" w:hAnsi="Arial"/>
                <w:sz w:val="18"/>
                <w:szCs w:val="18"/>
                <w:color w:val="auto"/>
              </w:rPr>
              <w:t>NMFT 2003-3</w:t>
            </w:r>
          </w:p>
        </w:tc>
        <w:tc>
          <w:tcPr>
            <w:tcW w:w="2480" w:type="dxa"/>
            <w:vAlign w:val="bottom"/>
          </w:tcPr>
          <w:p>
            <w:pPr>
              <w:jc w:val="right"/>
              <w:spacing w:after="0"/>
              <w:rPr>
                <w:sz w:val="20"/>
                <w:szCs w:val="20"/>
                <w:color w:val="auto"/>
              </w:rPr>
            </w:pPr>
            <w:r>
              <w:rPr>
                <w:rFonts w:ascii="Arial" w:cs="Arial" w:eastAsia="Arial" w:hAnsi="Arial"/>
                <w:sz w:val="18"/>
                <w:szCs w:val="18"/>
                <w:color w:val="auto"/>
              </w:rPr>
              <w:t>49.48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2711</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NMFT 2003-4</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43.10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2715</w:t>
            </w:r>
          </w:p>
        </w:tc>
        <w:tc>
          <w:tcPr>
            <w:tcW w:w="4880" w:type="dxa"/>
            <w:vAlign w:val="bottom"/>
          </w:tcPr>
          <w:p>
            <w:pPr>
              <w:ind w:left="160"/>
              <w:spacing w:after="0"/>
              <w:rPr>
                <w:sz w:val="20"/>
                <w:szCs w:val="20"/>
                <w:color w:val="auto"/>
              </w:rPr>
            </w:pPr>
            <w:r>
              <w:rPr>
                <w:rFonts w:ascii="Arial" w:cs="Arial" w:eastAsia="Arial" w:hAnsi="Arial"/>
                <w:sz w:val="18"/>
                <w:szCs w:val="18"/>
                <w:color w:val="auto"/>
              </w:rPr>
              <w:t>NMFT 2004-4</w:t>
            </w:r>
          </w:p>
        </w:tc>
        <w:tc>
          <w:tcPr>
            <w:tcW w:w="2480" w:type="dxa"/>
            <w:vAlign w:val="bottom"/>
          </w:tcPr>
          <w:p>
            <w:pPr>
              <w:jc w:val="right"/>
              <w:spacing w:after="0"/>
              <w:rPr>
                <w:sz w:val="20"/>
                <w:szCs w:val="20"/>
                <w:color w:val="auto"/>
              </w:rPr>
            </w:pPr>
            <w:r>
              <w:rPr>
                <w:rFonts w:ascii="Arial" w:cs="Arial" w:eastAsia="Arial" w:hAnsi="Arial"/>
                <w:sz w:val="18"/>
                <w:szCs w:val="18"/>
                <w:color w:val="auto"/>
              </w:rPr>
              <w:t>29.62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2764</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NMI 2006-5</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3048</w:t>
            </w:r>
          </w:p>
        </w:tc>
        <w:tc>
          <w:tcPr>
            <w:tcW w:w="4880" w:type="dxa"/>
            <w:vAlign w:val="bottom"/>
          </w:tcPr>
          <w:p>
            <w:pPr>
              <w:ind w:left="160"/>
              <w:spacing w:after="0"/>
              <w:rPr>
                <w:sz w:val="20"/>
                <w:szCs w:val="20"/>
                <w:color w:val="auto"/>
              </w:rPr>
            </w:pPr>
            <w:r>
              <w:rPr>
                <w:rFonts w:ascii="Arial" w:cs="Arial" w:eastAsia="Arial" w:hAnsi="Arial"/>
                <w:sz w:val="18"/>
                <w:szCs w:val="18"/>
                <w:color w:val="auto"/>
              </w:rPr>
              <w:t>Equity One 2002-4</w:t>
            </w:r>
          </w:p>
        </w:tc>
        <w:tc>
          <w:tcPr>
            <w:tcW w:w="2480" w:type="dxa"/>
            <w:vAlign w:val="bottom"/>
          </w:tcPr>
          <w:p>
            <w:pPr>
              <w:jc w:val="right"/>
              <w:spacing w:after="0"/>
              <w:rPr>
                <w:sz w:val="20"/>
                <w:szCs w:val="20"/>
                <w:color w:val="auto"/>
              </w:rPr>
            </w:pPr>
            <w:r>
              <w:rPr>
                <w:rFonts w:ascii="Arial" w:cs="Arial" w:eastAsia="Arial" w:hAnsi="Arial"/>
                <w:sz w:val="18"/>
                <w:szCs w:val="18"/>
                <w:color w:val="auto"/>
              </w:rPr>
              <w:t>1.18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3052</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Equity One 2003-3</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32.96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3056</w:t>
            </w:r>
          </w:p>
        </w:tc>
        <w:tc>
          <w:tcPr>
            <w:tcW w:w="4880" w:type="dxa"/>
            <w:vAlign w:val="bottom"/>
          </w:tcPr>
          <w:p>
            <w:pPr>
              <w:ind w:left="160"/>
              <w:spacing w:after="0"/>
              <w:rPr>
                <w:sz w:val="20"/>
                <w:szCs w:val="20"/>
                <w:color w:val="auto"/>
              </w:rPr>
            </w:pPr>
            <w:r>
              <w:rPr>
                <w:rFonts w:ascii="Arial" w:cs="Arial" w:eastAsia="Arial" w:hAnsi="Arial"/>
                <w:sz w:val="18"/>
                <w:szCs w:val="18"/>
                <w:color w:val="auto"/>
              </w:rPr>
              <w:t>Equity One 2004-3</w:t>
            </w:r>
          </w:p>
        </w:tc>
        <w:tc>
          <w:tcPr>
            <w:tcW w:w="2480" w:type="dxa"/>
            <w:vAlign w:val="bottom"/>
          </w:tcPr>
          <w:p>
            <w:pPr>
              <w:jc w:val="right"/>
              <w:spacing w:after="0"/>
              <w:rPr>
                <w:sz w:val="20"/>
                <w:szCs w:val="20"/>
                <w:color w:val="auto"/>
              </w:rPr>
            </w:pPr>
            <w:r>
              <w:rPr>
                <w:rFonts w:ascii="Arial" w:cs="Arial" w:eastAsia="Arial" w:hAnsi="Arial"/>
                <w:sz w:val="18"/>
                <w:szCs w:val="18"/>
                <w:color w:val="auto"/>
              </w:rPr>
              <w:t>66.69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3058</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Equity One 2004-5</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63.30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3065</w:t>
            </w:r>
          </w:p>
        </w:tc>
        <w:tc>
          <w:tcPr>
            <w:tcW w:w="4880" w:type="dxa"/>
            <w:vAlign w:val="bottom"/>
          </w:tcPr>
          <w:p>
            <w:pPr>
              <w:ind w:left="160"/>
              <w:spacing w:after="0"/>
              <w:rPr>
                <w:sz w:val="20"/>
                <w:szCs w:val="20"/>
                <w:color w:val="auto"/>
              </w:rPr>
            </w:pPr>
            <w:r>
              <w:rPr>
                <w:rFonts w:ascii="Arial" w:cs="Arial" w:eastAsia="Arial" w:hAnsi="Arial"/>
                <w:sz w:val="18"/>
                <w:szCs w:val="18"/>
                <w:color w:val="auto"/>
              </w:rPr>
              <w:t>Equity One 2005-C</w:t>
            </w:r>
          </w:p>
        </w:tc>
        <w:tc>
          <w:tcPr>
            <w:tcW w:w="2480" w:type="dxa"/>
            <w:vAlign w:val="bottom"/>
          </w:tcPr>
          <w:p>
            <w:pPr>
              <w:jc w:val="right"/>
              <w:spacing w:after="0"/>
              <w:rPr>
                <w:sz w:val="20"/>
                <w:szCs w:val="20"/>
                <w:color w:val="auto"/>
              </w:rPr>
            </w:pPr>
            <w:r>
              <w:rPr>
                <w:rFonts w:ascii="Arial" w:cs="Arial" w:eastAsia="Arial" w:hAnsi="Arial"/>
                <w:sz w:val="18"/>
                <w:szCs w:val="18"/>
                <w:color w:val="auto"/>
              </w:rPr>
              <w:t>47.39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3066</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Equity One 2005-5</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63.82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3067</w:t>
            </w:r>
          </w:p>
        </w:tc>
        <w:tc>
          <w:tcPr>
            <w:tcW w:w="4880" w:type="dxa"/>
            <w:vAlign w:val="bottom"/>
          </w:tcPr>
          <w:p>
            <w:pPr>
              <w:ind w:left="160"/>
              <w:spacing w:after="0"/>
              <w:rPr>
                <w:sz w:val="20"/>
                <w:szCs w:val="20"/>
                <w:color w:val="auto"/>
              </w:rPr>
            </w:pPr>
            <w:r>
              <w:rPr>
                <w:rFonts w:ascii="Arial" w:cs="Arial" w:eastAsia="Arial" w:hAnsi="Arial"/>
                <w:sz w:val="18"/>
                <w:szCs w:val="18"/>
                <w:color w:val="auto"/>
              </w:rPr>
              <w:t>Equity One 2005-D</w:t>
            </w:r>
          </w:p>
        </w:tc>
        <w:tc>
          <w:tcPr>
            <w:tcW w:w="2480" w:type="dxa"/>
            <w:vAlign w:val="bottom"/>
          </w:tcPr>
          <w:p>
            <w:pPr>
              <w:jc w:val="right"/>
              <w:spacing w:after="0"/>
              <w:rPr>
                <w:sz w:val="20"/>
                <w:szCs w:val="20"/>
                <w:color w:val="auto"/>
              </w:rPr>
            </w:pPr>
            <w:r>
              <w:rPr>
                <w:rFonts w:ascii="Arial" w:cs="Arial" w:eastAsia="Arial" w:hAnsi="Arial"/>
                <w:sz w:val="18"/>
                <w:szCs w:val="18"/>
                <w:color w:val="auto"/>
              </w:rPr>
              <w:t>53.00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3114</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GPMF 2006-OH1</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72.75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3115</w:t>
            </w:r>
          </w:p>
        </w:tc>
        <w:tc>
          <w:tcPr>
            <w:tcW w:w="4880" w:type="dxa"/>
            <w:vAlign w:val="bottom"/>
          </w:tcPr>
          <w:p>
            <w:pPr>
              <w:ind w:left="160"/>
              <w:spacing w:after="0"/>
              <w:rPr>
                <w:sz w:val="20"/>
                <w:szCs w:val="20"/>
                <w:color w:val="auto"/>
              </w:rPr>
            </w:pPr>
            <w:r>
              <w:rPr>
                <w:rFonts w:ascii="Arial" w:cs="Arial" w:eastAsia="Arial" w:hAnsi="Arial"/>
                <w:sz w:val="18"/>
                <w:szCs w:val="18"/>
                <w:color w:val="auto"/>
              </w:rPr>
              <w:t>GSAA 2006-10</w:t>
            </w:r>
          </w:p>
        </w:tc>
        <w:tc>
          <w:tcPr>
            <w:tcW w:w="2480" w:type="dxa"/>
            <w:vAlign w:val="bottom"/>
          </w:tcPr>
          <w:p>
            <w:pPr>
              <w:jc w:val="right"/>
              <w:spacing w:after="0"/>
              <w:rPr>
                <w:sz w:val="20"/>
                <w:szCs w:val="20"/>
                <w:color w:val="auto"/>
              </w:rPr>
            </w:pPr>
            <w:r>
              <w:rPr>
                <w:rFonts w:ascii="Arial" w:cs="Arial" w:eastAsia="Arial" w:hAnsi="Arial"/>
                <w:sz w:val="18"/>
                <w:szCs w:val="18"/>
                <w:color w:val="auto"/>
              </w:rPr>
              <w:t>85.04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3116</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GSAA 2006-11</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55.81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3117</w:t>
            </w:r>
          </w:p>
        </w:tc>
        <w:tc>
          <w:tcPr>
            <w:tcW w:w="4880" w:type="dxa"/>
            <w:vAlign w:val="bottom"/>
          </w:tcPr>
          <w:p>
            <w:pPr>
              <w:ind w:left="160"/>
              <w:spacing w:after="0"/>
              <w:rPr>
                <w:sz w:val="20"/>
                <w:szCs w:val="20"/>
                <w:color w:val="auto"/>
              </w:rPr>
            </w:pPr>
            <w:r>
              <w:rPr>
                <w:rFonts w:ascii="Arial" w:cs="Arial" w:eastAsia="Arial" w:hAnsi="Arial"/>
                <w:sz w:val="18"/>
                <w:szCs w:val="18"/>
                <w:color w:val="auto"/>
              </w:rPr>
              <w:t>GSAA 2006-14</w:t>
            </w:r>
          </w:p>
        </w:tc>
        <w:tc>
          <w:tcPr>
            <w:tcW w:w="2480" w:type="dxa"/>
            <w:vAlign w:val="bottom"/>
          </w:tcPr>
          <w:p>
            <w:pPr>
              <w:jc w:val="right"/>
              <w:spacing w:after="0"/>
              <w:rPr>
                <w:sz w:val="20"/>
                <w:szCs w:val="20"/>
                <w:color w:val="auto"/>
              </w:rPr>
            </w:pPr>
            <w:r>
              <w:rPr>
                <w:rFonts w:ascii="Arial" w:cs="Arial" w:eastAsia="Arial" w:hAnsi="Arial"/>
                <w:sz w:val="18"/>
                <w:szCs w:val="18"/>
                <w:color w:val="auto"/>
              </w:rPr>
              <w:t>63.52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3118</w:t>
            </w:r>
          </w:p>
        </w:tc>
        <w:tc>
          <w:tcPr>
            <w:tcW w:w="48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GSAA 2006-15</w:t>
            </w:r>
          </w:p>
        </w:tc>
        <w:tc>
          <w:tcPr>
            <w:tcW w:w="2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76.61</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3119</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GSAA 2006-16</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3120</w:t>
            </w:r>
          </w:p>
        </w:tc>
        <w:tc>
          <w:tcPr>
            <w:tcW w:w="4600" w:type="dxa"/>
            <w:vAlign w:val="bottom"/>
          </w:tcPr>
          <w:p>
            <w:pPr>
              <w:ind w:left="160"/>
              <w:spacing w:after="0"/>
              <w:rPr>
                <w:sz w:val="20"/>
                <w:szCs w:val="20"/>
                <w:color w:val="auto"/>
              </w:rPr>
            </w:pPr>
            <w:r>
              <w:rPr>
                <w:rFonts w:ascii="Arial" w:cs="Arial" w:eastAsia="Arial" w:hAnsi="Arial"/>
                <w:sz w:val="18"/>
                <w:szCs w:val="18"/>
                <w:color w:val="auto"/>
              </w:rPr>
              <w:t>GSAA 2006-17</w:t>
            </w:r>
          </w:p>
        </w:tc>
        <w:tc>
          <w:tcPr>
            <w:tcW w:w="2760" w:type="dxa"/>
            <w:vAlign w:val="bottom"/>
          </w:tcPr>
          <w:p>
            <w:pPr>
              <w:jc w:val="right"/>
              <w:spacing w:after="0"/>
              <w:rPr>
                <w:sz w:val="20"/>
                <w:szCs w:val="20"/>
                <w:color w:val="auto"/>
              </w:rPr>
            </w:pPr>
            <w:r>
              <w:rPr>
                <w:rFonts w:ascii="Arial" w:cs="Arial" w:eastAsia="Arial" w:hAnsi="Arial"/>
                <w:sz w:val="18"/>
                <w:szCs w:val="18"/>
                <w:color w:val="auto"/>
              </w:rPr>
              <w:t>60.24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3121</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GSAA 2006-18</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76.19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3122</w:t>
            </w:r>
          </w:p>
        </w:tc>
        <w:tc>
          <w:tcPr>
            <w:tcW w:w="4600" w:type="dxa"/>
            <w:vAlign w:val="bottom"/>
          </w:tcPr>
          <w:p>
            <w:pPr>
              <w:ind w:left="160"/>
              <w:spacing w:after="0"/>
              <w:rPr>
                <w:sz w:val="20"/>
                <w:szCs w:val="20"/>
                <w:color w:val="auto"/>
              </w:rPr>
            </w:pPr>
            <w:r>
              <w:rPr>
                <w:rFonts w:ascii="Arial" w:cs="Arial" w:eastAsia="Arial" w:hAnsi="Arial"/>
                <w:sz w:val="18"/>
                <w:szCs w:val="18"/>
                <w:color w:val="auto"/>
              </w:rPr>
              <w:t>GSAA 2006-19</w:t>
            </w:r>
          </w:p>
        </w:tc>
        <w:tc>
          <w:tcPr>
            <w:tcW w:w="2760" w:type="dxa"/>
            <w:vAlign w:val="bottom"/>
          </w:tcPr>
          <w:p>
            <w:pPr>
              <w:jc w:val="right"/>
              <w:spacing w:after="0"/>
              <w:rPr>
                <w:sz w:val="20"/>
                <w:szCs w:val="20"/>
                <w:color w:val="auto"/>
              </w:rPr>
            </w:pPr>
            <w:r>
              <w:rPr>
                <w:rFonts w:ascii="Arial" w:cs="Arial" w:eastAsia="Arial" w:hAnsi="Arial"/>
                <w:sz w:val="18"/>
                <w:szCs w:val="18"/>
                <w:color w:val="auto"/>
              </w:rPr>
              <w:t>61.36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3123</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GSAA 2006-20</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59.37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3124</w:t>
            </w:r>
          </w:p>
        </w:tc>
        <w:tc>
          <w:tcPr>
            <w:tcW w:w="4600" w:type="dxa"/>
            <w:vAlign w:val="bottom"/>
          </w:tcPr>
          <w:p>
            <w:pPr>
              <w:ind w:left="160"/>
              <w:spacing w:after="0"/>
              <w:rPr>
                <w:sz w:val="20"/>
                <w:szCs w:val="20"/>
                <w:color w:val="auto"/>
              </w:rPr>
            </w:pPr>
            <w:r>
              <w:rPr>
                <w:rFonts w:ascii="Arial" w:cs="Arial" w:eastAsia="Arial" w:hAnsi="Arial"/>
                <w:sz w:val="18"/>
                <w:szCs w:val="18"/>
                <w:color w:val="auto"/>
              </w:rPr>
              <w:t>GSAA 2006-3</w:t>
            </w:r>
          </w:p>
        </w:tc>
        <w:tc>
          <w:tcPr>
            <w:tcW w:w="2760" w:type="dxa"/>
            <w:vAlign w:val="bottom"/>
          </w:tcPr>
          <w:p>
            <w:pPr>
              <w:jc w:val="right"/>
              <w:spacing w:after="0"/>
              <w:rPr>
                <w:sz w:val="20"/>
                <w:szCs w:val="20"/>
                <w:color w:val="auto"/>
              </w:rPr>
            </w:pPr>
            <w:r>
              <w:rPr>
                <w:rFonts w:ascii="Arial" w:cs="Arial" w:eastAsia="Arial" w:hAnsi="Arial"/>
                <w:sz w:val="18"/>
                <w:szCs w:val="18"/>
                <w:color w:val="auto"/>
              </w:rPr>
              <w:t>25.54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3125</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GSAA 2006-4</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92.09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3126</w:t>
            </w:r>
          </w:p>
        </w:tc>
        <w:tc>
          <w:tcPr>
            <w:tcW w:w="4600" w:type="dxa"/>
            <w:vAlign w:val="bottom"/>
          </w:tcPr>
          <w:p>
            <w:pPr>
              <w:ind w:left="160"/>
              <w:spacing w:after="0"/>
              <w:rPr>
                <w:sz w:val="20"/>
                <w:szCs w:val="20"/>
                <w:color w:val="auto"/>
              </w:rPr>
            </w:pPr>
            <w:r>
              <w:rPr>
                <w:rFonts w:ascii="Arial" w:cs="Arial" w:eastAsia="Arial" w:hAnsi="Arial"/>
                <w:sz w:val="18"/>
                <w:szCs w:val="18"/>
                <w:color w:val="auto"/>
              </w:rPr>
              <w:t>GSAA 2006-5</w:t>
            </w:r>
          </w:p>
        </w:tc>
        <w:tc>
          <w:tcPr>
            <w:tcW w:w="2760" w:type="dxa"/>
            <w:vAlign w:val="bottom"/>
          </w:tcPr>
          <w:p>
            <w:pPr>
              <w:jc w:val="right"/>
              <w:spacing w:after="0"/>
              <w:rPr>
                <w:sz w:val="20"/>
                <w:szCs w:val="20"/>
                <w:color w:val="auto"/>
              </w:rPr>
            </w:pPr>
            <w:r>
              <w:rPr>
                <w:rFonts w:ascii="Arial" w:cs="Arial" w:eastAsia="Arial" w:hAnsi="Arial"/>
                <w:sz w:val="18"/>
                <w:szCs w:val="18"/>
                <w:color w:val="auto"/>
              </w:rPr>
              <w:t>72.79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3127</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GSAA 2006-6</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18.53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3128</w:t>
            </w:r>
          </w:p>
        </w:tc>
        <w:tc>
          <w:tcPr>
            <w:tcW w:w="4600" w:type="dxa"/>
            <w:vAlign w:val="bottom"/>
          </w:tcPr>
          <w:p>
            <w:pPr>
              <w:ind w:left="160"/>
              <w:spacing w:after="0"/>
              <w:rPr>
                <w:sz w:val="20"/>
                <w:szCs w:val="20"/>
                <w:color w:val="auto"/>
              </w:rPr>
            </w:pPr>
            <w:r>
              <w:rPr>
                <w:rFonts w:ascii="Arial" w:cs="Arial" w:eastAsia="Arial" w:hAnsi="Arial"/>
                <w:sz w:val="18"/>
                <w:szCs w:val="18"/>
                <w:color w:val="auto"/>
              </w:rPr>
              <w:t>GSAA 2006-7</w:t>
            </w:r>
          </w:p>
        </w:tc>
        <w:tc>
          <w:tcPr>
            <w:tcW w:w="2760" w:type="dxa"/>
            <w:vAlign w:val="bottom"/>
          </w:tcPr>
          <w:p>
            <w:pPr>
              <w:jc w:val="right"/>
              <w:spacing w:after="0"/>
              <w:rPr>
                <w:sz w:val="20"/>
                <w:szCs w:val="20"/>
                <w:color w:val="auto"/>
              </w:rPr>
            </w:pPr>
            <w:r>
              <w:rPr>
                <w:rFonts w:ascii="Arial" w:cs="Arial" w:eastAsia="Arial" w:hAnsi="Arial"/>
                <w:sz w:val="18"/>
                <w:szCs w:val="18"/>
                <w:color w:val="auto"/>
              </w:rPr>
              <w:t>10.97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3129</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GSAA 2006-8</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6.94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3130</w:t>
            </w:r>
          </w:p>
        </w:tc>
        <w:tc>
          <w:tcPr>
            <w:tcW w:w="4600" w:type="dxa"/>
            <w:vAlign w:val="bottom"/>
          </w:tcPr>
          <w:p>
            <w:pPr>
              <w:ind w:left="160"/>
              <w:spacing w:after="0"/>
              <w:rPr>
                <w:sz w:val="20"/>
                <w:szCs w:val="20"/>
                <w:color w:val="auto"/>
              </w:rPr>
            </w:pPr>
            <w:r>
              <w:rPr>
                <w:rFonts w:ascii="Arial" w:cs="Arial" w:eastAsia="Arial" w:hAnsi="Arial"/>
                <w:sz w:val="18"/>
                <w:szCs w:val="18"/>
                <w:color w:val="auto"/>
              </w:rPr>
              <w:t>GSAA 2006-9</w:t>
            </w:r>
          </w:p>
        </w:tc>
        <w:tc>
          <w:tcPr>
            <w:tcW w:w="2760" w:type="dxa"/>
            <w:vAlign w:val="bottom"/>
          </w:tcPr>
          <w:p>
            <w:pPr>
              <w:jc w:val="right"/>
              <w:spacing w:after="0"/>
              <w:rPr>
                <w:sz w:val="20"/>
                <w:szCs w:val="20"/>
                <w:color w:val="auto"/>
              </w:rPr>
            </w:pPr>
            <w:r>
              <w:rPr>
                <w:rFonts w:ascii="Arial" w:cs="Arial" w:eastAsia="Arial" w:hAnsi="Arial"/>
                <w:sz w:val="18"/>
                <w:szCs w:val="18"/>
                <w:color w:val="auto"/>
              </w:rPr>
              <w:t>51.64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3131</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GSAA 2007-07</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3132</w:t>
            </w:r>
          </w:p>
        </w:tc>
        <w:tc>
          <w:tcPr>
            <w:tcW w:w="4600" w:type="dxa"/>
            <w:vAlign w:val="bottom"/>
          </w:tcPr>
          <w:p>
            <w:pPr>
              <w:ind w:left="160"/>
              <w:spacing w:after="0"/>
              <w:rPr>
                <w:sz w:val="20"/>
                <w:szCs w:val="20"/>
                <w:color w:val="auto"/>
              </w:rPr>
            </w:pPr>
            <w:r>
              <w:rPr>
                <w:rFonts w:ascii="Arial" w:cs="Arial" w:eastAsia="Arial" w:hAnsi="Arial"/>
                <w:sz w:val="18"/>
                <w:szCs w:val="18"/>
                <w:color w:val="auto"/>
              </w:rPr>
              <w:t>GSAA 2007-08</w:t>
            </w:r>
          </w:p>
        </w:tc>
        <w:tc>
          <w:tcPr>
            <w:tcW w:w="2760" w:type="dxa"/>
            <w:vAlign w:val="bottom"/>
          </w:tcPr>
          <w:p>
            <w:pPr>
              <w:jc w:val="right"/>
              <w:spacing w:after="0"/>
              <w:rPr>
                <w:sz w:val="20"/>
                <w:szCs w:val="20"/>
                <w:color w:val="auto"/>
              </w:rPr>
            </w:pPr>
            <w:r>
              <w:rPr>
                <w:rFonts w:ascii="Arial" w:cs="Arial" w:eastAsia="Arial" w:hAnsi="Arial"/>
                <w:sz w:val="18"/>
                <w:szCs w:val="18"/>
                <w:color w:val="auto"/>
              </w:rPr>
              <w:t>17.99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3133</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GSAA 2007-09</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25.94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3134</w:t>
            </w:r>
          </w:p>
        </w:tc>
        <w:tc>
          <w:tcPr>
            <w:tcW w:w="4600" w:type="dxa"/>
            <w:vAlign w:val="bottom"/>
          </w:tcPr>
          <w:p>
            <w:pPr>
              <w:ind w:left="160"/>
              <w:spacing w:after="0"/>
              <w:rPr>
                <w:sz w:val="20"/>
                <w:szCs w:val="20"/>
                <w:color w:val="auto"/>
              </w:rPr>
            </w:pPr>
            <w:r>
              <w:rPr>
                <w:rFonts w:ascii="Arial" w:cs="Arial" w:eastAsia="Arial" w:hAnsi="Arial"/>
                <w:sz w:val="18"/>
                <w:szCs w:val="18"/>
                <w:color w:val="auto"/>
              </w:rPr>
              <w:t>GSAA 2007-1</w:t>
            </w:r>
          </w:p>
        </w:tc>
        <w:tc>
          <w:tcPr>
            <w:tcW w:w="2760" w:type="dxa"/>
            <w:vAlign w:val="bottom"/>
          </w:tcPr>
          <w:p>
            <w:pPr>
              <w:jc w:val="right"/>
              <w:spacing w:after="0"/>
              <w:rPr>
                <w:sz w:val="20"/>
                <w:szCs w:val="20"/>
                <w:color w:val="auto"/>
              </w:rPr>
            </w:pPr>
            <w:r>
              <w:rPr>
                <w:rFonts w:ascii="Arial" w:cs="Arial" w:eastAsia="Arial" w:hAnsi="Arial"/>
                <w:sz w:val="18"/>
                <w:szCs w:val="18"/>
                <w:color w:val="auto"/>
              </w:rPr>
              <w:t>64.71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3135</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GSAA 2007-10</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3136</w:t>
            </w:r>
          </w:p>
        </w:tc>
        <w:tc>
          <w:tcPr>
            <w:tcW w:w="4600" w:type="dxa"/>
            <w:vAlign w:val="bottom"/>
          </w:tcPr>
          <w:p>
            <w:pPr>
              <w:ind w:left="160"/>
              <w:spacing w:after="0"/>
              <w:rPr>
                <w:sz w:val="20"/>
                <w:szCs w:val="20"/>
                <w:color w:val="auto"/>
              </w:rPr>
            </w:pPr>
            <w:r>
              <w:rPr>
                <w:rFonts w:ascii="Arial" w:cs="Arial" w:eastAsia="Arial" w:hAnsi="Arial"/>
                <w:sz w:val="18"/>
                <w:szCs w:val="18"/>
                <w:color w:val="auto"/>
              </w:rPr>
              <w:t>GSAA 2007-2</w:t>
            </w:r>
          </w:p>
        </w:tc>
        <w:tc>
          <w:tcPr>
            <w:tcW w:w="2760" w:type="dxa"/>
            <w:vAlign w:val="bottom"/>
          </w:tcPr>
          <w:p>
            <w:pPr>
              <w:jc w:val="right"/>
              <w:spacing w:after="0"/>
              <w:rPr>
                <w:sz w:val="20"/>
                <w:szCs w:val="20"/>
                <w:color w:val="auto"/>
              </w:rPr>
            </w:pPr>
            <w:r>
              <w:rPr>
                <w:rFonts w:ascii="Arial" w:cs="Arial" w:eastAsia="Arial" w:hAnsi="Arial"/>
                <w:sz w:val="18"/>
                <w:szCs w:val="18"/>
                <w:color w:val="auto"/>
              </w:rPr>
              <w:t>18.39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3137</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GSAA 2007-3</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3138</w:t>
            </w:r>
          </w:p>
        </w:tc>
        <w:tc>
          <w:tcPr>
            <w:tcW w:w="4600" w:type="dxa"/>
            <w:vAlign w:val="bottom"/>
          </w:tcPr>
          <w:p>
            <w:pPr>
              <w:ind w:left="160"/>
              <w:spacing w:after="0"/>
              <w:rPr>
                <w:sz w:val="20"/>
                <w:szCs w:val="20"/>
                <w:color w:val="auto"/>
              </w:rPr>
            </w:pPr>
            <w:r>
              <w:rPr>
                <w:rFonts w:ascii="Arial" w:cs="Arial" w:eastAsia="Arial" w:hAnsi="Arial"/>
                <w:sz w:val="18"/>
                <w:szCs w:val="18"/>
                <w:color w:val="auto"/>
              </w:rPr>
              <w:t>GSAA 2007-4</w:t>
            </w:r>
          </w:p>
        </w:tc>
        <w:tc>
          <w:tcPr>
            <w:tcW w:w="2760" w:type="dxa"/>
            <w:vAlign w:val="bottom"/>
          </w:tcPr>
          <w:p>
            <w:pPr>
              <w:jc w:val="right"/>
              <w:spacing w:after="0"/>
              <w:rPr>
                <w:sz w:val="20"/>
                <w:szCs w:val="20"/>
                <w:color w:val="auto"/>
              </w:rPr>
            </w:pPr>
            <w:r>
              <w:rPr>
                <w:rFonts w:ascii="Arial" w:cs="Arial" w:eastAsia="Arial" w:hAnsi="Arial"/>
                <w:sz w:val="18"/>
                <w:szCs w:val="18"/>
                <w:color w:val="auto"/>
              </w:rPr>
              <w:t>73.39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3139</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GSAA 2007-5</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73.89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3140</w:t>
            </w:r>
          </w:p>
        </w:tc>
        <w:tc>
          <w:tcPr>
            <w:tcW w:w="4600" w:type="dxa"/>
            <w:vAlign w:val="bottom"/>
          </w:tcPr>
          <w:p>
            <w:pPr>
              <w:ind w:left="160"/>
              <w:spacing w:after="0"/>
              <w:rPr>
                <w:sz w:val="20"/>
                <w:szCs w:val="20"/>
                <w:color w:val="auto"/>
              </w:rPr>
            </w:pPr>
            <w:r>
              <w:rPr>
                <w:rFonts w:ascii="Arial" w:cs="Arial" w:eastAsia="Arial" w:hAnsi="Arial"/>
                <w:sz w:val="18"/>
                <w:szCs w:val="18"/>
                <w:color w:val="auto"/>
              </w:rPr>
              <w:t>GSAA 2007-6</w:t>
            </w:r>
          </w:p>
        </w:tc>
        <w:tc>
          <w:tcPr>
            <w:tcW w:w="2760" w:type="dxa"/>
            <w:vAlign w:val="bottom"/>
          </w:tcPr>
          <w:p>
            <w:pPr>
              <w:jc w:val="right"/>
              <w:spacing w:after="0"/>
              <w:rPr>
                <w:sz w:val="20"/>
                <w:szCs w:val="20"/>
                <w:color w:val="auto"/>
              </w:rPr>
            </w:pPr>
            <w:r>
              <w:rPr>
                <w:rFonts w:ascii="Arial" w:cs="Arial" w:eastAsia="Arial" w:hAnsi="Arial"/>
                <w:sz w:val="18"/>
                <w:szCs w:val="18"/>
                <w:color w:val="auto"/>
              </w:rPr>
              <w:t>58.08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3171</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GSR 2006-10F</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3172</w:t>
            </w:r>
          </w:p>
        </w:tc>
        <w:tc>
          <w:tcPr>
            <w:tcW w:w="4600" w:type="dxa"/>
            <w:vAlign w:val="bottom"/>
          </w:tcPr>
          <w:p>
            <w:pPr>
              <w:ind w:left="160"/>
              <w:spacing w:after="0"/>
              <w:rPr>
                <w:sz w:val="20"/>
                <w:szCs w:val="20"/>
                <w:color w:val="auto"/>
              </w:rPr>
            </w:pPr>
            <w:r>
              <w:rPr>
                <w:rFonts w:ascii="Arial" w:cs="Arial" w:eastAsia="Arial" w:hAnsi="Arial"/>
                <w:sz w:val="18"/>
                <w:szCs w:val="18"/>
                <w:color w:val="auto"/>
              </w:rPr>
              <w:t>GSR 2006-2F</w:t>
            </w:r>
          </w:p>
        </w:tc>
        <w:tc>
          <w:tcPr>
            <w:tcW w:w="2760" w:type="dxa"/>
            <w:vAlign w:val="bottom"/>
          </w:tcPr>
          <w:p>
            <w:pPr>
              <w:jc w:val="right"/>
              <w:spacing w:after="0"/>
              <w:rPr>
                <w:sz w:val="20"/>
                <w:szCs w:val="20"/>
                <w:color w:val="auto"/>
              </w:rPr>
            </w:pPr>
            <w:r>
              <w:rPr>
                <w:rFonts w:ascii="Arial" w:cs="Arial" w:eastAsia="Arial" w:hAnsi="Arial"/>
                <w:sz w:val="18"/>
                <w:szCs w:val="18"/>
                <w:color w:val="auto"/>
              </w:rPr>
              <w:t>40.48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3173</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GSR 2006-3F</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56.20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3174</w:t>
            </w:r>
          </w:p>
        </w:tc>
        <w:tc>
          <w:tcPr>
            <w:tcW w:w="4600" w:type="dxa"/>
            <w:vAlign w:val="bottom"/>
          </w:tcPr>
          <w:p>
            <w:pPr>
              <w:ind w:left="160"/>
              <w:spacing w:after="0"/>
              <w:rPr>
                <w:sz w:val="20"/>
                <w:szCs w:val="20"/>
                <w:color w:val="auto"/>
              </w:rPr>
            </w:pPr>
            <w:r>
              <w:rPr>
                <w:rFonts w:ascii="Arial" w:cs="Arial" w:eastAsia="Arial" w:hAnsi="Arial"/>
                <w:sz w:val="18"/>
                <w:szCs w:val="18"/>
                <w:color w:val="auto"/>
              </w:rPr>
              <w:t>GSR 2006-4F</w:t>
            </w:r>
          </w:p>
        </w:tc>
        <w:tc>
          <w:tcPr>
            <w:tcW w:w="2760" w:type="dxa"/>
            <w:vAlign w:val="bottom"/>
          </w:tcPr>
          <w:p>
            <w:pPr>
              <w:jc w:val="right"/>
              <w:spacing w:after="0"/>
              <w:rPr>
                <w:sz w:val="20"/>
                <w:szCs w:val="20"/>
                <w:color w:val="auto"/>
              </w:rPr>
            </w:pPr>
            <w:r>
              <w:rPr>
                <w:rFonts w:ascii="Arial" w:cs="Arial" w:eastAsia="Arial" w:hAnsi="Arial"/>
                <w:sz w:val="18"/>
                <w:szCs w:val="18"/>
                <w:color w:val="auto"/>
              </w:rPr>
              <w:t>43.39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3175</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GSR 2006-5F</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58.93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3176</w:t>
            </w:r>
          </w:p>
        </w:tc>
        <w:tc>
          <w:tcPr>
            <w:tcW w:w="4600" w:type="dxa"/>
            <w:vAlign w:val="bottom"/>
          </w:tcPr>
          <w:p>
            <w:pPr>
              <w:ind w:left="160"/>
              <w:spacing w:after="0"/>
              <w:rPr>
                <w:sz w:val="20"/>
                <w:szCs w:val="20"/>
                <w:color w:val="auto"/>
              </w:rPr>
            </w:pPr>
            <w:r>
              <w:rPr>
                <w:rFonts w:ascii="Arial" w:cs="Arial" w:eastAsia="Arial" w:hAnsi="Arial"/>
                <w:sz w:val="18"/>
                <w:szCs w:val="18"/>
                <w:color w:val="auto"/>
              </w:rPr>
              <w:t>GSR 2006-8F</w:t>
            </w:r>
          </w:p>
        </w:tc>
        <w:tc>
          <w:tcPr>
            <w:tcW w:w="2760" w:type="dxa"/>
            <w:vAlign w:val="bottom"/>
          </w:tcPr>
          <w:p>
            <w:pPr>
              <w:jc w:val="right"/>
              <w:spacing w:after="0"/>
              <w:rPr>
                <w:sz w:val="20"/>
                <w:szCs w:val="20"/>
                <w:color w:val="auto"/>
              </w:rPr>
            </w:pPr>
            <w:r>
              <w:rPr>
                <w:rFonts w:ascii="Arial" w:cs="Arial" w:eastAsia="Arial" w:hAnsi="Arial"/>
                <w:sz w:val="18"/>
                <w:szCs w:val="18"/>
                <w:color w:val="auto"/>
              </w:rPr>
              <w:t>35.27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3177</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GSR 2006-OA1</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54.97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3178</w:t>
            </w:r>
          </w:p>
        </w:tc>
        <w:tc>
          <w:tcPr>
            <w:tcW w:w="4600" w:type="dxa"/>
            <w:vAlign w:val="bottom"/>
          </w:tcPr>
          <w:p>
            <w:pPr>
              <w:ind w:left="160"/>
              <w:spacing w:after="0"/>
              <w:rPr>
                <w:sz w:val="20"/>
                <w:szCs w:val="20"/>
                <w:color w:val="auto"/>
              </w:rPr>
            </w:pPr>
            <w:r>
              <w:rPr>
                <w:rFonts w:ascii="Arial" w:cs="Arial" w:eastAsia="Arial" w:hAnsi="Arial"/>
                <w:sz w:val="18"/>
                <w:szCs w:val="18"/>
                <w:color w:val="auto"/>
              </w:rPr>
              <w:t>GSR 2007-1F</w:t>
            </w:r>
          </w:p>
        </w:tc>
        <w:tc>
          <w:tcPr>
            <w:tcW w:w="2760" w:type="dxa"/>
            <w:vAlign w:val="bottom"/>
          </w:tcPr>
          <w:p>
            <w:pPr>
              <w:jc w:val="right"/>
              <w:spacing w:after="0"/>
              <w:rPr>
                <w:sz w:val="20"/>
                <w:szCs w:val="20"/>
                <w:color w:val="auto"/>
              </w:rPr>
            </w:pPr>
            <w:r>
              <w:rPr>
                <w:rFonts w:ascii="Arial" w:cs="Arial" w:eastAsia="Arial" w:hAnsi="Arial"/>
                <w:sz w:val="18"/>
                <w:szCs w:val="18"/>
                <w:color w:val="auto"/>
              </w:rPr>
              <w:t>45.76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3179</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GSR 2007-2F</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45.81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3180</w:t>
            </w:r>
          </w:p>
        </w:tc>
        <w:tc>
          <w:tcPr>
            <w:tcW w:w="4600" w:type="dxa"/>
            <w:vAlign w:val="bottom"/>
          </w:tcPr>
          <w:p>
            <w:pPr>
              <w:ind w:left="160"/>
              <w:spacing w:after="0"/>
              <w:rPr>
                <w:sz w:val="20"/>
                <w:szCs w:val="20"/>
                <w:color w:val="auto"/>
              </w:rPr>
            </w:pPr>
            <w:r>
              <w:rPr>
                <w:rFonts w:ascii="Arial" w:cs="Arial" w:eastAsia="Arial" w:hAnsi="Arial"/>
                <w:sz w:val="18"/>
                <w:szCs w:val="18"/>
                <w:color w:val="auto"/>
              </w:rPr>
              <w:t>GSR 2007-4F</w:t>
            </w:r>
          </w:p>
        </w:tc>
        <w:tc>
          <w:tcPr>
            <w:tcW w:w="2760" w:type="dxa"/>
            <w:vAlign w:val="bottom"/>
          </w:tcPr>
          <w:p>
            <w:pPr>
              <w:jc w:val="right"/>
              <w:spacing w:after="0"/>
              <w:rPr>
                <w:sz w:val="20"/>
                <w:szCs w:val="20"/>
                <w:color w:val="auto"/>
              </w:rPr>
            </w:pPr>
            <w:r>
              <w:rPr>
                <w:rFonts w:ascii="Arial" w:cs="Arial" w:eastAsia="Arial" w:hAnsi="Arial"/>
                <w:sz w:val="18"/>
                <w:szCs w:val="18"/>
                <w:color w:val="auto"/>
              </w:rPr>
              <w:t>45.44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3181</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GSR 2007-5F</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53.58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3182</w:t>
            </w:r>
          </w:p>
        </w:tc>
        <w:tc>
          <w:tcPr>
            <w:tcW w:w="4600" w:type="dxa"/>
            <w:vAlign w:val="bottom"/>
          </w:tcPr>
          <w:p>
            <w:pPr>
              <w:ind w:left="160"/>
              <w:spacing w:after="0"/>
              <w:rPr>
                <w:sz w:val="20"/>
                <w:szCs w:val="20"/>
                <w:color w:val="auto"/>
              </w:rPr>
            </w:pPr>
            <w:r>
              <w:rPr>
                <w:rFonts w:ascii="Arial" w:cs="Arial" w:eastAsia="Arial" w:hAnsi="Arial"/>
                <w:sz w:val="18"/>
                <w:szCs w:val="18"/>
                <w:color w:val="auto"/>
              </w:rPr>
              <w:t>GSR 2007-AR1</w:t>
            </w:r>
          </w:p>
        </w:tc>
        <w:tc>
          <w:tcPr>
            <w:tcW w:w="2760" w:type="dxa"/>
            <w:vAlign w:val="bottom"/>
          </w:tcPr>
          <w:p>
            <w:pPr>
              <w:jc w:val="right"/>
              <w:spacing w:after="0"/>
              <w:rPr>
                <w:sz w:val="20"/>
                <w:szCs w:val="20"/>
                <w:color w:val="auto"/>
              </w:rPr>
            </w:pPr>
            <w:r>
              <w:rPr>
                <w:rFonts w:ascii="Arial" w:cs="Arial" w:eastAsia="Arial" w:hAnsi="Arial"/>
                <w:sz w:val="18"/>
                <w:szCs w:val="18"/>
                <w:color w:val="auto"/>
              </w:rPr>
              <w:t>51.97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3183</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GSR 2007-OA1</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48.45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3184</w:t>
            </w:r>
          </w:p>
        </w:tc>
        <w:tc>
          <w:tcPr>
            <w:tcW w:w="4600" w:type="dxa"/>
            <w:vAlign w:val="bottom"/>
          </w:tcPr>
          <w:p>
            <w:pPr>
              <w:ind w:left="160"/>
              <w:spacing w:after="0"/>
              <w:rPr>
                <w:sz w:val="20"/>
                <w:szCs w:val="20"/>
                <w:color w:val="auto"/>
              </w:rPr>
            </w:pPr>
            <w:r>
              <w:rPr>
                <w:rFonts w:ascii="Arial" w:cs="Arial" w:eastAsia="Arial" w:hAnsi="Arial"/>
                <w:sz w:val="18"/>
                <w:szCs w:val="18"/>
                <w:color w:val="auto"/>
              </w:rPr>
              <w:t>GSR 2007-OA2</w:t>
            </w:r>
          </w:p>
        </w:tc>
        <w:tc>
          <w:tcPr>
            <w:tcW w:w="2760" w:type="dxa"/>
            <w:vAlign w:val="bottom"/>
          </w:tcPr>
          <w:p>
            <w:pPr>
              <w:jc w:val="right"/>
              <w:spacing w:after="0"/>
              <w:rPr>
                <w:sz w:val="20"/>
                <w:szCs w:val="20"/>
                <w:color w:val="auto"/>
              </w:rPr>
            </w:pPr>
            <w:r>
              <w:rPr>
                <w:rFonts w:ascii="Arial" w:cs="Arial" w:eastAsia="Arial" w:hAnsi="Arial"/>
                <w:sz w:val="18"/>
                <w:szCs w:val="18"/>
                <w:color w:val="auto"/>
              </w:rPr>
              <w:t>46.26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3187</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Homeowner’s Financial 1996-1</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(155.46)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3238</w:t>
            </w:r>
          </w:p>
        </w:tc>
        <w:tc>
          <w:tcPr>
            <w:tcW w:w="4600" w:type="dxa"/>
            <w:vAlign w:val="bottom"/>
          </w:tcPr>
          <w:p>
            <w:pPr>
              <w:ind w:left="160"/>
              <w:spacing w:after="0"/>
              <w:rPr>
                <w:sz w:val="20"/>
                <w:szCs w:val="20"/>
                <w:color w:val="auto"/>
              </w:rPr>
            </w:pPr>
            <w:r>
              <w:rPr>
                <w:rFonts w:ascii="Arial" w:cs="Arial" w:eastAsia="Arial" w:hAnsi="Arial"/>
                <w:sz w:val="18"/>
                <w:szCs w:val="18"/>
                <w:color w:val="auto"/>
              </w:rPr>
              <w:t>CWABS 2002-03</w:t>
            </w:r>
          </w:p>
        </w:tc>
        <w:tc>
          <w:tcPr>
            <w:tcW w:w="2760" w:type="dxa"/>
            <w:vAlign w:val="bottom"/>
          </w:tcPr>
          <w:p>
            <w:pPr>
              <w:jc w:val="right"/>
              <w:spacing w:after="0"/>
              <w:rPr>
                <w:sz w:val="20"/>
                <w:szCs w:val="20"/>
                <w:color w:val="auto"/>
              </w:rPr>
            </w:pPr>
            <w:r>
              <w:rPr>
                <w:rFonts w:ascii="Arial" w:cs="Arial" w:eastAsia="Arial" w:hAnsi="Arial"/>
                <w:sz w:val="18"/>
                <w:szCs w:val="18"/>
                <w:color w:val="auto"/>
              </w:rPr>
              <w:t>(3.80)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3241</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CWABS 2002-BC1</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(18.42)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3243</w:t>
            </w:r>
          </w:p>
        </w:tc>
        <w:tc>
          <w:tcPr>
            <w:tcW w:w="4600" w:type="dxa"/>
            <w:vAlign w:val="bottom"/>
          </w:tcPr>
          <w:p>
            <w:pPr>
              <w:ind w:left="160"/>
              <w:spacing w:after="0"/>
              <w:rPr>
                <w:sz w:val="20"/>
                <w:szCs w:val="20"/>
                <w:color w:val="auto"/>
              </w:rPr>
            </w:pPr>
            <w:r>
              <w:rPr>
                <w:rFonts w:ascii="Arial" w:cs="Arial" w:eastAsia="Arial" w:hAnsi="Arial"/>
                <w:sz w:val="18"/>
                <w:szCs w:val="18"/>
                <w:color w:val="auto"/>
              </w:rPr>
              <w:t>CWABS 2002-BC3</w:t>
            </w:r>
          </w:p>
        </w:tc>
        <w:tc>
          <w:tcPr>
            <w:tcW w:w="2760" w:type="dxa"/>
            <w:vAlign w:val="bottom"/>
          </w:tcPr>
          <w:p>
            <w:pPr>
              <w:jc w:val="right"/>
              <w:spacing w:after="0"/>
              <w:rPr>
                <w:sz w:val="20"/>
                <w:szCs w:val="20"/>
                <w:color w:val="auto"/>
              </w:rPr>
            </w:pPr>
            <w:r>
              <w:rPr>
                <w:rFonts w:ascii="Arial" w:cs="Arial" w:eastAsia="Arial" w:hAnsi="Arial"/>
                <w:sz w:val="18"/>
                <w:szCs w:val="18"/>
                <w:color w:val="auto"/>
              </w:rPr>
              <w:t>1.90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3244</w:t>
            </w:r>
          </w:p>
        </w:tc>
        <w:tc>
          <w:tcPr>
            <w:tcW w:w="46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CWABS 2004-BC2</w:t>
            </w:r>
          </w:p>
        </w:tc>
        <w:tc>
          <w:tcPr>
            <w:tcW w:w="2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24.00</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3245</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CWABS 2004-BC3</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8.50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3253</w:t>
            </w:r>
          </w:p>
        </w:tc>
        <w:tc>
          <w:tcPr>
            <w:tcW w:w="4720" w:type="dxa"/>
            <w:vAlign w:val="bottom"/>
          </w:tcPr>
          <w:p>
            <w:pPr>
              <w:ind w:left="160"/>
              <w:spacing w:after="0"/>
              <w:rPr>
                <w:sz w:val="20"/>
                <w:szCs w:val="20"/>
                <w:color w:val="auto"/>
              </w:rPr>
            </w:pPr>
            <w:r>
              <w:rPr>
                <w:rFonts w:ascii="Arial" w:cs="Arial" w:eastAsia="Arial" w:hAnsi="Arial"/>
                <w:sz w:val="18"/>
                <w:szCs w:val="18"/>
                <w:color w:val="auto"/>
              </w:rPr>
              <w:t>CWALT 2004-09T1</w:t>
            </w:r>
          </w:p>
        </w:tc>
        <w:tc>
          <w:tcPr>
            <w:tcW w:w="2640" w:type="dxa"/>
            <w:vAlign w:val="bottom"/>
          </w:tcPr>
          <w:p>
            <w:pPr>
              <w:jc w:val="right"/>
              <w:spacing w:after="0"/>
              <w:rPr>
                <w:sz w:val="20"/>
                <w:szCs w:val="20"/>
                <w:color w:val="auto"/>
              </w:rPr>
            </w:pPr>
            <w:r>
              <w:rPr>
                <w:rFonts w:ascii="Arial" w:cs="Arial" w:eastAsia="Arial" w:hAnsi="Arial"/>
                <w:sz w:val="18"/>
                <w:szCs w:val="18"/>
                <w:color w:val="auto"/>
              </w:rPr>
              <w:t>83.28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3260</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CWALT 2004-J2</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13.05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3261</w:t>
            </w:r>
          </w:p>
        </w:tc>
        <w:tc>
          <w:tcPr>
            <w:tcW w:w="4720" w:type="dxa"/>
            <w:vAlign w:val="bottom"/>
          </w:tcPr>
          <w:p>
            <w:pPr>
              <w:ind w:left="160"/>
              <w:spacing w:after="0"/>
              <w:rPr>
                <w:sz w:val="20"/>
                <w:szCs w:val="20"/>
                <w:color w:val="auto"/>
              </w:rPr>
            </w:pPr>
            <w:r>
              <w:rPr>
                <w:rFonts w:ascii="Arial" w:cs="Arial" w:eastAsia="Arial" w:hAnsi="Arial"/>
                <w:sz w:val="18"/>
                <w:szCs w:val="18"/>
                <w:color w:val="auto"/>
              </w:rPr>
              <w:t>CWALT 2004-J3</w:t>
            </w:r>
          </w:p>
        </w:tc>
        <w:tc>
          <w:tcPr>
            <w:tcW w:w="2640" w:type="dxa"/>
            <w:vAlign w:val="bottom"/>
          </w:tcPr>
          <w:p>
            <w:pPr>
              <w:jc w:val="right"/>
              <w:spacing w:after="0"/>
              <w:rPr>
                <w:sz w:val="20"/>
                <w:szCs w:val="20"/>
                <w:color w:val="auto"/>
              </w:rPr>
            </w:pPr>
            <w:r>
              <w:rPr>
                <w:rFonts w:ascii="Arial" w:cs="Arial" w:eastAsia="Arial" w:hAnsi="Arial"/>
                <w:sz w:val="18"/>
                <w:szCs w:val="18"/>
                <w:color w:val="auto"/>
              </w:rPr>
              <w:t>(35.56)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3263</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CWALT 2004-J8</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(36.15)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3264</w:t>
            </w:r>
          </w:p>
        </w:tc>
        <w:tc>
          <w:tcPr>
            <w:tcW w:w="4720" w:type="dxa"/>
            <w:vAlign w:val="bottom"/>
          </w:tcPr>
          <w:p>
            <w:pPr>
              <w:ind w:left="160"/>
              <w:spacing w:after="0"/>
              <w:rPr>
                <w:sz w:val="20"/>
                <w:szCs w:val="20"/>
                <w:color w:val="auto"/>
              </w:rPr>
            </w:pPr>
            <w:r>
              <w:rPr>
                <w:rFonts w:ascii="Arial" w:cs="Arial" w:eastAsia="Arial" w:hAnsi="Arial"/>
                <w:sz w:val="18"/>
                <w:szCs w:val="18"/>
                <w:color w:val="auto"/>
              </w:rPr>
              <w:t>CWALT 2007-2 CB</w:t>
            </w:r>
          </w:p>
        </w:tc>
        <w:tc>
          <w:tcPr>
            <w:tcW w:w="2640" w:type="dxa"/>
            <w:vAlign w:val="bottom"/>
          </w:tcPr>
          <w:p>
            <w:pPr>
              <w:jc w:val="right"/>
              <w:spacing w:after="0"/>
              <w:rPr>
                <w:sz w:val="20"/>
                <w:szCs w:val="20"/>
                <w:color w:val="auto"/>
              </w:rPr>
            </w:pPr>
            <w:r>
              <w:rPr>
                <w:rFonts w:ascii="Arial" w:cs="Arial" w:eastAsia="Arial" w:hAnsi="Arial"/>
                <w:sz w:val="18"/>
                <w:szCs w:val="18"/>
                <w:color w:val="auto"/>
              </w:rPr>
              <w:t>(11.32)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3266</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CWALT 2007-6</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3267</w:t>
            </w:r>
          </w:p>
        </w:tc>
        <w:tc>
          <w:tcPr>
            <w:tcW w:w="4720" w:type="dxa"/>
            <w:vAlign w:val="bottom"/>
          </w:tcPr>
          <w:p>
            <w:pPr>
              <w:ind w:left="160"/>
              <w:spacing w:after="0"/>
              <w:rPr>
                <w:sz w:val="20"/>
                <w:szCs w:val="20"/>
                <w:color w:val="auto"/>
              </w:rPr>
            </w:pPr>
            <w:r>
              <w:rPr>
                <w:rFonts w:ascii="Arial" w:cs="Arial" w:eastAsia="Arial" w:hAnsi="Arial"/>
                <w:sz w:val="18"/>
                <w:szCs w:val="18"/>
                <w:color w:val="auto"/>
              </w:rPr>
              <w:t>CWMBS 1998-04 ALT 1998-2</w:t>
            </w:r>
          </w:p>
        </w:tc>
        <w:tc>
          <w:tcPr>
            <w:tcW w:w="2640" w:type="dxa"/>
            <w:vAlign w:val="bottom"/>
          </w:tcPr>
          <w:p>
            <w:pPr>
              <w:jc w:val="right"/>
              <w:spacing w:after="0"/>
              <w:rPr>
                <w:sz w:val="20"/>
                <w:szCs w:val="20"/>
                <w:color w:val="auto"/>
              </w:rPr>
            </w:pPr>
            <w:r>
              <w:rPr>
                <w:rFonts w:ascii="Arial" w:cs="Arial" w:eastAsia="Arial" w:hAnsi="Arial"/>
                <w:sz w:val="18"/>
                <w:szCs w:val="18"/>
                <w:color w:val="auto"/>
              </w:rPr>
              <w:t>(80.01)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3273</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CWMBS 2002-39_CHL 2002-39</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7.48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3274</w:t>
            </w:r>
          </w:p>
        </w:tc>
        <w:tc>
          <w:tcPr>
            <w:tcW w:w="4720" w:type="dxa"/>
            <w:vAlign w:val="bottom"/>
          </w:tcPr>
          <w:p>
            <w:pPr>
              <w:ind w:left="160"/>
              <w:spacing w:after="0"/>
              <w:rPr>
                <w:sz w:val="20"/>
                <w:szCs w:val="20"/>
                <w:color w:val="auto"/>
              </w:rPr>
            </w:pPr>
            <w:r>
              <w:rPr>
                <w:rFonts w:ascii="Arial" w:cs="Arial" w:eastAsia="Arial" w:hAnsi="Arial"/>
                <w:sz w:val="18"/>
                <w:szCs w:val="18"/>
                <w:color w:val="auto"/>
              </w:rPr>
              <w:t>CWMBS 2002-J5_CHL 2002-J5</w:t>
            </w:r>
          </w:p>
        </w:tc>
        <w:tc>
          <w:tcPr>
            <w:tcW w:w="2640" w:type="dxa"/>
            <w:vAlign w:val="bottom"/>
          </w:tcPr>
          <w:p>
            <w:pPr>
              <w:jc w:val="right"/>
              <w:spacing w:after="0"/>
              <w:rPr>
                <w:sz w:val="20"/>
                <w:szCs w:val="20"/>
                <w:color w:val="auto"/>
              </w:rPr>
            </w:pPr>
            <w:r>
              <w:rPr>
                <w:rFonts w:ascii="Arial" w:cs="Arial" w:eastAsia="Arial" w:hAnsi="Arial"/>
                <w:sz w:val="18"/>
                <w:szCs w:val="18"/>
                <w:color w:val="auto"/>
              </w:rPr>
              <w:t>13.92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3275</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CWMBS 2003-01_CHL 2003-1</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11.74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3277</w:t>
            </w:r>
          </w:p>
        </w:tc>
        <w:tc>
          <w:tcPr>
            <w:tcW w:w="4720" w:type="dxa"/>
            <w:vAlign w:val="bottom"/>
          </w:tcPr>
          <w:p>
            <w:pPr>
              <w:ind w:left="160"/>
              <w:spacing w:after="0"/>
              <w:rPr>
                <w:sz w:val="20"/>
                <w:szCs w:val="20"/>
                <w:color w:val="auto"/>
              </w:rPr>
            </w:pPr>
            <w:r>
              <w:rPr>
                <w:rFonts w:ascii="Arial" w:cs="Arial" w:eastAsia="Arial" w:hAnsi="Arial"/>
                <w:sz w:val="18"/>
                <w:szCs w:val="18"/>
                <w:color w:val="auto"/>
              </w:rPr>
              <w:t>CWMBS 2003-03_CHL 2003-03</w:t>
            </w:r>
          </w:p>
        </w:tc>
        <w:tc>
          <w:tcPr>
            <w:tcW w:w="2640" w:type="dxa"/>
            <w:vAlign w:val="bottom"/>
          </w:tcPr>
          <w:p>
            <w:pPr>
              <w:jc w:val="right"/>
              <w:spacing w:after="0"/>
              <w:rPr>
                <w:sz w:val="20"/>
                <w:szCs w:val="20"/>
                <w:color w:val="auto"/>
              </w:rPr>
            </w:pPr>
            <w:r>
              <w:rPr>
                <w:rFonts w:ascii="Arial" w:cs="Arial" w:eastAsia="Arial" w:hAnsi="Arial"/>
                <w:sz w:val="18"/>
                <w:szCs w:val="18"/>
                <w:color w:val="auto"/>
              </w:rPr>
              <w:t>(27.23)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3280</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CWMBS 2003-11_CHL 2003-11</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3281</w:t>
            </w:r>
          </w:p>
        </w:tc>
        <w:tc>
          <w:tcPr>
            <w:tcW w:w="4720" w:type="dxa"/>
            <w:vAlign w:val="bottom"/>
          </w:tcPr>
          <w:p>
            <w:pPr>
              <w:ind w:left="160"/>
              <w:spacing w:after="0"/>
              <w:rPr>
                <w:sz w:val="20"/>
                <w:szCs w:val="20"/>
                <w:color w:val="auto"/>
              </w:rPr>
            </w:pPr>
            <w:r>
              <w:rPr>
                <w:rFonts w:ascii="Arial" w:cs="Arial" w:eastAsia="Arial" w:hAnsi="Arial"/>
                <w:sz w:val="18"/>
                <w:szCs w:val="18"/>
                <w:color w:val="auto"/>
              </w:rPr>
              <w:t>CWMBS 2003-13 ALT 2003-5T2</w:t>
            </w:r>
          </w:p>
        </w:tc>
        <w:tc>
          <w:tcPr>
            <w:tcW w:w="2640" w:type="dxa"/>
            <w:vAlign w:val="bottom"/>
          </w:tcPr>
          <w:p>
            <w:pPr>
              <w:jc w:val="right"/>
              <w:spacing w:after="0"/>
              <w:rPr>
                <w:sz w:val="20"/>
                <w:szCs w:val="20"/>
                <w:color w:val="auto"/>
              </w:rPr>
            </w:pPr>
            <w:r>
              <w:rPr>
                <w:rFonts w:ascii="Arial" w:cs="Arial" w:eastAsia="Arial" w:hAnsi="Arial"/>
                <w:sz w:val="18"/>
                <w:szCs w:val="18"/>
                <w:color w:val="auto"/>
              </w:rPr>
              <w:t>20.32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3282</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CWMBS 2003-16 ALT 2003-6T2</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3283</w:t>
            </w:r>
          </w:p>
        </w:tc>
        <w:tc>
          <w:tcPr>
            <w:tcW w:w="4720" w:type="dxa"/>
            <w:vAlign w:val="bottom"/>
          </w:tcPr>
          <w:p>
            <w:pPr>
              <w:ind w:left="160"/>
              <w:spacing w:after="0"/>
              <w:rPr>
                <w:sz w:val="20"/>
                <w:szCs w:val="20"/>
                <w:color w:val="auto"/>
              </w:rPr>
            </w:pPr>
            <w:r>
              <w:rPr>
                <w:rFonts w:ascii="Arial" w:cs="Arial" w:eastAsia="Arial" w:hAnsi="Arial"/>
                <w:sz w:val="18"/>
                <w:szCs w:val="18"/>
                <w:color w:val="auto"/>
              </w:rPr>
              <w:t>CWMBS 2003-22 ALT 2003-9T1</w:t>
            </w:r>
          </w:p>
        </w:tc>
        <w:tc>
          <w:tcPr>
            <w:tcW w:w="2640" w:type="dxa"/>
            <w:vAlign w:val="bottom"/>
          </w:tcPr>
          <w:p>
            <w:pPr>
              <w:jc w:val="right"/>
              <w:spacing w:after="0"/>
              <w:rPr>
                <w:sz w:val="20"/>
                <w:szCs w:val="20"/>
                <w:color w:val="auto"/>
              </w:rPr>
            </w:pPr>
            <w:r>
              <w:rPr>
                <w:rFonts w:ascii="Arial" w:cs="Arial" w:eastAsia="Arial" w:hAnsi="Arial"/>
                <w:sz w:val="18"/>
                <w:szCs w:val="18"/>
                <w:color w:val="auto"/>
              </w:rPr>
              <w:t>6.79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3284</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CWMBS 2003-25 ALT 2003-11T1</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3286</w:t>
            </w:r>
          </w:p>
        </w:tc>
        <w:tc>
          <w:tcPr>
            <w:tcW w:w="4720" w:type="dxa"/>
            <w:vAlign w:val="bottom"/>
          </w:tcPr>
          <w:p>
            <w:pPr>
              <w:ind w:left="160"/>
              <w:spacing w:after="0"/>
              <w:rPr>
                <w:sz w:val="20"/>
                <w:szCs w:val="20"/>
                <w:color w:val="auto"/>
              </w:rPr>
            </w:pPr>
            <w:r>
              <w:rPr>
                <w:rFonts w:ascii="Arial" w:cs="Arial" w:eastAsia="Arial" w:hAnsi="Arial"/>
                <w:sz w:val="18"/>
                <w:szCs w:val="18"/>
                <w:color w:val="auto"/>
              </w:rPr>
              <w:t>CWMBS 2003-33 ALT 2003-15T2</w:t>
            </w:r>
          </w:p>
        </w:tc>
        <w:tc>
          <w:tcPr>
            <w:tcW w:w="2640" w:type="dxa"/>
            <w:vAlign w:val="bottom"/>
          </w:tcPr>
          <w:p>
            <w:pPr>
              <w:jc w:val="right"/>
              <w:spacing w:after="0"/>
              <w:rPr>
                <w:sz w:val="20"/>
                <w:szCs w:val="20"/>
                <w:color w:val="auto"/>
              </w:rPr>
            </w:pPr>
            <w:r>
              <w:rPr>
                <w:rFonts w:ascii="Arial" w:cs="Arial" w:eastAsia="Arial" w:hAnsi="Arial"/>
                <w:sz w:val="18"/>
                <w:szCs w:val="18"/>
                <w:color w:val="auto"/>
              </w:rPr>
              <w:t>27.92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3287</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CWMBS 2003-34_CHL 2003-34</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13.22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3293</w:t>
            </w:r>
          </w:p>
        </w:tc>
        <w:tc>
          <w:tcPr>
            <w:tcW w:w="4720" w:type="dxa"/>
            <w:vAlign w:val="bottom"/>
          </w:tcPr>
          <w:p>
            <w:pPr>
              <w:ind w:left="160"/>
              <w:spacing w:after="0"/>
              <w:rPr>
                <w:sz w:val="20"/>
                <w:szCs w:val="20"/>
                <w:color w:val="auto"/>
              </w:rPr>
            </w:pPr>
            <w:r>
              <w:rPr>
                <w:rFonts w:ascii="Arial" w:cs="Arial" w:eastAsia="Arial" w:hAnsi="Arial"/>
                <w:sz w:val="18"/>
                <w:szCs w:val="18"/>
                <w:color w:val="auto"/>
              </w:rPr>
              <w:t>CWMBS 2003-55 ALT 2003-21T1</w:t>
            </w:r>
          </w:p>
        </w:tc>
        <w:tc>
          <w:tcPr>
            <w:tcW w:w="2640" w:type="dxa"/>
            <w:vAlign w:val="bottom"/>
          </w:tcPr>
          <w:p>
            <w:pPr>
              <w:jc w:val="right"/>
              <w:spacing w:after="0"/>
              <w:rPr>
                <w:sz w:val="20"/>
                <w:szCs w:val="20"/>
                <w:color w:val="auto"/>
              </w:rPr>
            </w:pPr>
            <w:r>
              <w:rPr>
                <w:rFonts w:ascii="Arial" w:cs="Arial" w:eastAsia="Arial" w:hAnsi="Arial"/>
                <w:sz w:val="18"/>
                <w:szCs w:val="18"/>
                <w:color w:val="auto"/>
              </w:rPr>
              <w:t>98.81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3295</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CWMBS 2003-J11 ALT 2003-J1</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7.36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3300</w:t>
            </w:r>
          </w:p>
        </w:tc>
        <w:tc>
          <w:tcPr>
            <w:tcW w:w="4720" w:type="dxa"/>
            <w:vAlign w:val="bottom"/>
          </w:tcPr>
          <w:p>
            <w:pPr>
              <w:ind w:left="160"/>
              <w:spacing w:after="0"/>
              <w:rPr>
                <w:sz w:val="20"/>
                <w:szCs w:val="20"/>
                <w:color w:val="auto"/>
              </w:rPr>
            </w:pPr>
            <w:r>
              <w:rPr>
                <w:rFonts w:ascii="Arial" w:cs="Arial" w:eastAsia="Arial" w:hAnsi="Arial"/>
                <w:sz w:val="18"/>
                <w:szCs w:val="18"/>
                <w:color w:val="auto"/>
              </w:rPr>
              <w:t>CWMBS 2003-J8_CHL 2003-J8</w:t>
            </w:r>
          </w:p>
        </w:tc>
        <w:tc>
          <w:tcPr>
            <w:tcW w:w="2640" w:type="dxa"/>
            <w:vAlign w:val="bottom"/>
          </w:tcPr>
          <w:p>
            <w:pPr>
              <w:jc w:val="right"/>
              <w:spacing w:after="0"/>
              <w:rPr>
                <w:sz w:val="20"/>
                <w:szCs w:val="20"/>
                <w:color w:val="auto"/>
              </w:rPr>
            </w:pPr>
            <w:r>
              <w:rPr>
                <w:rFonts w:ascii="Arial" w:cs="Arial" w:eastAsia="Arial" w:hAnsi="Arial"/>
                <w:sz w:val="18"/>
                <w:szCs w:val="18"/>
                <w:color w:val="auto"/>
              </w:rPr>
              <w:t>27.56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3304</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Popular 2006-C</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35.76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3305</w:t>
            </w:r>
          </w:p>
        </w:tc>
        <w:tc>
          <w:tcPr>
            <w:tcW w:w="4720" w:type="dxa"/>
            <w:vAlign w:val="bottom"/>
          </w:tcPr>
          <w:p>
            <w:pPr>
              <w:ind w:left="160"/>
              <w:spacing w:after="0"/>
              <w:rPr>
                <w:sz w:val="20"/>
                <w:szCs w:val="20"/>
                <w:color w:val="auto"/>
              </w:rPr>
            </w:pPr>
            <w:r>
              <w:rPr>
                <w:rFonts w:ascii="Arial" w:cs="Arial" w:eastAsia="Arial" w:hAnsi="Arial"/>
                <w:sz w:val="18"/>
                <w:szCs w:val="18"/>
                <w:color w:val="auto"/>
              </w:rPr>
              <w:t>Popular 2006-D</w:t>
            </w:r>
          </w:p>
        </w:tc>
        <w:tc>
          <w:tcPr>
            <w:tcW w:w="2640" w:type="dxa"/>
            <w:vAlign w:val="bottom"/>
          </w:tcPr>
          <w:p>
            <w:pPr>
              <w:jc w:val="right"/>
              <w:spacing w:after="0"/>
              <w:rPr>
                <w:sz w:val="20"/>
                <w:szCs w:val="20"/>
                <w:color w:val="auto"/>
              </w:rPr>
            </w:pPr>
            <w:r>
              <w:rPr>
                <w:rFonts w:ascii="Arial" w:cs="Arial" w:eastAsia="Arial" w:hAnsi="Arial"/>
                <w:sz w:val="18"/>
                <w:szCs w:val="18"/>
                <w:color w:val="auto"/>
              </w:rPr>
              <w:t>34.34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3306</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Popular 2006-E</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36.59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3314</w:t>
            </w:r>
          </w:p>
        </w:tc>
        <w:tc>
          <w:tcPr>
            <w:tcW w:w="4720" w:type="dxa"/>
            <w:vAlign w:val="bottom"/>
          </w:tcPr>
          <w:p>
            <w:pPr>
              <w:ind w:left="160"/>
              <w:spacing w:after="0"/>
              <w:rPr>
                <w:sz w:val="20"/>
                <w:szCs w:val="20"/>
                <w:color w:val="auto"/>
              </w:rPr>
            </w:pPr>
            <w:r>
              <w:rPr>
                <w:rFonts w:ascii="Arial" w:cs="Arial" w:eastAsia="Arial" w:hAnsi="Arial"/>
                <w:sz w:val="18"/>
                <w:szCs w:val="18"/>
                <w:color w:val="auto"/>
              </w:rPr>
              <w:t>RAAC 2004-SP3</w:t>
            </w:r>
          </w:p>
        </w:tc>
        <w:tc>
          <w:tcPr>
            <w:tcW w:w="2640" w:type="dxa"/>
            <w:vAlign w:val="bottom"/>
          </w:tcPr>
          <w:p>
            <w:pPr>
              <w:jc w:val="right"/>
              <w:spacing w:after="0"/>
              <w:rPr>
                <w:sz w:val="20"/>
                <w:szCs w:val="20"/>
                <w:color w:val="auto"/>
              </w:rPr>
            </w:pPr>
            <w:r>
              <w:rPr>
                <w:rFonts w:ascii="Arial" w:cs="Arial" w:eastAsia="Arial" w:hAnsi="Arial"/>
                <w:sz w:val="18"/>
                <w:szCs w:val="18"/>
                <w:color w:val="auto"/>
              </w:rPr>
              <w:t>87.37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3324</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2002-QS6</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(64.66)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3328</w:t>
            </w:r>
          </w:p>
        </w:tc>
        <w:tc>
          <w:tcPr>
            <w:tcW w:w="4720" w:type="dxa"/>
            <w:vAlign w:val="bottom"/>
          </w:tcPr>
          <w:p>
            <w:pPr>
              <w:ind w:left="160"/>
              <w:spacing w:after="0"/>
              <w:rPr>
                <w:sz w:val="20"/>
                <w:szCs w:val="20"/>
                <w:color w:val="auto"/>
              </w:rPr>
            </w:pPr>
            <w:r>
              <w:rPr>
                <w:rFonts w:ascii="Arial" w:cs="Arial" w:eastAsia="Arial" w:hAnsi="Arial"/>
                <w:sz w:val="18"/>
                <w:szCs w:val="18"/>
                <w:color w:val="auto"/>
              </w:rPr>
              <w:t>RALI 2003-QS18</w:t>
            </w:r>
          </w:p>
        </w:tc>
        <w:tc>
          <w:tcPr>
            <w:tcW w:w="2640" w:type="dxa"/>
            <w:vAlign w:val="bottom"/>
          </w:tcPr>
          <w:p>
            <w:pPr>
              <w:jc w:val="right"/>
              <w:spacing w:after="0"/>
              <w:rPr>
                <w:sz w:val="20"/>
                <w:szCs w:val="20"/>
                <w:color w:val="auto"/>
              </w:rPr>
            </w:pPr>
            <w:r>
              <w:rPr>
                <w:rFonts w:ascii="Arial" w:cs="Arial" w:eastAsia="Arial" w:hAnsi="Arial"/>
                <w:sz w:val="18"/>
                <w:szCs w:val="18"/>
                <w:color w:val="auto"/>
              </w:rPr>
              <w:t>(73.23)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3330</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2003-QS6</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(18.65)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3332</w:t>
            </w:r>
          </w:p>
        </w:tc>
        <w:tc>
          <w:tcPr>
            <w:tcW w:w="4720" w:type="dxa"/>
            <w:vAlign w:val="bottom"/>
          </w:tcPr>
          <w:p>
            <w:pPr>
              <w:ind w:left="160"/>
              <w:spacing w:after="0"/>
              <w:rPr>
                <w:sz w:val="20"/>
                <w:szCs w:val="20"/>
                <w:color w:val="auto"/>
              </w:rPr>
            </w:pPr>
            <w:r>
              <w:rPr>
                <w:rFonts w:ascii="Arial" w:cs="Arial" w:eastAsia="Arial" w:hAnsi="Arial"/>
                <w:sz w:val="18"/>
                <w:szCs w:val="18"/>
                <w:color w:val="auto"/>
              </w:rPr>
              <w:t>RALI 2003-QS8</w:t>
            </w:r>
          </w:p>
        </w:tc>
        <w:tc>
          <w:tcPr>
            <w:tcW w:w="2640" w:type="dxa"/>
            <w:vAlign w:val="bottom"/>
          </w:tcPr>
          <w:p>
            <w:pPr>
              <w:jc w:val="right"/>
              <w:spacing w:after="0"/>
              <w:rPr>
                <w:sz w:val="20"/>
                <w:szCs w:val="20"/>
                <w:color w:val="auto"/>
              </w:rPr>
            </w:pPr>
            <w:r>
              <w:rPr>
                <w:rFonts w:ascii="Arial" w:cs="Arial" w:eastAsia="Arial" w:hAnsi="Arial"/>
                <w:sz w:val="18"/>
                <w:szCs w:val="18"/>
                <w:color w:val="auto"/>
              </w:rPr>
              <w:t>(8.15)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3333</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2004-QA3</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(42.64)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3334</w:t>
            </w:r>
          </w:p>
        </w:tc>
        <w:tc>
          <w:tcPr>
            <w:tcW w:w="4720" w:type="dxa"/>
            <w:vAlign w:val="bottom"/>
          </w:tcPr>
          <w:p>
            <w:pPr>
              <w:ind w:left="160"/>
              <w:spacing w:after="0"/>
              <w:rPr>
                <w:sz w:val="20"/>
                <w:szCs w:val="20"/>
                <w:color w:val="auto"/>
              </w:rPr>
            </w:pPr>
            <w:r>
              <w:rPr>
                <w:rFonts w:ascii="Arial" w:cs="Arial" w:eastAsia="Arial" w:hAnsi="Arial"/>
                <w:sz w:val="18"/>
                <w:szCs w:val="18"/>
                <w:color w:val="auto"/>
              </w:rPr>
              <w:t>RALI 2004-QS15</w:t>
            </w:r>
          </w:p>
        </w:tc>
        <w:tc>
          <w:tcPr>
            <w:tcW w:w="2640" w:type="dxa"/>
            <w:vAlign w:val="bottom"/>
          </w:tcPr>
          <w:p>
            <w:pPr>
              <w:jc w:val="right"/>
              <w:spacing w:after="0"/>
              <w:rPr>
                <w:sz w:val="20"/>
                <w:szCs w:val="20"/>
                <w:color w:val="auto"/>
              </w:rPr>
            </w:pPr>
            <w:r>
              <w:rPr>
                <w:rFonts w:ascii="Arial" w:cs="Arial" w:eastAsia="Arial" w:hAnsi="Arial"/>
                <w:sz w:val="18"/>
                <w:szCs w:val="18"/>
                <w:color w:val="auto"/>
              </w:rPr>
              <w:t>(16.23)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3335</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2004-QS5</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3336</w:t>
            </w:r>
          </w:p>
        </w:tc>
        <w:tc>
          <w:tcPr>
            <w:tcW w:w="4720" w:type="dxa"/>
            <w:vAlign w:val="bottom"/>
          </w:tcPr>
          <w:p>
            <w:pPr>
              <w:ind w:left="160"/>
              <w:spacing w:after="0"/>
              <w:rPr>
                <w:sz w:val="20"/>
                <w:szCs w:val="20"/>
                <w:color w:val="auto"/>
              </w:rPr>
            </w:pPr>
            <w:r>
              <w:rPr>
                <w:rFonts w:ascii="Arial" w:cs="Arial" w:eastAsia="Arial" w:hAnsi="Arial"/>
                <w:sz w:val="18"/>
                <w:szCs w:val="18"/>
                <w:color w:val="auto"/>
              </w:rPr>
              <w:t>RALI 2004-QS8</w:t>
            </w:r>
          </w:p>
        </w:tc>
        <w:tc>
          <w:tcPr>
            <w:tcW w:w="2640" w:type="dxa"/>
            <w:vAlign w:val="bottom"/>
          </w:tcPr>
          <w:p>
            <w:pPr>
              <w:jc w:val="right"/>
              <w:spacing w:after="0"/>
              <w:rPr>
                <w:sz w:val="20"/>
                <w:szCs w:val="20"/>
                <w:color w:val="auto"/>
              </w:rPr>
            </w:pPr>
            <w:r>
              <w:rPr>
                <w:rFonts w:ascii="Arial" w:cs="Arial" w:eastAsia="Arial" w:hAnsi="Arial"/>
                <w:sz w:val="18"/>
                <w:szCs w:val="18"/>
                <w:color w:val="auto"/>
              </w:rPr>
              <w:t>56.44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3339</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2001-QS16</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(73.83)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3340</w:t>
            </w:r>
          </w:p>
        </w:tc>
        <w:tc>
          <w:tcPr>
            <w:tcW w:w="4720" w:type="dxa"/>
            <w:vAlign w:val="bottom"/>
          </w:tcPr>
          <w:p>
            <w:pPr>
              <w:ind w:left="160"/>
              <w:spacing w:after="0"/>
              <w:rPr>
                <w:sz w:val="20"/>
                <w:szCs w:val="20"/>
                <w:color w:val="auto"/>
              </w:rPr>
            </w:pPr>
            <w:r>
              <w:rPr>
                <w:rFonts w:ascii="Arial" w:cs="Arial" w:eastAsia="Arial" w:hAnsi="Arial"/>
                <w:sz w:val="18"/>
                <w:szCs w:val="18"/>
                <w:color w:val="auto"/>
              </w:rPr>
              <w:t>RALI 2001-QS17</w:t>
            </w:r>
          </w:p>
        </w:tc>
        <w:tc>
          <w:tcPr>
            <w:tcW w:w="2640" w:type="dxa"/>
            <w:vAlign w:val="bottom"/>
          </w:tcPr>
          <w:p>
            <w:pPr>
              <w:jc w:val="right"/>
              <w:spacing w:after="0"/>
              <w:rPr>
                <w:sz w:val="20"/>
                <w:szCs w:val="20"/>
                <w:color w:val="auto"/>
              </w:rPr>
            </w:pPr>
            <w:r>
              <w:rPr>
                <w:rFonts w:ascii="Arial" w:cs="Arial" w:eastAsia="Arial" w:hAnsi="Arial"/>
                <w:sz w:val="18"/>
                <w:szCs w:val="18"/>
                <w:color w:val="auto"/>
              </w:rPr>
              <w:t>78.36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3342</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2002-QS10</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85.57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3343</w:t>
            </w:r>
          </w:p>
        </w:tc>
        <w:tc>
          <w:tcPr>
            <w:tcW w:w="4720" w:type="dxa"/>
            <w:vAlign w:val="bottom"/>
          </w:tcPr>
          <w:p>
            <w:pPr>
              <w:ind w:left="160"/>
              <w:spacing w:after="0"/>
              <w:rPr>
                <w:sz w:val="20"/>
                <w:szCs w:val="20"/>
                <w:color w:val="auto"/>
              </w:rPr>
            </w:pPr>
            <w:r>
              <w:rPr>
                <w:rFonts w:ascii="Arial" w:cs="Arial" w:eastAsia="Arial" w:hAnsi="Arial"/>
                <w:sz w:val="18"/>
                <w:szCs w:val="18"/>
                <w:color w:val="auto"/>
              </w:rPr>
              <w:t>RALI 2002-QS3</w:t>
            </w:r>
          </w:p>
        </w:tc>
        <w:tc>
          <w:tcPr>
            <w:tcW w:w="2640" w:type="dxa"/>
            <w:vAlign w:val="bottom"/>
          </w:tcPr>
          <w:p>
            <w:pPr>
              <w:jc w:val="right"/>
              <w:spacing w:after="0"/>
              <w:rPr>
                <w:sz w:val="20"/>
                <w:szCs w:val="20"/>
                <w:color w:val="auto"/>
              </w:rPr>
            </w:pPr>
            <w:r>
              <w:rPr>
                <w:rFonts w:ascii="Arial" w:cs="Arial" w:eastAsia="Arial" w:hAnsi="Arial"/>
                <w:sz w:val="18"/>
                <w:szCs w:val="18"/>
                <w:color w:val="auto"/>
              </w:rPr>
              <w:t>(7.46)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3344</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2002-QS8</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(280.06)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3347</w:t>
            </w:r>
          </w:p>
        </w:tc>
        <w:tc>
          <w:tcPr>
            <w:tcW w:w="4720" w:type="dxa"/>
            <w:vAlign w:val="bottom"/>
          </w:tcPr>
          <w:p>
            <w:pPr>
              <w:ind w:left="160"/>
              <w:spacing w:after="0"/>
              <w:rPr>
                <w:sz w:val="20"/>
                <w:szCs w:val="20"/>
                <w:color w:val="auto"/>
              </w:rPr>
            </w:pPr>
            <w:r>
              <w:rPr>
                <w:rFonts w:ascii="Arial" w:cs="Arial" w:eastAsia="Arial" w:hAnsi="Arial"/>
                <w:sz w:val="18"/>
                <w:szCs w:val="18"/>
                <w:color w:val="auto"/>
              </w:rPr>
              <w:t>RALI 2003-QS2</w:t>
            </w:r>
          </w:p>
        </w:tc>
        <w:tc>
          <w:tcPr>
            <w:tcW w:w="2640" w:type="dxa"/>
            <w:vAlign w:val="bottom"/>
          </w:tcPr>
          <w:p>
            <w:pPr>
              <w:jc w:val="right"/>
              <w:spacing w:after="0"/>
              <w:rPr>
                <w:sz w:val="20"/>
                <w:szCs w:val="20"/>
                <w:color w:val="auto"/>
              </w:rPr>
            </w:pPr>
            <w:r>
              <w:rPr>
                <w:rFonts w:ascii="Arial" w:cs="Arial" w:eastAsia="Arial" w:hAnsi="Arial"/>
                <w:sz w:val="18"/>
                <w:szCs w:val="18"/>
                <w:color w:val="auto"/>
              </w:rPr>
              <w:t>35.17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3349</w:t>
            </w:r>
          </w:p>
        </w:tc>
        <w:tc>
          <w:tcPr>
            <w:tcW w:w="47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2004-QA4</w:t>
            </w:r>
          </w:p>
        </w:tc>
        <w:tc>
          <w:tcPr>
            <w:tcW w:w="2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(48.15)</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3352</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2004-QS12</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(22.55)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3353</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2004-QS14</w:t>
            </w:r>
          </w:p>
        </w:tc>
        <w:tc>
          <w:tcPr>
            <w:tcW w:w="3180" w:type="dxa"/>
            <w:vAlign w:val="bottom"/>
          </w:tcPr>
          <w:p>
            <w:pPr>
              <w:jc w:val="right"/>
              <w:spacing w:after="0"/>
              <w:rPr>
                <w:sz w:val="20"/>
                <w:szCs w:val="20"/>
                <w:color w:val="auto"/>
              </w:rPr>
            </w:pPr>
            <w:r>
              <w:rPr>
                <w:rFonts w:ascii="Arial" w:cs="Arial" w:eastAsia="Arial" w:hAnsi="Arial"/>
                <w:sz w:val="18"/>
                <w:szCs w:val="18"/>
                <w:color w:val="auto"/>
              </w:rPr>
              <w:t>(19.62)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3356</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2004-QS4</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(34.80)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3360</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2005-QS12</w:t>
            </w:r>
          </w:p>
        </w:tc>
        <w:tc>
          <w:tcPr>
            <w:tcW w:w="3180" w:type="dxa"/>
            <w:vAlign w:val="bottom"/>
          </w:tcPr>
          <w:p>
            <w:pPr>
              <w:jc w:val="right"/>
              <w:spacing w:after="0"/>
              <w:rPr>
                <w:sz w:val="20"/>
                <w:szCs w:val="20"/>
                <w:color w:val="auto"/>
              </w:rPr>
            </w:pPr>
            <w:r>
              <w:rPr>
                <w:rFonts w:ascii="Arial" w:cs="Arial" w:eastAsia="Arial" w:hAnsi="Arial"/>
                <w:sz w:val="18"/>
                <w:szCs w:val="18"/>
                <w:color w:val="auto"/>
              </w:rPr>
              <w:t>(48.03)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3364</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2005-QS4</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44.20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3365</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2006-QS2</w:t>
            </w:r>
          </w:p>
        </w:tc>
        <w:tc>
          <w:tcPr>
            <w:tcW w:w="3180" w:type="dxa"/>
            <w:vAlign w:val="bottom"/>
          </w:tcPr>
          <w:p>
            <w:pPr>
              <w:jc w:val="right"/>
              <w:spacing w:after="0"/>
              <w:rPr>
                <w:sz w:val="20"/>
                <w:szCs w:val="20"/>
                <w:color w:val="auto"/>
              </w:rPr>
            </w:pPr>
            <w:r>
              <w:rPr>
                <w:rFonts w:ascii="Arial" w:cs="Arial" w:eastAsia="Arial" w:hAnsi="Arial"/>
                <w:sz w:val="18"/>
                <w:szCs w:val="18"/>
                <w:color w:val="auto"/>
              </w:rPr>
              <w:t>6.53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3367</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2001-RS3</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(34.01)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3377</w:t>
            </w:r>
          </w:p>
        </w:tc>
        <w:tc>
          <w:tcPr>
            <w:tcW w:w="4100" w:type="dxa"/>
            <w:vAlign w:val="bottom"/>
          </w:tcPr>
          <w:p>
            <w:pPr>
              <w:ind w:left="160"/>
              <w:spacing w:after="0"/>
              <w:rPr>
                <w:sz w:val="20"/>
                <w:szCs w:val="20"/>
                <w:color w:val="auto"/>
              </w:rPr>
            </w:pPr>
            <w:r>
              <w:rPr>
                <w:rFonts w:ascii="Arial" w:cs="Arial" w:eastAsia="Arial" w:hAnsi="Arial"/>
                <w:sz w:val="18"/>
                <w:szCs w:val="18"/>
                <w:color w:val="auto"/>
              </w:rPr>
              <w:t>RAMP 2004-SL2</w:t>
            </w:r>
          </w:p>
        </w:tc>
        <w:tc>
          <w:tcPr>
            <w:tcW w:w="3180" w:type="dxa"/>
            <w:vAlign w:val="bottom"/>
          </w:tcPr>
          <w:p>
            <w:pPr>
              <w:jc w:val="right"/>
              <w:spacing w:after="0"/>
              <w:rPr>
                <w:sz w:val="20"/>
                <w:szCs w:val="20"/>
                <w:color w:val="auto"/>
              </w:rPr>
            </w:pPr>
            <w:r>
              <w:rPr>
                <w:rFonts w:ascii="Arial" w:cs="Arial" w:eastAsia="Arial" w:hAnsi="Arial"/>
                <w:sz w:val="18"/>
                <w:szCs w:val="18"/>
                <w:color w:val="auto"/>
              </w:rPr>
              <w:t>1.79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3378</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2004-SL3</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69.60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3379</w:t>
            </w:r>
          </w:p>
        </w:tc>
        <w:tc>
          <w:tcPr>
            <w:tcW w:w="4100" w:type="dxa"/>
            <w:vAlign w:val="bottom"/>
          </w:tcPr>
          <w:p>
            <w:pPr>
              <w:ind w:left="160"/>
              <w:spacing w:after="0"/>
              <w:rPr>
                <w:sz w:val="20"/>
                <w:szCs w:val="20"/>
                <w:color w:val="auto"/>
              </w:rPr>
            </w:pPr>
            <w:r>
              <w:rPr>
                <w:rFonts w:ascii="Arial" w:cs="Arial" w:eastAsia="Arial" w:hAnsi="Arial"/>
                <w:sz w:val="18"/>
                <w:szCs w:val="18"/>
                <w:color w:val="auto"/>
              </w:rPr>
              <w:t>RAMP 2004-SL4</w:t>
            </w:r>
          </w:p>
        </w:tc>
        <w:tc>
          <w:tcPr>
            <w:tcW w:w="3180" w:type="dxa"/>
            <w:vAlign w:val="bottom"/>
          </w:tcPr>
          <w:p>
            <w:pPr>
              <w:jc w:val="right"/>
              <w:spacing w:after="0"/>
              <w:rPr>
                <w:sz w:val="20"/>
                <w:szCs w:val="20"/>
                <w:color w:val="auto"/>
              </w:rPr>
            </w:pPr>
            <w:r>
              <w:rPr>
                <w:rFonts w:ascii="Arial" w:cs="Arial" w:eastAsia="Arial" w:hAnsi="Arial"/>
                <w:sz w:val="18"/>
                <w:szCs w:val="18"/>
                <w:color w:val="auto"/>
              </w:rPr>
              <w:t>33.51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3399</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2005-S8</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30.45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3400</w:t>
            </w:r>
          </w:p>
        </w:tc>
        <w:tc>
          <w:tcPr>
            <w:tcW w:w="4100" w:type="dxa"/>
            <w:vAlign w:val="bottom"/>
          </w:tcPr>
          <w:p>
            <w:pPr>
              <w:ind w:left="160"/>
              <w:spacing w:after="0"/>
              <w:rPr>
                <w:sz w:val="20"/>
                <w:szCs w:val="20"/>
                <w:color w:val="auto"/>
              </w:rPr>
            </w:pPr>
            <w:r>
              <w:rPr>
                <w:rFonts w:ascii="Arial" w:cs="Arial" w:eastAsia="Arial" w:hAnsi="Arial"/>
                <w:sz w:val="18"/>
                <w:szCs w:val="18"/>
                <w:color w:val="auto"/>
              </w:rPr>
              <w:t>RFMSI 2006-S10</w:t>
            </w:r>
          </w:p>
        </w:tc>
        <w:tc>
          <w:tcPr>
            <w:tcW w:w="3180" w:type="dxa"/>
            <w:vAlign w:val="bottom"/>
          </w:tcPr>
          <w:p>
            <w:pPr>
              <w:jc w:val="right"/>
              <w:spacing w:after="0"/>
              <w:rPr>
                <w:sz w:val="20"/>
                <w:szCs w:val="20"/>
                <w:color w:val="auto"/>
              </w:rPr>
            </w:pPr>
            <w:r>
              <w:rPr>
                <w:rFonts w:ascii="Arial" w:cs="Arial" w:eastAsia="Arial" w:hAnsi="Arial"/>
                <w:sz w:val="18"/>
                <w:szCs w:val="18"/>
                <w:color w:val="auto"/>
              </w:rPr>
              <w:t>89.09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3453</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CPT 2004-EC1</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59.38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3458</w:t>
            </w:r>
          </w:p>
        </w:tc>
        <w:tc>
          <w:tcPr>
            <w:tcW w:w="4100" w:type="dxa"/>
            <w:vAlign w:val="bottom"/>
          </w:tcPr>
          <w:p>
            <w:pPr>
              <w:ind w:left="160"/>
              <w:spacing w:after="0"/>
              <w:rPr>
                <w:sz w:val="20"/>
                <w:szCs w:val="20"/>
                <w:color w:val="auto"/>
              </w:rPr>
            </w:pPr>
            <w:r>
              <w:rPr>
                <w:rFonts w:ascii="Arial" w:cs="Arial" w:eastAsia="Arial" w:hAnsi="Arial"/>
                <w:sz w:val="18"/>
                <w:szCs w:val="18"/>
                <w:color w:val="auto"/>
              </w:rPr>
              <w:t>Equity One 1999-1</w:t>
            </w:r>
          </w:p>
        </w:tc>
        <w:tc>
          <w:tcPr>
            <w:tcW w:w="3180" w:type="dxa"/>
            <w:vAlign w:val="bottom"/>
          </w:tcPr>
          <w:p>
            <w:pPr>
              <w:jc w:val="right"/>
              <w:spacing w:after="0"/>
              <w:rPr>
                <w:sz w:val="20"/>
                <w:szCs w:val="20"/>
                <w:color w:val="auto"/>
              </w:rPr>
            </w:pPr>
            <w:r>
              <w:rPr>
                <w:rFonts w:ascii="Arial" w:cs="Arial" w:eastAsia="Arial" w:hAnsi="Arial"/>
                <w:sz w:val="18"/>
                <w:szCs w:val="18"/>
                <w:color w:val="auto"/>
              </w:rPr>
              <w:t>(40.70)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3459</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Equity One 2001-3</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(18.60)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3460</w:t>
            </w:r>
          </w:p>
        </w:tc>
        <w:tc>
          <w:tcPr>
            <w:tcW w:w="4100" w:type="dxa"/>
            <w:vAlign w:val="bottom"/>
          </w:tcPr>
          <w:p>
            <w:pPr>
              <w:ind w:left="160"/>
              <w:spacing w:after="0"/>
              <w:rPr>
                <w:sz w:val="20"/>
                <w:szCs w:val="20"/>
                <w:color w:val="auto"/>
              </w:rPr>
            </w:pPr>
            <w:r>
              <w:rPr>
                <w:rFonts w:ascii="Arial" w:cs="Arial" w:eastAsia="Arial" w:hAnsi="Arial"/>
                <w:sz w:val="18"/>
                <w:szCs w:val="18"/>
                <w:color w:val="auto"/>
              </w:rPr>
              <w:t>Equity One 2002-1</w:t>
            </w:r>
          </w:p>
        </w:tc>
        <w:tc>
          <w:tcPr>
            <w:tcW w:w="3180" w:type="dxa"/>
            <w:vAlign w:val="bottom"/>
          </w:tcPr>
          <w:p>
            <w:pPr>
              <w:jc w:val="right"/>
              <w:spacing w:after="0"/>
              <w:rPr>
                <w:sz w:val="20"/>
                <w:szCs w:val="20"/>
                <w:color w:val="auto"/>
              </w:rPr>
            </w:pPr>
            <w:r>
              <w:rPr>
                <w:rFonts w:ascii="Arial" w:cs="Arial" w:eastAsia="Arial" w:hAnsi="Arial"/>
                <w:sz w:val="18"/>
                <w:szCs w:val="18"/>
                <w:color w:val="auto"/>
              </w:rPr>
              <w:t>(17.28)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3464</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Equity One 2005-2</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67.63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3466</w:t>
            </w:r>
          </w:p>
        </w:tc>
        <w:tc>
          <w:tcPr>
            <w:tcW w:w="4100" w:type="dxa"/>
            <w:vAlign w:val="bottom"/>
          </w:tcPr>
          <w:p>
            <w:pPr>
              <w:ind w:left="160"/>
              <w:spacing w:after="0"/>
              <w:rPr>
                <w:sz w:val="20"/>
                <w:szCs w:val="20"/>
                <w:color w:val="auto"/>
              </w:rPr>
            </w:pPr>
            <w:r>
              <w:rPr>
                <w:rFonts w:ascii="Arial" w:cs="Arial" w:eastAsia="Arial" w:hAnsi="Arial"/>
                <w:sz w:val="18"/>
                <w:szCs w:val="18"/>
                <w:color w:val="auto"/>
              </w:rPr>
              <w:t>Equity One 2005-3</w:t>
            </w:r>
          </w:p>
        </w:tc>
        <w:tc>
          <w:tcPr>
            <w:tcW w:w="3180" w:type="dxa"/>
            <w:vAlign w:val="bottom"/>
          </w:tcPr>
          <w:p>
            <w:pPr>
              <w:jc w:val="right"/>
              <w:spacing w:after="0"/>
              <w:rPr>
                <w:sz w:val="20"/>
                <w:szCs w:val="20"/>
                <w:color w:val="auto"/>
              </w:rPr>
            </w:pPr>
            <w:r>
              <w:rPr>
                <w:rFonts w:ascii="Arial" w:cs="Arial" w:eastAsia="Arial" w:hAnsi="Arial"/>
                <w:sz w:val="18"/>
                <w:szCs w:val="18"/>
                <w:color w:val="auto"/>
              </w:rPr>
              <w:t>69.12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3494</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SASC 2004-13</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(32.29)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3495</w:t>
            </w:r>
          </w:p>
        </w:tc>
        <w:tc>
          <w:tcPr>
            <w:tcW w:w="4100" w:type="dxa"/>
            <w:vAlign w:val="bottom"/>
          </w:tcPr>
          <w:p>
            <w:pPr>
              <w:ind w:left="160"/>
              <w:spacing w:after="0"/>
              <w:rPr>
                <w:sz w:val="20"/>
                <w:szCs w:val="20"/>
                <w:color w:val="auto"/>
              </w:rPr>
            </w:pPr>
            <w:r>
              <w:rPr>
                <w:rFonts w:ascii="Arial" w:cs="Arial" w:eastAsia="Arial" w:hAnsi="Arial"/>
                <w:sz w:val="18"/>
                <w:szCs w:val="18"/>
                <w:color w:val="auto"/>
              </w:rPr>
              <w:t>SASC 2004-7</w:t>
            </w:r>
          </w:p>
        </w:tc>
        <w:tc>
          <w:tcPr>
            <w:tcW w:w="3180" w:type="dxa"/>
            <w:vAlign w:val="bottom"/>
          </w:tcPr>
          <w:p>
            <w:pPr>
              <w:jc w:val="right"/>
              <w:spacing w:after="0"/>
              <w:rPr>
                <w:sz w:val="20"/>
                <w:szCs w:val="20"/>
                <w:color w:val="auto"/>
              </w:rPr>
            </w:pPr>
            <w:r>
              <w:rPr>
                <w:rFonts w:ascii="Arial" w:cs="Arial" w:eastAsia="Arial" w:hAnsi="Arial"/>
                <w:sz w:val="18"/>
                <w:szCs w:val="18"/>
                <w:color w:val="auto"/>
              </w:rPr>
              <w:t>34.32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3503</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UBS 2001-PB1</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(110.62)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3504</w:t>
            </w:r>
          </w:p>
        </w:tc>
        <w:tc>
          <w:tcPr>
            <w:tcW w:w="4100" w:type="dxa"/>
            <w:vAlign w:val="bottom"/>
          </w:tcPr>
          <w:p>
            <w:pPr>
              <w:ind w:left="160"/>
              <w:spacing w:after="0"/>
              <w:rPr>
                <w:sz w:val="20"/>
                <w:szCs w:val="20"/>
                <w:color w:val="auto"/>
              </w:rPr>
            </w:pPr>
            <w:r>
              <w:rPr>
                <w:rFonts w:ascii="Arial" w:cs="Arial" w:eastAsia="Arial" w:hAnsi="Arial"/>
                <w:sz w:val="18"/>
                <w:szCs w:val="18"/>
                <w:color w:val="auto"/>
              </w:rPr>
              <w:t>UBS 2001-PB2</w:t>
            </w:r>
          </w:p>
        </w:tc>
        <w:tc>
          <w:tcPr>
            <w:tcW w:w="3180" w:type="dxa"/>
            <w:vAlign w:val="bottom"/>
          </w:tcPr>
          <w:p>
            <w:pPr>
              <w:jc w:val="right"/>
              <w:spacing w:after="0"/>
              <w:rPr>
                <w:sz w:val="20"/>
                <w:szCs w:val="20"/>
                <w:color w:val="auto"/>
              </w:rPr>
            </w:pPr>
            <w:r>
              <w:rPr>
                <w:rFonts w:ascii="Arial" w:cs="Arial" w:eastAsia="Arial" w:hAnsi="Arial"/>
                <w:sz w:val="18"/>
                <w:szCs w:val="18"/>
                <w:color w:val="auto"/>
              </w:rPr>
              <w:t>(56.17)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3506</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Chase 2003-S13</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3797</w:t>
            </w:r>
          </w:p>
        </w:tc>
        <w:tc>
          <w:tcPr>
            <w:tcW w:w="4100" w:type="dxa"/>
            <w:vAlign w:val="bottom"/>
          </w:tcPr>
          <w:p>
            <w:pPr>
              <w:ind w:left="160"/>
              <w:spacing w:after="0"/>
              <w:rPr>
                <w:sz w:val="20"/>
                <w:szCs w:val="20"/>
                <w:color w:val="auto"/>
              </w:rPr>
            </w:pPr>
            <w:r>
              <w:rPr>
                <w:rFonts w:ascii="Arial" w:cs="Arial" w:eastAsia="Arial" w:hAnsi="Arial"/>
                <w:sz w:val="18"/>
                <w:szCs w:val="18"/>
                <w:color w:val="auto"/>
              </w:rPr>
              <w:t>NMFT 2005-1</w:t>
            </w:r>
          </w:p>
        </w:tc>
        <w:tc>
          <w:tcPr>
            <w:tcW w:w="3180" w:type="dxa"/>
            <w:vAlign w:val="bottom"/>
          </w:tcPr>
          <w:p>
            <w:pPr>
              <w:jc w:val="right"/>
              <w:spacing w:after="0"/>
              <w:rPr>
                <w:sz w:val="20"/>
                <w:szCs w:val="20"/>
                <w:color w:val="auto"/>
              </w:rPr>
            </w:pPr>
            <w:r>
              <w:rPr>
                <w:rFonts w:ascii="Arial" w:cs="Arial" w:eastAsia="Arial" w:hAnsi="Arial"/>
                <w:sz w:val="18"/>
                <w:szCs w:val="18"/>
                <w:color w:val="auto"/>
              </w:rPr>
              <w:t>20.43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3799</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NMFT 2005-3</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36.42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3802</w:t>
            </w:r>
          </w:p>
        </w:tc>
        <w:tc>
          <w:tcPr>
            <w:tcW w:w="4100" w:type="dxa"/>
            <w:vAlign w:val="bottom"/>
          </w:tcPr>
          <w:p>
            <w:pPr>
              <w:ind w:left="160"/>
              <w:spacing w:after="0"/>
              <w:rPr>
                <w:sz w:val="20"/>
                <w:szCs w:val="20"/>
                <w:color w:val="auto"/>
              </w:rPr>
            </w:pPr>
            <w:r>
              <w:rPr>
                <w:rFonts w:ascii="Arial" w:cs="Arial" w:eastAsia="Arial" w:hAnsi="Arial"/>
                <w:sz w:val="18"/>
                <w:szCs w:val="18"/>
                <w:color w:val="auto"/>
              </w:rPr>
              <w:t>NMI 2006-2</w:t>
            </w:r>
          </w:p>
        </w:tc>
        <w:tc>
          <w:tcPr>
            <w:tcW w:w="3180" w:type="dxa"/>
            <w:vAlign w:val="bottom"/>
          </w:tcPr>
          <w:p>
            <w:pPr>
              <w:jc w:val="right"/>
              <w:spacing w:after="0"/>
              <w:rPr>
                <w:sz w:val="20"/>
                <w:szCs w:val="20"/>
                <w:color w:val="auto"/>
              </w:rPr>
            </w:pPr>
            <w:r>
              <w:rPr>
                <w:rFonts w:ascii="Arial" w:cs="Arial" w:eastAsia="Arial" w:hAnsi="Arial"/>
                <w:sz w:val="18"/>
                <w:szCs w:val="18"/>
                <w:color w:val="auto"/>
              </w:rPr>
              <w:t>16.98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3803</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NMI 2006-3</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13.31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3804</w:t>
            </w:r>
          </w:p>
        </w:tc>
        <w:tc>
          <w:tcPr>
            <w:tcW w:w="4100" w:type="dxa"/>
            <w:vAlign w:val="bottom"/>
          </w:tcPr>
          <w:p>
            <w:pPr>
              <w:ind w:left="160"/>
              <w:spacing w:after="0"/>
              <w:rPr>
                <w:sz w:val="20"/>
                <w:szCs w:val="20"/>
                <w:color w:val="auto"/>
              </w:rPr>
            </w:pPr>
            <w:r>
              <w:rPr>
                <w:rFonts w:ascii="Arial" w:cs="Arial" w:eastAsia="Arial" w:hAnsi="Arial"/>
                <w:sz w:val="18"/>
                <w:szCs w:val="18"/>
                <w:color w:val="auto"/>
              </w:rPr>
              <w:t>NMI 2006-4</w:t>
            </w:r>
          </w:p>
        </w:tc>
        <w:tc>
          <w:tcPr>
            <w:tcW w:w="3180" w:type="dxa"/>
            <w:vAlign w:val="bottom"/>
          </w:tcPr>
          <w:p>
            <w:pPr>
              <w:jc w:val="right"/>
              <w:spacing w:after="0"/>
              <w:rPr>
                <w:sz w:val="20"/>
                <w:szCs w:val="20"/>
                <w:color w:val="auto"/>
              </w:rPr>
            </w:pPr>
            <w:r>
              <w:rPr>
                <w:rFonts w:ascii="Arial" w:cs="Arial" w:eastAsia="Arial" w:hAnsi="Arial"/>
                <w:sz w:val="18"/>
                <w:szCs w:val="18"/>
                <w:color w:val="auto"/>
              </w:rPr>
              <w:t>13.05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3845</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Saxon 99-3</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3846</w:t>
            </w:r>
          </w:p>
        </w:tc>
        <w:tc>
          <w:tcPr>
            <w:tcW w:w="4100" w:type="dxa"/>
            <w:vAlign w:val="bottom"/>
          </w:tcPr>
          <w:p>
            <w:pPr>
              <w:ind w:left="160"/>
              <w:spacing w:after="0"/>
              <w:rPr>
                <w:sz w:val="20"/>
                <w:szCs w:val="20"/>
                <w:color w:val="auto"/>
              </w:rPr>
            </w:pPr>
            <w:r>
              <w:rPr>
                <w:rFonts w:ascii="Arial" w:cs="Arial" w:eastAsia="Arial" w:hAnsi="Arial"/>
                <w:sz w:val="18"/>
                <w:szCs w:val="18"/>
                <w:color w:val="auto"/>
              </w:rPr>
              <w:t>Saxon 99-5</w:t>
            </w:r>
          </w:p>
        </w:tc>
        <w:tc>
          <w:tcPr>
            <w:tcW w:w="3180" w:type="dxa"/>
            <w:vAlign w:val="bottom"/>
          </w:tcPr>
          <w:p>
            <w:pPr>
              <w:jc w:val="right"/>
              <w:spacing w:after="0"/>
              <w:rPr>
                <w:sz w:val="20"/>
                <w:szCs w:val="20"/>
                <w:color w:val="auto"/>
              </w:rPr>
            </w:pPr>
            <w:r>
              <w:rPr>
                <w:rFonts w:ascii="Arial" w:cs="Arial" w:eastAsia="Arial" w:hAnsi="Arial"/>
                <w:sz w:val="18"/>
                <w:szCs w:val="18"/>
                <w:color w:val="auto"/>
              </w:rPr>
              <w:t>(42.18)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3847</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Saxon 00-1</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(32.70)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3850</w:t>
            </w:r>
          </w:p>
        </w:tc>
        <w:tc>
          <w:tcPr>
            <w:tcW w:w="4100" w:type="dxa"/>
            <w:vAlign w:val="bottom"/>
          </w:tcPr>
          <w:p>
            <w:pPr>
              <w:ind w:left="160"/>
              <w:spacing w:after="0"/>
              <w:rPr>
                <w:sz w:val="20"/>
                <w:szCs w:val="20"/>
                <w:color w:val="auto"/>
              </w:rPr>
            </w:pPr>
            <w:r>
              <w:rPr>
                <w:rFonts w:ascii="Arial" w:cs="Arial" w:eastAsia="Arial" w:hAnsi="Arial"/>
                <w:sz w:val="18"/>
                <w:szCs w:val="18"/>
                <w:color w:val="auto"/>
              </w:rPr>
              <w:t>Saxon 00-4</w:t>
            </w:r>
          </w:p>
        </w:tc>
        <w:tc>
          <w:tcPr>
            <w:tcW w:w="3180" w:type="dxa"/>
            <w:vAlign w:val="bottom"/>
          </w:tcPr>
          <w:p>
            <w:pPr>
              <w:jc w:val="right"/>
              <w:spacing w:after="0"/>
              <w:rPr>
                <w:sz w:val="20"/>
                <w:szCs w:val="20"/>
                <w:color w:val="auto"/>
              </w:rPr>
            </w:pPr>
            <w:r>
              <w:rPr>
                <w:rFonts w:ascii="Arial" w:cs="Arial" w:eastAsia="Arial" w:hAnsi="Arial"/>
                <w:sz w:val="18"/>
                <w:szCs w:val="18"/>
                <w:color w:val="auto"/>
              </w:rPr>
              <w:t>(36.52)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SARM 2007-3</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26.61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10636</w:t>
            </w:r>
          </w:p>
        </w:tc>
        <w:tc>
          <w:tcPr>
            <w:tcW w:w="4100" w:type="dxa"/>
            <w:vAlign w:val="bottom"/>
          </w:tcPr>
          <w:p>
            <w:pPr>
              <w:ind w:left="160"/>
              <w:spacing w:after="0"/>
              <w:rPr>
                <w:sz w:val="20"/>
                <w:szCs w:val="20"/>
                <w:color w:val="auto"/>
              </w:rPr>
            </w:pPr>
            <w:r>
              <w:rPr>
                <w:rFonts w:ascii="Arial" w:cs="Arial" w:eastAsia="Arial" w:hAnsi="Arial"/>
                <w:sz w:val="18"/>
                <w:szCs w:val="18"/>
                <w:color w:val="auto"/>
              </w:rPr>
              <w:t>RFSC 2004-RP1</w:t>
            </w:r>
          </w:p>
        </w:tc>
        <w:tc>
          <w:tcPr>
            <w:tcW w:w="3180" w:type="dxa"/>
            <w:vAlign w:val="bottom"/>
          </w:tcPr>
          <w:p>
            <w:pPr>
              <w:jc w:val="right"/>
              <w:spacing w:after="0"/>
              <w:rPr>
                <w:sz w:val="20"/>
                <w:szCs w:val="20"/>
                <w:color w:val="auto"/>
              </w:rPr>
            </w:pPr>
            <w:r>
              <w:rPr>
                <w:rFonts w:ascii="Arial" w:cs="Arial" w:eastAsia="Arial" w:hAnsi="Arial"/>
                <w:sz w:val="18"/>
                <w:szCs w:val="18"/>
                <w:color w:val="auto"/>
              </w:rPr>
              <w:t>(17.30)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2007-SA4</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44.12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RFMSI 2007-SA3</w:t>
            </w:r>
          </w:p>
        </w:tc>
        <w:tc>
          <w:tcPr>
            <w:tcW w:w="3180" w:type="dxa"/>
            <w:vAlign w:val="bottom"/>
          </w:tcPr>
          <w:p>
            <w:pPr>
              <w:jc w:val="right"/>
              <w:spacing w:after="0"/>
              <w:rPr>
                <w:sz w:val="20"/>
                <w:szCs w:val="20"/>
                <w:color w:val="auto"/>
              </w:rPr>
            </w:pPr>
            <w:r>
              <w:rPr>
                <w:rFonts w:ascii="Arial" w:cs="Arial" w:eastAsia="Arial" w:hAnsi="Arial"/>
                <w:sz w:val="18"/>
                <w:szCs w:val="18"/>
                <w:color w:val="auto"/>
              </w:rPr>
              <w:t>56.13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2007-SA2</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39.52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RFMSI 2007-SA1</w:t>
            </w:r>
          </w:p>
        </w:tc>
        <w:tc>
          <w:tcPr>
            <w:tcW w:w="3180" w:type="dxa"/>
            <w:vAlign w:val="bottom"/>
          </w:tcPr>
          <w:p>
            <w:pPr>
              <w:jc w:val="right"/>
              <w:spacing w:after="0"/>
              <w:rPr>
                <w:sz w:val="20"/>
                <w:szCs w:val="20"/>
                <w:color w:val="auto"/>
              </w:rPr>
            </w:pPr>
            <w:r>
              <w:rPr>
                <w:rFonts w:ascii="Arial" w:cs="Arial" w:eastAsia="Arial" w:hAnsi="Arial"/>
                <w:sz w:val="18"/>
                <w:szCs w:val="18"/>
                <w:color w:val="auto"/>
              </w:rPr>
              <w:t>56.57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10905</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2007-S9</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45.61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RFMSI 2007-S8</w:t>
            </w:r>
          </w:p>
        </w:tc>
        <w:tc>
          <w:tcPr>
            <w:tcW w:w="3180" w:type="dxa"/>
            <w:vAlign w:val="bottom"/>
          </w:tcPr>
          <w:p>
            <w:pPr>
              <w:jc w:val="right"/>
              <w:spacing w:after="0"/>
              <w:rPr>
                <w:sz w:val="20"/>
                <w:szCs w:val="20"/>
                <w:color w:val="auto"/>
              </w:rPr>
            </w:pPr>
            <w:r>
              <w:rPr>
                <w:rFonts w:ascii="Arial" w:cs="Arial" w:eastAsia="Arial" w:hAnsi="Arial"/>
                <w:sz w:val="18"/>
                <w:szCs w:val="18"/>
                <w:color w:val="auto"/>
              </w:rPr>
              <w:t>51.87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2007-S7</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48.18</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RFMSI 2007-S6</w:t>
            </w:r>
          </w:p>
        </w:tc>
        <w:tc>
          <w:tcPr>
            <w:tcW w:w="3180" w:type="dxa"/>
            <w:vAlign w:val="bottom"/>
          </w:tcPr>
          <w:p>
            <w:pPr>
              <w:jc w:val="right"/>
              <w:spacing w:after="0"/>
              <w:rPr>
                <w:sz w:val="20"/>
                <w:szCs w:val="20"/>
                <w:color w:val="auto"/>
              </w:rPr>
            </w:pPr>
            <w:r>
              <w:rPr>
                <w:rFonts w:ascii="Arial" w:cs="Arial" w:eastAsia="Arial" w:hAnsi="Arial"/>
                <w:sz w:val="18"/>
                <w:szCs w:val="18"/>
                <w:color w:val="auto"/>
              </w:rPr>
              <w:t>53.07</w:t>
            </w:r>
          </w:p>
        </w:tc>
        <w:tc>
          <w:tcPr>
            <w:tcW w:w="1720" w:type="dxa"/>
            <w:vAlign w:val="bottom"/>
          </w:tcPr>
          <w:p>
            <w:pPr>
              <w:spacing w:after="0"/>
              <w:rPr>
                <w:sz w:val="20"/>
                <w:szCs w:val="20"/>
                <w:color w:val="auto"/>
              </w:rPr>
            </w:pPr>
          </w:p>
        </w:tc>
      </w:tr>
      <w:tr>
        <w:trPr>
          <w:trHeight w:val="438"/>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10904</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2007-S5</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50.15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10903</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2007-S4</w:t>
            </w:r>
          </w:p>
        </w:tc>
        <w:tc>
          <w:tcPr>
            <w:tcW w:w="3140" w:type="dxa"/>
            <w:vAlign w:val="bottom"/>
          </w:tcPr>
          <w:p>
            <w:pPr>
              <w:jc w:val="right"/>
              <w:spacing w:after="0"/>
              <w:rPr>
                <w:sz w:val="20"/>
                <w:szCs w:val="20"/>
                <w:color w:val="auto"/>
              </w:rPr>
            </w:pPr>
            <w:r>
              <w:rPr>
                <w:rFonts w:ascii="Arial" w:cs="Arial" w:eastAsia="Arial" w:hAnsi="Arial"/>
                <w:sz w:val="18"/>
                <w:szCs w:val="18"/>
                <w:color w:val="auto"/>
              </w:rPr>
              <w:t>50.83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2007-S3</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58.09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RFMSI 2007-S2</w:t>
            </w:r>
          </w:p>
        </w:tc>
        <w:tc>
          <w:tcPr>
            <w:tcW w:w="3140" w:type="dxa"/>
            <w:vAlign w:val="bottom"/>
          </w:tcPr>
          <w:p>
            <w:pPr>
              <w:jc w:val="right"/>
              <w:spacing w:after="0"/>
              <w:rPr>
                <w:sz w:val="20"/>
                <w:szCs w:val="20"/>
                <w:color w:val="auto"/>
              </w:rPr>
            </w:pPr>
            <w:r>
              <w:rPr>
                <w:rFonts w:ascii="Arial" w:cs="Arial" w:eastAsia="Arial" w:hAnsi="Arial"/>
                <w:sz w:val="18"/>
                <w:szCs w:val="18"/>
                <w:color w:val="auto"/>
              </w:rPr>
              <w:t>58.07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10902</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2007-S1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55.53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RFMSI 2006-SA4</w:t>
            </w:r>
          </w:p>
        </w:tc>
        <w:tc>
          <w:tcPr>
            <w:tcW w:w="3140" w:type="dxa"/>
            <w:vAlign w:val="bottom"/>
          </w:tcPr>
          <w:p>
            <w:pPr>
              <w:jc w:val="right"/>
              <w:spacing w:after="0"/>
              <w:rPr>
                <w:sz w:val="20"/>
                <w:szCs w:val="20"/>
                <w:color w:val="auto"/>
              </w:rPr>
            </w:pPr>
            <w:r>
              <w:rPr>
                <w:rFonts w:ascii="Arial" w:cs="Arial" w:eastAsia="Arial" w:hAnsi="Arial"/>
                <w:sz w:val="18"/>
                <w:szCs w:val="18"/>
                <w:color w:val="auto"/>
              </w:rPr>
              <w:t>38.75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2006-SA3</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49.69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RFMSI 2006-SA2</w:t>
            </w:r>
          </w:p>
        </w:tc>
        <w:tc>
          <w:tcPr>
            <w:tcW w:w="3140" w:type="dxa"/>
            <w:vAlign w:val="bottom"/>
          </w:tcPr>
          <w:p>
            <w:pPr>
              <w:jc w:val="right"/>
              <w:spacing w:after="0"/>
              <w:rPr>
                <w:sz w:val="20"/>
                <w:szCs w:val="20"/>
                <w:color w:val="auto"/>
              </w:rPr>
            </w:pPr>
            <w:r>
              <w:rPr>
                <w:rFonts w:ascii="Arial" w:cs="Arial" w:eastAsia="Arial" w:hAnsi="Arial"/>
                <w:sz w:val="18"/>
                <w:szCs w:val="18"/>
                <w:color w:val="auto"/>
              </w:rPr>
              <w:t>53.64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10901</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2006-SA1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RFMSI 2006-S9</w:t>
            </w:r>
          </w:p>
        </w:tc>
        <w:tc>
          <w:tcPr>
            <w:tcW w:w="3140" w:type="dxa"/>
            <w:vAlign w:val="bottom"/>
          </w:tcPr>
          <w:p>
            <w:pPr>
              <w:jc w:val="right"/>
              <w:spacing w:after="0"/>
              <w:rPr>
                <w:sz w:val="20"/>
                <w:szCs w:val="20"/>
                <w:color w:val="auto"/>
              </w:rPr>
            </w:pPr>
            <w:r>
              <w:rPr>
                <w:rFonts w:ascii="Arial" w:cs="Arial" w:eastAsia="Arial" w:hAnsi="Arial"/>
                <w:sz w:val="18"/>
                <w:szCs w:val="18"/>
                <w:color w:val="auto"/>
              </w:rPr>
              <w:t>53.21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2006-S8</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59.15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10900</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2006-S7</w:t>
            </w:r>
          </w:p>
        </w:tc>
        <w:tc>
          <w:tcPr>
            <w:tcW w:w="3140" w:type="dxa"/>
            <w:vAlign w:val="bottom"/>
          </w:tcPr>
          <w:p>
            <w:pPr>
              <w:jc w:val="right"/>
              <w:spacing w:after="0"/>
              <w:rPr>
                <w:sz w:val="20"/>
                <w:szCs w:val="20"/>
                <w:color w:val="auto"/>
              </w:rPr>
            </w:pPr>
            <w:r>
              <w:rPr>
                <w:rFonts w:ascii="Arial" w:cs="Arial" w:eastAsia="Arial" w:hAnsi="Arial"/>
                <w:sz w:val="18"/>
                <w:szCs w:val="18"/>
                <w:color w:val="auto"/>
              </w:rPr>
              <w:t>48.94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10899</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2006-S6</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52.88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RFMSI 2006-S5</w:t>
            </w:r>
          </w:p>
        </w:tc>
        <w:tc>
          <w:tcPr>
            <w:tcW w:w="3140" w:type="dxa"/>
            <w:vAlign w:val="bottom"/>
          </w:tcPr>
          <w:p>
            <w:pPr>
              <w:jc w:val="right"/>
              <w:spacing w:after="0"/>
              <w:rPr>
                <w:sz w:val="20"/>
                <w:szCs w:val="20"/>
                <w:color w:val="auto"/>
              </w:rPr>
            </w:pPr>
            <w:r>
              <w:rPr>
                <w:rFonts w:ascii="Arial" w:cs="Arial" w:eastAsia="Arial" w:hAnsi="Arial"/>
                <w:sz w:val="18"/>
                <w:szCs w:val="18"/>
                <w:color w:val="auto"/>
              </w:rPr>
              <w:t>48.00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10898</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2006-S4</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56.27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10897</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2006-S3</w:t>
            </w:r>
          </w:p>
        </w:tc>
        <w:tc>
          <w:tcPr>
            <w:tcW w:w="3140" w:type="dxa"/>
            <w:vAlign w:val="bottom"/>
          </w:tcPr>
          <w:p>
            <w:pPr>
              <w:jc w:val="right"/>
              <w:spacing w:after="0"/>
              <w:rPr>
                <w:sz w:val="20"/>
                <w:szCs w:val="20"/>
                <w:color w:val="auto"/>
              </w:rPr>
            </w:pPr>
            <w:r>
              <w:rPr>
                <w:rFonts w:ascii="Arial" w:cs="Arial" w:eastAsia="Arial" w:hAnsi="Arial"/>
                <w:sz w:val="18"/>
                <w:szCs w:val="18"/>
                <w:color w:val="auto"/>
              </w:rPr>
              <w:t>54.98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10896</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2006-S2</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52.31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RFMSI 2006-S12</w:t>
            </w:r>
          </w:p>
        </w:tc>
        <w:tc>
          <w:tcPr>
            <w:tcW w:w="3140" w:type="dxa"/>
            <w:vAlign w:val="bottom"/>
          </w:tcPr>
          <w:p>
            <w:pPr>
              <w:jc w:val="right"/>
              <w:spacing w:after="0"/>
              <w:rPr>
                <w:sz w:val="20"/>
                <w:szCs w:val="20"/>
                <w:color w:val="auto"/>
              </w:rPr>
            </w:pPr>
            <w:r>
              <w:rPr>
                <w:rFonts w:ascii="Arial" w:cs="Arial" w:eastAsia="Arial" w:hAnsi="Arial"/>
                <w:sz w:val="18"/>
                <w:szCs w:val="18"/>
                <w:color w:val="auto"/>
              </w:rPr>
              <w:t>48.98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2006-S11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55.47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RFMSI 2006-S10</w:t>
            </w:r>
          </w:p>
        </w:tc>
        <w:tc>
          <w:tcPr>
            <w:tcW w:w="3140" w:type="dxa"/>
            <w:vAlign w:val="bottom"/>
          </w:tcPr>
          <w:p>
            <w:pPr>
              <w:jc w:val="right"/>
              <w:spacing w:after="0"/>
              <w:rPr>
                <w:sz w:val="20"/>
                <w:szCs w:val="20"/>
                <w:color w:val="auto"/>
              </w:rPr>
            </w:pPr>
            <w:r>
              <w:rPr>
                <w:rFonts w:ascii="Arial" w:cs="Arial" w:eastAsia="Arial" w:hAnsi="Arial"/>
                <w:sz w:val="18"/>
                <w:szCs w:val="18"/>
                <w:color w:val="auto"/>
              </w:rPr>
              <w:t>55.20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10895</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2006-S1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52.75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10894</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2005-SA5</w:t>
            </w:r>
          </w:p>
        </w:tc>
        <w:tc>
          <w:tcPr>
            <w:tcW w:w="3140" w:type="dxa"/>
            <w:vAlign w:val="bottom"/>
          </w:tcPr>
          <w:p>
            <w:pPr>
              <w:jc w:val="right"/>
              <w:spacing w:after="0"/>
              <w:rPr>
                <w:sz w:val="20"/>
                <w:szCs w:val="20"/>
                <w:color w:val="auto"/>
              </w:rPr>
            </w:pPr>
            <w:r>
              <w:rPr>
                <w:rFonts w:ascii="Arial" w:cs="Arial" w:eastAsia="Arial" w:hAnsi="Arial"/>
                <w:sz w:val="18"/>
                <w:szCs w:val="18"/>
                <w:color w:val="auto"/>
              </w:rPr>
              <w:t>40.34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10893</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2005-SA4</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10892</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2005-SA3</w:t>
            </w:r>
          </w:p>
        </w:tc>
        <w:tc>
          <w:tcPr>
            <w:tcW w:w="3140" w:type="dxa"/>
            <w:vAlign w:val="bottom"/>
          </w:tcPr>
          <w:p>
            <w:pPr>
              <w:jc w:val="right"/>
              <w:spacing w:after="0"/>
              <w:rPr>
                <w:sz w:val="20"/>
                <w:szCs w:val="20"/>
                <w:color w:val="auto"/>
              </w:rPr>
            </w:pPr>
            <w:r>
              <w:rPr>
                <w:rFonts w:ascii="Arial" w:cs="Arial" w:eastAsia="Arial" w:hAnsi="Arial"/>
                <w:sz w:val="18"/>
                <w:szCs w:val="18"/>
                <w:color w:val="auto"/>
              </w:rPr>
              <w:t>31.91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10891</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2005-SA2</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50.06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10890</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2005-SA1</w:t>
            </w:r>
          </w:p>
        </w:tc>
        <w:tc>
          <w:tcPr>
            <w:tcW w:w="3140" w:type="dxa"/>
            <w:vAlign w:val="bottom"/>
          </w:tcPr>
          <w:p>
            <w:pPr>
              <w:jc w:val="right"/>
              <w:spacing w:after="0"/>
              <w:rPr>
                <w:sz w:val="20"/>
                <w:szCs w:val="20"/>
                <w:color w:val="auto"/>
              </w:rPr>
            </w:pPr>
            <w:r>
              <w:rPr>
                <w:rFonts w:ascii="Arial" w:cs="Arial" w:eastAsia="Arial" w:hAnsi="Arial"/>
                <w:sz w:val="18"/>
                <w:szCs w:val="18"/>
                <w:color w:val="auto"/>
              </w:rPr>
              <w:t>28.45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10889</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2005-S9</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52.33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10888</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2005-S8</w:t>
            </w:r>
          </w:p>
        </w:tc>
        <w:tc>
          <w:tcPr>
            <w:tcW w:w="3140" w:type="dxa"/>
            <w:vAlign w:val="bottom"/>
          </w:tcPr>
          <w:p>
            <w:pPr>
              <w:jc w:val="right"/>
              <w:spacing w:after="0"/>
              <w:rPr>
                <w:sz w:val="20"/>
                <w:szCs w:val="20"/>
                <w:color w:val="auto"/>
              </w:rPr>
            </w:pPr>
            <w:r>
              <w:rPr>
                <w:rFonts w:ascii="Arial" w:cs="Arial" w:eastAsia="Arial" w:hAnsi="Arial"/>
                <w:sz w:val="18"/>
                <w:szCs w:val="18"/>
                <w:color w:val="auto"/>
              </w:rPr>
              <w:t>52.90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10886</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2005-S6</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47.99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10885</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2005-S5</w:t>
            </w:r>
          </w:p>
        </w:tc>
        <w:tc>
          <w:tcPr>
            <w:tcW w:w="3140" w:type="dxa"/>
            <w:vAlign w:val="bottom"/>
          </w:tcPr>
          <w:p>
            <w:pPr>
              <w:jc w:val="right"/>
              <w:spacing w:after="0"/>
              <w:rPr>
                <w:sz w:val="20"/>
                <w:szCs w:val="20"/>
                <w:color w:val="auto"/>
              </w:rPr>
            </w:pPr>
            <w:r>
              <w:rPr>
                <w:rFonts w:ascii="Arial" w:cs="Arial" w:eastAsia="Arial" w:hAnsi="Arial"/>
                <w:sz w:val="18"/>
                <w:szCs w:val="18"/>
                <w:color w:val="auto"/>
              </w:rPr>
              <w:t>45.63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10884</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2005-S4</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50.73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10883</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2005-S3</w:t>
            </w:r>
          </w:p>
        </w:tc>
        <w:tc>
          <w:tcPr>
            <w:tcW w:w="3140" w:type="dxa"/>
            <w:vAlign w:val="bottom"/>
          </w:tcPr>
          <w:p>
            <w:pPr>
              <w:jc w:val="right"/>
              <w:spacing w:after="0"/>
              <w:rPr>
                <w:sz w:val="20"/>
                <w:szCs w:val="20"/>
                <w:color w:val="auto"/>
              </w:rPr>
            </w:pPr>
            <w:r>
              <w:rPr>
                <w:rFonts w:ascii="Arial" w:cs="Arial" w:eastAsia="Arial" w:hAnsi="Arial"/>
                <w:sz w:val="18"/>
                <w:szCs w:val="18"/>
                <w:color w:val="auto"/>
              </w:rPr>
              <w:t>16.90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10881</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2005-S1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47.47</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10660</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2004-SA1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53.27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10659</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2004-S9</w:t>
            </w:r>
          </w:p>
        </w:tc>
        <w:tc>
          <w:tcPr>
            <w:tcW w:w="3140" w:type="dxa"/>
            <w:vAlign w:val="bottom"/>
          </w:tcPr>
          <w:p>
            <w:pPr>
              <w:jc w:val="right"/>
              <w:spacing w:after="0"/>
              <w:rPr>
                <w:sz w:val="20"/>
                <w:szCs w:val="20"/>
                <w:color w:val="auto"/>
              </w:rPr>
            </w:pPr>
            <w:r>
              <w:rPr>
                <w:rFonts w:ascii="Arial" w:cs="Arial" w:eastAsia="Arial" w:hAnsi="Arial"/>
                <w:sz w:val="18"/>
                <w:szCs w:val="18"/>
                <w:color w:val="auto"/>
              </w:rPr>
              <w:t>48.36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10658</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2004-S8</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61.42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10657</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2004-S7</w:t>
            </w:r>
          </w:p>
        </w:tc>
        <w:tc>
          <w:tcPr>
            <w:tcW w:w="3140" w:type="dxa"/>
            <w:vAlign w:val="bottom"/>
          </w:tcPr>
          <w:p>
            <w:pPr>
              <w:jc w:val="right"/>
              <w:spacing w:after="0"/>
              <w:rPr>
                <w:sz w:val="20"/>
                <w:szCs w:val="20"/>
                <w:color w:val="auto"/>
              </w:rPr>
            </w:pPr>
            <w:r>
              <w:rPr>
                <w:rFonts w:ascii="Arial" w:cs="Arial" w:eastAsia="Arial" w:hAnsi="Arial"/>
                <w:sz w:val="18"/>
                <w:szCs w:val="18"/>
                <w:color w:val="auto"/>
              </w:rPr>
              <w:t>33.84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10656</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2004-S6</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58.04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10655</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2004-S5</w:t>
            </w:r>
          </w:p>
        </w:tc>
        <w:tc>
          <w:tcPr>
            <w:tcW w:w="3140" w:type="dxa"/>
            <w:vAlign w:val="bottom"/>
          </w:tcPr>
          <w:p>
            <w:pPr>
              <w:jc w:val="right"/>
              <w:spacing w:after="0"/>
              <w:rPr>
                <w:sz w:val="20"/>
                <w:szCs w:val="20"/>
                <w:color w:val="auto"/>
              </w:rPr>
            </w:pPr>
            <w:r>
              <w:rPr>
                <w:rFonts w:ascii="Arial" w:cs="Arial" w:eastAsia="Arial" w:hAnsi="Arial"/>
                <w:sz w:val="18"/>
                <w:szCs w:val="18"/>
                <w:color w:val="auto"/>
              </w:rPr>
              <w:t>58.88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10654</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2004-S4</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56.22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10653</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2004-S3</w:t>
            </w:r>
          </w:p>
        </w:tc>
        <w:tc>
          <w:tcPr>
            <w:tcW w:w="3140" w:type="dxa"/>
            <w:vAlign w:val="bottom"/>
          </w:tcPr>
          <w:p>
            <w:pPr>
              <w:jc w:val="right"/>
              <w:spacing w:after="0"/>
              <w:rPr>
                <w:sz w:val="20"/>
                <w:szCs w:val="20"/>
                <w:color w:val="auto"/>
              </w:rPr>
            </w:pPr>
            <w:r>
              <w:rPr>
                <w:rFonts w:ascii="Arial" w:cs="Arial" w:eastAsia="Arial" w:hAnsi="Arial"/>
                <w:sz w:val="18"/>
                <w:szCs w:val="18"/>
                <w:color w:val="auto"/>
              </w:rPr>
              <w:t>31.93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10652</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2004-S2</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50.73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10651</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2004-S1</w:t>
            </w:r>
          </w:p>
        </w:tc>
        <w:tc>
          <w:tcPr>
            <w:tcW w:w="3140" w:type="dxa"/>
            <w:vAlign w:val="bottom"/>
          </w:tcPr>
          <w:p>
            <w:pPr>
              <w:jc w:val="right"/>
              <w:spacing w:after="0"/>
              <w:rPr>
                <w:sz w:val="20"/>
                <w:szCs w:val="20"/>
                <w:color w:val="auto"/>
              </w:rPr>
            </w:pPr>
            <w:r>
              <w:rPr>
                <w:rFonts w:ascii="Arial" w:cs="Arial" w:eastAsia="Arial" w:hAnsi="Arial"/>
                <w:sz w:val="18"/>
                <w:szCs w:val="18"/>
                <w:color w:val="auto"/>
              </w:rPr>
              <w:t>56.93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10606</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2004-PS1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23.12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10567</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2003-S7</w:t>
            </w:r>
          </w:p>
        </w:tc>
        <w:tc>
          <w:tcPr>
            <w:tcW w:w="3140" w:type="dxa"/>
            <w:vAlign w:val="bottom"/>
          </w:tcPr>
          <w:p>
            <w:pPr>
              <w:jc w:val="right"/>
              <w:spacing w:after="0"/>
              <w:rPr>
                <w:sz w:val="20"/>
                <w:szCs w:val="20"/>
                <w:color w:val="auto"/>
              </w:rPr>
            </w:pPr>
            <w:r>
              <w:rPr>
                <w:rFonts w:ascii="Arial" w:cs="Arial" w:eastAsia="Arial" w:hAnsi="Arial"/>
                <w:sz w:val="18"/>
                <w:szCs w:val="18"/>
                <w:color w:val="auto"/>
              </w:rPr>
              <w:t>63.34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10566</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2003-S6</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38.27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10565</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2003-S4</w:t>
            </w:r>
          </w:p>
        </w:tc>
        <w:tc>
          <w:tcPr>
            <w:tcW w:w="3140" w:type="dxa"/>
            <w:vAlign w:val="bottom"/>
          </w:tcPr>
          <w:p>
            <w:pPr>
              <w:jc w:val="right"/>
              <w:spacing w:after="0"/>
              <w:rPr>
                <w:sz w:val="20"/>
                <w:szCs w:val="20"/>
                <w:color w:val="auto"/>
              </w:rPr>
            </w:pPr>
            <w:r>
              <w:rPr>
                <w:rFonts w:ascii="Arial" w:cs="Arial" w:eastAsia="Arial" w:hAnsi="Arial"/>
                <w:sz w:val="18"/>
                <w:szCs w:val="18"/>
                <w:color w:val="auto"/>
              </w:rPr>
              <w:t>58.17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10564</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2003-S20</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39.18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10563</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2003-S19</w:t>
            </w:r>
          </w:p>
        </w:tc>
        <w:tc>
          <w:tcPr>
            <w:tcW w:w="3140" w:type="dxa"/>
            <w:vAlign w:val="bottom"/>
          </w:tcPr>
          <w:p>
            <w:pPr>
              <w:jc w:val="right"/>
              <w:spacing w:after="0"/>
              <w:rPr>
                <w:sz w:val="20"/>
                <w:szCs w:val="20"/>
                <w:color w:val="auto"/>
              </w:rPr>
            </w:pPr>
            <w:r>
              <w:rPr>
                <w:rFonts w:ascii="Arial" w:cs="Arial" w:eastAsia="Arial" w:hAnsi="Arial"/>
                <w:sz w:val="18"/>
                <w:szCs w:val="18"/>
                <w:color w:val="auto"/>
              </w:rPr>
              <w:t>51.59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10562</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2003-S18</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10561</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2003-S17</w:t>
            </w:r>
          </w:p>
        </w:tc>
        <w:tc>
          <w:tcPr>
            <w:tcW w:w="3140" w:type="dxa"/>
            <w:vAlign w:val="bottom"/>
          </w:tcPr>
          <w:p>
            <w:pPr>
              <w:jc w:val="right"/>
              <w:spacing w:after="0"/>
              <w:rPr>
                <w:sz w:val="20"/>
                <w:szCs w:val="20"/>
                <w:color w:val="auto"/>
              </w:rPr>
            </w:pPr>
            <w:r>
              <w:rPr>
                <w:rFonts w:ascii="Arial" w:cs="Arial" w:eastAsia="Arial" w:hAnsi="Arial"/>
                <w:sz w:val="18"/>
                <w:szCs w:val="18"/>
                <w:color w:val="auto"/>
              </w:rPr>
              <w:t>58.55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10560</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2003-S16</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36.62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10559</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2003-S15</w:t>
            </w:r>
          </w:p>
        </w:tc>
        <w:tc>
          <w:tcPr>
            <w:tcW w:w="3140" w:type="dxa"/>
            <w:vAlign w:val="bottom"/>
          </w:tcPr>
          <w:p>
            <w:pPr>
              <w:jc w:val="right"/>
              <w:spacing w:after="0"/>
              <w:rPr>
                <w:sz w:val="20"/>
                <w:szCs w:val="20"/>
                <w:color w:val="auto"/>
              </w:rPr>
            </w:pPr>
            <w:r>
              <w:rPr>
                <w:rFonts w:ascii="Arial" w:cs="Arial" w:eastAsia="Arial" w:hAnsi="Arial"/>
                <w:sz w:val="18"/>
                <w:szCs w:val="18"/>
                <w:color w:val="auto"/>
              </w:rPr>
              <w:t>37.50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10558</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2003-S14</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10557</w:t>
            </w:r>
          </w:p>
        </w:tc>
        <w:tc>
          <w:tcPr>
            <w:tcW w:w="4140" w:type="dxa"/>
            <w:vAlign w:val="bottom"/>
          </w:tcPr>
          <w:p>
            <w:pPr>
              <w:ind w:left="160"/>
              <w:spacing w:after="0"/>
              <w:rPr>
                <w:sz w:val="20"/>
                <w:szCs w:val="20"/>
                <w:color w:val="auto"/>
              </w:rPr>
            </w:pPr>
            <w:r>
              <w:rPr>
                <w:rFonts w:ascii="Arial" w:cs="Arial" w:eastAsia="Arial" w:hAnsi="Arial"/>
                <w:sz w:val="18"/>
                <w:szCs w:val="18"/>
                <w:color w:val="auto"/>
              </w:rPr>
              <w:t>RFMSI 2003-S13</w:t>
            </w:r>
          </w:p>
        </w:tc>
        <w:tc>
          <w:tcPr>
            <w:tcW w:w="3140" w:type="dxa"/>
            <w:vAlign w:val="bottom"/>
          </w:tcPr>
          <w:p>
            <w:pPr>
              <w:jc w:val="right"/>
              <w:spacing w:after="0"/>
              <w:rPr>
                <w:sz w:val="20"/>
                <w:szCs w:val="20"/>
                <w:color w:val="auto"/>
              </w:rPr>
            </w:pPr>
            <w:r>
              <w:rPr>
                <w:rFonts w:ascii="Arial" w:cs="Arial" w:eastAsia="Arial" w:hAnsi="Arial"/>
                <w:sz w:val="18"/>
                <w:szCs w:val="18"/>
                <w:color w:val="auto"/>
              </w:rPr>
              <w:t>62.37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10556</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2003-S12</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53.43</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10555</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RFMSI 2003-S11</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10554</w:t>
            </w:r>
          </w:p>
        </w:tc>
        <w:tc>
          <w:tcPr>
            <w:tcW w:w="4120" w:type="dxa"/>
            <w:vAlign w:val="bottom"/>
          </w:tcPr>
          <w:p>
            <w:pPr>
              <w:ind w:left="160"/>
              <w:spacing w:after="0"/>
              <w:rPr>
                <w:sz w:val="20"/>
                <w:szCs w:val="20"/>
                <w:color w:val="auto"/>
              </w:rPr>
            </w:pPr>
            <w:r>
              <w:rPr>
                <w:rFonts w:ascii="Arial" w:cs="Arial" w:eastAsia="Arial" w:hAnsi="Arial"/>
                <w:sz w:val="18"/>
                <w:szCs w:val="18"/>
                <w:color w:val="auto"/>
              </w:rPr>
              <w:t>RFMSI 2003-S10</w:t>
            </w:r>
          </w:p>
        </w:tc>
        <w:tc>
          <w:tcPr>
            <w:tcW w:w="3160" w:type="dxa"/>
            <w:vAlign w:val="bottom"/>
          </w:tcPr>
          <w:p>
            <w:pPr>
              <w:jc w:val="right"/>
              <w:spacing w:after="0"/>
              <w:rPr>
                <w:sz w:val="20"/>
                <w:szCs w:val="20"/>
                <w:color w:val="auto"/>
              </w:rPr>
            </w:pPr>
            <w:r>
              <w:rPr>
                <w:rFonts w:ascii="Arial" w:cs="Arial" w:eastAsia="Arial" w:hAnsi="Arial"/>
                <w:sz w:val="18"/>
                <w:szCs w:val="18"/>
                <w:color w:val="auto"/>
              </w:rPr>
              <w:t>55.28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10880</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2007-KS4</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19.90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10879</w:t>
            </w:r>
          </w:p>
        </w:tc>
        <w:tc>
          <w:tcPr>
            <w:tcW w:w="4120" w:type="dxa"/>
            <w:vAlign w:val="bottom"/>
          </w:tcPr>
          <w:p>
            <w:pPr>
              <w:ind w:left="160"/>
              <w:spacing w:after="0"/>
              <w:rPr>
                <w:sz w:val="20"/>
                <w:szCs w:val="20"/>
                <w:color w:val="auto"/>
              </w:rPr>
            </w:pPr>
            <w:r>
              <w:rPr>
                <w:rFonts w:ascii="Arial" w:cs="Arial" w:eastAsia="Arial" w:hAnsi="Arial"/>
                <w:sz w:val="18"/>
                <w:szCs w:val="18"/>
                <w:color w:val="auto"/>
              </w:rPr>
              <w:t>RASC 2007-KS3</w:t>
            </w:r>
          </w:p>
        </w:tc>
        <w:tc>
          <w:tcPr>
            <w:tcW w:w="3160" w:type="dxa"/>
            <w:vAlign w:val="bottom"/>
          </w:tcPr>
          <w:p>
            <w:pPr>
              <w:jc w:val="right"/>
              <w:spacing w:after="0"/>
              <w:rPr>
                <w:sz w:val="20"/>
                <w:szCs w:val="20"/>
                <w:color w:val="auto"/>
              </w:rPr>
            </w:pPr>
            <w:r>
              <w:rPr>
                <w:rFonts w:ascii="Arial" w:cs="Arial" w:eastAsia="Arial" w:hAnsi="Arial"/>
                <w:sz w:val="18"/>
                <w:szCs w:val="18"/>
                <w:color w:val="auto"/>
              </w:rPr>
              <w:t>21.19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10878</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2007-KS2</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19.91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10877</w:t>
            </w:r>
          </w:p>
        </w:tc>
        <w:tc>
          <w:tcPr>
            <w:tcW w:w="4120" w:type="dxa"/>
            <w:vAlign w:val="bottom"/>
          </w:tcPr>
          <w:p>
            <w:pPr>
              <w:ind w:left="160"/>
              <w:spacing w:after="0"/>
              <w:rPr>
                <w:sz w:val="20"/>
                <w:szCs w:val="20"/>
                <w:color w:val="auto"/>
              </w:rPr>
            </w:pPr>
            <w:r>
              <w:rPr>
                <w:rFonts w:ascii="Arial" w:cs="Arial" w:eastAsia="Arial" w:hAnsi="Arial"/>
                <w:sz w:val="18"/>
                <w:szCs w:val="18"/>
                <w:color w:val="auto"/>
              </w:rPr>
              <w:t>RASC 2007-KS1</w:t>
            </w:r>
          </w:p>
        </w:tc>
        <w:tc>
          <w:tcPr>
            <w:tcW w:w="3160" w:type="dxa"/>
            <w:vAlign w:val="bottom"/>
          </w:tcPr>
          <w:p>
            <w:pPr>
              <w:jc w:val="right"/>
              <w:spacing w:after="0"/>
              <w:rPr>
                <w:sz w:val="20"/>
                <w:szCs w:val="20"/>
                <w:color w:val="auto"/>
              </w:rPr>
            </w:pPr>
            <w:r>
              <w:rPr>
                <w:rFonts w:ascii="Arial" w:cs="Arial" w:eastAsia="Arial" w:hAnsi="Arial"/>
                <w:sz w:val="18"/>
                <w:szCs w:val="18"/>
                <w:color w:val="auto"/>
              </w:rPr>
              <w:t>23.52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10875</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2006-KS9</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19.98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10874</w:t>
            </w:r>
          </w:p>
        </w:tc>
        <w:tc>
          <w:tcPr>
            <w:tcW w:w="4120" w:type="dxa"/>
            <w:vAlign w:val="bottom"/>
          </w:tcPr>
          <w:p>
            <w:pPr>
              <w:ind w:left="160"/>
              <w:spacing w:after="0"/>
              <w:rPr>
                <w:sz w:val="20"/>
                <w:szCs w:val="20"/>
                <w:color w:val="auto"/>
              </w:rPr>
            </w:pPr>
            <w:r>
              <w:rPr>
                <w:rFonts w:ascii="Arial" w:cs="Arial" w:eastAsia="Arial" w:hAnsi="Arial"/>
                <w:sz w:val="18"/>
                <w:szCs w:val="18"/>
                <w:color w:val="auto"/>
              </w:rPr>
              <w:t>RASC 2006-KS8</w:t>
            </w:r>
          </w:p>
        </w:tc>
        <w:tc>
          <w:tcPr>
            <w:tcW w:w="3160" w:type="dxa"/>
            <w:vAlign w:val="bottom"/>
          </w:tcPr>
          <w:p>
            <w:pPr>
              <w:jc w:val="right"/>
              <w:spacing w:after="0"/>
              <w:rPr>
                <w:sz w:val="20"/>
                <w:szCs w:val="20"/>
                <w:color w:val="auto"/>
              </w:rPr>
            </w:pPr>
            <w:r>
              <w:rPr>
                <w:rFonts w:ascii="Arial" w:cs="Arial" w:eastAsia="Arial" w:hAnsi="Arial"/>
                <w:sz w:val="18"/>
                <w:szCs w:val="18"/>
                <w:color w:val="auto"/>
              </w:rPr>
              <w:t>17.44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10873</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2006-KS7</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16.65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10872</w:t>
            </w:r>
          </w:p>
        </w:tc>
        <w:tc>
          <w:tcPr>
            <w:tcW w:w="4120" w:type="dxa"/>
            <w:vAlign w:val="bottom"/>
          </w:tcPr>
          <w:p>
            <w:pPr>
              <w:ind w:left="160"/>
              <w:spacing w:after="0"/>
              <w:rPr>
                <w:sz w:val="20"/>
                <w:szCs w:val="20"/>
                <w:color w:val="auto"/>
              </w:rPr>
            </w:pPr>
            <w:r>
              <w:rPr>
                <w:rFonts w:ascii="Arial" w:cs="Arial" w:eastAsia="Arial" w:hAnsi="Arial"/>
                <w:sz w:val="18"/>
                <w:szCs w:val="18"/>
                <w:color w:val="auto"/>
              </w:rPr>
              <w:t>RASC 2006-KS6</w:t>
            </w:r>
          </w:p>
        </w:tc>
        <w:tc>
          <w:tcPr>
            <w:tcW w:w="3160" w:type="dxa"/>
            <w:vAlign w:val="bottom"/>
          </w:tcPr>
          <w:p>
            <w:pPr>
              <w:jc w:val="right"/>
              <w:spacing w:after="0"/>
              <w:rPr>
                <w:sz w:val="20"/>
                <w:szCs w:val="20"/>
                <w:color w:val="auto"/>
              </w:rPr>
            </w:pPr>
            <w:r>
              <w:rPr>
                <w:rFonts w:ascii="Arial" w:cs="Arial" w:eastAsia="Arial" w:hAnsi="Arial"/>
                <w:sz w:val="18"/>
                <w:szCs w:val="18"/>
                <w:color w:val="auto"/>
              </w:rPr>
              <w:t>16.06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10871</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2006-KS5</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10870</w:t>
            </w:r>
          </w:p>
        </w:tc>
        <w:tc>
          <w:tcPr>
            <w:tcW w:w="4120" w:type="dxa"/>
            <w:vAlign w:val="bottom"/>
          </w:tcPr>
          <w:p>
            <w:pPr>
              <w:ind w:left="160"/>
              <w:spacing w:after="0"/>
              <w:rPr>
                <w:sz w:val="20"/>
                <w:szCs w:val="20"/>
                <w:color w:val="auto"/>
              </w:rPr>
            </w:pPr>
            <w:r>
              <w:rPr>
                <w:rFonts w:ascii="Arial" w:cs="Arial" w:eastAsia="Arial" w:hAnsi="Arial"/>
                <w:sz w:val="18"/>
                <w:szCs w:val="18"/>
                <w:color w:val="auto"/>
              </w:rPr>
              <w:t>RASC 2006-KS4</w:t>
            </w:r>
          </w:p>
        </w:tc>
        <w:tc>
          <w:tcPr>
            <w:tcW w:w="3160" w:type="dxa"/>
            <w:vAlign w:val="bottom"/>
          </w:tcPr>
          <w:p>
            <w:pPr>
              <w:jc w:val="right"/>
              <w:spacing w:after="0"/>
              <w:rPr>
                <w:sz w:val="20"/>
                <w:szCs w:val="20"/>
                <w:color w:val="auto"/>
              </w:rPr>
            </w:pPr>
            <w:r>
              <w:rPr>
                <w:rFonts w:ascii="Arial" w:cs="Arial" w:eastAsia="Arial" w:hAnsi="Arial"/>
                <w:sz w:val="18"/>
                <w:szCs w:val="18"/>
                <w:color w:val="auto"/>
              </w:rPr>
              <w:t>12.28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10869</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2006-KS3</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17.50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10868</w:t>
            </w:r>
          </w:p>
        </w:tc>
        <w:tc>
          <w:tcPr>
            <w:tcW w:w="4120" w:type="dxa"/>
            <w:vAlign w:val="bottom"/>
          </w:tcPr>
          <w:p>
            <w:pPr>
              <w:ind w:left="160"/>
              <w:spacing w:after="0"/>
              <w:rPr>
                <w:sz w:val="20"/>
                <w:szCs w:val="20"/>
                <w:color w:val="auto"/>
              </w:rPr>
            </w:pPr>
            <w:r>
              <w:rPr>
                <w:rFonts w:ascii="Arial" w:cs="Arial" w:eastAsia="Arial" w:hAnsi="Arial"/>
                <w:sz w:val="18"/>
                <w:szCs w:val="18"/>
                <w:color w:val="auto"/>
              </w:rPr>
              <w:t>RASC 2006-KS2</w:t>
            </w:r>
          </w:p>
        </w:tc>
        <w:tc>
          <w:tcPr>
            <w:tcW w:w="3160" w:type="dxa"/>
            <w:vAlign w:val="bottom"/>
          </w:tcPr>
          <w:p>
            <w:pPr>
              <w:jc w:val="right"/>
              <w:spacing w:after="0"/>
              <w:rPr>
                <w:sz w:val="20"/>
                <w:szCs w:val="20"/>
                <w:color w:val="auto"/>
              </w:rPr>
            </w:pPr>
            <w:r>
              <w:rPr>
                <w:rFonts w:ascii="Arial" w:cs="Arial" w:eastAsia="Arial" w:hAnsi="Arial"/>
                <w:sz w:val="18"/>
                <w:szCs w:val="18"/>
                <w:color w:val="auto"/>
              </w:rPr>
              <w:t>16.71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10867</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2006-KS1</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18.25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10707</w:t>
            </w:r>
          </w:p>
        </w:tc>
        <w:tc>
          <w:tcPr>
            <w:tcW w:w="4120" w:type="dxa"/>
            <w:vAlign w:val="bottom"/>
          </w:tcPr>
          <w:p>
            <w:pPr>
              <w:ind w:left="160"/>
              <w:spacing w:after="0"/>
              <w:rPr>
                <w:sz w:val="20"/>
                <w:szCs w:val="20"/>
                <w:color w:val="auto"/>
              </w:rPr>
            </w:pPr>
            <w:r>
              <w:rPr>
                <w:rFonts w:ascii="Arial" w:cs="Arial" w:eastAsia="Arial" w:hAnsi="Arial"/>
                <w:sz w:val="18"/>
                <w:szCs w:val="18"/>
                <w:color w:val="auto"/>
              </w:rPr>
              <w:t>RASC 2005-KS9</w:t>
            </w:r>
          </w:p>
        </w:tc>
        <w:tc>
          <w:tcPr>
            <w:tcW w:w="3160" w:type="dxa"/>
            <w:vAlign w:val="bottom"/>
          </w:tcPr>
          <w:p>
            <w:pPr>
              <w:jc w:val="right"/>
              <w:spacing w:after="0"/>
              <w:rPr>
                <w:sz w:val="20"/>
                <w:szCs w:val="20"/>
                <w:color w:val="auto"/>
              </w:rPr>
            </w:pPr>
            <w:r>
              <w:rPr>
                <w:rFonts w:ascii="Arial" w:cs="Arial" w:eastAsia="Arial" w:hAnsi="Arial"/>
                <w:sz w:val="18"/>
                <w:szCs w:val="18"/>
                <w:color w:val="auto"/>
              </w:rPr>
              <w:t>19.79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10706</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2005-KS8</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17.08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10705</w:t>
            </w:r>
          </w:p>
        </w:tc>
        <w:tc>
          <w:tcPr>
            <w:tcW w:w="4120" w:type="dxa"/>
            <w:vAlign w:val="bottom"/>
          </w:tcPr>
          <w:p>
            <w:pPr>
              <w:ind w:left="160"/>
              <w:spacing w:after="0"/>
              <w:rPr>
                <w:sz w:val="20"/>
                <w:szCs w:val="20"/>
                <w:color w:val="auto"/>
              </w:rPr>
            </w:pPr>
            <w:r>
              <w:rPr>
                <w:rFonts w:ascii="Arial" w:cs="Arial" w:eastAsia="Arial" w:hAnsi="Arial"/>
                <w:sz w:val="18"/>
                <w:szCs w:val="18"/>
                <w:color w:val="auto"/>
              </w:rPr>
              <w:t>RASC 2005-KS7</w:t>
            </w:r>
          </w:p>
        </w:tc>
        <w:tc>
          <w:tcPr>
            <w:tcW w:w="3160" w:type="dxa"/>
            <w:vAlign w:val="bottom"/>
          </w:tcPr>
          <w:p>
            <w:pPr>
              <w:jc w:val="right"/>
              <w:spacing w:after="0"/>
              <w:rPr>
                <w:sz w:val="20"/>
                <w:szCs w:val="20"/>
                <w:color w:val="auto"/>
              </w:rPr>
            </w:pPr>
            <w:r>
              <w:rPr>
                <w:rFonts w:ascii="Arial" w:cs="Arial" w:eastAsia="Arial" w:hAnsi="Arial"/>
                <w:sz w:val="18"/>
                <w:szCs w:val="18"/>
                <w:color w:val="auto"/>
              </w:rPr>
              <w:t>17.32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10704</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2005-KS6</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10703</w:t>
            </w:r>
          </w:p>
        </w:tc>
        <w:tc>
          <w:tcPr>
            <w:tcW w:w="4120" w:type="dxa"/>
            <w:vAlign w:val="bottom"/>
          </w:tcPr>
          <w:p>
            <w:pPr>
              <w:ind w:left="160"/>
              <w:spacing w:after="0"/>
              <w:rPr>
                <w:sz w:val="20"/>
                <w:szCs w:val="20"/>
                <w:color w:val="auto"/>
              </w:rPr>
            </w:pPr>
            <w:r>
              <w:rPr>
                <w:rFonts w:ascii="Arial" w:cs="Arial" w:eastAsia="Arial" w:hAnsi="Arial"/>
                <w:sz w:val="18"/>
                <w:szCs w:val="18"/>
                <w:color w:val="auto"/>
              </w:rPr>
              <w:t>RASC 2005-KS5</w:t>
            </w:r>
          </w:p>
        </w:tc>
        <w:tc>
          <w:tcPr>
            <w:tcW w:w="3160" w:type="dxa"/>
            <w:vAlign w:val="bottom"/>
          </w:tcPr>
          <w:p>
            <w:pPr>
              <w:jc w:val="right"/>
              <w:spacing w:after="0"/>
              <w:rPr>
                <w:sz w:val="20"/>
                <w:szCs w:val="20"/>
                <w:color w:val="auto"/>
              </w:rPr>
            </w:pPr>
            <w:r>
              <w:rPr>
                <w:rFonts w:ascii="Arial" w:cs="Arial" w:eastAsia="Arial" w:hAnsi="Arial"/>
                <w:sz w:val="18"/>
                <w:szCs w:val="18"/>
                <w:color w:val="auto"/>
              </w:rPr>
              <w:t>22.04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10702</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2005-KS4</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10701</w:t>
            </w:r>
          </w:p>
        </w:tc>
        <w:tc>
          <w:tcPr>
            <w:tcW w:w="4120" w:type="dxa"/>
            <w:vAlign w:val="bottom"/>
          </w:tcPr>
          <w:p>
            <w:pPr>
              <w:ind w:left="160"/>
              <w:spacing w:after="0"/>
              <w:rPr>
                <w:sz w:val="20"/>
                <w:szCs w:val="20"/>
                <w:color w:val="auto"/>
              </w:rPr>
            </w:pPr>
            <w:r>
              <w:rPr>
                <w:rFonts w:ascii="Arial" w:cs="Arial" w:eastAsia="Arial" w:hAnsi="Arial"/>
                <w:sz w:val="18"/>
                <w:szCs w:val="18"/>
                <w:color w:val="auto"/>
              </w:rPr>
              <w:t>RASC 2005-KS3</w:t>
            </w:r>
          </w:p>
        </w:tc>
        <w:tc>
          <w:tcPr>
            <w:tcW w:w="3160" w:type="dxa"/>
            <w:vAlign w:val="bottom"/>
          </w:tcPr>
          <w:p>
            <w:pPr>
              <w:jc w:val="right"/>
              <w:spacing w:after="0"/>
              <w:rPr>
                <w:sz w:val="20"/>
                <w:szCs w:val="20"/>
                <w:color w:val="auto"/>
              </w:rPr>
            </w:pPr>
            <w:r>
              <w:rPr>
                <w:rFonts w:ascii="Arial" w:cs="Arial" w:eastAsia="Arial" w:hAnsi="Arial"/>
                <w:sz w:val="18"/>
                <w:szCs w:val="18"/>
                <w:color w:val="auto"/>
              </w:rPr>
              <w:t>16.73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10700</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2005-KS2</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12.75</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10699</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2005-KS12</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18.11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10698</w:t>
            </w:r>
          </w:p>
        </w:tc>
        <w:tc>
          <w:tcPr>
            <w:tcW w:w="4160" w:type="dxa"/>
            <w:vAlign w:val="bottom"/>
          </w:tcPr>
          <w:p>
            <w:pPr>
              <w:ind w:left="160"/>
              <w:spacing w:after="0"/>
              <w:rPr>
                <w:sz w:val="20"/>
                <w:szCs w:val="20"/>
                <w:color w:val="auto"/>
              </w:rPr>
            </w:pPr>
            <w:r>
              <w:rPr>
                <w:rFonts w:ascii="Arial" w:cs="Arial" w:eastAsia="Arial" w:hAnsi="Arial"/>
                <w:sz w:val="18"/>
                <w:szCs w:val="18"/>
                <w:color w:val="auto"/>
              </w:rPr>
              <w:t>RASC 2005-KS11</w:t>
            </w:r>
          </w:p>
        </w:tc>
        <w:tc>
          <w:tcPr>
            <w:tcW w:w="3120" w:type="dxa"/>
            <w:vAlign w:val="bottom"/>
          </w:tcPr>
          <w:p>
            <w:pPr>
              <w:jc w:val="right"/>
              <w:spacing w:after="0"/>
              <w:rPr>
                <w:sz w:val="20"/>
                <w:szCs w:val="20"/>
                <w:color w:val="auto"/>
              </w:rPr>
            </w:pPr>
            <w:r>
              <w:rPr>
                <w:rFonts w:ascii="Arial" w:cs="Arial" w:eastAsia="Arial" w:hAnsi="Arial"/>
                <w:sz w:val="18"/>
                <w:szCs w:val="18"/>
                <w:color w:val="auto"/>
              </w:rPr>
              <w:t>18.37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10697</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2005-KS10</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19.21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10696</w:t>
            </w:r>
          </w:p>
        </w:tc>
        <w:tc>
          <w:tcPr>
            <w:tcW w:w="4160" w:type="dxa"/>
            <w:vAlign w:val="bottom"/>
          </w:tcPr>
          <w:p>
            <w:pPr>
              <w:ind w:left="160"/>
              <w:spacing w:after="0"/>
              <w:rPr>
                <w:sz w:val="20"/>
                <w:szCs w:val="20"/>
                <w:color w:val="auto"/>
              </w:rPr>
            </w:pPr>
            <w:r>
              <w:rPr>
                <w:rFonts w:ascii="Arial" w:cs="Arial" w:eastAsia="Arial" w:hAnsi="Arial"/>
                <w:sz w:val="18"/>
                <w:szCs w:val="18"/>
                <w:color w:val="auto"/>
              </w:rPr>
              <w:t>RASC 2005-KS1</w:t>
            </w:r>
          </w:p>
        </w:tc>
        <w:tc>
          <w:tcPr>
            <w:tcW w:w="3120" w:type="dxa"/>
            <w:vAlign w:val="bottom"/>
          </w:tcPr>
          <w:p>
            <w:pPr>
              <w:jc w:val="right"/>
              <w:spacing w:after="0"/>
              <w:rPr>
                <w:sz w:val="20"/>
                <w:szCs w:val="20"/>
                <w:color w:val="auto"/>
              </w:rPr>
            </w:pPr>
            <w:r>
              <w:rPr>
                <w:rFonts w:ascii="Arial" w:cs="Arial" w:eastAsia="Arial" w:hAnsi="Arial"/>
                <w:sz w:val="18"/>
                <w:szCs w:val="18"/>
                <w:color w:val="auto"/>
              </w:rPr>
              <w:t>9.48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10684</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2005-AHL3</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19.42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10683</w:t>
            </w:r>
          </w:p>
        </w:tc>
        <w:tc>
          <w:tcPr>
            <w:tcW w:w="4160" w:type="dxa"/>
            <w:vAlign w:val="bottom"/>
          </w:tcPr>
          <w:p>
            <w:pPr>
              <w:ind w:left="160"/>
              <w:spacing w:after="0"/>
              <w:rPr>
                <w:sz w:val="20"/>
                <w:szCs w:val="20"/>
                <w:color w:val="auto"/>
              </w:rPr>
            </w:pPr>
            <w:r>
              <w:rPr>
                <w:rFonts w:ascii="Arial" w:cs="Arial" w:eastAsia="Arial" w:hAnsi="Arial"/>
                <w:sz w:val="18"/>
                <w:szCs w:val="18"/>
                <w:color w:val="auto"/>
              </w:rPr>
              <w:t>RASC 2005-AHL2</w:t>
            </w:r>
          </w:p>
        </w:tc>
        <w:tc>
          <w:tcPr>
            <w:tcW w:w="3120" w:type="dxa"/>
            <w:vAlign w:val="bottom"/>
          </w:tcPr>
          <w:p>
            <w:pPr>
              <w:jc w:val="right"/>
              <w:spacing w:after="0"/>
              <w:rPr>
                <w:sz w:val="20"/>
                <w:szCs w:val="20"/>
                <w:color w:val="auto"/>
              </w:rPr>
            </w:pPr>
            <w:r>
              <w:rPr>
                <w:rFonts w:ascii="Arial" w:cs="Arial" w:eastAsia="Arial" w:hAnsi="Arial"/>
                <w:sz w:val="18"/>
                <w:szCs w:val="18"/>
                <w:color w:val="auto"/>
              </w:rPr>
              <w:t>24.35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10682</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2005-AHL1</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17.01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10602</w:t>
            </w:r>
          </w:p>
        </w:tc>
        <w:tc>
          <w:tcPr>
            <w:tcW w:w="4160" w:type="dxa"/>
            <w:vAlign w:val="bottom"/>
          </w:tcPr>
          <w:p>
            <w:pPr>
              <w:ind w:left="160"/>
              <w:spacing w:after="0"/>
              <w:rPr>
                <w:sz w:val="20"/>
                <w:szCs w:val="20"/>
                <w:color w:val="auto"/>
              </w:rPr>
            </w:pPr>
            <w:r>
              <w:rPr>
                <w:rFonts w:ascii="Arial" w:cs="Arial" w:eastAsia="Arial" w:hAnsi="Arial"/>
                <w:sz w:val="18"/>
                <w:szCs w:val="18"/>
                <w:color w:val="auto"/>
              </w:rPr>
              <w:t>RASC 2004-KS8</w:t>
            </w:r>
          </w:p>
        </w:tc>
        <w:tc>
          <w:tcPr>
            <w:tcW w:w="3120" w:type="dxa"/>
            <w:vAlign w:val="bottom"/>
          </w:tcPr>
          <w:p>
            <w:pPr>
              <w:jc w:val="right"/>
              <w:spacing w:after="0"/>
              <w:rPr>
                <w:sz w:val="20"/>
                <w:szCs w:val="20"/>
                <w:color w:val="auto"/>
              </w:rPr>
            </w:pPr>
            <w:r>
              <w:rPr>
                <w:rFonts w:ascii="Arial" w:cs="Arial" w:eastAsia="Arial" w:hAnsi="Arial"/>
                <w:sz w:val="18"/>
                <w:szCs w:val="18"/>
                <w:color w:val="auto"/>
              </w:rPr>
              <w:t>40.95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10600</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2004-KS6</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26.76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10599</w:t>
            </w:r>
          </w:p>
        </w:tc>
        <w:tc>
          <w:tcPr>
            <w:tcW w:w="4160" w:type="dxa"/>
            <w:vAlign w:val="bottom"/>
          </w:tcPr>
          <w:p>
            <w:pPr>
              <w:ind w:left="160"/>
              <w:spacing w:after="0"/>
              <w:rPr>
                <w:sz w:val="20"/>
                <w:szCs w:val="20"/>
                <w:color w:val="auto"/>
              </w:rPr>
            </w:pPr>
            <w:r>
              <w:rPr>
                <w:rFonts w:ascii="Arial" w:cs="Arial" w:eastAsia="Arial" w:hAnsi="Arial"/>
                <w:sz w:val="18"/>
                <w:szCs w:val="18"/>
                <w:color w:val="auto"/>
              </w:rPr>
              <w:t>RASC 2004-KS5</w:t>
            </w:r>
          </w:p>
        </w:tc>
        <w:tc>
          <w:tcPr>
            <w:tcW w:w="3120" w:type="dxa"/>
            <w:vAlign w:val="bottom"/>
          </w:tcPr>
          <w:p>
            <w:pPr>
              <w:jc w:val="right"/>
              <w:spacing w:after="0"/>
              <w:rPr>
                <w:sz w:val="20"/>
                <w:szCs w:val="20"/>
                <w:color w:val="auto"/>
              </w:rPr>
            </w:pPr>
            <w:r>
              <w:rPr>
                <w:rFonts w:ascii="Arial" w:cs="Arial" w:eastAsia="Arial" w:hAnsi="Arial"/>
                <w:sz w:val="18"/>
                <w:szCs w:val="18"/>
                <w:color w:val="auto"/>
              </w:rPr>
              <w:t>26.89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10598</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2004-KS3</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10597</w:t>
            </w:r>
          </w:p>
        </w:tc>
        <w:tc>
          <w:tcPr>
            <w:tcW w:w="4160" w:type="dxa"/>
            <w:vAlign w:val="bottom"/>
          </w:tcPr>
          <w:p>
            <w:pPr>
              <w:ind w:left="160"/>
              <w:spacing w:after="0"/>
              <w:rPr>
                <w:sz w:val="20"/>
                <w:szCs w:val="20"/>
                <w:color w:val="auto"/>
              </w:rPr>
            </w:pPr>
            <w:r>
              <w:rPr>
                <w:rFonts w:ascii="Arial" w:cs="Arial" w:eastAsia="Arial" w:hAnsi="Arial"/>
                <w:sz w:val="18"/>
                <w:szCs w:val="18"/>
                <w:color w:val="auto"/>
              </w:rPr>
              <w:t>RASC 2004-KS2</w:t>
            </w:r>
          </w:p>
        </w:tc>
        <w:tc>
          <w:tcPr>
            <w:tcW w:w="3120" w:type="dxa"/>
            <w:vAlign w:val="bottom"/>
          </w:tcPr>
          <w:p>
            <w:pPr>
              <w:jc w:val="right"/>
              <w:spacing w:after="0"/>
              <w:rPr>
                <w:sz w:val="20"/>
                <w:szCs w:val="20"/>
                <w:color w:val="auto"/>
              </w:rPr>
            </w:pPr>
            <w:r>
              <w:rPr>
                <w:rFonts w:ascii="Arial" w:cs="Arial" w:eastAsia="Arial" w:hAnsi="Arial"/>
                <w:sz w:val="18"/>
                <w:szCs w:val="18"/>
                <w:color w:val="auto"/>
              </w:rPr>
              <w:t>20.80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10596</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2004-KS12</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10595</w:t>
            </w:r>
          </w:p>
        </w:tc>
        <w:tc>
          <w:tcPr>
            <w:tcW w:w="4160" w:type="dxa"/>
            <w:vAlign w:val="bottom"/>
          </w:tcPr>
          <w:p>
            <w:pPr>
              <w:ind w:left="160"/>
              <w:spacing w:after="0"/>
              <w:rPr>
                <w:sz w:val="20"/>
                <w:szCs w:val="20"/>
                <w:color w:val="auto"/>
              </w:rPr>
            </w:pPr>
            <w:r>
              <w:rPr>
                <w:rFonts w:ascii="Arial" w:cs="Arial" w:eastAsia="Arial" w:hAnsi="Arial"/>
                <w:sz w:val="18"/>
                <w:szCs w:val="18"/>
                <w:color w:val="auto"/>
              </w:rPr>
              <w:t>RASC 2004-KS11</w:t>
            </w:r>
          </w:p>
        </w:tc>
        <w:tc>
          <w:tcPr>
            <w:tcW w:w="3120" w:type="dxa"/>
            <w:vAlign w:val="bottom"/>
          </w:tcPr>
          <w:p>
            <w:pPr>
              <w:jc w:val="right"/>
              <w:spacing w:after="0"/>
              <w:rPr>
                <w:sz w:val="20"/>
                <w:szCs w:val="20"/>
                <w:color w:val="auto"/>
              </w:rPr>
            </w:pPr>
            <w:r>
              <w:rPr>
                <w:rFonts w:ascii="Arial" w:cs="Arial" w:eastAsia="Arial" w:hAnsi="Arial"/>
                <w:sz w:val="18"/>
                <w:szCs w:val="18"/>
                <w:color w:val="auto"/>
              </w:rPr>
              <w:t>11.02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10594</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2004-KS10</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10593</w:t>
            </w:r>
          </w:p>
        </w:tc>
        <w:tc>
          <w:tcPr>
            <w:tcW w:w="4160" w:type="dxa"/>
            <w:vAlign w:val="bottom"/>
          </w:tcPr>
          <w:p>
            <w:pPr>
              <w:ind w:left="160"/>
              <w:spacing w:after="0"/>
              <w:rPr>
                <w:sz w:val="20"/>
                <w:szCs w:val="20"/>
                <w:color w:val="auto"/>
              </w:rPr>
            </w:pPr>
            <w:r>
              <w:rPr>
                <w:rFonts w:ascii="Arial" w:cs="Arial" w:eastAsia="Arial" w:hAnsi="Arial"/>
                <w:sz w:val="18"/>
                <w:szCs w:val="18"/>
                <w:color w:val="auto"/>
              </w:rPr>
              <w:t>RASC 2004-KS1</w:t>
            </w:r>
          </w:p>
        </w:tc>
        <w:tc>
          <w:tcPr>
            <w:tcW w:w="3120" w:type="dxa"/>
            <w:vAlign w:val="bottom"/>
          </w:tcPr>
          <w:p>
            <w:pPr>
              <w:jc w:val="right"/>
              <w:spacing w:after="0"/>
              <w:rPr>
                <w:sz w:val="20"/>
                <w:szCs w:val="20"/>
                <w:color w:val="auto"/>
              </w:rPr>
            </w:pPr>
            <w:r>
              <w:rPr>
                <w:rFonts w:ascii="Arial" w:cs="Arial" w:eastAsia="Arial" w:hAnsi="Arial"/>
                <w:sz w:val="18"/>
                <w:szCs w:val="18"/>
                <w:color w:val="auto"/>
              </w:rPr>
              <w:t>19.98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10512</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2003-KS8</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19.48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10511</w:t>
            </w:r>
          </w:p>
        </w:tc>
        <w:tc>
          <w:tcPr>
            <w:tcW w:w="4160" w:type="dxa"/>
            <w:vAlign w:val="bottom"/>
          </w:tcPr>
          <w:p>
            <w:pPr>
              <w:ind w:left="160"/>
              <w:spacing w:after="0"/>
              <w:rPr>
                <w:sz w:val="20"/>
                <w:szCs w:val="20"/>
                <w:color w:val="auto"/>
              </w:rPr>
            </w:pPr>
            <w:r>
              <w:rPr>
                <w:rFonts w:ascii="Arial" w:cs="Arial" w:eastAsia="Arial" w:hAnsi="Arial"/>
                <w:sz w:val="18"/>
                <w:szCs w:val="18"/>
                <w:color w:val="auto"/>
              </w:rPr>
              <w:t>RASC 2003-KS7</w:t>
            </w:r>
          </w:p>
        </w:tc>
        <w:tc>
          <w:tcPr>
            <w:tcW w:w="3120" w:type="dxa"/>
            <w:vAlign w:val="bottom"/>
          </w:tcPr>
          <w:p>
            <w:pPr>
              <w:jc w:val="right"/>
              <w:spacing w:after="0"/>
              <w:rPr>
                <w:sz w:val="20"/>
                <w:szCs w:val="20"/>
                <w:color w:val="auto"/>
              </w:rPr>
            </w:pPr>
            <w:r>
              <w:rPr>
                <w:rFonts w:ascii="Arial" w:cs="Arial" w:eastAsia="Arial" w:hAnsi="Arial"/>
                <w:sz w:val="18"/>
                <w:szCs w:val="18"/>
                <w:color w:val="auto"/>
              </w:rPr>
              <w:t>17.71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10510</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2003-KS6</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10509</w:t>
            </w:r>
          </w:p>
        </w:tc>
        <w:tc>
          <w:tcPr>
            <w:tcW w:w="4160" w:type="dxa"/>
            <w:vAlign w:val="bottom"/>
          </w:tcPr>
          <w:p>
            <w:pPr>
              <w:ind w:left="160"/>
              <w:spacing w:after="0"/>
              <w:rPr>
                <w:sz w:val="20"/>
                <w:szCs w:val="20"/>
                <w:color w:val="auto"/>
              </w:rPr>
            </w:pPr>
            <w:r>
              <w:rPr>
                <w:rFonts w:ascii="Arial" w:cs="Arial" w:eastAsia="Arial" w:hAnsi="Arial"/>
                <w:sz w:val="18"/>
                <w:szCs w:val="18"/>
                <w:color w:val="auto"/>
              </w:rPr>
              <w:t>RASC 2003-KS3</w:t>
            </w:r>
          </w:p>
        </w:tc>
        <w:tc>
          <w:tcPr>
            <w:tcW w:w="3120" w:type="dxa"/>
            <w:vAlign w:val="bottom"/>
          </w:tcPr>
          <w:p>
            <w:pPr>
              <w:jc w:val="right"/>
              <w:spacing w:after="0"/>
              <w:rPr>
                <w:sz w:val="20"/>
                <w:szCs w:val="20"/>
                <w:color w:val="auto"/>
              </w:rPr>
            </w:pPr>
            <w:r>
              <w:rPr>
                <w:rFonts w:ascii="Arial" w:cs="Arial" w:eastAsia="Arial" w:hAnsi="Arial"/>
                <w:sz w:val="18"/>
                <w:szCs w:val="18"/>
                <w:color w:val="auto"/>
              </w:rPr>
              <w:t>(12.90)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10508</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2003-KS2</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(5.51)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10507</w:t>
            </w:r>
          </w:p>
        </w:tc>
        <w:tc>
          <w:tcPr>
            <w:tcW w:w="4160" w:type="dxa"/>
            <w:vAlign w:val="bottom"/>
          </w:tcPr>
          <w:p>
            <w:pPr>
              <w:ind w:left="160"/>
              <w:spacing w:after="0"/>
              <w:rPr>
                <w:sz w:val="20"/>
                <w:szCs w:val="20"/>
                <w:color w:val="auto"/>
              </w:rPr>
            </w:pPr>
            <w:r>
              <w:rPr>
                <w:rFonts w:ascii="Arial" w:cs="Arial" w:eastAsia="Arial" w:hAnsi="Arial"/>
                <w:sz w:val="18"/>
                <w:szCs w:val="18"/>
                <w:color w:val="auto"/>
              </w:rPr>
              <w:t>RASC 2003-KS11</w:t>
            </w:r>
          </w:p>
        </w:tc>
        <w:tc>
          <w:tcPr>
            <w:tcW w:w="3120" w:type="dxa"/>
            <w:vAlign w:val="bottom"/>
          </w:tcPr>
          <w:p>
            <w:pPr>
              <w:jc w:val="right"/>
              <w:spacing w:after="0"/>
              <w:rPr>
                <w:sz w:val="20"/>
                <w:szCs w:val="20"/>
                <w:color w:val="auto"/>
              </w:rPr>
            </w:pPr>
            <w:r>
              <w:rPr>
                <w:rFonts w:ascii="Arial" w:cs="Arial" w:eastAsia="Arial" w:hAnsi="Arial"/>
                <w:sz w:val="18"/>
                <w:szCs w:val="18"/>
                <w:color w:val="auto"/>
              </w:rPr>
              <w:t>14.92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10506</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2003-KS10</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29.45</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10461</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2002-KS2</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(34.84)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10444</w:t>
            </w:r>
          </w:p>
        </w:tc>
        <w:tc>
          <w:tcPr>
            <w:tcW w:w="4160" w:type="dxa"/>
            <w:vAlign w:val="bottom"/>
          </w:tcPr>
          <w:p>
            <w:pPr>
              <w:ind w:left="160"/>
              <w:spacing w:after="0"/>
              <w:rPr>
                <w:sz w:val="20"/>
                <w:szCs w:val="20"/>
                <w:color w:val="auto"/>
              </w:rPr>
            </w:pPr>
            <w:r>
              <w:rPr>
                <w:rFonts w:ascii="Arial" w:cs="Arial" w:eastAsia="Arial" w:hAnsi="Arial"/>
                <w:sz w:val="18"/>
                <w:szCs w:val="18"/>
                <w:color w:val="auto"/>
              </w:rPr>
              <w:t>RASC 2001-KS3</w:t>
            </w:r>
          </w:p>
        </w:tc>
        <w:tc>
          <w:tcPr>
            <w:tcW w:w="3120" w:type="dxa"/>
            <w:vAlign w:val="bottom"/>
          </w:tcPr>
          <w:p>
            <w:pPr>
              <w:jc w:val="right"/>
              <w:spacing w:after="0"/>
              <w:rPr>
                <w:sz w:val="20"/>
                <w:szCs w:val="20"/>
                <w:color w:val="auto"/>
              </w:rPr>
            </w:pPr>
            <w:r>
              <w:rPr>
                <w:rFonts w:ascii="Arial" w:cs="Arial" w:eastAsia="Arial" w:hAnsi="Arial"/>
                <w:sz w:val="18"/>
                <w:szCs w:val="18"/>
                <w:color w:val="auto"/>
              </w:rPr>
              <w:t>(29.37)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10443</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RASC 2001-KS2</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(29.67)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10865</w:t>
            </w:r>
          </w:p>
        </w:tc>
        <w:tc>
          <w:tcPr>
            <w:tcW w:w="4160" w:type="dxa"/>
            <w:vAlign w:val="bottom"/>
          </w:tcPr>
          <w:p>
            <w:pPr>
              <w:ind w:left="160"/>
              <w:spacing w:after="0"/>
              <w:rPr>
                <w:sz w:val="20"/>
                <w:szCs w:val="20"/>
                <w:color w:val="auto"/>
              </w:rPr>
            </w:pPr>
            <w:r>
              <w:rPr>
                <w:rFonts w:ascii="Arial" w:cs="Arial" w:eastAsia="Arial" w:hAnsi="Arial"/>
                <w:sz w:val="18"/>
                <w:szCs w:val="18"/>
                <w:color w:val="auto"/>
              </w:rPr>
              <w:t>RAMP 2007-RZ1</w:t>
            </w:r>
          </w:p>
        </w:tc>
        <w:tc>
          <w:tcPr>
            <w:tcW w:w="3120" w:type="dxa"/>
            <w:vAlign w:val="bottom"/>
          </w:tcPr>
          <w:p>
            <w:pPr>
              <w:jc w:val="right"/>
              <w:spacing w:after="0"/>
              <w:rPr>
                <w:sz w:val="20"/>
                <w:szCs w:val="20"/>
                <w:color w:val="auto"/>
              </w:rPr>
            </w:pPr>
            <w:r>
              <w:rPr>
                <w:rFonts w:ascii="Arial" w:cs="Arial" w:eastAsia="Arial" w:hAnsi="Arial"/>
                <w:sz w:val="18"/>
                <w:szCs w:val="18"/>
                <w:color w:val="auto"/>
              </w:rPr>
              <w:t>22.96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10864</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2007-RS2</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18.29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10863</w:t>
            </w:r>
          </w:p>
        </w:tc>
        <w:tc>
          <w:tcPr>
            <w:tcW w:w="4160" w:type="dxa"/>
            <w:vAlign w:val="bottom"/>
          </w:tcPr>
          <w:p>
            <w:pPr>
              <w:ind w:left="160"/>
              <w:spacing w:after="0"/>
              <w:rPr>
                <w:sz w:val="20"/>
                <w:szCs w:val="20"/>
                <w:color w:val="auto"/>
              </w:rPr>
            </w:pPr>
            <w:r>
              <w:rPr>
                <w:rFonts w:ascii="Arial" w:cs="Arial" w:eastAsia="Arial" w:hAnsi="Arial"/>
                <w:sz w:val="18"/>
                <w:szCs w:val="18"/>
                <w:color w:val="auto"/>
              </w:rPr>
              <w:t>RAMP 2007-RS1</w:t>
            </w:r>
          </w:p>
        </w:tc>
        <w:tc>
          <w:tcPr>
            <w:tcW w:w="3120" w:type="dxa"/>
            <w:vAlign w:val="bottom"/>
          </w:tcPr>
          <w:p>
            <w:pPr>
              <w:jc w:val="right"/>
              <w:spacing w:after="0"/>
              <w:rPr>
                <w:sz w:val="20"/>
                <w:szCs w:val="20"/>
                <w:color w:val="auto"/>
              </w:rPr>
            </w:pPr>
            <w:r>
              <w:rPr>
                <w:rFonts w:ascii="Arial" w:cs="Arial" w:eastAsia="Arial" w:hAnsi="Arial"/>
                <w:sz w:val="18"/>
                <w:szCs w:val="18"/>
                <w:color w:val="auto"/>
              </w:rPr>
              <w:t>17.42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10862</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2006-RZ5</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19.50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10861</w:t>
            </w:r>
          </w:p>
        </w:tc>
        <w:tc>
          <w:tcPr>
            <w:tcW w:w="4160" w:type="dxa"/>
            <w:vAlign w:val="bottom"/>
          </w:tcPr>
          <w:p>
            <w:pPr>
              <w:ind w:left="160"/>
              <w:spacing w:after="0"/>
              <w:rPr>
                <w:sz w:val="20"/>
                <w:szCs w:val="20"/>
                <w:color w:val="auto"/>
              </w:rPr>
            </w:pPr>
            <w:r>
              <w:rPr>
                <w:rFonts w:ascii="Arial" w:cs="Arial" w:eastAsia="Arial" w:hAnsi="Arial"/>
                <w:sz w:val="18"/>
                <w:szCs w:val="18"/>
                <w:color w:val="auto"/>
              </w:rPr>
              <w:t>RAMP 2006-RZ4</w:t>
            </w:r>
          </w:p>
        </w:tc>
        <w:tc>
          <w:tcPr>
            <w:tcW w:w="3120" w:type="dxa"/>
            <w:vAlign w:val="bottom"/>
          </w:tcPr>
          <w:p>
            <w:pPr>
              <w:jc w:val="right"/>
              <w:spacing w:after="0"/>
              <w:rPr>
                <w:sz w:val="20"/>
                <w:szCs w:val="20"/>
                <w:color w:val="auto"/>
              </w:rPr>
            </w:pPr>
            <w:r>
              <w:rPr>
                <w:rFonts w:ascii="Arial" w:cs="Arial" w:eastAsia="Arial" w:hAnsi="Arial"/>
                <w:sz w:val="18"/>
                <w:szCs w:val="18"/>
                <w:color w:val="auto"/>
              </w:rPr>
              <w:t>19.58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10860</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2006-RZ3</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10859</w:t>
            </w:r>
          </w:p>
        </w:tc>
        <w:tc>
          <w:tcPr>
            <w:tcW w:w="4160" w:type="dxa"/>
            <w:vAlign w:val="bottom"/>
          </w:tcPr>
          <w:p>
            <w:pPr>
              <w:ind w:left="160"/>
              <w:spacing w:after="0"/>
              <w:rPr>
                <w:sz w:val="20"/>
                <w:szCs w:val="20"/>
                <w:color w:val="auto"/>
              </w:rPr>
            </w:pPr>
            <w:r>
              <w:rPr>
                <w:rFonts w:ascii="Arial" w:cs="Arial" w:eastAsia="Arial" w:hAnsi="Arial"/>
                <w:sz w:val="18"/>
                <w:szCs w:val="18"/>
                <w:color w:val="auto"/>
              </w:rPr>
              <w:t>RAMP 2006-RZ2</w:t>
            </w:r>
          </w:p>
        </w:tc>
        <w:tc>
          <w:tcPr>
            <w:tcW w:w="3120" w:type="dxa"/>
            <w:vAlign w:val="bottom"/>
          </w:tcPr>
          <w:p>
            <w:pPr>
              <w:jc w:val="right"/>
              <w:spacing w:after="0"/>
              <w:rPr>
                <w:sz w:val="20"/>
                <w:szCs w:val="20"/>
                <w:color w:val="auto"/>
              </w:rPr>
            </w:pPr>
            <w:r>
              <w:rPr>
                <w:rFonts w:ascii="Arial" w:cs="Arial" w:eastAsia="Arial" w:hAnsi="Arial"/>
                <w:sz w:val="18"/>
                <w:szCs w:val="18"/>
                <w:color w:val="auto"/>
              </w:rPr>
              <w:t>16.85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10858</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2006-RZ1</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10857</w:t>
            </w:r>
          </w:p>
        </w:tc>
        <w:tc>
          <w:tcPr>
            <w:tcW w:w="4160" w:type="dxa"/>
            <w:vAlign w:val="bottom"/>
          </w:tcPr>
          <w:p>
            <w:pPr>
              <w:ind w:left="160"/>
              <w:spacing w:after="0"/>
              <w:rPr>
                <w:sz w:val="20"/>
                <w:szCs w:val="20"/>
                <w:color w:val="auto"/>
              </w:rPr>
            </w:pPr>
            <w:r>
              <w:rPr>
                <w:rFonts w:ascii="Arial" w:cs="Arial" w:eastAsia="Arial" w:hAnsi="Arial"/>
                <w:sz w:val="18"/>
                <w:szCs w:val="18"/>
                <w:color w:val="auto"/>
              </w:rPr>
              <w:t>RAMP 2006-RS6</w:t>
            </w:r>
          </w:p>
        </w:tc>
        <w:tc>
          <w:tcPr>
            <w:tcW w:w="3120" w:type="dxa"/>
            <w:vAlign w:val="bottom"/>
          </w:tcPr>
          <w:p>
            <w:pPr>
              <w:jc w:val="right"/>
              <w:spacing w:after="0"/>
              <w:rPr>
                <w:sz w:val="20"/>
                <w:szCs w:val="20"/>
                <w:color w:val="auto"/>
              </w:rPr>
            </w:pPr>
            <w:r>
              <w:rPr>
                <w:rFonts w:ascii="Arial" w:cs="Arial" w:eastAsia="Arial" w:hAnsi="Arial"/>
                <w:sz w:val="18"/>
                <w:szCs w:val="18"/>
                <w:color w:val="auto"/>
              </w:rPr>
              <w:t>20.43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10856</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2006-RS5</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21.24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10855</w:t>
            </w:r>
          </w:p>
        </w:tc>
        <w:tc>
          <w:tcPr>
            <w:tcW w:w="4160" w:type="dxa"/>
            <w:vAlign w:val="bottom"/>
          </w:tcPr>
          <w:p>
            <w:pPr>
              <w:ind w:left="160"/>
              <w:spacing w:after="0"/>
              <w:rPr>
                <w:sz w:val="20"/>
                <w:szCs w:val="20"/>
                <w:color w:val="auto"/>
              </w:rPr>
            </w:pPr>
            <w:r>
              <w:rPr>
                <w:rFonts w:ascii="Arial" w:cs="Arial" w:eastAsia="Arial" w:hAnsi="Arial"/>
                <w:sz w:val="18"/>
                <w:szCs w:val="18"/>
                <w:color w:val="auto"/>
              </w:rPr>
              <w:t>RAMP 2006-RS4</w:t>
            </w:r>
          </w:p>
        </w:tc>
        <w:tc>
          <w:tcPr>
            <w:tcW w:w="3120" w:type="dxa"/>
            <w:vAlign w:val="bottom"/>
          </w:tcPr>
          <w:p>
            <w:pPr>
              <w:jc w:val="right"/>
              <w:spacing w:after="0"/>
              <w:rPr>
                <w:sz w:val="20"/>
                <w:szCs w:val="20"/>
                <w:color w:val="auto"/>
              </w:rPr>
            </w:pPr>
            <w:r>
              <w:rPr>
                <w:rFonts w:ascii="Arial" w:cs="Arial" w:eastAsia="Arial" w:hAnsi="Arial"/>
                <w:sz w:val="18"/>
                <w:szCs w:val="18"/>
                <w:color w:val="auto"/>
              </w:rPr>
              <w:t>21.07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10854</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2006-RS3</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10853</w:t>
            </w:r>
          </w:p>
        </w:tc>
        <w:tc>
          <w:tcPr>
            <w:tcW w:w="4160" w:type="dxa"/>
            <w:vAlign w:val="bottom"/>
          </w:tcPr>
          <w:p>
            <w:pPr>
              <w:ind w:left="160"/>
              <w:spacing w:after="0"/>
              <w:rPr>
                <w:sz w:val="20"/>
                <w:szCs w:val="20"/>
                <w:color w:val="auto"/>
              </w:rPr>
            </w:pPr>
            <w:r>
              <w:rPr>
                <w:rFonts w:ascii="Arial" w:cs="Arial" w:eastAsia="Arial" w:hAnsi="Arial"/>
                <w:sz w:val="18"/>
                <w:szCs w:val="18"/>
                <w:color w:val="auto"/>
              </w:rPr>
              <w:t>RAMP 2006-RS2</w:t>
            </w:r>
          </w:p>
        </w:tc>
        <w:tc>
          <w:tcPr>
            <w:tcW w:w="3120" w:type="dxa"/>
            <w:vAlign w:val="bottom"/>
          </w:tcPr>
          <w:p>
            <w:pPr>
              <w:jc w:val="right"/>
              <w:spacing w:after="0"/>
              <w:rPr>
                <w:sz w:val="20"/>
                <w:szCs w:val="20"/>
                <w:color w:val="auto"/>
              </w:rPr>
            </w:pPr>
            <w:r>
              <w:rPr>
                <w:rFonts w:ascii="Arial" w:cs="Arial" w:eastAsia="Arial" w:hAnsi="Arial"/>
                <w:sz w:val="18"/>
                <w:szCs w:val="18"/>
                <w:color w:val="auto"/>
              </w:rPr>
              <w:t>23.79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10852</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2006-RS1</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22.66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10851</w:t>
            </w:r>
          </w:p>
        </w:tc>
        <w:tc>
          <w:tcPr>
            <w:tcW w:w="4160" w:type="dxa"/>
            <w:vAlign w:val="bottom"/>
          </w:tcPr>
          <w:p>
            <w:pPr>
              <w:ind w:left="160"/>
              <w:spacing w:after="0"/>
              <w:rPr>
                <w:sz w:val="20"/>
                <w:szCs w:val="20"/>
                <w:color w:val="auto"/>
              </w:rPr>
            </w:pPr>
            <w:r>
              <w:rPr>
                <w:rFonts w:ascii="Arial" w:cs="Arial" w:eastAsia="Arial" w:hAnsi="Arial"/>
                <w:sz w:val="18"/>
                <w:szCs w:val="18"/>
                <w:color w:val="auto"/>
              </w:rPr>
              <w:t>RAMP 2006-NC3</w:t>
            </w:r>
          </w:p>
        </w:tc>
        <w:tc>
          <w:tcPr>
            <w:tcW w:w="3120" w:type="dxa"/>
            <w:vAlign w:val="bottom"/>
          </w:tcPr>
          <w:p>
            <w:pPr>
              <w:jc w:val="right"/>
              <w:spacing w:after="0"/>
              <w:rPr>
                <w:sz w:val="20"/>
                <w:szCs w:val="20"/>
                <w:color w:val="auto"/>
              </w:rPr>
            </w:pPr>
            <w:r>
              <w:rPr>
                <w:rFonts w:ascii="Arial" w:cs="Arial" w:eastAsia="Arial" w:hAnsi="Arial"/>
                <w:sz w:val="18"/>
                <w:szCs w:val="18"/>
                <w:color w:val="auto"/>
              </w:rPr>
              <w:t>19.66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10850</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2006-NC2</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20.53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10849</w:t>
            </w:r>
          </w:p>
        </w:tc>
        <w:tc>
          <w:tcPr>
            <w:tcW w:w="4160" w:type="dxa"/>
            <w:vAlign w:val="bottom"/>
          </w:tcPr>
          <w:p>
            <w:pPr>
              <w:ind w:left="160"/>
              <w:spacing w:after="0"/>
              <w:rPr>
                <w:sz w:val="20"/>
                <w:szCs w:val="20"/>
                <w:color w:val="auto"/>
              </w:rPr>
            </w:pPr>
            <w:r>
              <w:rPr>
                <w:rFonts w:ascii="Arial" w:cs="Arial" w:eastAsia="Arial" w:hAnsi="Arial"/>
                <w:sz w:val="18"/>
                <w:szCs w:val="18"/>
                <w:color w:val="auto"/>
              </w:rPr>
              <w:t>RAMP 2006-NC1</w:t>
            </w:r>
          </w:p>
        </w:tc>
        <w:tc>
          <w:tcPr>
            <w:tcW w:w="3120" w:type="dxa"/>
            <w:vAlign w:val="bottom"/>
          </w:tcPr>
          <w:p>
            <w:pPr>
              <w:jc w:val="right"/>
              <w:spacing w:after="0"/>
              <w:rPr>
                <w:sz w:val="20"/>
                <w:szCs w:val="20"/>
                <w:color w:val="auto"/>
              </w:rPr>
            </w:pPr>
            <w:r>
              <w:rPr>
                <w:rFonts w:ascii="Arial" w:cs="Arial" w:eastAsia="Arial" w:hAnsi="Arial"/>
                <w:sz w:val="18"/>
                <w:szCs w:val="18"/>
                <w:color w:val="auto"/>
              </w:rPr>
              <w:t>20.74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10848</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2006-EFC2</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19.82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10847</w:t>
            </w:r>
          </w:p>
        </w:tc>
        <w:tc>
          <w:tcPr>
            <w:tcW w:w="4160" w:type="dxa"/>
            <w:vAlign w:val="bottom"/>
          </w:tcPr>
          <w:p>
            <w:pPr>
              <w:ind w:left="160"/>
              <w:spacing w:after="0"/>
              <w:rPr>
                <w:sz w:val="20"/>
                <w:szCs w:val="20"/>
                <w:color w:val="auto"/>
              </w:rPr>
            </w:pPr>
            <w:r>
              <w:rPr>
                <w:rFonts w:ascii="Arial" w:cs="Arial" w:eastAsia="Arial" w:hAnsi="Arial"/>
                <w:sz w:val="18"/>
                <w:szCs w:val="18"/>
                <w:color w:val="auto"/>
              </w:rPr>
              <w:t>RAMP 2006-EFC1</w:t>
            </w:r>
          </w:p>
        </w:tc>
        <w:tc>
          <w:tcPr>
            <w:tcW w:w="3120" w:type="dxa"/>
            <w:vAlign w:val="bottom"/>
          </w:tcPr>
          <w:p>
            <w:pPr>
              <w:jc w:val="right"/>
              <w:spacing w:after="0"/>
              <w:rPr>
                <w:sz w:val="20"/>
                <w:szCs w:val="20"/>
                <w:color w:val="auto"/>
              </w:rPr>
            </w:pPr>
            <w:r>
              <w:rPr>
                <w:rFonts w:ascii="Arial" w:cs="Arial" w:eastAsia="Arial" w:hAnsi="Arial"/>
                <w:sz w:val="18"/>
                <w:szCs w:val="18"/>
                <w:color w:val="auto"/>
              </w:rPr>
              <w:t>20.48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10846</w:t>
            </w:r>
          </w:p>
        </w:tc>
        <w:tc>
          <w:tcPr>
            <w:tcW w:w="4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2005-SL2</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(4.76)</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10845</w:t>
            </w:r>
          </w:p>
        </w:tc>
        <w:tc>
          <w:tcPr>
            <w:tcW w:w="4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2005-SL1</w:t>
            </w:r>
          </w:p>
        </w:tc>
        <w:tc>
          <w:tcPr>
            <w:tcW w:w="3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10844</w:t>
            </w:r>
          </w:p>
        </w:tc>
        <w:tc>
          <w:tcPr>
            <w:tcW w:w="4180" w:type="dxa"/>
            <w:vAlign w:val="bottom"/>
          </w:tcPr>
          <w:p>
            <w:pPr>
              <w:ind w:left="160"/>
              <w:spacing w:after="0"/>
              <w:rPr>
                <w:sz w:val="20"/>
                <w:szCs w:val="20"/>
                <w:color w:val="auto"/>
              </w:rPr>
            </w:pPr>
            <w:r>
              <w:rPr>
                <w:rFonts w:ascii="Arial" w:cs="Arial" w:eastAsia="Arial" w:hAnsi="Arial"/>
                <w:sz w:val="18"/>
                <w:szCs w:val="18"/>
                <w:color w:val="auto"/>
              </w:rPr>
              <w:t>RAMP 2005-RZ4</w:t>
            </w:r>
          </w:p>
        </w:tc>
        <w:tc>
          <w:tcPr>
            <w:tcW w:w="3100" w:type="dxa"/>
            <w:vAlign w:val="bottom"/>
          </w:tcPr>
          <w:p>
            <w:pPr>
              <w:jc w:val="right"/>
              <w:spacing w:after="0"/>
              <w:rPr>
                <w:sz w:val="20"/>
                <w:szCs w:val="20"/>
                <w:color w:val="auto"/>
              </w:rPr>
            </w:pPr>
            <w:r>
              <w:rPr>
                <w:rFonts w:ascii="Arial" w:cs="Arial" w:eastAsia="Arial" w:hAnsi="Arial"/>
                <w:sz w:val="18"/>
                <w:szCs w:val="18"/>
                <w:color w:val="auto"/>
              </w:rPr>
              <w:t>14.80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10843</w:t>
            </w:r>
          </w:p>
        </w:tc>
        <w:tc>
          <w:tcPr>
            <w:tcW w:w="4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2005-RZ3</w:t>
            </w:r>
          </w:p>
        </w:tc>
        <w:tc>
          <w:tcPr>
            <w:tcW w:w="3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10842</w:t>
            </w:r>
          </w:p>
        </w:tc>
        <w:tc>
          <w:tcPr>
            <w:tcW w:w="4180" w:type="dxa"/>
            <w:vAlign w:val="bottom"/>
          </w:tcPr>
          <w:p>
            <w:pPr>
              <w:ind w:left="160"/>
              <w:spacing w:after="0"/>
              <w:rPr>
                <w:sz w:val="20"/>
                <w:szCs w:val="20"/>
                <w:color w:val="auto"/>
              </w:rPr>
            </w:pPr>
            <w:r>
              <w:rPr>
                <w:rFonts w:ascii="Arial" w:cs="Arial" w:eastAsia="Arial" w:hAnsi="Arial"/>
                <w:sz w:val="18"/>
                <w:szCs w:val="18"/>
                <w:color w:val="auto"/>
              </w:rPr>
              <w:t>RAMP 2005-RZ2</w:t>
            </w:r>
          </w:p>
        </w:tc>
        <w:tc>
          <w:tcPr>
            <w:tcW w:w="3100" w:type="dxa"/>
            <w:vAlign w:val="bottom"/>
          </w:tcPr>
          <w:p>
            <w:pPr>
              <w:jc w:val="right"/>
              <w:spacing w:after="0"/>
              <w:rPr>
                <w:sz w:val="20"/>
                <w:szCs w:val="20"/>
                <w:color w:val="auto"/>
              </w:rPr>
            </w:pPr>
            <w:r>
              <w:rPr>
                <w:rFonts w:ascii="Arial" w:cs="Arial" w:eastAsia="Arial" w:hAnsi="Arial"/>
                <w:sz w:val="18"/>
                <w:szCs w:val="18"/>
                <w:color w:val="auto"/>
              </w:rPr>
              <w:t>5.45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10841</w:t>
            </w:r>
          </w:p>
        </w:tc>
        <w:tc>
          <w:tcPr>
            <w:tcW w:w="4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2005-RZ1</w:t>
            </w:r>
          </w:p>
        </w:tc>
        <w:tc>
          <w:tcPr>
            <w:tcW w:w="3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(8.67)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10839</w:t>
            </w:r>
          </w:p>
        </w:tc>
        <w:tc>
          <w:tcPr>
            <w:tcW w:w="4180" w:type="dxa"/>
            <w:vAlign w:val="bottom"/>
          </w:tcPr>
          <w:p>
            <w:pPr>
              <w:ind w:left="160"/>
              <w:spacing w:after="0"/>
              <w:rPr>
                <w:sz w:val="20"/>
                <w:szCs w:val="20"/>
                <w:color w:val="auto"/>
              </w:rPr>
            </w:pPr>
            <w:r>
              <w:rPr>
                <w:rFonts w:ascii="Arial" w:cs="Arial" w:eastAsia="Arial" w:hAnsi="Arial"/>
                <w:sz w:val="18"/>
                <w:szCs w:val="18"/>
                <w:color w:val="auto"/>
              </w:rPr>
              <w:t>RAMP 2005-RS8</w:t>
            </w:r>
          </w:p>
        </w:tc>
        <w:tc>
          <w:tcPr>
            <w:tcW w:w="3100" w:type="dxa"/>
            <w:vAlign w:val="bottom"/>
          </w:tcPr>
          <w:p>
            <w:pPr>
              <w:jc w:val="right"/>
              <w:spacing w:after="0"/>
              <w:rPr>
                <w:sz w:val="20"/>
                <w:szCs w:val="20"/>
                <w:color w:val="auto"/>
              </w:rPr>
            </w:pPr>
            <w:r>
              <w:rPr>
                <w:rFonts w:ascii="Arial" w:cs="Arial" w:eastAsia="Arial" w:hAnsi="Arial"/>
                <w:sz w:val="18"/>
                <w:szCs w:val="18"/>
                <w:color w:val="auto"/>
              </w:rPr>
              <w:t>19.58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10838</w:t>
            </w:r>
          </w:p>
        </w:tc>
        <w:tc>
          <w:tcPr>
            <w:tcW w:w="4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2005-RS7</w:t>
            </w:r>
          </w:p>
        </w:tc>
        <w:tc>
          <w:tcPr>
            <w:tcW w:w="3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10837</w:t>
            </w:r>
          </w:p>
        </w:tc>
        <w:tc>
          <w:tcPr>
            <w:tcW w:w="4180" w:type="dxa"/>
            <w:vAlign w:val="bottom"/>
          </w:tcPr>
          <w:p>
            <w:pPr>
              <w:ind w:left="160"/>
              <w:spacing w:after="0"/>
              <w:rPr>
                <w:sz w:val="20"/>
                <w:szCs w:val="20"/>
                <w:color w:val="auto"/>
              </w:rPr>
            </w:pPr>
            <w:r>
              <w:rPr>
                <w:rFonts w:ascii="Arial" w:cs="Arial" w:eastAsia="Arial" w:hAnsi="Arial"/>
                <w:sz w:val="18"/>
                <w:szCs w:val="18"/>
                <w:color w:val="auto"/>
              </w:rPr>
              <w:t>RAMP 2005-RS6</w:t>
            </w:r>
          </w:p>
        </w:tc>
        <w:tc>
          <w:tcPr>
            <w:tcW w:w="3100" w:type="dxa"/>
            <w:vAlign w:val="bottom"/>
          </w:tcPr>
          <w:p>
            <w:pPr>
              <w:jc w:val="right"/>
              <w:spacing w:after="0"/>
              <w:rPr>
                <w:sz w:val="20"/>
                <w:szCs w:val="20"/>
                <w:color w:val="auto"/>
              </w:rPr>
            </w:pPr>
            <w:r>
              <w:rPr>
                <w:rFonts w:ascii="Arial" w:cs="Arial" w:eastAsia="Arial" w:hAnsi="Arial"/>
                <w:sz w:val="18"/>
                <w:szCs w:val="18"/>
                <w:color w:val="auto"/>
              </w:rPr>
              <w:t>19.66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10836</w:t>
            </w:r>
          </w:p>
        </w:tc>
        <w:tc>
          <w:tcPr>
            <w:tcW w:w="4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2005-RS5</w:t>
            </w:r>
          </w:p>
        </w:tc>
        <w:tc>
          <w:tcPr>
            <w:tcW w:w="3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10835</w:t>
            </w:r>
          </w:p>
        </w:tc>
        <w:tc>
          <w:tcPr>
            <w:tcW w:w="4180" w:type="dxa"/>
            <w:vAlign w:val="bottom"/>
          </w:tcPr>
          <w:p>
            <w:pPr>
              <w:ind w:left="160"/>
              <w:spacing w:after="0"/>
              <w:rPr>
                <w:sz w:val="20"/>
                <w:szCs w:val="20"/>
                <w:color w:val="auto"/>
              </w:rPr>
            </w:pPr>
            <w:r>
              <w:rPr>
                <w:rFonts w:ascii="Arial" w:cs="Arial" w:eastAsia="Arial" w:hAnsi="Arial"/>
                <w:sz w:val="18"/>
                <w:szCs w:val="18"/>
                <w:color w:val="auto"/>
              </w:rPr>
              <w:t>RAMP 2005-RS4</w:t>
            </w:r>
          </w:p>
        </w:tc>
        <w:tc>
          <w:tcPr>
            <w:tcW w:w="3100" w:type="dxa"/>
            <w:vAlign w:val="bottom"/>
          </w:tcPr>
          <w:p>
            <w:pPr>
              <w:jc w:val="right"/>
              <w:spacing w:after="0"/>
              <w:rPr>
                <w:sz w:val="20"/>
                <w:szCs w:val="20"/>
                <w:color w:val="auto"/>
              </w:rPr>
            </w:pPr>
            <w:r>
              <w:rPr>
                <w:rFonts w:ascii="Arial" w:cs="Arial" w:eastAsia="Arial" w:hAnsi="Arial"/>
                <w:sz w:val="18"/>
                <w:szCs w:val="18"/>
                <w:color w:val="auto"/>
              </w:rPr>
              <w:t>18.36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10834</w:t>
            </w:r>
          </w:p>
        </w:tc>
        <w:tc>
          <w:tcPr>
            <w:tcW w:w="4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2005-RS3</w:t>
            </w:r>
          </w:p>
        </w:tc>
        <w:tc>
          <w:tcPr>
            <w:tcW w:w="3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19.33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10833</w:t>
            </w:r>
          </w:p>
        </w:tc>
        <w:tc>
          <w:tcPr>
            <w:tcW w:w="4180" w:type="dxa"/>
            <w:vAlign w:val="bottom"/>
          </w:tcPr>
          <w:p>
            <w:pPr>
              <w:ind w:left="160"/>
              <w:spacing w:after="0"/>
              <w:rPr>
                <w:sz w:val="20"/>
                <w:szCs w:val="20"/>
                <w:color w:val="auto"/>
              </w:rPr>
            </w:pPr>
            <w:r>
              <w:rPr>
                <w:rFonts w:ascii="Arial" w:cs="Arial" w:eastAsia="Arial" w:hAnsi="Arial"/>
                <w:sz w:val="18"/>
                <w:szCs w:val="18"/>
                <w:color w:val="auto"/>
              </w:rPr>
              <w:t>RAMP 2005-RS2</w:t>
            </w:r>
          </w:p>
        </w:tc>
        <w:tc>
          <w:tcPr>
            <w:tcW w:w="3100" w:type="dxa"/>
            <w:vAlign w:val="bottom"/>
          </w:tcPr>
          <w:p>
            <w:pPr>
              <w:jc w:val="right"/>
              <w:spacing w:after="0"/>
              <w:rPr>
                <w:sz w:val="20"/>
                <w:szCs w:val="20"/>
                <w:color w:val="auto"/>
              </w:rPr>
            </w:pPr>
            <w:r>
              <w:rPr>
                <w:rFonts w:ascii="Arial" w:cs="Arial" w:eastAsia="Arial" w:hAnsi="Arial"/>
                <w:sz w:val="18"/>
                <w:szCs w:val="18"/>
                <w:color w:val="auto"/>
              </w:rPr>
              <w:t>14.54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10832</w:t>
            </w:r>
          </w:p>
        </w:tc>
        <w:tc>
          <w:tcPr>
            <w:tcW w:w="4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2005-RS1</w:t>
            </w:r>
          </w:p>
        </w:tc>
        <w:tc>
          <w:tcPr>
            <w:tcW w:w="3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17.08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10694</w:t>
            </w:r>
          </w:p>
        </w:tc>
        <w:tc>
          <w:tcPr>
            <w:tcW w:w="4180" w:type="dxa"/>
            <w:vAlign w:val="bottom"/>
          </w:tcPr>
          <w:p>
            <w:pPr>
              <w:ind w:left="160"/>
              <w:spacing w:after="0"/>
              <w:rPr>
                <w:sz w:val="20"/>
                <w:szCs w:val="20"/>
                <w:color w:val="auto"/>
              </w:rPr>
            </w:pPr>
            <w:r>
              <w:rPr>
                <w:rFonts w:ascii="Arial" w:cs="Arial" w:eastAsia="Arial" w:hAnsi="Arial"/>
                <w:sz w:val="18"/>
                <w:szCs w:val="18"/>
                <w:color w:val="auto"/>
              </w:rPr>
              <w:t>RAMP 2005-EFC6</w:t>
            </w:r>
          </w:p>
        </w:tc>
        <w:tc>
          <w:tcPr>
            <w:tcW w:w="3100" w:type="dxa"/>
            <w:vAlign w:val="bottom"/>
          </w:tcPr>
          <w:p>
            <w:pPr>
              <w:jc w:val="right"/>
              <w:spacing w:after="0"/>
              <w:rPr>
                <w:sz w:val="20"/>
                <w:szCs w:val="20"/>
                <w:color w:val="auto"/>
              </w:rPr>
            </w:pPr>
            <w:r>
              <w:rPr>
                <w:rFonts w:ascii="Arial" w:cs="Arial" w:eastAsia="Arial" w:hAnsi="Arial"/>
                <w:sz w:val="18"/>
                <w:szCs w:val="18"/>
                <w:color w:val="auto"/>
              </w:rPr>
              <w:t>18.84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10693</w:t>
            </w:r>
          </w:p>
        </w:tc>
        <w:tc>
          <w:tcPr>
            <w:tcW w:w="4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2005-EFC5</w:t>
            </w:r>
          </w:p>
        </w:tc>
        <w:tc>
          <w:tcPr>
            <w:tcW w:w="3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24.01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10692</w:t>
            </w:r>
          </w:p>
        </w:tc>
        <w:tc>
          <w:tcPr>
            <w:tcW w:w="4180" w:type="dxa"/>
            <w:vAlign w:val="bottom"/>
          </w:tcPr>
          <w:p>
            <w:pPr>
              <w:ind w:left="160"/>
              <w:spacing w:after="0"/>
              <w:rPr>
                <w:sz w:val="20"/>
                <w:szCs w:val="20"/>
                <w:color w:val="auto"/>
              </w:rPr>
            </w:pPr>
            <w:r>
              <w:rPr>
                <w:rFonts w:ascii="Arial" w:cs="Arial" w:eastAsia="Arial" w:hAnsi="Arial"/>
                <w:sz w:val="18"/>
                <w:szCs w:val="18"/>
                <w:color w:val="auto"/>
              </w:rPr>
              <w:t>RAMP 2005-EFC4</w:t>
            </w:r>
          </w:p>
        </w:tc>
        <w:tc>
          <w:tcPr>
            <w:tcW w:w="3100" w:type="dxa"/>
            <w:vAlign w:val="bottom"/>
          </w:tcPr>
          <w:p>
            <w:pPr>
              <w:jc w:val="right"/>
              <w:spacing w:after="0"/>
              <w:rPr>
                <w:sz w:val="20"/>
                <w:szCs w:val="20"/>
                <w:color w:val="auto"/>
              </w:rPr>
            </w:pPr>
            <w:r>
              <w:rPr>
                <w:rFonts w:ascii="Arial" w:cs="Arial" w:eastAsia="Arial" w:hAnsi="Arial"/>
                <w:sz w:val="18"/>
                <w:szCs w:val="18"/>
                <w:color w:val="auto"/>
              </w:rPr>
              <w:t>25.44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10691</w:t>
            </w:r>
          </w:p>
        </w:tc>
        <w:tc>
          <w:tcPr>
            <w:tcW w:w="4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2005-EFC3</w:t>
            </w:r>
          </w:p>
        </w:tc>
        <w:tc>
          <w:tcPr>
            <w:tcW w:w="3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26.01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10690</w:t>
            </w:r>
          </w:p>
        </w:tc>
        <w:tc>
          <w:tcPr>
            <w:tcW w:w="4180" w:type="dxa"/>
            <w:vAlign w:val="bottom"/>
          </w:tcPr>
          <w:p>
            <w:pPr>
              <w:ind w:left="160"/>
              <w:spacing w:after="0"/>
              <w:rPr>
                <w:sz w:val="20"/>
                <w:szCs w:val="20"/>
                <w:color w:val="auto"/>
              </w:rPr>
            </w:pPr>
            <w:r>
              <w:rPr>
                <w:rFonts w:ascii="Arial" w:cs="Arial" w:eastAsia="Arial" w:hAnsi="Arial"/>
                <w:sz w:val="18"/>
                <w:szCs w:val="18"/>
                <w:color w:val="auto"/>
              </w:rPr>
              <w:t>RAMP 2005-EFC2</w:t>
            </w:r>
          </w:p>
        </w:tc>
        <w:tc>
          <w:tcPr>
            <w:tcW w:w="3100" w:type="dxa"/>
            <w:vAlign w:val="bottom"/>
          </w:tcPr>
          <w:p>
            <w:pPr>
              <w:jc w:val="right"/>
              <w:spacing w:after="0"/>
              <w:rPr>
                <w:sz w:val="20"/>
                <w:szCs w:val="20"/>
                <w:color w:val="auto"/>
              </w:rPr>
            </w:pPr>
            <w:r>
              <w:rPr>
                <w:rFonts w:ascii="Arial" w:cs="Arial" w:eastAsia="Arial" w:hAnsi="Arial"/>
                <w:sz w:val="18"/>
                <w:szCs w:val="18"/>
                <w:color w:val="auto"/>
              </w:rPr>
              <w:t>22.65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10689</w:t>
            </w:r>
          </w:p>
        </w:tc>
        <w:tc>
          <w:tcPr>
            <w:tcW w:w="4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2005-EFC1</w:t>
            </w:r>
          </w:p>
        </w:tc>
        <w:tc>
          <w:tcPr>
            <w:tcW w:w="3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23.65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10664</w:t>
            </w:r>
          </w:p>
        </w:tc>
        <w:tc>
          <w:tcPr>
            <w:tcW w:w="4180" w:type="dxa"/>
            <w:vAlign w:val="bottom"/>
          </w:tcPr>
          <w:p>
            <w:pPr>
              <w:ind w:left="160"/>
              <w:spacing w:after="0"/>
              <w:rPr>
                <w:sz w:val="20"/>
                <w:szCs w:val="20"/>
                <w:color w:val="auto"/>
              </w:rPr>
            </w:pPr>
            <w:r>
              <w:rPr>
                <w:rFonts w:ascii="Arial" w:cs="Arial" w:eastAsia="Arial" w:hAnsi="Arial"/>
                <w:sz w:val="18"/>
                <w:szCs w:val="18"/>
                <w:color w:val="auto"/>
              </w:rPr>
              <w:t>RAMP 2004-SL4</w:t>
            </w:r>
          </w:p>
        </w:tc>
        <w:tc>
          <w:tcPr>
            <w:tcW w:w="3100" w:type="dxa"/>
            <w:vAlign w:val="bottom"/>
          </w:tcPr>
          <w:p>
            <w:pPr>
              <w:jc w:val="right"/>
              <w:spacing w:after="0"/>
              <w:rPr>
                <w:sz w:val="20"/>
                <w:szCs w:val="20"/>
                <w:color w:val="auto"/>
              </w:rPr>
            </w:pPr>
            <w:r>
              <w:rPr>
                <w:rFonts w:ascii="Arial" w:cs="Arial" w:eastAsia="Arial" w:hAnsi="Arial"/>
                <w:sz w:val="18"/>
                <w:szCs w:val="18"/>
                <w:color w:val="auto"/>
              </w:rPr>
              <w:t>16.02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10663</w:t>
            </w:r>
          </w:p>
        </w:tc>
        <w:tc>
          <w:tcPr>
            <w:tcW w:w="4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2004-SL3</w:t>
            </w:r>
          </w:p>
        </w:tc>
        <w:tc>
          <w:tcPr>
            <w:tcW w:w="3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10662</w:t>
            </w:r>
          </w:p>
        </w:tc>
        <w:tc>
          <w:tcPr>
            <w:tcW w:w="4180" w:type="dxa"/>
            <w:vAlign w:val="bottom"/>
          </w:tcPr>
          <w:p>
            <w:pPr>
              <w:ind w:left="160"/>
              <w:spacing w:after="0"/>
              <w:rPr>
                <w:sz w:val="20"/>
                <w:szCs w:val="20"/>
                <w:color w:val="auto"/>
              </w:rPr>
            </w:pPr>
            <w:r>
              <w:rPr>
                <w:rFonts w:ascii="Arial" w:cs="Arial" w:eastAsia="Arial" w:hAnsi="Arial"/>
                <w:sz w:val="18"/>
                <w:szCs w:val="18"/>
                <w:color w:val="auto"/>
              </w:rPr>
              <w:t>RAMP 2004-SL2</w:t>
            </w:r>
          </w:p>
        </w:tc>
        <w:tc>
          <w:tcPr>
            <w:tcW w:w="3100" w:type="dxa"/>
            <w:vAlign w:val="bottom"/>
          </w:tcPr>
          <w:p>
            <w:pPr>
              <w:jc w:val="right"/>
              <w:spacing w:after="0"/>
              <w:rPr>
                <w:sz w:val="20"/>
                <w:szCs w:val="20"/>
                <w:color w:val="auto"/>
              </w:rPr>
            </w:pPr>
            <w:r>
              <w:rPr>
                <w:rFonts w:ascii="Arial" w:cs="Arial" w:eastAsia="Arial" w:hAnsi="Arial"/>
                <w:sz w:val="18"/>
                <w:szCs w:val="18"/>
                <w:color w:val="auto"/>
              </w:rPr>
              <w:t>17.68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10661</w:t>
            </w:r>
          </w:p>
        </w:tc>
        <w:tc>
          <w:tcPr>
            <w:tcW w:w="41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2004-SL1</w:t>
            </w:r>
          </w:p>
        </w:tc>
        <w:tc>
          <w:tcPr>
            <w:tcW w:w="31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6.57</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10650</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2004-RZ4</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10649</w:t>
            </w:r>
          </w:p>
        </w:tc>
        <w:tc>
          <w:tcPr>
            <w:tcW w:w="4140" w:type="dxa"/>
            <w:vAlign w:val="bottom"/>
          </w:tcPr>
          <w:p>
            <w:pPr>
              <w:ind w:left="160"/>
              <w:spacing w:after="0"/>
              <w:rPr>
                <w:sz w:val="20"/>
                <w:szCs w:val="20"/>
                <w:color w:val="auto"/>
              </w:rPr>
            </w:pPr>
            <w:r>
              <w:rPr>
                <w:rFonts w:ascii="Arial" w:cs="Arial" w:eastAsia="Arial" w:hAnsi="Arial"/>
                <w:sz w:val="18"/>
                <w:szCs w:val="18"/>
                <w:color w:val="auto"/>
              </w:rPr>
              <w:t>RAMP 2004-RZ3</w:t>
            </w:r>
          </w:p>
        </w:tc>
        <w:tc>
          <w:tcPr>
            <w:tcW w:w="3140" w:type="dxa"/>
            <w:vAlign w:val="bottom"/>
          </w:tcPr>
          <w:p>
            <w:pPr>
              <w:jc w:val="right"/>
              <w:spacing w:after="0"/>
              <w:rPr>
                <w:sz w:val="20"/>
                <w:szCs w:val="20"/>
                <w:color w:val="auto"/>
              </w:rPr>
            </w:pPr>
            <w:r>
              <w:rPr>
                <w:rFonts w:ascii="Arial" w:cs="Arial" w:eastAsia="Arial" w:hAnsi="Arial"/>
                <w:sz w:val="18"/>
                <w:szCs w:val="18"/>
                <w:color w:val="auto"/>
              </w:rPr>
              <w:t>(3.12)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10647</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2004-RZ1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10646</w:t>
            </w:r>
          </w:p>
        </w:tc>
        <w:tc>
          <w:tcPr>
            <w:tcW w:w="4140" w:type="dxa"/>
            <w:vAlign w:val="bottom"/>
          </w:tcPr>
          <w:p>
            <w:pPr>
              <w:ind w:left="160"/>
              <w:spacing w:after="0"/>
              <w:rPr>
                <w:sz w:val="20"/>
                <w:szCs w:val="20"/>
                <w:color w:val="auto"/>
              </w:rPr>
            </w:pPr>
            <w:r>
              <w:rPr>
                <w:rFonts w:ascii="Arial" w:cs="Arial" w:eastAsia="Arial" w:hAnsi="Arial"/>
                <w:sz w:val="18"/>
                <w:szCs w:val="18"/>
                <w:color w:val="auto"/>
              </w:rPr>
              <w:t>RAMP 2004-RS8</w:t>
            </w:r>
          </w:p>
        </w:tc>
        <w:tc>
          <w:tcPr>
            <w:tcW w:w="3140" w:type="dxa"/>
            <w:vAlign w:val="bottom"/>
          </w:tcPr>
          <w:p>
            <w:pPr>
              <w:jc w:val="right"/>
              <w:spacing w:after="0"/>
              <w:rPr>
                <w:sz w:val="20"/>
                <w:szCs w:val="20"/>
                <w:color w:val="auto"/>
              </w:rPr>
            </w:pPr>
            <w:r>
              <w:rPr>
                <w:rFonts w:ascii="Arial" w:cs="Arial" w:eastAsia="Arial" w:hAnsi="Arial"/>
                <w:sz w:val="18"/>
                <w:szCs w:val="18"/>
                <w:color w:val="auto"/>
              </w:rPr>
              <w:t>12.00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10644</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2004-RS6</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22.42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10643</w:t>
            </w:r>
          </w:p>
        </w:tc>
        <w:tc>
          <w:tcPr>
            <w:tcW w:w="4140" w:type="dxa"/>
            <w:vAlign w:val="bottom"/>
          </w:tcPr>
          <w:p>
            <w:pPr>
              <w:ind w:left="160"/>
              <w:spacing w:after="0"/>
              <w:rPr>
                <w:sz w:val="20"/>
                <w:szCs w:val="20"/>
                <w:color w:val="auto"/>
              </w:rPr>
            </w:pPr>
            <w:r>
              <w:rPr>
                <w:rFonts w:ascii="Arial" w:cs="Arial" w:eastAsia="Arial" w:hAnsi="Arial"/>
                <w:sz w:val="18"/>
                <w:szCs w:val="18"/>
                <w:color w:val="auto"/>
              </w:rPr>
              <w:t>RAMP 2004-RS4</w:t>
            </w:r>
          </w:p>
        </w:tc>
        <w:tc>
          <w:tcPr>
            <w:tcW w:w="3140" w:type="dxa"/>
            <w:vAlign w:val="bottom"/>
          </w:tcPr>
          <w:p>
            <w:pPr>
              <w:jc w:val="right"/>
              <w:spacing w:after="0"/>
              <w:rPr>
                <w:sz w:val="20"/>
                <w:szCs w:val="20"/>
                <w:color w:val="auto"/>
              </w:rPr>
            </w:pPr>
            <w:r>
              <w:rPr>
                <w:rFonts w:ascii="Arial" w:cs="Arial" w:eastAsia="Arial" w:hAnsi="Arial"/>
                <w:sz w:val="18"/>
                <w:szCs w:val="18"/>
                <w:color w:val="auto"/>
              </w:rPr>
              <w:t>13.63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10642</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2004-RS3</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16.57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10641</w:t>
            </w:r>
          </w:p>
        </w:tc>
        <w:tc>
          <w:tcPr>
            <w:tcW w:w="4140" w:type="dxa"/>
            <w:vAlign w:val="bottom"/>
          </w:tcPr>
          <w:p>
            <w:pPr>
              <w:ind w:left="160"/>
              <w:spacing w:after="0"/>
              <w:rPr>
                <w:sz w:val="20"/>
                <w:szCs w:val="20"/>
                <w:color w:val="auto"/>
              </w:rPr>
            </w:pPr>
            <w:r>
              <w:rPr>
                <w:rFonts w:ascii="Arial" w:cs="Arial" w:eastAsia="Arial" w:hAnsi="Arial"/>
                <w:sz w:val="18"/>
                <w:szCs w:val="18"/>
                <w:color w:val="auto"/>
              </w:rPr>
              <w:t>RAMP 2004-RS2</w:t>
            </w:r>
          </w:p>
        </w:tc>
        <w:tc>
          <w:tcPr>
            <w:tcW w:w="3140" w:type="dxa"/>
            <w:vAlign w:val="bottom"/>
          </w:tcPr>
          <w:p>
            <w:pPr>
              <w:jc w:val="right"/>
              <w:spacing w:after="0"/>
              <w:rPr>
                <w:sz w:val="20"/>
                <w:szCs w:val="20"/>
                <w:color w:val="auto"/>
              </w:rPr>
            </w:pPr>
            <w:r>
              <w:rPr>
                <w:rFonts w:ascii="Arial" w:cs="Arial" w:eastAsia="Arial" w:hAnsi="Arial"/>
                <w:sz w:val="18"/>
                <w:szCs w:val="18"/>
                <w:color w:val="auto"/>
              </w:rPr>
              <w:t>14.33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10640</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2004-RS12</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16.11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10639</w:t>
            </w:r>
          </w:p>
        </w:tc>
        <w:tc>
          <w:tcPr>
            <w:tcW w:w="4140" w:type="dxa"/>
            <w:vAlign w:val="bottom"/>
          </w:tcPr>
          <w:p>
            <w:pPr>
              <w:ind w:left="160"/>
              <w:spacing w:after="0"/>
              <w:rPr>
                <w:sz w:val="20"/>
                <w:szCs w:val="20"/>
                <w:color w:val="auto"/>
              </w:rPr>
            </w:pPr>
            <w:r>
              <w:rPr>
                <w:rFonts w:ascii="Arial" w:cs="Arial" w:eastAsia="Arial" w:hAnsi="Arial"/>
                <w:sz w:val="18"/>
                <w:szCs w:val="18"/>
                <w:color w:val="auto"/>
              </w:rPr>
              <w:t>RAMP 2004-RS11</w:t>
            </w:r>
          </w:p>
        </w:tc>
        <w:tc>
          <w:tcPr>
            <w:tcW w:w="3140" w:type="dxa"/>
            <w:vAlign w:val="bottom"/>
          </w:tcPr>
          <w:p>
            <w:pPr>
              <w:jc w:val="right"/>
              <w:spacing w:after="0"/>
              <w:rPr>
                <w:sz w:val="20"/>
                <w:szCs w:val="20"/>
                <w:color w:val="auto"/>
              </w:rPr>
            </w:pPr>
            <w:r>
              <w:rPr>
                <w:rFonts w:ascii="Arial" w:cs="Arial" w:eastAsia="Arial" w:hAnsi="Arial"/>
                <w:sz w:val="18"/>
                <w:szCs w:val="18"/>
                <w:color w:val="auto"/>
              </w:rPr>
              <w:t>11.09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10638</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2004-RS10</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10592</w:t>
            </w:r>
          </w:p>
        </w:tc>
        <w:tc>
          <w:tcPr>
            <w:tcW w:w="4140" w:type="dxa"/>
            <w:vAlign w:val="bottom"/>
          </w:tcPr>
          <w:p>
            <w:pPr>
              <w:ind w:left="160"/>
              <w:spacing w:after="0"/>
              <w:rPr>
                <w:sz w:val="20"/>
                <w:szCs w:val="20"/>
                <w:color w:val="auto"/>
              </w:rPr>
            </w:pPr>
            <w:r>
              <w:rPr>
                <w:rFonts w:ascii="Arial" w:cs="Arial" w:eastAsia="Arial" w:hAnsi="Arial"/>
                <w:sz w:val="18"/>
                <w:szCs w:val="18"/>
                <w:color w:val="auto"/>
              </w:rPr>
              <w:t>RAMP 2004-KR2</w:t>
            </w:r>
          </w:p>
        </w:tc>
        <w:tc>
          <w:tcPr>
            <w:tcW w:w="3140" w:type="dxa"/>
            <w:vAlign w:val="bottom"/>
          </w:tcPr>
          <w:p>
            <w:pPr>
              <w:jc w:val="right"/>
              <w:spacing w:after="0"/>
              <w:rPr>
                <w:sz w:val="20"/>
                <w:szCs w:val="20"/>
                <w:color w:val="auto"/>
              </w:rPr>
            </w:pPr>
            <w:r>
              <w:rPr>
                <w:rFonts w:ascii="Arial" w:cs="Arial" w:eastAsia="Arial" w:hAnsi="Arial"/>
                <w:sz w:val="18"/>
                <w:szCs w:val="18"/>
                <w:color w:val="auto"/>
              </w:rPr>
              <w:t>9.33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10591</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2004-KR1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10569</w:t>
            </w:r>
          </w:p>
        </w:tc>
        <w:tc>
          <w:tcPr>
            <w:tcW w:w="4140" w:type="dxa"/>
            <w:vAlign w:val="bottom"/>
          </w:tcPr>
          <w:p>
            <w:pPr>
              <w:ind w:left="160"/>
              <w:spacing w:after="0"/>
              <w:rPr>
                <w:sz w:val="20"/>
                <w:szCs w:val="20"/>
                <w:color w:val="auto"/>
              </w:rPr>
            </w:pPr>
            <w:r>
              <w:rPr>
                <w:rFonts w:ascii="Arial" w:cs="Arial" w:eastAsia="Arial" w:hAnsi="Arial"/>
                <w:sz w:val="18"/>
                <w:szCs w:val="18"/>
                <w:color w:val="auto"/>
              </w:rPr>
              <w:t>RAMP 2003-SL1</w:t>
            </w:r>
          </w:p>
        </w:tc>
        <w:tc>
          <w:tcPr>
            <w:tcW w:w="3140" w:type="dxa"/>
            <w:vAlign w:val="bottom"/>
          </w:tcPr>
          <w:p>
            <w:pPr>
              <w:jc w:val="right"/>
              <w:spacing w:after="0"/>
              <w:rPr>
                <w:sz w:val="20"/>
                <w:szCs w:val="20"/>
                <w:color w:val="auto"/>
              </w:rPr>
            </w:pPr>
            <w:r>
              <w:rPr>
                <w:rFonts w:ascii="Arial" w:cs="Arial" w:eastAsia="Arial" w:hAnsi="Arial"/>
                <w:sz w:val="18"/>
                <w:szCs w:val="18"/>
                <w:color w:val="auto"/>
              </w:rPr>
              <w:t>48.96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10546</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2003-RS7</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10544</w:t>
            </w:r>
          </w:p>
        </w:tc>
        <w:tc>
          <w:tcPr>
            <w:tcW w:w="4140" w:type="dxa"/>
            <w:vAlign w:val="bottom"/>
          </w:tcPr>
          <w:p>
            <w:pPr>
              <w:ind w:left="160"/>
              <w:spacing w:after="0"/>
              <w:rPr>
                <w:sz w:val="20"/>
                <w:szCs w:val="20"/>
                <w:color w:val="auto"/>
              </w:rPr>
            </w:pPr>
            <w:r>
              <w:rPr>
                <w:rFonts w:ascii="Arial" w:cs="Arial" w:eastAsia="Arial" w:hAnsi="Arial"/>
                <w:sz w:val="18"/>
                <w:szCs w:val="18"/>
                <w:color w:val="auto"/>
              </w:rPr>
              <w:t>RAMP 2003-RS10</w:t>
            </w:r>
          </w:p>
        </w:tc>
        <w:tc>
          <w:tcPr>
            <w:tcW w:w="3140" w:type="dxa"/>
            <w:vAlign w:val="bottom"/>
          </w:tcPr>
          <w:p>
            <w:pPr>
              <w:jc w:val="right"/>
              <w:spacing w:after="0"/>
              <w:rPr>
                <w:sz w:val="20"/>
                <w:szCs w:val="20"/>
                <w:color w:val="auto"/>
              </w:rPr>
            </w:pPr>
            <w:r>
              <w:rPr>
                <w:rFonts w:ascii="Arial" w:cs="Arial" w:eastAsia="Arial" w:hAnsi="Arial"/>
                <w:sz w:val="18"/>
                <w:szCs w:val="18"/>
                <w:color w:val="auto"/>
              </w:rPr>
              <w:t>13.16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10499</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2002-SL1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10497</w:t>
            </w:r>
          </w:p>
        </w:tc>
        <w:tc>
          <w:tcPr>
            <w:tcW w:w="4140" w:type="dxa"/>
            <w:vAlign w:val="bottom"/>
          </w:tcPr>
          <w:p>
            <w:pPr>
              <w:ind w:left="160"/>
              <w:spacing w:after="0"/>
              <w:rPr>
                <w:sz w:val="20"/>
                <w:szCs w:val="20"/>
                <w:color w:val="auto"/>
              </w:rPr>
            </w:pPr>
            <w:r>
              <w:rPr>
                <w:rFonts w:ascii="Arial" w:cs="Arial" w:eastAsia="Arial" w:hAnsi="Arial"/>
                <w:sz w:val="18"/>
                <w:szCs w:val="18"/>
                <w:color w:val="auto"/>
              </w:rPr>
              <w:t>RAMP 2002-RZ3</w:t>
            </w:r>
          </w:p>
        </w:tc>
        <w:tc>
          <w:tcPr>
            <w:tcW w:w="3140" w:type="dxa"/>
            <w:vAlign w:val="bottom"/>
          </w:tcPr>
          <w:p>
            <w:pPr>
              <w:jc w:val="right"/>
              <w:spacing w:after="0"/>
              <w:rPr>
                <w:sz w:val="20"/>
                <w:szCs w:val="20"/>
                <w:color w:val="auto"/>
              </w:rPr>
            </w:pPr>
            <w:r>
              <w:rPr>
                <w:rFonts w:ascii="Arial" w:cs="Arial" w:eastAsia="Arial" w:hAnsi="Arial"/>
                <w:sz w:val="18"/>
                <w:szCs w:val="18"/>
                <w:color w:val="auto"/>
              </w:rPr>
              <w:t>(8.66)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10496</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2002-RZ2</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(17.91)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10495</w:t>
            </w:r>
          </w:p>
        </w:tc>
        <w:tc>
          <w:tcPr>
            <w:tcW w:w="4140" w:type="dxa"/>
            <w:vAlign w:val="bottom"/>
          </w:tcPr>
          <w:p>
            <w:pPr>
              <w:ind w:left="160"/>
              <w:spacing w:after="0"/>
              <w:rPr>
                <w:sz w:val="20"/>
                <w:szCs w:val="20"/>
                <w:color w:val="auto"/>
              </w:rPr>
            </w:pPr>
            <w:r>
              <w:rPr>
                <w:rFonts w:ascii="Arial" w:cs="Arial" w:eastAsia="Arial" w:hAnsi="Arial"/>
                <w:sz w:val="18"/>
                <w:szCs w:val="18"/>
                <w:color w:val="auto"/>
              </w:rPr>
              <w:t>RAMP 2002-RS3</w:t>
            </w:r>
          </w:p>
        </w:tc>
        <w:tc>
          <w:tcPr>
            <w:tcW w:w="3140" w:type="dxa"/>
            <w:vAlign w:val="bottom"/>
          </w:tcPr>
          <w:p>
            <w:pPr>
              <w:jc w:val="right"/>
              <w:spacing w:after="0"/>
              <w:rPr>
                <w:sz w:val="20"/>
                <w:szCs w:val="20"/>
                <w:color w:val="auto"/>
              </w:rPr>
            </w:pPr>
            <w:r>
              <w:rPr>
                <w:rFonts w:ascii="Arial" w:cs="Arial" w:eastAsia="Arial" w:hAnsi="Arial"/>
                <w:sz w:val="18"/>
                <w:szCs w:val="18"/>
                <w:color w:val="auto"/>
              </w:rPr>
              <w:t>(6.06)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10494</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RAMP 2002-RS2</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(17.52)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10460</w:t>
            </w:r>
          </w:p>
        </w:tc>
        <w:tc>
          <w:tcPr>
            <w:tcW w:w="4140" w:type="dxa"/>
            <w:vAlign w:val="bottom"/>
          </w:tcPr>
          <w:p>
            <w:pPr>
              <w:ind w:left="160"/>
              <w:spacing w:after="0"/>
              <w:rPr>
                <w:sz w:val="20"/>
                <w:szCs w:val="20"/>
                <w:color w:val="auto"/>
              </w:rPr>
            </w:pPr>
            <w:r>
              <w:rPr>
                <w:rFonts w:ascii="Arial" w:cs="Arial" w:eastAsia="Arial" w:hAnsi="Arial"/>
                <w:sz w:val="18"/>
                <w:szCs w:val="18"/>
                <w:color w:val="auto"/>
              </w:rPr>
              <w:t>RAMP 2001-RS2</w:t>
            </w:r>
          </w:p>
        </w:tc>
        <w:tc>
          <w:tcPr>
            <w:tcW w:w="3140" w:type="dxa"/>
            <w:vAlign w:val="bottom"/>
          </w:tcPr>
          <w:p>
            <w:pPr>
              <w:jc w:val="right"/>
              <w:spacing w:after="0"/>
              <w:rPr>
                <w:sz w:val="20"/>
                <w:szCs w:val="20"/>
                <w:color w:val="auto"/>
              </w:rPr>
            </w:pPr>
            <w:r>
              <w:rPr>
                <w:rFonts w:ascii="Arial" w:cs="Arial" w:eastAsia="Arial" w:hAnsi="Arial"/>
                <w:sz w:val="18"/>
                <w:szCs w:val="18"/>
                <w:color w:val="auto"/>
              </w:rPr>
              <w:t>(18.79)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2007-QS9</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20.50</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RALI 2007-QS8</w:t>
            </w:r>
          </w:p>
        </w:tc>
        <w:tc>
          <w:tcPr>
            <w:tcW w:w="3140" w:type="dxa"/>
            <w:vAlign w:val="bottom"/>
          </w:tcPr>
          <w:p>
            <w:pPr>
              <w:jc w:val="right"/>
              <w:spacing w:after="0"/>
              <w:rPr>
                <w:sz w:val="20"/>
                <w:szCs w:val="20"/>
                <w:color w:val="auto"/>
              </w:rPr>
            </w:pPr>
            <w:r>
              <w:rPr>
                <w:rFonts w:ascii="Arial" w:cs="Arial" w:eastAsia="Arial" w:hAnsi="Arial"/>
                <w:sz w:val="18"/>
                <w:szCs w:val="18"/>
                <w:color w:val="auto"/>
              </w:rPr>
              <w:t>27.48</w:t>
            </w:r>
          </w:p>
        </w:tc>
        <w:tc>
          <w:tcPr>
            <w:tcW w:w="1720" w:type="dxa"/>
            <w:vAlign w:val="bottom"/>
          </w:tcPr>
          <w:p>
            <w:pPr>
              <w:spacing w:after="0"/>
              <w:rPr>
                <w:sz w:val="20"/>
                <w:szCs w:val="20"/>
                <w:color w:val="auto"/>
              </w:rPr>
            </w:pPr>
          </w:p>
        </w:tc>
      </w:tr>
      <w:tr>
        <w:trPr>
          <w:trHeight w:val="438"/>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10670</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2007-QS7</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10669</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2007-QS6</w:t>
            </w:r>
          </w:p>
        </w:tc>
        <w:tc>
          <w:tcPr>
            <w:tcW w:w="3140" w:type="dxa"/>
            <w:vAlign w:val="bottom"/>
          </w:tcPr>
          <w:p>
            <w:pPr>
              <w:jc w:val="right"/>
              <w:spacing w:after="0"/>
              <w:rPr>
                <w:sz w:val="20"/>
                <w:szCs w:val="20"/>
                <w:color w:val="auto"/>
              </w:rPr>
            </w:pPr>
            <w:r>
              <w:rPr>
                <w:rFonts w:ascii="Arial" w:cs="Arial" w:eastAsia="Arial" w:hAnsi="Arial"/>
                <w:sz w:val="18"/>
                <w:szCs w:val="18"/>
                <w:color w:val="auto"/>
              </w:rPr>
              <w:t>24.81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10668</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2007-QS5</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29.36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10667</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2007-QS4</w:t>
            </w:r>
          </w:p>
        </w:tc>
        <w:tc>
          <w:tcPr>
            <w:tcW w:w="3140" w:type="dxa"/>
            <w:vAlign w:val="bottom"/>
          </w:tcPr>
          <w:p>
            <w:pPr>
              <w:jc w:val="right"/>
              <w:spacing w:after="0"/>
              <w:rPr>
                <w:sz w:val="20"/>
                <w:szCs w:val="20"/>
                <w:color w:val="auto"/>
              </w:rPr>
            </w:pPr>
            <w:r>
              <w:rPr>
                <w:rFonts w:ascii="Arial" w:cs="Arial" w:eastAsia="Arial" w:hAnsi="Arial"/>
                <w:sz w:val="18"/>
                <w:szCs w:val="18"/>
                <w:color w:val="auto"/>
              </w:rPr>
              <w:t>23.87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10666</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2007-QS3</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RALI 2007-QS2</w:t>
            </w:r>
          </w:p>
        </w:tc>
        <w:tc>
          <w:tcPr>
            <w:tcW w:w="3140" w:type="dxa"/>
            <w:vAlign w:val="bottom"/>
          </w:tcPr>
          <w:p>
            <w:pPr>
              <w:jc w:val="right"/>
              <w:spacing w:after="0"/>
              <w:rPr>
                <w:sz w:val="20"/>
                <w:szCs w:val="20"/>
                <w:color w:val="auto"/>
              </w:rPr>
            </w:pPr>
            <w:r>
              <w:rPr>
                <w:rFonts w:ascii="Arial" w:cs="Arial" w:eastAsia="Arial" w:hAnsi="Arial"/>
                <w:sz w:val="18"/>
                <w:szCs w:val="18"/>
                <w:color w:val="auto"/>
              </w:rPr>
              <w:t>32.25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2007-QS11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10612</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2007-QS10</w:t>
            </w:r>
          </w:p>
        </w:tc>
        <w:tc>
          <w:tcPr>
            <w:tcW w:w="3140" w:type="dxa"/>
            <w:vAlign w:val="bottom"/>
          </w:tcPr>
          <w:p>
            <w:pPr>
              <w:jc w:val="right"/>
              <w:spacing w:after="0"/>
              <w:rPr>
                <w:sz w:val="20"/>
                <w:szCs w:val="20"/>
                <w:color w:val="auto"/>
              </w:rPr>
            </w:pPr>
            <w:r>
              <w:rPr>
                <w:rFonts w:ascii="Arial" w:cs="Arial" w:eastAsia="Arial" w:hAnsi="Arial"/>
                <w:sz w:val="18"/>
                <w:szCs w:val="18"/>
                <w:color w:val="auto"/>
              </w:rPr>
              <w:t>18.59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2007-QS1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27.79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RALI 2007-QA5</w:t>
            </w:r>
          </w:p>
        </w:tc>
        <w:tc>
          <w:tcPr>
            <w:tcW w:w="3140" w:type="dxa"/>
            <w:vAlign w:val="bottom"/>
          </w:tcPr>
          <w:p>
            <w:pPr>
              <w:jc w:val="right"/>
              <w:spacing w:after="0"/>
              <w:rPr>
                <w:sz w:val="20"/>
                <w:szCs w:val="20"/>
                <w:color w:val="auto"/>
              </w:rPr>
            </w:pPr>
            <w:r>
              <w:rPr>
                <w:rFonts w:ascii="Arial" w:cs="Arial" w:eastAsia="Arial" w:hAnsi="Arial"/>
                <w:sz w:val="18"/>
                <w:szCs w:val="18"/>
                <w:color w:val="auto"/>
              </w:rPr>
              <w:t>37.80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2007-QA4</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RALI 2007-QA3</w:t>
            </w:r>
          </w:p>
        </w:tc>
        <w:tc>
          <w:tcPr>
            <w:tcW w:w="3140" w:type="dxa"/>
            <w:vAlign w:val="bottom"/>
          </w:tcPr>
          <w:p>
            <w:pPr>
              <w:jc w:val="right"/>
              <w:spacing w:after="0"/>
              <w:rPr>
                <w:sz w:val="20"/>
                <w:szCs w:val="20"/>
                <w:color w:val="auto"/>
              </w:rPr>
            </w:pPr>
            <w:r>
              <w:rPr>
                <w:rFonts w:ascii="Arial" w:cs="Arial" w:eastAsia="Arial" w:hAnsi="Arial"/>
                <w:sz w:val="18"/>
                <w:szCs w:val="18"/>
                <w:color w:val="auto"/>
              </w:rPr>
              <w:t>26.93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2007-QA2</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32.51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RALI 2007-QA1</w:t>
            </w:r>
          </w:p>
        </w:tc>
        <w:tc>
          <w:tcPr>
            <w:tcW w:w="3140" w:type="dxa"/>
            <w:vAlign w:val="bottom"/>
          </w:tcPr>
          <w:p>
            <w:pPr>
              <w:jc w:val="right"/>
              <w:spacing w:after="0"/>
              <w:rPr>
                <w:sz w:val="20"/>
                <w:szCs w:val="20"/>
                <w:color w:val="auto"/>
              </w:rPr>
            </w:pPr>
            <w:r>
              <w:rPr>
                <w:rFonts w:ascii="Arial" w:cs="Arial" w:eastAsia="Arial" w:hAnsi="Arial"/>
                <w:sz w:val="18"/>
                <w:szCs w:val="18"/>
                <w:color w:val="auto"/>
              </w:rPr>
              <w:t>28.23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10831</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2006-QS9</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29.42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10830</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2006-QS8</w:t>
            </w:r>
          </w:p>
        </w:tc>
        <w:tc>
          <w:tcPr>
            <w:tcW w:w="3140" w:type="dxa"/>
            <w:vAlign w:val="bottom"/>
          </w:tcPr>
          <w:p>
            <w:pPr>
              <w:jc w:val="right"/>
              <w:spacing w:after="0"/>
              <w:rPr>
                <w:sz w:val="20"/>
                <w:szCs w:val="20"/>
                <w:color w:val="auto"/>
              </w:rPr>
            </w:pPr>
            <w:r>
              <w:rPr>
                <w:rFonts w:ascii="Arial" w:cs="Arial" w:eastAsia="Arial" w:hAnsi="Arial"/>
                <w:sz w:val="18"/>
                <w:szCs w:val="18"/>
                <w:color w:val="auto"/>
              </w:rPr>
              <w:t>25.82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2006-QS7</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30.05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10829</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2006-QS6</w:t>
            </w:r>
          </w:p>
        </w:tc>
        <w:tc>
          <w:tcPr>
            <w:tcW w:w="3140" w:type="dxa"/>
            <w:vAlign w:val="bottom"/>
          </w:tcPr>
          <w:p>
            <w:pPr>
              <w:jc w:val="right"/>
              <w:spacing w:after="0"/>
              <w:rPr>
                <w:sz w:val="20"/>
                <w:szCs w:val="20"/>
                <w:color w:val="auto"/>
              </w:rPr>
            </w:pPr>
            <w:r>
              <w:rPr>
                <w:rFonts w:ascii="Arial" w:cs="Arial" w:eastAsia="Arial" w:hAnsi="Arial"/>
                <w:sz w:val="18"/>
                <w:szCs w:val="18"/>
                <w:color w:val="auto"/>
              </w:rPr>
              <w:t>26.30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10828</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2006-QS5</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29.36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10827</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2006-QS4</w:t>
            </w:r>
          </w:p>
        </w:tc>
        <w:tc>
          <w:tcPr>
            <w:tcW w:w="3140" w:type="dxa"/>
            <w:vAlign w:val="bottom"/>
          </w:tcPr>
          <w:p>
            <w:pPr>
              <w:jc w:val="right"/>
              <w:spacing w:after="0"/>
              <w:rPr>
                <w:sz w:val="20"/>
                <w:szCs w:val="20"/>
                <w:color w:val="auto"/>
              </w:rPr>
            </w:pPr>
            <w:r>
              <w:rPr>
                <w:rFonts w:ascii="Arial" w:cs="Arial" w:eastAsia="Arial" w:hAnsi="Arial"/>
                <w:sz w:val="18"/>
                <w:szCs w:val="18"/>
                <w:color w:val="auto"/>
              </w:rPr>
              <w:t>31.31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10826</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2006-QS3</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27.26</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10825</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2006-QS2</w:t>
            </w:r>
          </w:p>
        </w:tc>
        <w:tc>
          <w:tcPr>
            <w:tcW w:w="3140" w:type="dxa"/>
            <w:vAlign w:val="bottom"/>
          </w:tcPr>
          <w:p>
            <w:pPr>
              <w:jc w:val="right"/>
              <w:spacing w:after="0"/>
              <w:rPr>
                <w:sz w:val="20"/>
                <w:szCs w:val="20"/>
                <w:color w:val="auto"/>
              </w:rPr>
            </w:pPr>
            <w:r>
              <w:rPr>
                <w:rFonts w:ascii="Arial" w:cs="Arial" w:eastAsia="Arial" w:hAnsi="Arial"/>
                <w:sz w:val="18"/>
                <w:szCs w:val="18"/>
                <w:color w:val="auto"/>
              </w:rPr>
              <w:t>29.62</w:t>
            </w:r>
          </w:p>
        </w:tc>
        <w:tc>
          <w:tcPr>
            <w:tcW w:w="1720" w:type="dxa"/>
            <w:vAlign w:val="bottom"/>
          </w:tcPr>
          <w:p>
            <w:pPr>
              <w:spacing w:after="0"/>
              <w:rPr>
                <w:sz w:val="20"/>
                <w:szCs w:val="20"/>
                <w:color w:val="auto"/>
              </w:rPr>
            </w:pPr>
          </w:p>
        </w:tc>
      </w:tr>
      <w:tr>
        <w:trPr>
          <w:trHeight w:val="438"/>
        </w:trPr>
        <w:tc>
          <w:tcPr>
            <w:tcW w:w="1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10824</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2006-QS18</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21.69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RALI 2006-QS17</w:t>
            </w:r>
          </w:p>
        </w:tc>
        <w:tc>
          <w:tcPr>
            <w:tcW w:w="3120" w:type="dxa"/>
            <w:vAlign w:val="bottom"/>
          </w:tcPr>
          <w:p>
            <w:pPr>
              <w:jc w:val="right"/>
              <w:spacing w:after="0"/>
              <w:rPr>
                <w:sz w:val="20"/>
                <w:szCs w:val="20"/>
                <w:color w:val="auto"/>
              </w:rPr>
            </w:pPr>
            <w:r>
              <w:rPr>
                <w:rFonts w:ascii="Arial" w:cs="Arial" w:eastAsia="Arial" w:hAnsi="Arial"/>
                <w:sz w:val="18"/>
                <w:szCs w:val="18"/>
                <w:color w:val="auto"/>
              </w:rPr>
              <w:t>28.26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10823</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2006-QS16</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25.15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10822</w:t>
            </w:r>
          </w:p>
        </w:tc>
        <w:tc>
          <w:tcPr>
            <w:tcW w:w="4140" w:type="dxa"/>
            <w:vAlign w:val="bottom"/>
          </w:tcPr>
          <w:p>
            <w:pPr>
              <w:ind w:left="160"/>
              <w:spacing w:after="0"/>
              <w:rPr>
                <w:sz w:val="20"/>
                <w:szCs w:val="20"/>
                <w:color w:val="auto"/>
              </w:rPr>
            </w:pPr>
            <w:r>
              <w:rPr>
                <w:rFonts w:ascii="Arial" w:cs="Arial" w:eastAsia="Arial" w:hAnsi="Arial"/>
                <w:sz w:val="18"/>
                <w:szCs w:val="18"/>
                <w:color w:val="auto"/>
              </w:rPr>
              <w:t>RALI 2006-QS15</w:t>
            </w:r>
          </w:p>
        </w:tc>
        <w:tc>
          <w:tcPr>
            <w:tcW w:w="3120" w:type="dxa"/>
            <w:vAlign w:val="bottom"/>
          </w:tcPr>
          <w:p>
            <w:pPr>
              <w:jc w:val="right"/>
              <w:spacing w:after="0"/>
              <w:rPr>
                <w:sz w:val="20"/>
                <w:szCs w:val="20"/>
                <w:color w:val="auto"/>
              </w:rPr>
            </w:pPr>
            <w:r>
              <w:rPr>
                <w:rFonts w:ascii="Arial" w:cs="Arial" w:eastAsia="Arial" w:hAnsi="Arial"/>
                <w:sz w:val="18"/>
                <w:szCs w:val="18"/>
                <w:color w:val="auto"/>
              </w:rPr>
              <w:t>21.68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2006-QS14</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10821</w:t>
            </w:r>
          </w:p>
        </w:tc>
        <w:tc>
          <w:tcPr>
            <w:tcW w:w="4140" w:type="dxa"/>
            <w:vAlign w:val="bottom"/>
          </w:tcPr>
          <w:p>
            <w:pPr>
              <w:ind w:left="160"/>
              <w:spacing w:after="0"/>
              <w:rPr>
                <w:sz w:val="20"/>
                <w:szCs w:val="20"/>
                <w:color w:val="auto"/>
              </w:rPr>
            </w:pPr>
            <w:r>
              <w:rPr>
                <w:rFonts w:ascii="Arial" w:cs="Arial" w:eastAsia="Arial" w:hAnsi="Arial"/>
                <w:sz w:val="18"/>
                <w:szCs w:val="18"/>
                <w:color w:val="auto"/>
              </w:rPr>
              <w:t>RALI 2006-QS13</w:t>
            </w:r>
          </w:p>
        </w:tc>
        <w:tc>
          <w:tcPr>
            <w:tcW w:w="3120" w:type="dxa"/>
            <w:vAlign w:val="bottom"/>
          </w:tcPr>
          <w:p>
            <w:pPr>
              <w:jc w:val="right"/>
              <w:spacing w:after="0"/>
              <w:rPr>
                <w:sz w:val="20"/>
                <w:szCs w:val="20"/>
                <w:color w:val="auto"/>
              </w:rPr>
            </w:pPr>
            <w:r>
              <w:rPr>
                <w:rFonts w:ascii="Arial" w:cs="Arial" w:eastAsia="Arial" w:hAnsi="Arial"/>
                <w:sz w:val="18"/>
                <w:szCs w:val="18"/>
                <w:color w:val="auto"/>
              </w:rPr>
              <w:t>25.06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10820</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2006-QS12</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25.37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10819</w:t>
            </w:r>
          </w:p>
        </w:tc>
        <w:tc>
          <w:tcPr>
            <w:tcW w:w="4140" w:type="dxa"/>
            <w:vAlign w:val="bottom"/>
          </w:tcPr>
          <w:p>
            <w:pPr>
              <w:ind w:left="160"/>
              <w:spacing w:after="0"/>
              <w:rPr>
                <w:sz w:val="20"/>
                <w:szCs w:val="20"/>
                <w:color w:val="auto"/>
              </w:rPr>
            </w:pPr>
            <w:r>
              <w:rPr>
                <w:rFonts w:ascii="Arial" w:cs="Arial" w:eastAsia="Arial" w:hAnsi="Arial"/>
                <w:sz w:val="18"/>
                <w:szCs w:val="18"/>
                <w:color w:val="auto"/>
              </w:rPr>
              <w:t>RALI 2006-QS11</w:t>
            </w:r>
          </w:p>
        </w:tc>
        <w:tc>
          <w:tcPr>
            <w:tcW w:w="3120" w:type="dxa"/>
            <w:vAlign w:val="bottom"/>
          </w:tcPr>
          <w:p>
            <w:pPr>
              <w:jc w:val="right"/>
              <w:spacing w:after="0"/>
              <w:rPr>
                <w:sz w:val="20"/>
                <w:szCs w:val="20"/>
                <w:color w:val="auto"/>
              </w:rPr>
            </w:pPr>
            <w:r>
              <w:rPr>
                <w:rFonts w:ascii="Arial" w:cs="Arial" w:eastAsia="Arial" w:hAnsi="Arial"/>
                <w:sz w:val="18"/>
                <w:szCs w:val="18"/>
                <w:color w:val="auto"/>
              </w:rPr>
              <w:t>28.77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10818</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2006-QS10</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27.69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10817</w:t>
            </w:r>
          </w:p>
        </w:tc>
        <w:tc>
          <w:tcPr>
            <w:tcW w:w="4140" w:type="dxa"/>
            <w:vAlign w:val="bottom"/>
          </w:tcPr>
          <w:p>
            <w:pPr>
              <w:ind w:left="160"/>
              <w:spacing w:after="0"/>
              <w:rPr>
                <w:sz w:val="20"/>
                <w:szCs w:val="20"/>
                <w:color w:val="auto"/>
              </w:rPr>
            </w:pPr>
            <w:r>
              <w:rPr>
                <w:rFonts w:ascii="Arial" w:cs="Arial" w:eastAsia="Arial" w:hAnsi="Arial"/>
                <w:sz w:val="18"/>
                <w:szCs w:val="18"/>
                <w:color w:val="auto"/>
              </w:rPr>
              <w:t>RALI 2006-QS1</w:t>
            </w:r>
          </w:p>
        </w:tc>
        <w:tc>
          <w:tcPr>
            <w:tcW w:w="3120" w:type="dxa"/>
            <w:vAlign w:val="bottom"/>
          </w:tcPr>
          <w:p>
            <w:pPr>
              <w:jc w:val="right"/>
              <w:spacing w:after="0"/>
              <w:rPr>
                <w:sz w:val="20"/>
                <w:szCs w:val="20"/>
                <w:color w:val="auto"/>
              </w:rPr>
            </w:pPr>
            <w:r>
              <w:rPr>
                <w:rFonts w:ascii="Arial" w:cs="Arial" w:eastAsia="Arial" w:hAnsi="Arial"/>
                <w:sz w:val="18"/>
                <w:szCs w:val="18"/>
                <w:color w:val="auto"/>
              </w:rPr>
              <w:t>35.57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10816</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2006-QA9</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20.63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10815</w:t>
            </w:r>
          </w:p>
        </w:tc>
        <w:tc>
          <w:tcPr>
            <w:tcW w:w="4140" w:type="dxa"/>
            <w:vAlign w:val="bottom"/>
          </w:tcPr>
          <w:p>
            <w:pPr>
              <w:ind w:left="160"/>
              <w:spacing w:after="0"/>
              <w:rPr>
                <w:sz w:val="20"/>
                <w:szCs w:val="20"/>
                <w:color w:val="auto"/>
              </w:rPr>
            </w:pPr>
            <w:r>
              <w:rPr>
                <w:rFonts w:ascii="Arial" w:cs="Arial" w:eastAsia="Arial" w:hAnsi="Arial"/>
                <w:sz w:val="18"/>
                <w:szCs w:val="18"/>
                <w:color w:val="auto"/>
              </w:rPr>
              <w:t>RALI 2006-QA8</w:t>
            </w:r>
          </w:p>
        </w:tc>
        <w:tc>
          <w:tcPr>
            <w:tcW w:w="3120" w:type="dxa"/>
            <w:vAlign w:val="bottom"/>
          </w:tcPr>
          <w:p>
            <w:pPr>
              <w:jc w:val="right"/>
              <w:spacing w:after="0"/>
              <w:rPr>
                <w:sz w:val="20"/>
                <w:szCs w:val="20"/>
                <w:color w:val="auto"/>
              </w:rPr>
            </w:pPr>
            <w:r>
              <w:rPr>
                <w:rFonts w:ascii="Arial" w:cs="Arial" w:eastAsia="Arial" w:hAnsi="Arial"/>
                <w:sz w:val="18"/>
                <w:szCs w:val="18"/>
                <w:color w:val="auto"/>
              </w:rPr>
              <w:t>24.20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spacing w:after="0"/>
              <w:rPr>
                <w:sz w:val="18"/>
                <w:szCs w:val="18"/>
                <w:color w:val="auto"/>
              </w:rPr>
            </w:pP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2006-QA7</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10814</w:t>
            </w:r>
          </w:p>
        </w:tc>
        <w:tc>
          <w:tcPr>
            <w:tcW w:w="4140" w:type="dxa"/>
            <w:vAlign w:val="bottom"/>
          </w:tcPr>
          <w:p>
            <w:pPr>
              <w:ind w:left="160"/>
              <w:spacing w:after="0"/>
              <w:rPr>
                <w:sz w:val="20"/>
                <w:szCs w:val="20"/>
                <w:color w:val="auto"/>
              </w:rPr>
            </w:pPr>
            <w:r>
              <w:rPr>
                <w:rFonts w:ascii="Arial" w:cs="Arial" w:eastAsia="Arial" w:hAnsi="Arial"/>
                <w:sz w:val="18"/>
                <w:szCs w:val="18"/>
                <w:color w:val="auto"/>
              </w:rPr>
              <w:t>RALI 2006-QA6</w:t>
            </w:r>
          </w:p>
        </w:tc>
        <w:tc>
          <w:tcPr>
            <w:tcW w:w="3120" w:type="dxa"/>
            <w:vAlign w:val="bottom"/>
          </w:tcPr>
          <w:p>
            <w:pPr>
              <w:jc w:val="right"/>
              <w:spacing w:after="0"/>
              <w:rPr>
                <w:sz w:val="20"/>
                <w:szCs w:val="20"/>
                <w:color w:val="auto"/>
              </w:rPr>
            </w:pPr>
            <w:r>
              <w:rPr>
                <w:rFonts w:ascii="Arial" w:cs="Arial" w:eastAsia="Arial" w:hAnsi="Arial"/>
                <w:sz w:val="18"/>
                <w:szCs w:val="18"/>
                <w:color w:val="auto"/>
              </w:rPr>
              <w:t>24.54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10813</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2006-QA5</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26.66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10812</w:t>
            </w:r>
          </w:p>
        </w:tc>
        <w:tc>
          <w:tcPr>
            <w:tcW w:w="4140" w:type="dxa"/>
            <w:vAlign w:val="bottom"/>
          </w:tcPr>
          <w:p>
            <w:pPr>
              <w:ind w:left="160"/>
              <w:spacing w:after="0"/>
              <w:rPr>
                <w:sz w:val="20"/>
                <w:szCs w:val="20"/>
                <w:color w:val="auto"/>
              </w:rPr>
            </w:pPr>
            <w:r>
              <w:rPr>
                <w:rFonts w:ascii="Arial" w:cs="Arial" w:eastAsia="Arial" w:hAnsi="Arial"/>
                <w:sz w:val="18"/>
                <w:szCs w:val="18"/>
                <w:color w:val="auto"/>
              </w:rPr>
              <w:t>RALI 2006-QA4</w:t>
            </w:r>
          </w:p>
        </w:tc>
        <w:tc>
          <w:tcPr>
            <w:tcW w:w="3120" w:type="dxa"/>
            <w:vAlign w:val="bottom"/>
          </w:tcPr>
          <w:p>
            <w:pPr>
              <w:jc w:val="right"/>
              <w:spacing w:after="0"/>
              <w:rPr>
                <w:sz w:val="20"/>
                <w:szCs w:val="20"/>
                <w:color w:val="auto"/>
              </w:rPr>
            </w:pPr>
            <w:r>
              <w:rPr>
                <w:rFonts w:ascii="Arial" w:cs="Arial" w:eastAsia="Arial" w:hAnsi="Arial"/>
                <w:sz w:val="18"/>
                <w:szCs w:val="18"/>
                <w:color w:val="auto"/>
              </w:rPr>
              <w:t>18.88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10811</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2006-QA3</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25.18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10810</w:t>
            </w:r>
          </w:p>
        </w:tc>
        <w:tc>
          <w:tcPr>
            <w:tcW w:w="4140" w:type="dxa"/>
            <w:vAlign w:val="bottom"/>
          </w:tcPr>
          <w:p>
            <w:pPr>
              <w:ind w:left="160"/>
              <w:spacing w:after="0"/>
              <w:rPr>
                <w:sz w:val="20"/>
                <w:szCs w:val="20"/>
                <w:color w:val="auto"/>
              </w:rPr>
            </w:pPr>
            <w:r>
              <w:rPr>
                <w:rFonts w:ascii="Arial" w:cs="Arial" w:eastAsia="Arial" w:hAnsi="Arial"/>
                <w:sz w:val="18"/>
                <w:szCs w:val="18"/>
                <w:color w:val="auto"/>
              </w:rPr>
              <w:t>RALI 2006-QA2</w:t>
            </w:r>
          </w:p>
        </w:tc>
        <w:tc>
          <w:tcPr>
            <w:tcW w:w="3120" w:type="dxa"/>
            <w:vAlign w:val="bottom"/>
          </w:tcPr>
          <w:p>
            <w:pPr>
              <w:jc w:val="right"/>
              <w:spacing w:after="0"/>
              <w:rPr>
                <w:sz w:val="20"/>
                <w:szCs w:val="20"/>
                <w:color w:val="auto"/>
              </w:rPr>
            </w:pPr>
            <w:r>
              <w:rPr>
                <w:rFonts w:ascii="Arial" w:cs="Arial" w:eastAsia="Arial" w:hAnsi="Arial"/>
                <w:sz w:val="18"/>
                <w:szCs w:val="18"/>
                <w:color w:val="auto"/>
              </w:rPr>
              <w:t>29.99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10809</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2006-QA11</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RALI 2006-QA10</w:t>
            </w:r>
          </w:p>
        </w:tc>
        <w:tc>
          <w:tcPr>
            <w:tcW w:w="3120" w:type="dxa"/>
            <w:vAlign w:val="bottom"/>
          </w:tcPr>
          <w:p>
            <w:pPr>
              <w:jc w:val="right"/>
              <w:spacing w:after="0"/>
              <w:rPr>
                <w:sz w:val="20"/>
                <w:szCs w:val="20"/>
                <w:color w:val="auto"/>
              </w:rPr>
            </w:pPr>
            <w:r>
              <w:rPr>
                <w:rFonts w:ascii="Arial" w:cs="Arial" w:eastAsia="Arial" w:hAnsi="Arial"/>
                <w:sz w:val="18"/>
                <w:szCs w:val="18"/>
                <w:color w:val="auto"/>
              </w:rPr>
              <w:t>27.90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10808</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2006-QA1</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10742</w:t>
            </w:r>
          </w:p>
        </w:tc>
        <w:tc>
          <w:tcPr>
            <w:tcW w:w="4140" w:type="dxa"/>
            <w:vAlign w:val="bottom"/>
          </w:tcPr>
          <w:p>
            <w:pPr>
              <w:ind w:left="160"/>
              <w:spacing w:after="0"/>
              <w:rPr>
                <w:sz w:val="20"/>
                <w:szCs w:val="20"/>
                <w:color w:val="auto"/>
              </w:rPr>
            </w:pPr>
            <w:r>
              <w:rPr>
                <w:rFonts w:ascii="Arial" w:cs="Arial" w:eastAsia="Arial" w:hAnsi="Arial"/>
                <w:sz w:val="18"/>
                <w:szCs w:val="18"/>
                <w:color w:val="auto"/>
              </w:rPr>
              <w:t>RALI 2005-QS9</w:t>
            </w:r>
          </w:p>
        </w:tc>
        <w:tc>
          <w:tcPr>
            <w:tcW w:w="3120" w:type="dxa"/>
            <w:vAlign w:val="bottom"/>
          </w:tcPr>
          <w:p>
            <w:pPr>
              <w:jc w:val="right"/>
              <w:spacing w:after="0"/>
              <w:rPr>
                <w:sz w:val="20"/>
                <w:szCs w:val="20"/>
                <w:color w:val="auto"/>
              </w:rPr>
            </w:pPr>
            <w:r>
              <w:rPr>
                <w:rFonts w:ascii="Arial" w:cs="Arial" w:eastAsia="Arial" w:hAnsi="Arial"/>
                <w:sz w:val="18"/>
                <w:szCs w:val="18"/>
                <w:color w:val="auto"/>
              </w:rPr>
              <w:t>35.07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10741</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2005-QS8</w:t>
            </w:r>
          </w:p>
        </w:tc>
        <w:tc>
          <w:tcPr>
            <w:tcW w:w="3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(7.51)</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10740</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2005-QS7</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36.73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10739</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2005-QS6</w:t>
            </w:r>
          </w:p>
        </w:tc>
        <w:tc>
          <w:tcPr>
            <w:tcW w:w="3140" w:type="dxa"/>
            <w:vAlign w:val="bottom"/>
          </w:tcPr>
          <w:p>
            <w:pPr>
              <w:jc w:val="right"/>
              <w:spacing w:after="0"/>
              <w:rPr>
                <w:sz w:val="20"/>
                <w:szCs w:val="20"/>
                <w:color w:val="auto"/>
              </w:rPr>
            </w:pPr>
            <w:r>
              <w:rPr>
                <w:rFonts w:ascii="Arial" w:cs="Arial" w:eastAsia="Arial" w:hAnsi="Arial"/>
                <w:sz w:val="18"/>
                <w:szCs w:val="18"/>
                <w:color w:val="auto"/>
              </w:rPr>
              <w:t>33.35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10738</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2005-QS5</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10737</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2005-QS4</w:t>
            </w:r>
          </w:p>
        </w:tc>
        <w:tc>
          <w:tcPr>
            <w:tcW w:w="3140" w:type="dxa"/>
            <w:vAlign w:val="bottom"/>
          </w:tcPr>
          <w:p>
            <w:pPr>
              <w:jc w:val="right"/>
              <w:spacing w:after="0"/>
              <w:rPr>
                <w:sz w:val="20"/>
                <w:szCs w:val="20"/>
                <w:color w:val="auto"/>
              </w:rPr>
            </w:pPr>
            <w:r>
              <w:rPr>
                <w:rFonts w:ascii="Arial" w:cs="Arial" w:eastAsia="Arial" w:hAnsi="Arial"/>
                <w:sz w:val="18"/>
                <w:szCs w:val="18"/>
                <w:color w:val="auto"/>
              </w:rPr>
              <w:t>28.92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10736</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2005-QS3</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22.88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10735</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2005-QS2</w:t>
            </w:r>
          </w:p>
        </w:tc>
        <w:tc>
          <w:tcPr>
            <w:tcW w:w="3140" w:type="dxa"/>
            <w:vAlign w:val="bottom"/>
          </w:tcPr>
          <w:p>
            <w:pPr>
              <w:jc w:val="right"/>
              <w:spacing w:after="0"/>
              <w:rPr>
                <w:sz w:val="20"/>
                <w:szCs w:val="20"/>
                <w:color w:val="auto"/>
              </w:rPr>
            </w:pPr>
            <w:r>
              <w:rPr>
                <w:rFonts w:ascii="Arial" w:cs="Arial" w:eastAsia="Arial" w:hAnsi="Arial"/>
                <w:sz w:val="18"/>
                <w:szCs w:val="18"/>
                <w:color w:val="auto"/>
              </w:rPr>
              <w:t>41.69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10734</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2005-QS17</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32.90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10733</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2005-QS16</w:t>
            </w:r>
          </w:p>
        </w:tc>
        <w:tc>
          <w:tcPr>
            <w:tcW w:w="3140" w:type="dxa"/>
            <w:vAlign w:val="bottom"/>
          </w:tcPr>
          <w:p>
            <w:pPr>
              <w:jc w:val="right"/>
              <w:spacing w:after="0"/>
              <w:rPr>
                <w:sz w:val="20"/>
                <w:szCs w:val="20"/>
                <w:color w:val="auto"/>
              </w:rPr>
            </w:pPr>
            <w:r>
              <w:rPr>
                <w:rFonts w:ascii="Arial" w:cs="Arial" w:eastAsia="Arial" w:hAnsi="Arial"/>
                <w:sz w:val="18"/>
                <w:szCs w:val="18"/>
                <w:color w:val="auto"/>
              </w:rPr>
              <w:t>32.97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10732</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2005-QS15</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30.48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10731</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2005-QS14</w:t>
            </w:r>
          </w:p>
        </w:tc>
        <w:tc>
          <w:tcPr>
            <w:tcW w:w="3140" w:type="dxa"/>
            <w:vAlign w:val="bottom"/>
          </w:tcPr>
          <w:p>
            <w:pPr>
              <w:jc w:val="right"/>
              <w:spacing w:after="0"/>
              <w:rPr>
                <w:sz w:val="20"/>
                <w:szCs w:val="20"/>
                <w:color w:val="auto"/>
              </w:rPr>
            </w:pPr>
            <w:r>
              <w:rPr>
                <w:rFonts w:ascii="Arial" w:cs="Arial" w:eastAsia="Arial" w:hAnsi="Arial"/>
                <w:sz w:val="18"/>
                <w:szCs w:val="18"/>
                <w:color w:val="auto"/>
              </w:rPr>
              <w:t>19.37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10730</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2005-QS13</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34.13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10729</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2005-QS12</w:t>
            </w:r>
          </w:p>
        </w:tc>
        <w:tc>
          <w:tcPr>
            <w:tcW w:w="3140" w:type="dxa"/>
            <w:vAlign w:val="bottom"/>
          </w:tcPr>
          <w:p>
            <w:pPr>
              <w:jc w:val="right"/>
              <w:spacing w:after="0"/>
              <w:rPr>
                <w:sz w:val="20"/>
                <w:szCs w:val="20"/>
                <w:color w:val="auto"/>
              </w:rPr>
            </w:pPr>
            <w:r>
              <w:rPr>
                <w:rFonts w:ascii="Arial" w:cs="Arial" w:eastAsia="Arial" w:hAnsi="Arial"/>
                <w:sz w:val="18"/>
                <w:szCs w:val="18"/>
                <w:color w:val="auto"/>
              </w:rPr>
              <w:t>44.73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10728</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2005-QS11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38.75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10727</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2005-QS10</w:t>
            </w:r>
          </w:p>
        </w:tc>
        <w:tc>
          <w:tcPr>
            <w:tcW w:w="3140" w:type="dxa"/>
            <w:vAlign w:val="bottom"/>
          </w:tcPr>
          <w:p>
            <w:pPr>
              <w:jc w:val="right"/>
              <w:spacing w:after="0"/>
              <w:rPr>
                <w:sz w:val="20"/>
                <w:szCs w:val="20"/>
                <w:color w:val="auto"/>
              </w:rPr>
            </w:pPr>
            <w:r>
              <w:rPr>
                <w:rFonts w:ascii="Arial" w:cs="Arial" w:eastAsia="Arial" w:hAnsi="Arial"/>
                <w:sz w:val="18"/>
                <w:szCs w:val="18"/>
                <w:color w:val="auto"/>
              </w:rPr>
              <w:t>39.72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10726</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2005-QS1</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32.28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10725</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2005-QA9</w:t>
            </w:r>
          </w:p>
        </w:tc>
        <w:tc>
          <w:tcPr>
            <w:tcW w:w="3140" w:type="dxa"/>
            <w:vAlign w:val="bottom"/>
          </w:tcPr>
          <w:p>
            <w:pPr>
              <w:jc w:val="right"/>
              <w:spacing w:after="0"/>
              <w:rPr>
                <w:sz w:val="20"/>
                <w:szCs w:val="20"/>
                <w:color w:val="auto"/>
              </w:rPr>
            </w:pPr>
            <w:r>
              <w:rPr>
                <w:rFonts w:ascii="Arial" w:cs="Arial" w:eastAsia="Arial" w:hAnsi="Arial"/>
                <w:sz w:val="18"/>
                <w:szCs w:val="18"/>
                <w:color w:val="auto"/>
              </w:rPr>
              <w:t>30.91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10724</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2005-QA8</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10723</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2005-QA7</w:t>
            </w:r>
          </w:p>
        </w:tc>
        <w:tc>
          <w:tcPr>
            <w:tcW w:w="3140" w:type="dxa"/>
            <w:vAlign w:val="bottom"/>
          </w:tcPr>
          <w:p>
            <w:pPr>
              <w:jc w:val="right"/>
              <w:spacing w:after="0"/>
              <w:rPr>
                <w:sz w:val="20"/>
                <w:szCs w:val="20"/>
                <w:color w:val="auto"/>
              </w:rPr>
            </w:pPr>
            <w:r>
              <w:rPr>
                <w:rFonts w:ascii="Arial" w:cs="Arial" w:eastAsia="Arial" w:hAnsi="Arial"/>
                <w:sz w:val="18"/>
                <w:szCs w:val="18"/>
                <w:color w:val="auto"/>
              </w:rPr>
              <w:t>21.82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10722</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2005-QA6</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26.34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RALI 2005-QA5</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10721</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2005-QA4</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27.58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10720</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2005-QA3</w:t>
            </w:r>
          </w:p>
        </w:tc>
        <w:tc>
          <w:tcPr>
            <w:tcW w:w="3140" w:type="dxa"/>
            <w:vAlign w:val="bottom"/>
          </w:tcPr>
          <w:p>
            <w:pPr>
              <w:jc w:val="right"/>
              <w:spacing w:after="0"/>
              <w:rPr>
                <w:sz w:val="20"/>
                <w:szCs w:val="20"/>
                <w:color w:val="auto"/>
              </w:rPr>
            </w:pPr>
            <w:r>
              <w:rPr>
                <w:rFonts w:ascii="Arial" w:cs="Arial" w:eastAsia="Arial" w:hAnsi="Arial"/>
                <w:sz w:val="18"/>
                <w:szCs w:val="18"/>
                <w:color w:val="auto"/>
              </w:rPr>
              <w:t>28.62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10717</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2005-QA2</w:t>
            </w:r>
          </w:p>
        </w:tc>
        <w:tc>
          <w:tcPr>
            <w:tcW w:w="3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25.15</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10716</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2005-QA13</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28.73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10714</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2005-QA12</w:t>
            </w:r>
          </w:p>
        </w:tc>
        <w:tc>
          <w:tcPr>
            <w:tcW w:w="3160" w:type="dxa"/>
            <w:vAlign w:val="bottom"/>
          </w:tcPr>
          <w:p>
            <w:pPr>
              <w:jc w:val="right"/>
              <w:spacing w:after="0"/>
              <w:rPr>
                <w:sz w:val="20"/>
                <w:szCs w:val="20"/>
                <w:color w:val="auto"/>
              </w:rPr>
            </w:pPr>
            <w:r>
              <w:rPr>
                <w:rFonts w:ascii="Arial" w:cs="Arial" w:eastAsia="Arial" w:hAnsi="Arial"/>
                <w:sz w:val="18"/>
                <w:szCs w:val="18"/>
                <w:color w:val="auto"/>
              </w:rPr>
              <w:t>26.90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10713</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2005-QA11</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29.63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10712</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2005-QA10</w:t>
            </w:r>
          </w:p>
        </w:tc>
        <w:tc>
          <w:tcPr>
            <w:tcW w:w="3160" w:type="dxa"/>
            <w:vAlign w:val="bottom"/>
          </w:tcPr>
          <w:p>
            <w:pPr>
              <w:jc w:val="right"/>
              <w:spacing w:after="0"/>
              <w:rPr>
                <w:sz w:val="20"/>
                <w:szCs w:val="20"/>
                <w:color w:val="auto"/>
              </w:rPr>
            </w:pPr>
            <w:r>
              <w:rPr>
                <w:rFonts w:ascii="Arial" w:cs="Arial" w:eastAsia="Arial" w:hAnsi="Arial"/>
                <w:sz w:val="18"/>
                <w:szCs w:val="18"/>
                <w:color w:val="auto"/>
              </w:rPr>
              <w:t>28.53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10711</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2005-QA1</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29.06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10635</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2004-QS9</w:t>
            </w:r>
          </w:p>
        </w:tc>
        <w:tc>
          <w:tcPr>
            <w:tcW w:w="3160" w:type="dxa"/>
            <w:vAlign w:val="bottom"/>
          </w:tcPr>
          <w:p>
            <w:pPr>
              <w:jc w:val="right"/>
              <w:spacing w:after="0"/>
              <w:rPr>
                <w:sz w:val="20"/>
                <w:szCs w:val="20"/>
                <w:color w:val="auto"/>
              </w:rPr>
            </w:pPr>
            <w:r>
              <w:rPr>
                <w:rFonts w:ascii="Arial" w:cs="Arial" w:eastAsia="Arial" w:hAnsi="Arial"/>
                <w:sz w:val="18"/>
                <w:szCs w:val="18"/>
                <w:color w:val="auto"/>
              </w:rPr>
              <w:t>(25.09)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10634</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2004-QS8</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37.16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10633</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2004-QS7</w:t>
            </w:r>
          </w:p>
        </w:tc>
        <w:tc>
          <w:tcPr>
            <w:tcW w:w="3160" w:type="dxa"/>
            <w:vAlign w:val="bottom"/>
          </w:tcPr>
          <w:p>
            <w:pPr>
              <w:jc w:val="right"/>
              <w:spacing w:after="0"/>
              <w:rPr>
                <w:sz w:val="20"/>
                <w:szCs w:val="20"/>
                <w:color w:val="auto"/>
              </w:rPr>
            </w:pPr>
            <w:r>
              <w:rPr>
                <w:rFonts w:ascii="Arial" w:cs="Arial" w:eastAsia="Arial" w:hAnsi="Arial"/>
                <w:sz w:val="18"/>
                <w:szCs w:val="18"/>
                <w:color w:val="auto"/>
              </w:rPr>
              <w:t>23.23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10632</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2004-QS6</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(21.32)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10631</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2004-QS5</w:t>
            </w:r>
          </w:p>
        </w:tc>
        <w:tc>
          <w:tcPr>
            <w:tcW w:w="3160" w:type="dxa"/>
            <w:vAlign w:val="bottom"/>
          </w:tcPr>
          <w:p>
            <w:pPr>
              <w:jc w:val="right"/>
              <w:spacing w:after="0"/>
              <w:rPr>
                <w:sz w:val="20"/>
                <w:szCs w:val="20"/>
                <w:color w:val="auto"/>
              </w:rPr>
            </w:pPr>
            <w:r>
              <w:rPr>
                <w:rFonts w:ascii="Arial" w:cs="Arial" w:eastAsia="Arial" w:hAnsi="Arial"/>
                <w:sz w:val="18"/>
                <w:szCs w:val="18"/>
                <w:color w:val="auto"/>
              </w:rPr>
              <w:t>20.38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10630</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2004-QS4</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21.80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10629</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2004-QS3</w:t>
            </w:r>
          </w:p>
        </w:tc>
        <w:tc>
          <w:tcPr>
            <w:tcW w:w="3160" w:type="dxa"/>
            <w:vAlign w:val="bottom"/>
          </w:tcPr>
          <w:p>
            <w:pPr>
              <w:jc w:val="right"/>
              <w:spacing w:after="0"/>
              <w:rPr>
                <w:sz w:val="20"/>
                <w:szCs w:val="20"/>
                <w:color w:val="auto"/>
              </w:rPr>
            </w:pPr>
            <w:r>
              <w:rPr>
                <w:rFonts w:ascii="Arial" w:cs="Arial" w:eastAsia="Arial" w:hAnsi="Arial"/>
                <w:sz w:val="18"/>
                <w:szCs w:val="18"/>
                <w:color w:val="auto"/>
              </w:rPr>
              <w:t>(27.81)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10628</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2004-QS2</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10627</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2004-QS16</w:t>
            </w:r>
          </w:p>
        </w:tc>
        <w:tc>
          <w:tcPr>
            <w:tcW w:w="3160" w:type="dxa"/>
            <w:vAlign w:val="bottom"/>
          </w:tcPr>
          <w:p>
            <w:pPr>
              <w:jc w:val="right"/>
              <w:spacing w:after="0"/>
              <w:rPr>
                <w:sz w:val="20"/>
                <w:szCs w:val="20"/>
                <w:color w:val="auto"/>
              </w:rPr>
            </w:pPr>
            <w:r>
              <w:rPr>
                <w:rFonts w:ascii="Arial" w:cs="Arial" w:eastAsia="Arial" w:hAnsi="Arial"/>
                <w:sz w:val="18"/>
                <w:szCs w:val="18"/>
                <w:color w:val="auto"/>
              </w:rPr>
              <w:t>18.38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10626</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2004-QS15</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17.58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10624</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2004-QS14</w:t>
            </w:r>
          </w:p>
        </w:tc>
        <w:tc>
          <w:tcPr>
            <w:tcW w:w="3160" w:type="dxa"/>
            <w:vAlign w:val="bottom"/>
          </w:tcPr>
          <w:p>
            <w:pPr>
              <w:jc w:val="right"/>
              <w:spacing w:after="0"/>
              <w:rPr>
                <w:sz w:val="20"/>
                <w:szCs w:val="20"/>
                <w:color w:val="auto"/>
              </w:rPr>
            </w:pPr>
            <w:r>
              <w:rPr>
                <w:rFonts w:ascii="Arial" w:cs="Arial" w:eastAsia="Arial" w:hAnsi="Arial"/>
                <w:sz w:val="18"/>
                <w:szCs w:val="18"/>
                <w:color w:val="auto"/>
              </w:rPr>
              <w:t>18.40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10623</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2004-QS13</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(25.53)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10622</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2004-QS12</w:t>
            </w:r>
          </w:p>
        </w:tc>
        <w:tc>
          <w:tcPr>
            <w:tcW w:w="3160" w:type="dxa"/>
            <w:vAlign w:val="bottom"/>
          </w:tcPr>
          <w:p>
            <w:pPr>
              <w:jc w:val="right"/>
              <w:spacing w:after="0"/>
              <w:rPr>
                <w:sz w:val="20"/>
                <w:szCs w:val="20"/>
                <w:color w:val="auto"/>
              </w:rPr>
            </w:pPr>
            <w:r>
              <w:rPr>
                <w:rFonts w:ascii="Arial" w:cs="Arial" w:eastAsia="Arial" w:hAnsi="Arial"/>
                <w:sz w:val="18"/>
                <w:szCs w:val="18"/>
                <w:color w:val="auto"/>
              </w:rPr>
              <w:t>22.77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10621</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2004-QS11</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19.55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10620</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2004-QS10</w:t>
            </w:r>
          </w:p>
        </w:tc>
        <w:tc>
          <w:tcPr>
            <w:tcW w:w="3160" w:type="dxa"/>
            <w:vAlign w:val="bottom"/>
          </w:tcPr>
          <w:p>
            <w:pPr>
              <w:jc w:val="right"/>
              <w:spacing w:after="0"/>
              <w:rPr>
                <w:sz w:val="20"/>
                <w:szCs w:val="20"/>
                <w:color w:val="auto"/>
              </w:rPr>
            </w:pPr>
            <w:r>
              <w:rPr>
                <w:rFonts w:ascii="Arial" w:cs="Arial" w:eastAsia="Arial" w:hAnsi="Arial"/>
                <w:sz w:val="18"/>
                <w:szCs w:val="18"/>
                <w:color w:val="auto"/>
              </w:rPr>
              <w:t>29.12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10619</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2004-QS1</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23.99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10618</w:t>
            </w:r>
          </w:p>
        </w:tc>
        <w:tc>
          <w:tcPr>
            <w:tcW w:w="4120" w:type="dxa"/>
            <w:vAlign w:val="bottom"/>
          </w:tcPr>
          <w:p>
            <w:pPr>
              <w:ind w:left="160"/>
              <w:spacing w:after="0"/>
              <w:rPr>
                <w:sz w:val="20"/>
                <w:szCs w:val="20"/>
                <w:color w:val="auto"/>
              </w:rPr>
            </w:pPr>
            <w:r>
              <w:rPr>
                <w:rFonts w:ascii="Arial" w:cs="Arial" w:eastAsia="Arial" w:hAnsi="Arial"/>
                <w:sz w:val="18"/>
                <w:szCs w:val="18"/>
                <w:color w:val="auto"/>
              </w:rPr>
              <w:t>RALI 2004-QA6</w:t>
            </w:r>
          </w:p>
        </w:tc>
        <w:tc>
          <w:tcPr>
            <w:tcW w:w="3160" w:type="dxa"/>
            <w:vAlign w:val="bottom"/>
          </w:tcPr>
          <w:p>
            <w:pPr>
              <w:jc w:val="right"/>
              <w:spacing w:after="0"/>
              <w:rPr>
                <w:sz w:val="20"/>
                <w:szCs w:val="20"/>
                <w:color w:val="auto"/>
              </w:rPr>
            </w:pPr>
            <w:r>
              <w:rPr>
                <w:rFonts w:ascii="Arial" w:cs="Arial" w:eastAsia="Arial" w:hAnsi="Arial"/>
                <w:sz w:val="18"/>
                <w:szCs w:val="18"/>
                <w:color w:val="auto"/>
              </w:rPr>
              <w:t>22.87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10617</w:t>
            </w:r>
          </w:p>
        </w:tc>
        <w:tc>
          <w:tcPr>
            <w:tcW w:w="41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2004-QA5</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25.36</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10616</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2004-QA4</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18.73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10615</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2004-QA3</w:t>
            </w:r>
          </w:p>
        </w:tc>
        <w:tc>
          <w:tcPr>
            <w:tcW w:w="3180" w:type="dxa"/>
            <w:vAlign w:val="bottom"/>
          </w:tcPr>
          <w:p>
            <w:pPr>
              <w:jc w:val="right"/>
              <w:spacing w:after="0"/>
              <w:rPr>
                <w:sz w:val="20"/>
                <w:szCs w:val="20"/>
                <w:color w:val="auto"/>
              </w:rPr>
            </w:pPr>
            <w:r>
              <w:rPr>
                <w:rFonts w:ascii="Arial" w:cs="Arial" w:eastAsia="Arial" w:hAnsi="Arial"/>
                <w:sz w:val="18"/>
                <w:szCs w:val="18"/>
                <w:color w:val="auto"/>
              </w:rPr>
              <w:t>27.15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10614</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2004-QA2</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10613</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2004-QA1</w:t>
            </w:r>
          </w:p>
        </w:tc>
        <w:tc>
          <w:tcPr>
            <w:tcW w:w="3180" w:type="dxa"/>
            <w:vAlign w:val="bottom"/>
          </w:tcPr>
          <w:p>
            <w:pPr>
              <w:jc w:val="right"/>
              <w:spacing w:after="0"/>
              <w:rPr>
                <w:sz w:val="20"/>
                <w:szCs w:val="20"/>
                <w:color w:val="auto"/>
              </w:rPr>
            </w:pPr>
            <w:r>
              <w:rPr>
                <w:rFonts w:ascii="Arial" w:cs="Arial" w:eastAsia="Arial" w:hAnsi="Arial"/>
                <w:sz w:val="18"/>
                <w:szCs w:val="18"/>
                <w:color w:val="auto"/>
              </w:rPr>
              <w:t>15.82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10539</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2003-QS9</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(32.56)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10538</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2003-QS8</w:t>
            </w:r>
          </w:p>
        </w:tc>
        <w:tc>
          <w:tcPr>
            <w:tcW w:w="3180" w:type="dxa"/>
            <w:vAlign w:val="bottom"/>
          </w:tcPr>
          <w:p>
            <w:pPr>
              <w:jc w:val="right"/>
              <w:spacing w:after="0"/>
              <w:rPr>
                <w:sz w:val="20"/>
                <w:szCs w:val="20"/>
                <w:color w:val="auto"/>
              </w:rPr>
            </w:pPr>
            <w:r>
              <w:rPr>
                <w:rFonts w:ascii="Arial" w:cs="Arial" w:eastAsia="Arial" w:hAnsi="Arial"/>
                <w:sz w:val="18"/>
                <w:szCs w:val="18"/>
                <w:color w:val="auto"/>
              </w:rPr>
              <w:t>23.04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10537</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2003-QS7</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27.35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10536</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2003-QS6</w:t>
            </w:r>
          </w:p>
        </w:tc>
        <w:tc>
          <w:tcPr>
            <w:tcW w:w="3180" w:type="dxa"/>
            <w:vAlign w:val="bottom"/>
          </w:tcPr>
          <w:p>
            <w:pPr>
              <w:jc w:val="right"/>
              <w:spacing w:after="0"/>
              <w:rPr>
                <w:sz w:val="20"/>
                <w:szCs w:val="20"/>
                <w:color w:val="auto"/>
              </w:rPr>
            </w:pPr>
            <w:r>
              <w:rPr>
                <w:rFonts w:ascii="Arial" w:cs="Arial" w:eastAsia="Arial" w:hAnsi="Arial"/>
                <w:sz w:val="18"/>
                <w:szCs w:val="18"/>
                <w:color w:val="auto"/>
              </w:rPr>
              <w:t>23.23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10535</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2003-QS5</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10534</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2003-QS4</w:t>
            </w:r>
          </w:p>
        </w:tc>
        <w:tc>
          <w:tcPr>
            <w:tcW w:w="3180" w:type="dxa"/>
            <w:vAlign w:val="bottom"/>
          </w:tcPr>
          <w:p>
            <w:pPr>
              <w:jc w:val="right"/>
              <w:spacing w:after="0"/>
              <w:rPr>
                <w:sz w:val="20"/>
                <w:szCs w:val="20"/>
                <w:color w:val="auto"/>
              </w:rPr>
            </w:pPr>
            <w:r>
              <w:rPr>
                <w:rFonts w:ascii="Arial" w:cs="Arial" w:eastAsia="Arial" w:hAnsi="Arial"/>
                <w:sz w:val="18"/>
                <w:szCs w:val="18"/>
                <w:color w:val="auto"/>
              </w:rPr>
              <w:t>24.82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10533</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2003-QS3</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10532</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2003-QS23</w:t>
            </w:r>
          </w:p>
        </w:tc>
        <w:tc>
          <w:tcPr>
            <w:tcW w:w="3180" w:type="dxa"/>
            <w:vAlign w:val="bottom"/>
          </w:tcPr>
          <w:p>
            <w:pPr>
              <w:jc w:val="right"/>
              <w:spacing w:after="0"/>
              <w:rPr>
                <w:sz w:val="20"/>
                <w:szCs w:val="20"/>
                <w:color w:val="auto"/>
              </w:rPr>
            </w:pPr>
            <w:r>
              <w:rPr>
                <w:rFonts w:ascii="Arial" w:cs="Arial" w:eastAsia="Arial" w:hAnsi="Arial"/>
                <w:sz w:val="18"/>
                <w:szCs w:val="18"/>
                <w:color w:val="auto"/>
              </w:rPr>
              <w:t>(31.95)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10531</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2003-QS22</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16.63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10530</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2003-QS21</w:t>
            </w:r>
          </w:p>
        </w:tc>
        <w:tc>
          <w:tcPr>
            <w:tcW w:w="3180" w:type="dxa"/>
            <w:vAlign w:val="bottom"/>
          </w:tcPr>
          <w:p>
            <w:pPr>
              <w:jc w:val="right"/>
              <w:spacing w:after="0"/>
              <w:rPr>
                <w:sz w:val="20"/>
                <w:szCs w:val="20"/>
                <w:color w:val="auto"/>
              </w:rPr>
            </w:pPr>
            <w:r>
              <w:rPr>
                <w:rFonts w:ascii="Arial" w:cs="Arial" w:eastAsia="Arial" w:hAnsi="Arial"/>
                <w:sz w:val="18"/>
                <w:szCs w:val="18"/>
                <w:color w:val="auto"/>
              </w:rPr>
              <w:t>20.17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10529</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2003-QS20</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10528</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2003-QS2</w:t>
            </w:r>
          </w:p>
        </w:tc>
        <w:tc>
          <w:tcPr>
            <w:tcW w:w="3180" w:type="dxa"/>
            <w:vAlign w:val="bottom"/>
          </w:tcPr>
          <w:p>
            <w:pPr>
              <w:jc w:val="right"/>
              <w:spacing w:after="0"/>
              <w:rPr>
                <w:sz w:val="20"/>
                <w:szCs w:val="20"/>
                <w:color w:val="auto"/>
              </w:rPr>
            </w:pPr>
            <w:r>
              <w:rPr>
                <w:rFonts w:ascii="Arial" w:cs="Arial" w:eastAsia="Arial" w:hAnsi="Arial"/>
                <w:sz w:val="18"/>
                <w:szCs w:val="18"/>
                <w:color w:val="auto"/>
              </w:rPr>
              <w:t>27.55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10527</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2003-QS19</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23.06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10526</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2003-QS18</w:t>
            </w:r>
          </w:p>
        </w:tc>
        <w:tc>
          <w:tcPr>
            <w:tcW w:w="3180" w:type="dxa"/>
            <w:vAlign w:val="bottom"/>
          </w:tcPr>
          <w:p>
            <w:pPr>
              <w:jc w:val="right"/>
              <w:spacing w:after="0"/>
              <w:rPr>
                <w:sz w:val="20"/>
                <w:szCs w:val="20"/>
                <w:color w:val="auto"/>
              </w:rPr>
            </w:pPr>
            <w:r>
              <w:rPr>
                <w:rFonts w:ascii="Arial" w:cs="Arial" w:eastAsia="Arial" w:hAnsi="Arial"/>
                <w:sz w:val="18"/>
                <w:szCs w:val="18"/>
                <w:color w:val="auto"/>
              </w:rPr>
              <w:t>(20.65)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10525</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2003-QS17</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24.43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10524</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2003-QS16</w:t>
            </w:r>
          </w:p>
        </w:tc>
        <w:tc>
          <w:tcPr>
            <w:tcW w:w="3180" w:type="dxa"/>
            <w:vAlign w:val="bottom"/>
          </w:tcPr>
          <w:p>
            <w:pPr>
              <w:jc w:val="right"/>
              <w:spacing w:after="0"/>
              <w:rPr>
                <w:sz w:val="20"/>
                <w:szCs w:val="20"/>
                <w:color w:val="auto"/>
              </w:rPr>
            </w:pPr>
            <w:r>
              <w:rPr>
                <w:rFonts w:ascii="Arial" w:cs="Arial" w:eastAsia="Arial" w:hAnsi="Arial"/>
                <w:sz w:val="18"/>
                <w:szCs w:val="18"/>
                <w:color w:val="auto"/>
              </w:rPr>
              <w:t>(23.44)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10523</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2003-QS15</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31.36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10522</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2003-QS14</w:t>
            </w:r>
          </w:p>
        </w:tc>
        <w:tc>
          <w:tcPr>
            <w:tcW w:w="3180" w:type="dxa"/>
            <w:vAlign w:val="bottom"/>
          </w:tcPr>
          <w:p>
            <w:pPr>
              <w:jc w:val="right"/>
              <w:spacing w:after="0"/>
              <w:rPr>
                <w:sz w:val="20"/>
                <w:szCs w:val="20"/>
                <w:color w:val="auto"/>
              </w:rPr>
            </w:pPr>
            <w:r>
              <w:rPr>
                <w:rFonts w:ascii="Arial" w:cs="Arial" w:eastAsia="Arial" w:hAnsi="Arial"/>
                <w:sz w:val="18"/>
                <w:szCs w:val="18"/>
                <w:color w:val="auto"/>
              </w:rPr>
              <w:t>(23.71)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10521</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2003-QS13</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29.54</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10520</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2003-QS12</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(26.30)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10519</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2003-QS11</w:t>
            </w:r>
          </w:p>
        </w:tc>
        <w:tc>
          <w:tcPr>
            <w:tcW w:w="3180" w:type="dxa"/>
            <w:vAlign w:val="bottom"/>
          </w:tcPr>
          <w:p>
            <w:pPr>
              <w:jc w:val="right"/>
              <w:spacing w:after="0"/>
              <w:rPr>
                <w:sz w:val="20"/>
                <w:szCs w:val="20"/>
                <w:color w:val="auto"/>
              </w:rPr>
            </w:pPr>
            <w:r>
              <w:rPr>
                <w:rFonts w:ascii="Arial" w:cs="Arial" w:eastAsia="Arial" w:hAnsi="Arial"/>
                <w:sz w:val="18"/>
                <w:szCs w:val="18"/>
                <w:color w:val="auto"/>
              </w:rPr>
              <w:t>25.43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10518</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2003-QS10</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10517</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2003-QS1</w:t>
            </w:r>
          </w:p>
        </w:tc>
        <w:tc>
          <w:tcPr>
            <w:tcW w:w="3180" w:type="dxa"/>
            <w:vAlign w:val="bottom"/>
          </w:tcPr>
          <w:p>
            <w:pPr>
              <w:jc w:val="right"/>
              <w:spacing w:after="0"/>
              <w:rPr>
                <w:sz w:val="20"/>
                <w:szCs w:val="20"/>
                <w:color w:val="auto"/>
              </w:rPr>
            </w:pPr>
            <w:r>
              <w:rPr>
                <w:rFonts w:ascii="Arial" w:cs="Arial" w:eastAsia="Arial" w:hAnsi="Arial"/>
                <w:sz w:val="18"/>
                <w:szCs w:val="18"/>
                <w:color w:val="auto"/>
              </w:rPr>
              <w:t>18.19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2003-QA1</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10491</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2002-QS9</w:t>
            </w:r>
          </w:p>
        </w:tc>
        <w:tc>
          <w:tcPr>
            <w:tcW w:w="3180" w:type="dxa"/>
            <w:vAlign w:val="bottom"/>
          </w:tcPr>
          <w:p>
            <w:pPr>
              <w:jc w:val="right"/>
              <w:spacing w:after="0"/>
              <w:rPr>
                <w:sz w:val="20"/>
                <w:szCs w:val="20"/>
                <w:color w:val="auto"/>
              </w:rPr>
            </w:pPr>
            <w:r>
              <w:rPr>
                <w:rFonts w:ascii="Arial" w:cs="Arial" w:eastAsia="Arial" w:hAnsi="Arial"/>
                <w:sz w:val="18"/>
                <w:szCs w:val="18"/>
                <w:color w:val="auto"/>
              </w:rPr>
              <w:t>(3.99)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10490</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2002-QS8</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(83.28)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10489</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2002-QS7</w:t>
            </w:r>
          </w:p>
        </w:tc>
        <w:tc>
          <w:tcPr>
            <w:tcW w:w="3180" w:type="dxa"/>
            <w:vAlign w:val="bottom"/>
          </w:tcPr>
          <w:p>
            <w:pPr>
              <w:jc w:val="right"/>
              <w:spacing w:after="0"/>
              <w:rPr>
                <w:sz w:val="20"/>
                <w:szCs w:val="20"/>
                <w:color w:val="auto"/>
              </w:rPr>
            </w:pPr>
            <w:r>
              <w:rPr>
                <w:rFonts w:ascii="Arial" w:cs="Arial" w:eastAsia="Arial" w:hAnsi="Arial"/>
                <w:sz w:val="18"/>
                <w:szCs w:val="18"/>
                <w:color w:val="auto"/>
              </w:rPr>
              <w:t>(1.45)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10488</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2002-QS6</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10487</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2002-QS5</w:t>
            </w:r>
          </w:p>
        </w:tc>
        <w:tc>
          <w:tcPr>
            <w:tcW w:w="3180" w:type="dxa"/>
            <w:vAlign w:val="bottom"/>
          </w:tcPr>
          <w:p>
            <w:pPr>
              <w:jc w:val="right"/>
              <w:spacing w:after="0"/>
              <w:rPr>
                <w:sz w:val="20"/>
                <w:szCs w:val="20"/>
                <w:color w:val="auto"/>
              </w:rPr>
            </w:pPr>
            <w:r>
              <w:rPr>
                <w:rFonts w:ascii="Arial" w:cs="Arial" w:eastAsia="Arial" w:hAnsi="Arial"/>
                <w:sz w:val="18"/>
                <w:szCs w:val="18"/>
                <w:color w:val="auto"/>
              </w:rPr>
              <w:t>7.54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10486</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2002-QS4</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(79.06)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10485</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2002-QS3</w:t>
            </w:r>
          </w:p>
        </w:tc>
        <w:tc>
          <w:tcPr>
            <w:tcW w:w="3180" w:type="dxa"/>
            <w:vAlign w:val="bottom"/>
          </w:tcPr>
          <w:p>
            <w:pPr>
              <w:jc w:val="right"/>
              <w:spacing w:after="0"/>
              <w:rPr>
                <w:sz w:val="20"/>
                <w:szCs w:val="20"/>
                <w:color w:val="auto"/>
              </w:rPr>
            </w:pPr>
            <w:r>
              <w:rPr>
                <w:rFonts w:ascii="Arial" w:cs="Arial" w:eastAsia="Arial" w:hAnsi="Arial"/>
                <w:sz w:val="18"/>
                <w:szCs w:val="18"/>
                <w:color w:val="auto"/>
              </w:rPr>
              <w:t>(3.21)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10484</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2002-QS2</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10483</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2002-QS19</w:t>
            </w:r>
          </w:p>
        </w:tc>
        <w:tc>
          <w:tcPr>
            <w:tcW w:w="3180" w:type="dxa"/>
            <w:vAlign w:val="bottom"/>
          </w:tcPr>
          <w:p>
            <w:pPr>
              <w:jc w:val="right"/>
              <w:spacing w:after="0"/>
              <w:rPr>
                <w:sz w:val="20"/>
                <w:szCs w:val="20"/>
                <w:color w:val="auto"/>
              </w:rPr>
            </w:pPr>
            <w:r>
              <w:rPr>
                <w:rFonts w:ascii="Arial" w:cs="Arial" w:eastAsia="Arial" w:hAnsi="Arial"/>
                <w:sz w:val="18"/>
                <w:szCs w:val="18"/>
                <w:color w:val="auto"/>
              </w:rPr>
              <w:t>22.27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10482</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2002-QS18</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10481</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2002-QS17</w:t>
            </w:r>
          </w:p>
        </w:tc>
        <w:tc>
          <w:tcPr>
            <w:tcW w:w="3180" w:type="dxa"/>
            <w:vAlign w:val="bottom"/>
          </w:tcPr>
          <w:p>
            <w:pPr>
              <w:jc w:val="right"/>
              <w:spacing w:after="0"/>
              <w:rPr>
                <w:sz w:val="20"/>
                <w:szCs w:val="20"/>
                <w:color w:val="auto"/>
              </w:rPr>
            </w:pPr>
            <w:r>
              <w:rPr>
                <w:rFonts w:ascii="Arial" w:cs="Arial" w:eastAsia="Arial" w:hAnsi="Arial"/>
                <w:sz w:val="18"/>
                <w:szCs w:val="18"/>
                <w:color w:val="auto"/>
              </w:rPr>
              <w:t>25.95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10480</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2002-QS16</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(48.36)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10479</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2002-QS15</w:t>
            </w:r>
          </w:p>
        </w:tc>
        <w:tc>
          <w:tcPr>
            <w:tcW w:w="3180" w:type="dxa"/>
            <w:vAlign w:val="bottom"/>
          </w:tcPr>
          <w:p>
            <w:pPr>
              <w:jc w:val="right"/>
              <w:spacing w:after="0"/>
              <w:rPr>
                <w:sz w:val="20"/>
                <w:szCs w:val="20"/>
                <w:color w:val="auto"/>
              </w:rPr>
            </w:pPr>
            <w:r>
              <w:rPr>
                <w:rFonts w:ascii="Arial" w:cs="Arial" w:eastAsia="Arial" w:hAnsi="Arial"/>
                <w:sz w:val="18"/>
                <w:szCs w:val="18"/>
                <w:color w:val="auto"/>
              </w:rPr>
              <w:t>23.66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10478</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2002-QS14</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10477</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2002-QS13</w:t>
            </w:r>
          </w:p>
        </w:tc>
        <w:tc>
          <w:tcPr>
            <w:tcW w:w="3180" w:type="dxa"/>
            <w:vAlign w:val="bottom"/>
          </w:tcPr>
          <w:p>
            <w:pPr>
              <w:jc w:val="right"/>
              <w:spacing w:after="0"/>
              <w:rPr>
                <w:sz w:val="20"/>
                <w:szCs w:val="20"/>
                <w:color w:val="auto"/>
              </w:rPr>
            </w:pPr>
            <w:r>
              <w:rPr>
                <w:rFonts w:ascii="Arial" w:cs="Arial" w:eastAsia="Arial" w:hAnsi="Arial"/>
                <w:sz w:val="18"/>
                <w:szCs w:val="18"/>
                <w:color w:val="auto"/>
              </w:rPr>
              <w:t>(76.93)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10476</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2002-QS12</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10475</w:t>
            </w:r>
          </w:p>
        </w:tc>
        <w:tc>
          <w:tcPr>
            <w:tcW w:w="4100" w:type="dxa"/>
            <w:vAlign w:val="bottom"/>
          </w:tcPr>
          <w:p>
            <w:pPr>
              <w:ind w:left="160"/>
              <w:spacing w:after="0"/>
              <w:rPr>
                <w:sz w:val="20"/>
                <w:szCs w:val="20"/>
                <w:color w:val="auto"/>
              </w:rPr>
            </w:pPr>
            <w:r>
              <w:rPr>
                <w:rFonts w:ascii="Arial" w:cs="Arial" w:eastAsia="Arial" w:hAnsi="Arial"/>
                <w:sz w:val="18"/>
                <w:szCs w:val="18"/>
                <w:color w:val="auto"/>
              </w:rPr>
              <w:t>RALI 2002-QS11</w:t>
            </w:r>
          </w:p>
        </w:tc>
        <w:tc>
          <w:tcPr>
            <w:tcW w:w="3180" w:type="dxa"/>
            <w:vAlign w:val="bottom"/>
          </w:tcPr>
          <w:p>
            <w:pPr>
              <w:jc w:val="right"/>
              <w:spacing w:after="0"/>
              <w:rPr>
                <w:sz w:val="20"/>
                <w:szCs w:val="20"/>
                <w:color w:val="auto"/>
              </w:rPr>
            </w:pPr>
            <w:r>
              <w:rPr>
                <w:rFonts w:ascii="Arial" w:cs="Arial" w:eastAsia="Arial" w:hAnsi="Arial"/>
                <w:sz w:val="18"/>
                <w:szCs w:val="18"/>
                <w:color w:val="auto"/>
              </w:rPr>
              <w:t>2.14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10474</w:t>
            </w:r>
          </w:p>
        </w:tc>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2002-QS1</w:t>
            </w:r>
          </w:p>
        </w:tc>
        <w:tc>
          <w:tcPr>
            <w:tcW w:w="3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1.39</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10458</w:t>
            </w:r>
          </w:p>
        </w:tc>
        <w:tc>
          <w:tcPr>
            <w:tcW w:w="40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2001-QS19</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(98.85)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10457</w:t>
            </w:r>
          </w:p>
        </w:tc>
        <w:tc>
          <w:tcPr>
            <w:tcW w:w="4060" w:type="dxa"/>
            <w:vAlign w:val="bottom"/>
          </w:tcPr>
          <w:p>
            <w:pPr>
              <w:ind w:left="160"/>
              <w:spacing w:after="0"/>
              <w:rPr>
                <w:sz w:val="20"/>
                <w:szCs w:val="20"/>
                <w:color w:val="auto"/>
              </w:rPr>
            </w:pPr>
            <w:r>
              <w:rPr>
                <w:rFonts w:ascii="Arial" w:cs="Arial" w:eastAsia="Arial" w:hAnsi="Arial"/>
                <w:sz w:val="18"/>
                <w:szCs w:val="18"/>
                <w:color w:val="auto"/>
              </w:rPr>
              <w:t>RALI 2001-QS18</w:t>
            </w:r>
          </w:p>
        </w:tc>
        <w:tc>
          <w:tcPr>
            <w:tcW w:w="3220" w:type="dxa"/>
            <w:vAlign w:val="bottom"/>
          </w:tcPr>
          <w:p>
            <w:pPr>
              <w:jc w:val="right"/>
              <w:spacing w:after="0"/>
              <w:rPr>
                <w:sz w:val="20"/>
                <w:szCs w:val="20"/>
                <w:color w:val="auto"/>
              </w:rPr>
            </w:pPr>
            <w:r>
              <w:rPr>
                <w:rFonts w:ascii="Arial" w:cs="Arial" w:eastAsia="Arial" w:hAnsi="Arial"/>
                <w:sz w:val="18"/>
                <w:szCs w:val="18"/>
                <w:color w:val="auto"/>
              </w:rPr>
              <w:t>4.96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10456</w:t>
            </w:r>
          </w:p>
        </w:tc>
        <w:tc>
          <w:tcPr>
            <w:tcW w:w="40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2001-QS17</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10455</w:t>
            </w:r>
          </w:p>
        </w:tc>
        <w:tc>
          <w:tcPr>
            <w:tcW w:w="4060" w:type="dxa"/>
            <w:vAlign w:val="bottom"/>
          </w:tcPr>
          <w:p>
            <w:pPr>
              <w:ind w:left="160"/>
              <w:spacing w:after="0"/>
              <w:rPr>
                <w:sz w:val="20"/>
                <w:szCs w:val="20"/>
                <w:color w:val="auto"/>
              </w:rPr>
            </w:pPr>
            <w:r>
              <w:rPr>
                <w:rFonts w:ascii="Arial" w:cs="Arial" w:eastAsia="Arial" w:hAnsi="Arial"/>
                <w:sz w:val="18"/>
                <w:szCs w:val="18"/>
                <w:color w:val="auto"/>
              </w:rPr>
              <w:t>RALI 2001-QS16</w:t>
            </w:r>
          </w:p>
        </w:tc>
        <w:tc>
          <w:tcPr>
            <w:tcW w:w="3220" w:type="dxa"/>
            <w:vAlign w:val="bottom"/>
          </w:tcPr>
          <w:p>
            <w:pPr>
              <w:jc w:val="right"/>
              <w:spacing w:after="0"/>
              <w:rPr>
                <w:sz w:val="20"/>
                <w:szCs w:val="20"/>
                <w:color w:val="auto"/>
              </w:rPr>
            </w:pPr>
            <w:r>
              <w:rPr>
                <w:rFonts w:ascii="Arial" w:cs="Arial" w:eastAsia="Arial" w:hAnsi="Arial"/>
                <w:sz w:val="18"/>
                <w:szCs w:val="18"/>
                <w:color w:val="auto"/>
              </w:rPr>
              <w:t>2.88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10454</w:t>
            </w:r>
          </w:p>
        </w:tc>
        <w:tc>
          <w:tcPr>
            <w:tcW w:w="40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RALI 2001-QS13</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(112.76)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10807</w:t>
            </w:r>
          </w:p>
        </w:tc>
        <w:tc>
          <w:tcPr>
            <w:tcW w:w="4060" w:type="dxa"/>
            <w:vAlign w:val="bottom"/>
          </w:tcPr>
          <w:p>
            <w:pPr>
              <w:ind w:left="160"/>
              <w:spacing w:after="0"/>
              <w:rPr>
                <w:sz w:val="20"/>
                <w:szCs w:val="20"/>
                <w:color w:val="auto"/>
              </w:rPr>
            </w:pPr>
            <w:r>
              <w:rPr>
                <w:rFonts w:ascii="Arial" w:cs="Arial" w:eastAsia="Arial" w:hAnsi="Arial"/>
                <w:sz w:val="18"/>
                <w:szCs w:val="18"/>
                <w:color w:val="auto"/>
              </w:rPr>
              <w:t>RAAC 2007-SP3</w:t>
            </w:r>
          </w:p>
        </w:tc>
        <w:tc>
          <w:tcPr>
            <w:tcW w:w="3220" w:type="dxa"/>
            <w:vAlign w:val="bottom"/>
          </w:tcPr>
          <w:p>
            <w:pPr>
              <w:jc w:val="right"/>
              <w:spacing w:after="0"/>
              <w:rPr>
                <w:sz w:val="20"/>
                <w:szCs w:val="20"/>
                <w:color w:val="auto"/>
              </w:rPr>
            </w:pPr>
            <w:r>
              <w:rPr>
                <w:rFonts w:ascii="Arial" w:cs="Arial" w:eastAsia="Arial" w:hAnsi="Arial"/>
                <w:sz w:val="18"/>
                <w:szCs w:val="18"/>
                <w:color w:val="auto"/>
              </w:rPr>
              <w:t>34.49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10806</w:t>
            </w:r>
          </w:p>
        </w:tc>
        <w:tc>
          <w:tcPr>
            <w:tcW w:w="40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RAAC 2007-SP2</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RAAC 2007-SP1</w:t>
            </w:r>
          </w:p>
        </w:tc>
        <w:tc>
          <w:tcPr>
            <w:tcW w:w="3220" w:type="dxa"/>
            <w:vAlign w:val="bottom"/>
          </w:tcPr>
          <w:p>
            <w:pPr>
              <w:jc w:val="right"/>
              <w:spacing w:after="0"/>
              <w:rPr>
                <w:sz w:val="20"/>
                <w:szCs w:val="20"/>
                <w:color w:val="auto"/>
              </w:rPr>
            </w:pPr>
            <w:r>
              <w:rPr>
                <w:rFonts w:ascii="Arial" w:cs="Arial" w:eastAsia="Arial" w:hAnsi="Arial"/>
                <w:sz w:val="18"/>
                <w:szCs w:val="18"/>
                <w:color w:val="auto"/>
              </w:rPr>
              <w:t>34.25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0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RAAC 2007-RP4</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17.21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10719</w:t>
            </w:r>
          </w:p>
        </w:tc>
        <w:tc>
          <w:tcPr>
            <w:tcW w:w="4060" w:type="dxa"/>
            <w:vAlign w:val="bottom"/>
          </w:tcPr>
          <w:p>
            <w:pPr>
              <w:ind w:left="160"/>
              <w:spacing w:after="0"/>
              <w:rPr>
                <w:sz w:val="20"/>
                <w:szCs w:val="20"/>
                <w:color w:val="auto"/>
              </w:rPr>
            </w:pPr>
            <w:r>
              <w:rPr>
                <w:rFonts w:ascii="Arial" w:cs="Arial" w:eastAsia="Arial" w:hAnsi="Arial"/>
                <w:sz w:val="18"/>
                <w:szCs w:val="18"/>
                <w:color w:val="auto"/>
              </w:rPr>
              <w:t>RAAC 2007-RP3</w:t>
            </w:r>
          </w:p>
        </w:tc>
        <w:tc>
          <w:tcPr>
            <w:tcW w:w="3220" w:type="dxa"/>
            <w:vAlign w:val="bottom"/>
          </w:tcPr>
          <w:p>
            <w:pPr>
              <w:jc w:val="right"/>
              <w:spacing w:after="0"/>
              <w:rPr>
                <w:sz w:val="20"/>
                <w:szCs w:val="20"/>
                <w:color w:val="auto"/>
              </w:rPr>
            </w:pPr>
            <w:r>
              <w:rPr>
                <w:rFonts w:ascii="Arial" w:cs="Arial" w:eastAsia="Arial" w:hAnsi="Arial"/>
                <w:sz w:val="18"/>
                <w:szCs w:val="18"/>
                <w:color w:val="auto"/>
              </w:rPr>
              <w:t>3.28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10718</w:t>
            </w:r>
          </w:p>
        </w:tc>
        <w:tc>
          <w:tcPr>
            <w:tcW w:w="40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RAAC 2007-RP2</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(20.38)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10715</w:t>
            </w:r>
          </w:p>
        </w:tc>
        <w:tc>
          <w:tcPr>
            <w:tcW w:w="4060" w:type="dxa"/>
            <w:vAlign w:val="bottom"/>
          </w:tcPr>
          <w:p>
            <w:pPr>
              <w:ind w:left="160"/>
              <w:spacing w:after="0"/>
              <w:rPr>
                <w:sz w:val="20"/>
                <w:szCs w:val="20"/>
                <w:color w:val="auto"/>
              </w:rPr>
            </w:pPr>
            <w:r>
              <w:rPr>
                <w:rFonts w:ascii="Arial" w:cs="Arial" w:eastAsia="Arial" w:hAnsi="Arial"/>
                <w:sz w:val="18"/>
                <w:szCs w:val="18"/>
                <w:color w:val="auto"/>
              </w:rPr>
              <w:t>RAAC 2007-RP1</w:t>
            </w:r>
          </w:p>
        </w:tc>
        <w:tc>
          <w:tcPr>
            <w:tcW w:w="3220" w:type="dxa"/>
            <w:vAlign w:val="bottom"/>
          </w:tcPr>
          <w:p>
            <w:pPr>
              <w:jc w:val="right"/>
              <w:spacing w:after="0"/>
              <w:rPr>
                <w:sz w:val="20"/>
                <w:szCs w:val="20"/>
                <w:color w:val="auto"/>
              </w:rPr>
            </w:pPr>
            <w:r>
              <w:rPr>
                <w:rFonts w:ascii="Arial" w:cs="Arial" w:eastAsia="Arial" w:hAnsi="Arial"/>
                <w:sz w:val="18"/>
                <w:szCs w:val="18"/>
                <w:color w:val="auto"/>
              </w:rPr>
              <w:t>(24.07)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10805</w:t>
            </w:r>
          </w:p>
        </w:tc>
        <w:tc>
          <w:tcPr>
            <w:tcW w:w="40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RAAC 2006-SP4</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(5.22)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10804</w:t>
            </w:r>
          </w:p>
        </w:tc>
        <w:tc>
          <w:tcPr>
            <w:tcW w:w="4060" w:type="dxa"/>
            <w:vAlign w:val="bottom"/>
          </w:tcPr>
          <w:p>
            <w:pPr>
              <w:ind w:left="160"/>
              <w:spacing w:after="0"/>
              <w:rPr>
                <w:sz w:val="20"/>
                <w:szCs w:val="20"/>
                <w:color w:val="auto"/>
              </w:rPr>
            </w:pPr>
            <w:r>
              <w:rPr>
                <w:rFonts w:ascii="Arial" w:cs="Arial" w:eastAsia="Arial" w:hAnsi="Arial"/>
                <w:sz w:val="18"/>
                <w:szCs w:val="18"/>
                <w:color w:val="auto"/>
              </w:rPr>
              <w:t>RAAC 2006-SP3</w:t>
            </w:r>
          </w:p>
        </w:tc>
        <w:tc>
          <w:tcPr>
            <w:tcW w:w="3220" w:type="dxa"/>
            <w:vAlign w:val="bottom"/>
          </w:tcPr>
          <w:p>
            <w:pPr>
              <w:jc w:val="right"/>
              <w:spacing w:after="0"/>
              <w:rPr>
                <w:sz w:val="20"/>
                <w:szCs w:val="20"/>
                <w:color w:val="auto"/>
              </w:rPr>
            </w:pPr>
            <w:r>
              <w:rPr>
                <w:rFonts w:ascii="Arial" w:cs="Arial" w:eastAsia="Arial" w:hAnsi="Arial"/>
                <w:sz w:val="18"/>
                <w:szCs w:val="18"/>
                <w:color w:val="auto"/>
              </w:rPr>
              <w:t>24.66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10803</w:t>
            </w:r>
          </w:p>
        </w:tc>
        <w:tc>
          <w:tcPr>
            <w:tcW w:w="40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RAAC 2006-SP2</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16.27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10802</w:t>
            </w:r>
          </w:p>
        </w:tc>
        <w:tc>
          <w:tcPr>
            <w:tcW w:w="4060" w:type="dxa"/>
            <w:vAlign w:val="bottom"/>
          </w:tcPr>
          <w:p>
            <w:pPr>
              <w:ind w:left="160"/>
              <w:spacing w:after="0"/>
              <w:rPr>
                <w:sz w:val="20"/>
                <w:szCs w:val="20"/>
                <w:color w:val="auto"/>
              </w:rPr>
            </w:pPr>
            <w:r>
              <w:rPr>
                <w:rFonts w:ascii="Arial" w:cs="Arial" w:eastAsia="Arial" w:hAnsi="Arial"/>
                <w:sz w:val="18"/>
                <w:szCs w:val="18"/>
                <w:color w:val="auto"/>
              </w:rPr>
              <w:t>RAAC 2006-SP1</w:t>
            </w:r>
          </w:p>
        </w:tc>
        <w:tc>
          <w:tcPr>
            <w:tcW w:w="3220" w:type="dxa"/>
            <w:vAlign w:val="bottom"/>
          </w:tcPr>
          <w:p>
            <w:pPr>
              <w:jc w:val="right"/>
              <w:spacing w:after="0"/>
              <w:rPr>
                <w:sz w:val="20"/>
                <w:szCs w:val="20"/>
                <w:color w:val="auto"/>
              </w:rPr>
            </w:pPr>
            <w:r>
              <w:rPr>
                <w:rFonts w:ascii="Arial" w:cs="Arial" w:eastAsia="Arial" w:hAnsi="Arial"/>
                <w:sz w:val="18"/>
                <w:szCs w:val="18"/>
                <w:color w:val="auto"/>
              </w:rPr>
              <w:t>31.88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10801</w:t>
            </w:r>
          </w:p>
        </w:tc>
        <w:tc>
          <w:tcPr>
            <w:tcW w:w="40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RAAC 2006-RP4</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(25.80)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10800</w:t>
            </w:r>
          </w:p>
        </w:tc>
        <w:tc>
          <w:tcPr>
            <w:tcW w:w="4060" w:type="dxa"/>
            <w:vAlign w:val="bottom"/>
          </w:tcPr>
          <w:p>
            <w:pPr>
              <w:ind w:left="160"/>
              <w:spacing w:after="0"/>
              <w:rPr>
                <w:sz w:val="20"/>
                <w:szCs w:val="20"/>
                <w:color w:val="auto"/>
              </w:rPr>
            </w:pPr>
            <w:r>
              <w:rPr>
                <w:rFonts w:ascii="Arial" w:cs="Arial" w:eastAsia="Arial" w:hAnsi="Arial"/>
                <w:sz w:val="18"/>
                <w:szCs w:val="18"/>
                <w:color w:val="auto"/>
              </w:rPr>
              <w:t>RAAC 2006-RP3</w:t>
            </w:r>
          </w:p>
        </w:tc>
        <w:tc>
          <w:tcPr>
            <w:tcW w:w="3220" w:type="dxa"/>
            <w:vAlign w:val="bottom"/>
          </w:tcPr>
          <w:p>
            <w:pPr>
              <w:jc w:val="right"/>
              <w:spacing w:after="0"/>
              <w:rPr>
                <w:sz w:val="20"/>
                <w:szCs w:val="20"/>
                <w:color w:val="auto"/>
              </w:rPr>
            </w:pPr>
            <w:r>
              <w:rPr>
                <w:rFonts w:ascii="Arial" w:cs="Arial" w:eastAsia="Arial" w:hAnsi="Arial"/>
                <w:sz w:val="18"/>
                <w:szCs w:val="18"/>
                <w:color w:val="auto"/>
              </w:rPr>
              <w:t>0.95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10799</w:t>
            </w:r>
          </w:p>
        </w:tc>
        <w:tc>
          <w:tcPr>
            <w:tcW w:w="40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RAAC 2006-RP2</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(7.85)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10798</w:t>
            </w:r>
          </w:p>
        </w:tc>
        <w:tc>
          <w:tcPr>
            <w:tcW w:w="4060" w:type="dxa"/>
            <w:vAlign w:val="bottom"/>
          </w:tcPr>
          <w:p>
            <w:pPr>
              <w:ind w:left="160"/>
              <w:spacing w:after="0"/>
              <w:rPr>
                <w:sz w:val="20"/>
                <w:szCs w:val="20"/>
                <w:color w:val="auto"/>
              </w:rPr>
            </w:pPr>
            <w:r>
              <w:rPr>
                <w:rFonts w:ascii="Arial" w:cs="Arial" w:eastAsia="Arial" w:hAnsi="Arial"/>
                <w:sz w:val="18"/>
                <w:szCs w:val="18"/>
                <w:color w:val="auto"/>
              </w:rPr>
              <w:t>RAAC 2006-RP1</w:t>
            </w:r>
          </w:p>
        </w:tc>
        <w:tc>
          <w:tcPr>
            <w:tcW w:w="3220" w:type="dxa"/>
            <w:vAlign w:val="bottom"/>
          </w:tcPr>
          <w:p>
            <w:pPr>
              <w:jc w:val="right"/>
              <w:spacing w:after="0"/>
              <w:rPr>
                <w:sz w:val="20"/>
                <w:szCs w:val="20"/>
                <w:color w:val="auto"/>
              </w:rPr>
            </w:pPr>
            <w:r>
              <w:rPr>
                <w:rFonts w:ascii="Arial" w:cs="Arial" w:eastAsia="Arial" w:hAnsi="Arial"/>
                <w:sz w:val="18"/>
                <w:szCs w:val="18"/>
                <w:color w:val="auto"/>
              </w:rPr>
              <w:t>15.28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10797</w:t>
            </w:r>
          </w:p>
        </w:tc>
        <w:tc>
          <w:tcPr>
            <w:tcW w:w="40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RAAC 2005-SP3</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0.91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10796</w:t>
            </w:r>
          </w:p>
        </w:tc>
        <w:tc>
          <w:tcPr>
            <w:tcW w:w="4060" w:type="dxa"/>
            <w:vAlign w:val="bottom"/>
          </w:tcPr>
          <w:p>
            <w:pPr>
              <w:ind w:left="160"/>
              <w:spacing w:after="0"/>
              <w:rPr>
                <w:sz w:val="20"/>
                <w:szCs w:val="20"/>
                <w:color w:val="auto"/>
              </w:rPr>
            </w:pPr>
            <w:r>
              <w:rPr>
                <w:rFonts w:ascii="Arial" w:cs="Arial" w:eastAsia="Arial" w:hAnsi="Arial"/>
                <w:sz w:val="18"/>
                <w:szCs w:val="18"/>
                <w:color w:val="auto"/>
              </w:rPr>
              <w:t>RAAC 2005-SP2</w:t>
            </w:r>
          </w:p>
        </w:tc>
        <w:tc>
          <w:tcPr>
            <w:tcW w:w="3220" w:type="dxa"/>
            <w:vAlign w:val="bottom"/>
          </w:tcPr>
          <w:p>
            <w:pPr>
              <w:jc w:val="right"/>
              <w:spacing w:after="0"/>
              <w:rPr>
                <w:sz w:val="20"/>
                <w:szCs w:val="20"/>
                <w:color w:val="auto"/>
              </w:rPr>
            </w:pPr>
            <w:r>
              <w:rPr>
                <w:rFonts w:ascii="Arial" w:cs="Arial" w:eastAsia="Arial" w:hAnsi="Arial"/>
                <w:sz w:val="18"/>
                <w:szCs w:val="18"/>
                <w:color w:val="auto"/>
              </w:rPr>
              <w:t>6.39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rPr>
              <w:t>10795</w:t>
            </w:r>
          </w:p>
        </w:tc>
        <w:tc>
          <w:tcPr>
            <w:tcW w:w="40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RAAC 2005-RP3</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0.98</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10794</w:t>
            </w: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RAAC 2005-RP2</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10793</w:t>
            </w:r>
          </w:p>
        </w:tc>
        <w:tc>
          <w:tcPr>
            <w:tcW w:w="4320" w:type="dxa"/>
            <w:vAlign w:val="bottom"/>
          </w:tcPr>
          <w:p>
            <w:pPr>
              <w:ind w:left="160"/>
              <w:spacing w:after="0"/>
              <w:rPr>
                <w:sz w:val="20"/>
                <w:szCs w:val="20"/>
                <w:color w:val="auto"/>
              </w:rPr>
            </w:pPr>
            <w:r>
              <w:rPr>
                <w:rFonts w:ascii="Arial" w:cs="Arial" w:eastAsia="Arial" w:hAnsi="Arial"/>
                <w:sz w:val="18"/>
                <w:szCs w:val="18"/>
                <w:color w:val="auto"/>
              </w:rPr>
              <w:t>RAAC 2005-RP1</w:t>
            </w:r>
          </w:p>
        </w:tc>
        <w:tc>
          <w:tcPr>
            <w:tcW w:w="2960" w:type="dxa"/>
            <w:vAlign w:val="bottom"/>
          </w:tcPr>
          <w:p>
            <w:pPr>
              <w:jc w:val="right"/>
              <w:spacing w:after="0"/>
              <w:rPr>
                <w:sz w:val="20"/>
                <w:szCs w:val="20"/>
                <w:color w:val="auto"/>
              </w:rPr>
            </w:pPr>
            <w:r>
              <w:rPr>
                <w:rFonts w:ascii="Arial" w:cs="Arial" w:eastAsia="Arial" w:hAnsi="Arial"/>
                <w:sz w:val="18"/>
                <w:szCs w:val="18"/>
                <w:color w:val="auto"/>
              </w:rPr>
              <w:t>(19.98)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5216</w:t>
            </w: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MSLT 2007-2</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5202</w:t>
            </w:r>
          </w:p>
        </w:tc>
        <w:tc>
          <w:tcPr>
            <w:tcW w:w="4320" w:type="dxa"/>
            <w:vAlign w:val="bottom"/>
          </w:tcPr>
          <w:p>
            <w:pPr>
              <w:ind w:left="160"/>
              <w:spacing w:after="0"/>
              <w:rPr>
                <w:sz w:val="20"/>
                <w:szCs w:val="20"/>
                <w:color w:val="auto"/>
              </w:rPr>
            </w:pPr>
            <w:r>
              <w:rPr>
                <w:rFonts w:ascii="Arial" w:cs="Arial" w:eastAsia="Arial" w:hAnsi="Arial"/>
                <w:sz w:val="18"/>
                <w:szCs w:val="18"/>
                <w:color w:val="auto"/>
              </w:rPr>
              <w:t>MSLT 2007-1</w:t>
            </w:r>
          </w:p>
        </w:tc>
        <w:tc>
          <w:tcPr>
            <w:tcW w:w="29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10791</w:t>
            </w: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LUM 2006-3</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10790</w:t>
            </w:r>
          </w:p>
        </w:tc>
        <w:tc>
          <w:tcPr>
            <w:tcW w:w="4320" w:type="dxa"/>
            <w:vAlign w:val="bottom"/>
          </w:tcPr>
          <w:p>
            <w:pPr>
              <w:ind w:left="160"/>
              <w:spacing w:after="0"/>
              <w:rPr>
                <w:sz w:val="20"/>
                <w:szCs w:val="20"/>
                <w:color w:val="auto"/>
              </w:rPr>
            </w:pPr>
            <w:r>
              <w:rPr>
                <w:rFonts w:ascii="Arial" w:cs="Arial" w:eastAsia="Arial" w:hAnsi="Arial"/>
                <w:sz w:val="18"/>
                <w:szCs w:val="18"/>
                <w:color w:val="auto"/>
              </w:rPr>
              <w:t>HALO 2007-AR1</w:t>
            </w:r>
          </w:p>
        </w:tc>
        <w:tc>
          <w:tcPr>
            <w:tcW w:w="2960" w:type="dxa"/>
            <w:vAlign w:val="bottom"/>
          </w:tcPr>
          <w:p>
            <w:pPr>
              <w:jc w:val="right"/>
              <w:spacing w:after="0"/>
              <w:rPr>
                <w:sz w:val="20"/>
                <w:szCs w:val="20"/>
                <w:color w:val="auto"/>
              </w:rPr>
            </w:pPr>
            <w:r>
              <w:rPr>
                <w:rFonts w:ascii="Arial" w:cs="Arial" w:eastAsia="Arial" w:hAnsi="Arial"/>
                <w:sz w:val="18"/>
                <w:szCs w:val="18"/>
                <w:color w:val="auto"/>
              </w:rPr>
              <w:t>47.81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GSR 2007-AR1</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37.00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10789</w:t>
            </w:r>
          </w:p>
        </w:tc>
        <w:tc>
          <w:tcPr>
            <w:tcW w:w="4320" w:type="dxa"/>
            <w:vAlign w:val="bottom"/>
          </w:tcPr>
          <w:p>
            <w:pPr>
              <w:ind w:left="160"/>
              <w:spacing w:after="0"/>
              <w:rPr>
                <w:sz w:val="20"/>
                <w:szCs w:val="20"/>
                <w:color w:val="auto"/>
              </w:rPr>
            </w:pPr>
            <w:r>
              <w:rPr>
                <w:rFonts w:ascii="Arial" w:cs="Arial" w:eastAsia="Arial" w:hAnsi="Arial"/>
                <w:sz w:val="18"/>
                <w:szCs w:val="18"/>
                <w:color w:val="auto"/>
              </w:rPr>
              <w:t>GSR 2006-AR2</w:t>
            </w:r>
          </w:p>
        </w:tc>
        <w:tc>
          <w:tcPr>
            <w:tcW w:w="2960" w:type="dxa"/>
            <w:vAlign w:val="bottom"/>
          </w:tcPr>
          <w:p>
            <w:pPr>
              <w:jc w:val="right"/>
              <w:spacing w:after="0"/>
              <w:rPr>
                <w:sz w:val="20"/>
                <w:szCs w:val="20"/>
                <w:color w:val="auto"/>
              </w:rPr>
            </w:pPr>
            <w:r>
              <w:rPr>
                <w:rFonts w:ascii="Arial" w:cs="Arial" w:eastAsia="Arial" w:hAnsi="Arial"/>
                <w:sz w:val="18"/>
                <w:szCs w:val="18"/>
                <w:color w:val="auto"/>
              </w:rPr>
              <w:t>39.68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GSR 2006-AR2</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54.61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GMACMLT 2006-J1</w:t>
            </w:r>
          </w:p>
        </w:tc>
        <w:tc>
          <w:tcPr>
            <w:tcW w:w="2960" w:type="dxa"/>
            <w:vAlign w:val="bottom"/>
          </w:tcPr>
          <w:p>
            <w:pPr>
              <w:jc w:val="right"/>
              <w:spacing w:after="0"/>
              <w:rPr>
                <w:sz w:val="20"/>
                <w:szCs w:val="20"/>
                <w:color w:val="auto"/>
              </w:rPr>
            </w:pPr>
            <w:r>
              <w:rPr>
                <w:rFonts w:ascii="Arial" w:cs="Arial" w:eastAsia="Arial" w:hAnsi="Arial"/>
                <w:sz w:val="18"/>
                <w:szCs w:val="18"/>
                <w:color w:val="auto"/>
              </w:rPr>
              <w:t>48.81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2006-AR2</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51.18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GMACMLT 2006-AR1</w:t>
            </w:r>
          </w:p>
        </w:tc>
        <w:tc>
          <w:tcPr>
            <w:tcW w:w="2960" w:type="dxa"/>
            <w:vAlign w:val="bottom"/>
          </w:tcPr>
          <w:p>
            <w:pPr>
              <w:jc w:val="right"/>
              <w:spacing w:after="0"/>
              <w:rPr>
                <w:sz w:val="20"/>
                <w:szCs w:val="20"/>
                <w:color w:val="auto"/>
              </w:rPr>
            </w:pPr>
            <w:r>
              <w:rPr>
                <w:rFonts w:ascii="Arial" w:cs="Arial" w:eastAsia="Arial" w:hAnsi="Arial"/>
                <w:sz w:val="18"/>
                <w:szCs w:val="18"/>
                <w:color w:val="auto"/>
              </w:rPr>
              <w:t>51.89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2005-J1</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45.52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GMACMLT 2005-AR6</w:t>
            </w:r>
          </w:p>
        </w:tc>
        <w:tc>
          <w:tcPr>
            <w:tcW w:w="2960" w:type="dxa"/>
            <w:vAlign w:val="bottom"/>
          </w:tcPr>
          <w:p>
            <w:pPr>
              <w:jc w:val="right"/>
              <w:spacing w:after="0"/>
              <w:rPr>
                <w:sz w:val="20"/>
                <w:szCs w:val="20"/>
                <w:color w:val="auto"/>
              </w:rPr>
            </w:pPr>
            <w:r>
              <w:rPr>
                <w:rFonts w:ascii="Arial" w:cs="Arial" w:eastAsia="Arial" w:hAnsi="Arial"/>
                <w:sz w:val="18"/>
                <w:szCs w:val="18"/>
                <w:color w:val="auto"/>
              </w:rPr>
              <w:t>52.08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4599</w:t>
            </w: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2005-AR5</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51.63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4598</w:t>
            </w:r>
          </w:p>
        </w:tc>
        <w:tc>
          <w:tcPr>
            <w:tcW w:w="4320" w:type="dxa"/>
            <w:vAlign w:val="bottom"/>
          </w:tcPr>
          <w:p>
            <w:pPr>
              <w:ind w:left="160"/>
              <w:spacing w:after="0"/>
              <w:rPr>
                <w:sz w:val="20"/>
                <w:szCs w:val="20"/>
                <w:color w:val="auto"/>
              </w:rPr>
            </w:pPr>
            <w:r>
              <w:rPr>
                <w:rFonts w:ascii="Arial" w:cs="Arial" w:eastAsia="Arial" w:hAnsi="Arial"/>
                <w:sz w:val="18"/>
                <w:szCs w:val="18"/>
                <w:color w:val="auto"/>
              </w:rPr>
              <w:t>GMACMLT 2005-AR4</w:t>
            </w:r>
          </w:p>
        </w:tc>
        <w:tc>
          <w:tcPr>
            <w:tcW w:w="2960" w:type="dxa"/>
            <w:vAlign w:val="bottom"/>
          </w:tcPr>
          <w:p>
            <w:pPr>
              <w:jc w:val="right"/>
              <w:spacing w:after="0"/>
              <w:rPr>
                <w:sz w:val="20"/>
                <w:szCs w:val="20"/>
                <w:color w:val="auto"/>
              </w:rPr>
            </w:pPr>
            <w:r>
              <w:rPr>
                <w:rFonts w:ascii="Arial" w:cs="Arial" w:eastAsia="Arial" w:hAnsi="Arial"/>
                <w:sz w:val="18"/>
                <w:szCs w:val="18"/>
                <w:color w:val="auto"/>
              </w:rPr>
              <w:t>53.14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4597</w:t>
            </w: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2005-AR3</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52.24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4596</w:t>
            </w:r>
          </w:p>
        </w:tc>
        <w:tc>
          <w:tcPr>
            <w:tcW w:w="4320" w:type="dxa"/>
            <w:vAlign w:val="bottom"/>
          </w:tcPr>
          <w:p>
            <w:pPr>
              <w:ind w:left="160"/>
              <w:spacing w:after="0"/>
              <w:rPr>
                <w:sz w:val="20"/>
                <w:szCs w:val="20"/>
                <w:color w:val="auto"/>
              </w:rPr>
            </w:pPr>
            <w:r>
              <w:rPr>
                <w:rFonts w:ascii="Arial" w:cs="Arial" w:eastAsia="Arial" w:hAnsi="Arial"/>
                <w:sz w:val="18"/>
                <w:szCs w:val="18"/>
                <w:color w:val="auto"/>
              </w:rPr>
              <w:t>GMACMLT 2005-AR2</w:t>
            </w:r>
          </w:p>
        </w:tc>
        <w:tc>
          <w:tcPr>
            <w:tcW w:w="2960" w:type="dxa"/>
            <w:vAlign w:val="bottom"/>
          </w:tcPr>
          <w:p>
            <w:pPr>
              <w:jc w:val="right"/>
              <w:spacing w:after="0"/>
              <w:rPr>
                <w:sz w:val="20"/>
                <w:szCs w:val="20"/>
                <w:color w:val="auto"/>
              </w:rPr>
            </w:pPr>
            <w:r>
              <w:rPr>
                <w:rFonts w:ascii="Arial" w:cs="Arial" w:eastAsia="Arial" w:hAnsi="Arial"/>
                <w:sz w:val="18"/>
                <w:szCs w:val="18"/>
                <w:color w:val="auto"/>
              </w:rPr>
              <w:t>51.99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4595</w:t>
            </w: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2005-AR1</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53.91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4594</w:t>
            </w:r>
          </w:p>
        </w:tc>
        <w:tc>
          <w:tcPr>
            <w:tcW w:w="4320" w:type="dxa"/>
            <w:vAlign w:val="bottom"/>
          </w:tcPr>
          <w:p>
            <w:pPr>
              <w:ind w:left="160"/>
              <w:spacing w:after="0"/>
              <w:rPr>
                <w:sz w:val="20"/>
                <w:szCs w:val="20"/>
                <w:color w:val="auto"/>
              </w:rPr>
            </w:pPr>
            <w:r>
              <w:rPr>
                <w:rFonts w:ascii="Arial" w:cs="Arial" w:eastAsia="Arial" w:hAnsi="Arial"/>
                <w:sz w:val="18"/>
                <w:szCs w:val="18"/>
                <w:color w:val="auto"/>
              </w:rPr>
              <w:t>GMACMLT 2005-AF2</w:t>
            </w:r>
          </w:p>
        </w:tc>
        <w:tc>
          <w:tcPr>
            <w:tcW w:w="2960" w:type="dxa"/>
            <w:vAlign w:val="bottom"/>
          </w:tcPr>
          <w:p>
            <w:pPr>
              <w:jc w:val="right"/>
              <w:spacing w:after="0"/>
              <w:rPr>
                <w:sz w:val="20"/>
                <w:szCs w:val="20"/>
                <w:color w:val="auto"/>
              </w:rPr>
            </w:pPr>
            <w:r>
              <w:rPr>
                <w:rFonts w:ascii="Arial" w:cs="Arial" w:eastAsia="Arial" w:hAnsi="Arial"/>
                <w:sz w:val="18"/>
                <w:szCs w:val="18"/>
                <w:color w:val="auto"/>
              </w:rPr>
              <w:t>39.03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4593</w:t>
            </w: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2005-AF1</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43.97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4592</w:t>
            </w:r>
          </w:p>
        </w:tc>
        <w:tc>
          <w:tcPr>
            <w:tcW w:w="4320" w:type="dxa"/>
            <w:vAlign w:val="bottom"/>
          </w:tcPr>
          <w:p>
            <w:pPr>
              <w:ind w:left="160"/>
              <w:spacing w:after="0"/>
              <w:rPr>
                <w:sz w:val="20"/>
                <w:szCs w:val="20"/>
                <w:color w:val="auto"/>
              </w:rPr>
            </w:pPr>
            <w:r>
              <w:rPr>
                <w:rFonts w:ascii="Arial" w:cs="Arial" w:eastAsia="Arial" w:hAnsi="Arial"/>
                <w:sz w:val="18"/>
                <w:szCs w:val="18"/>
                <w:color w:val="auto"/>
              </w:rPr>
              <w:t>GMACMLT 2005-AA1</w:t>
            </w:r>
          </w:p>
        </w:tc>
        <w:tc>
          <w:tcPr>
            <w:tcW w:w="2960" w:type="dxa"/>
            <w:vAlign w:val="bottom"/>
          </w:tcPr>
          <w:p>
            <w:pPr>
              <w:jc w:val="right"/>
              <w:spacing w:after="0"/>
              <w:rPr>
                <w:sz w:val="20"/>
                <w:szCs w:val="20"/>
                <w:color w:val="auto"/>
              </w:rPr>
            </w:pPr>
            <w:r>
              <w:rPr>
                <w:rFonts w:ascii="Arial" w:cs="Arial" w:eastAsia="Arial" w:hAnsi="Arial"/>
                <w:sz w:val="18"/>
                <w:szCs w:val="18"/>
                <w:color w:val="auto"/>
              </w:rPr>
              <w:t>66.17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2004-J6</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44.46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GMACMLT 2004-J5</w:t>
            </w:r>
          </w:p>
        </w:tc>
        <w:tc>
          <w:tcPr>
            <w:tcW w:w="2960" w:type="dxa"/>
            <w:vAlign w:val="bottom"/>
          </w:tcPr>
          <w:p>
            <w:pPr>
              <w:jc w:val="right"/>
              <w:spacing w:after="0"/>
              <w:rPr>
                <w:sz w:val="20"/>
                <w:szCs w:val="20"/>
                <w:color w:val="auto"/>
              </w:rPr>
            </w:pPr>
            <w:r>
              <w:rPr>
                <w:rFonts w:ascii="Arial" w:cs="Arial" w:eastAsia="Arial" w:hAnsi="Arial"/>
                <w:sz w:val="18"/>
                <w:szCs w:val="18"/>
                <w:color w:val="auto"/>
              </w:rPr>
              <w:t>49.71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2004-J4</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49.79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GMACMLT 2004-J3</w:t>
            </w:r>
          </w:p>
        </w:tc>
        <w:tc>
          <w:tcPr>
            <w:tcW w:w="2960" w:type="dxa"/>
            <w:vAlign w:val="bottom"/>
          </w:tcPr>
          <w:p>
            <w:pPr>
              <w:jc w:val="right"/>
              <w:spacing w:after="0"/>
              <w:rPr>
                <w:sz w:val="20"/>
                <w:szCs w:val="20"/>
                <w:color w:val="auto"/>
              </w:rPr>
            </w:pPr>
            <w:r>
              <w:rPr>
                <w:rFonts w:ascii="Arial" w:cs="Arial" w:eastAsia="Arial" w:hAnsi="Arial"/>
                <w:sz w:val="18"/>
                <w:szCs w:val="18"/>
                <w:color w:val="auto"/>
              </w:rPr>
              <w:t>45.58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3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2004-J2</w:t>
            </w:r>
          </w:p>
        </w:tc>
        <w:tc>
          <w:tcPr>
            <w:tcW w:w="2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49.71</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GMACMLT 2004-J1</w:t>
            </w:r>
          </w:p>
        </w:tc>
        <w:tc>
          <w:tcPr>
            <w:tcW w:w="2960" w:type="dxa"/>
            <w:vAlign w:val="bottom"/>
          </w:tcPr>
          <w:p>
            <w:pPr>
              <w:jc w:val="right"/>
              <w:spacing w:after="0"/>
              <w:rPr>
                <w:sz w:val="20"/>
                <w:szCs w:val="20"/>
                <w:color w:val="auto"/>
              </w:rPr>
            </w:pPr>
            <w:r>
              <w:rPr>
                <w:rFonts w:ascii="Arial" w:cs="Arial" w:eastAsia="Arial" w:hAnsi="Arial"/>
                <w:sz w:val="18"/>
                <w:szCs w:val="18"/>
                <w:color w:val="auto"/>
              </w:rPr>
              <w:t>49.75</w:t>
            </w:r>
          </w:p>
        </w:tc>
        <w:tc>
          <w:tcPr>
            <w:tcW w:w="1720" w:type="dxa"/>
            <w:vAlign w:val="bottom"/>
          </w:tcPr>
          <w:p>
            <w:pPr>
              <w:spacing w:after="0"/>
              <w:rPr>
                <w:sz w:val="20"/>
                <w:szCs w:val="20"/>
                <w:color w:val="auto"/>
              </w:rPr>
            </w:pPr>
          </w:p>
        </w:tc>
      </w:tr>
      <w:tr>
        <w:trPr>
          <w:trHeight w:val="438"/>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4591</w:t>
            </w:r>
          </w:p>
        </w:tc>
        <w:tc>
          <w:tcPr>
            <w:tcW w:w="43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2004-GH1</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49.94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4590</w:t>
            </w:r>
          </w:p>
        </w:tc>
        <w:tc>
          <w:tcPr>
            <w:tcW w:w="4340" w:type="dxa"/>
            <w:vAlign w:val="bottom"/>
          </w:tcPr>
          <w:p>
            <w:pPr>
              <w:ind w:left="160"/>
              <w:spacing w:after="0"/>
              <w:rPr>
                <w:sz w:val="20"/>
                <w:szCs w:val="20"/>
                <w:color w:val="auto"/>
              </w:rPr>
            </w:pPr>
            <w:r>
              <w:rPr>
                <w:rFonts w:ascii="Arial" w:cs="Arial" w:eastAsia="Arial" w:hAnsi="Arial"/>
                <w:sz w:val="18"/>
                <w:szCs w:val="18"/>
                <w:color w:val="auto"/>
              </w:rPr>
              <w:t>GMACMLT 2004-AR2</w:t>
            </w:r>
          </w:p>
        </w:tc>
        <w:tc>
          <w:tcPr>
            <w:tcW w:w="2940" w:type="dxa"/>
            <w:vAlign w:val="bottom"/>
          </w:tcPr>
          <w:p>
            <w:pPr>
              <w:jc w:val="right"/>
              <w:spacing w:after="0"/>
              <w:rPr>
                <w:sz w:val="20"/>
                <w:szCs w:val="20"/>
                <w:color w:val="auto"/>
              </w:rPr>
            </w:pPr>
            <w:r>
              <w:rPr>
                <w:rFonts w:ascii="Arial" w:cs="Arial" w:eastAsia="Arial" w:hAnsi="Arial"/>
                <w:sz w:val="18"/>
                <w:szCs w:val="18"/>
                <w:color w:val="auto"/>
              </w:rPr>
              <w:t>52.93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4589</w:t>
            </w:r>
          </w:p>
        </w:tc>
        <w:tc>
          <w:tcPr>
            <w:tcW w:w="43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2004-AR1</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GMACMLT 2003-J9</w:t>
            </w:r>
          </w:p>
        </w:tc>
        <w:tc>
          <w:tcPr>
            <w:tcW w:w="2940" w:type="dxa"/>
            <w:vAlign w:val="bottom"/>
          </w:tcPr>
          <w:p>
            <w:pPr>
              <w:jc w:val="right"/>
              <w:spacing w:after="0"/>
              <w:rPr>
                <w:sz w:val="20"/>
                <w:szCs w:val="20"/>
                <w:color w:val="auto"/>
              </w:rPr>
            </w:pPr>
            <w:r>
              <w:rPr>
                <w:rFonts w:ascii="Arial" w:cs="Arial" w:eastAsia="Arial" w:hAnsi="Arial"/>
                <w:sz w:val="18"/>
                <w:szCs w:val="18"/>
                <w:color w:val="auto"/>
              </w:rPr>
              <w:t>44.71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4588</w:t>
            </w:r>
          </w:p>
        </w:tc>
        <w:tc>
          <w:tcPr>
            <w:tcW w:w="43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2003-J8</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49.71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4587</w:t>
            </w:r>
          </w:p>
        </w:tc>
        <w:tc>
          <w:tcPr>
            <w:tcW w:w="4340" w:type="dxa"/>
            <w:vAlign w:val="bottom"/>
          </w:tcPr>
          <w:p>
            <w:pPr>
              <w:ind w:left="160"/>
              <w:spacing w:after="0"/>
              <w:rPr>
                <w:sz w:val="20"/>
                <w:szCs w:val="20"/>
                <w:color w:val="auto"/>
              </w:rPr>
            </w:pPr>
            <w:r>
              <w:rPr>
                <w:rFonts w:ascii="Arial" w:cs="Arial" w:eastAsia="Arial" w:hAnsi="Arial"/>
                <w:sz w:val="18"/>
                <w:szCs w:val="18"/>
                <w:color w:val="auto"/>
              </w:rPr>
              <w:t>GMACMLT 2003-J7</w:t>
            </w:r>
          </w:p>
        </w:tc>
        <w:tc>
          <w:tcPr>
            <w:tcW w:w="2940" w:type="dxa"/>
            <w:vAlign w:val="bottom"/>
          </w:tcPr>
          <w:p>
            <w:pPr>
              <w:jc w:val="right"/>
              <w:spacing w:after="0"/>
              <w:rPr>
                <w:sz w:val="20"/>
                <w:szCs w:val="20"/>
                <w:color w:val="auto"/>
              </w:rPr>
            </w:pPr>
            <w:r>
              <w:rPr>
                <w:rFonts w:ascii="Arial" w:cs="Arial" w:eastAsia="Arial" w:hAnsi="Arial"/>
                <w:sz w:val="18"/>
                <w:szCs w:val="18"/>
                <w:color w:val="auto"/>
              </w:rPr>
              <w:t>50.04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4586</w:t>
            </w:r>
          </w:p>
        </w:tc>
        <w:tc>
          <w:tcPr>
            <w:tcW w:w="43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2003-J6</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51.12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4585</w:t>
            </w:r>
          </w:p>
        </w:tc>
        <w:tc>
          <w:tcPr>
            <w:tcW w:w="4340" w:type="dxa"/>
            <w:vAlign w:val="bottom"/>
          </w:tcPr>
          <w:p>
            <w:pPr>
              <w:ind w:left="160"/>
              <w:spacing w:after="0"/>
              <w:rPr>
                <w:sz w:val="20"/>
                <w:szCs w:val="20"/>
                <w:color w:val="auto"/>
              </w:rPr>
            </w:pPr>
            <w:r>
              <w:rPr>
                <w:rFonts w:ascii="Arial" w:cs="Arial" w:eastAsia="Arial" w:hAnsi="Arial"/>
                <w:sz w:val="18"/>
                <w:szCs w:val="18"/>
                <w:color w:val="auto"/>
              </w:rPr>
              <w:t>GMACMLT 2003-J5</w:t>
            </w: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4584</w:t>
            </w:r>
          </w:p>
        </w:tc>
        <w:tc>
          <w:tcPr>
            <w:tcW w:w="43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2003-J10</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GMACMLT 2003-GH2</w:t>
            </w:r>
          </w:p>
        </w:tc>
        <w:tc>
          <w:tcPr>
            <w:tcW w:w="2940" w:type="dxa"/>
            <w:vAlign w:val="bottom"/>
          </w:tcPr>
          <w:p>
            <w:pPr>
              <w:jc w:val="right"/>
              <w:spacing w:after="0"/>
              <w:rPr>
                <w:sz w:val="20"/>
                <w:szCs w:val="20"/>
                <w:color w:val="auto"/>
              </w:rPr>
            </w:pPr>
            <w:r>
              <w:rPr>
                <w:rFonts w:ascii="Arial" w:cs="Arial" w:eastAsia="Arial" w:hAnsi="Arial"/>
                <w:sz w:val="18"/>
                <w:szCs w:val="18"/>
                <w:color w:val="auto"/>
              </w:rPr>
              <w:t>48.45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4583</w:t>
            </w:r>
          </w:p>
        </w:tc>
        <w:tc>
          <w:tcPr>
            <w:tcW w:w="43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2003-GH1</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28.41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4582</w:t>
            </w:r>
          </w:p>
        </w:tc>
        <w:tc>
          <w:tcPr>
            <w:tcW w:w="4340" w:type="dxa"/>
            <w:vAlign w:val="bottom"/>
          </w:tcPr>
          <w:p>
            <w:pPr>
              <w:ind w:left="160"/>
              <w:spacing w:after="0"/>
              <w:rPr>
                <w:sz w:val="20"/>
                <w:szCs w:val="20"/>
                <w:color w:val="auto"/>
              </w:rPr>
            </w:pPr>
            <w:r>
              <w:rPr>
                <w:rFonts w:ascii="Arial" w:cs="Arial" w:eastAsia="Arial" w:hAnsi="Arial"/>
                <w:sz w:val="18"/>
                <w:szCs w:val="18"/>
                <w:color w:val="auto"/>
              </w:rPr>
              <w:t>GMACMLT 2003-AR2</w:t>
            </w:r>
          </w:p>
        </w:tc>
        <w:tc>
          <w:tcPr>
            <w:tcW w:w="2940" w:type="dxa"/>
            <w:vAlign w:val="bottom"/>
          </w:tcPr>
          <w:p>
            <w:pPr>
              <w:jc w:val="right"/>
              <w:spacing w:after="0"/>
              <w:rPr>
                <w:sz w:val="20"/>
                <w:szCs w:val="20"/>
                <w:color w:val="auto"/>
              </w:rPr>
            </w:pPr>
            <w:r>
              <w:rPr>
                <w:rFonts w:ascii="Arial" w:cs="Arial" w:eastAsia="Arial" w:hAnsi="Arial"/>
                <w:sz w:val="18"/>
                <w:szCs w:val="18"/>
                <w:color w:val="auto"/>
              </w:rPr>
              <w:t>89.48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4581</w:t>
            </w:r>
          </w:p>
        </w:tc>
        <w:tc>
          <w:tcPr>
            <w:tcW w:w="43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GMACMLT 2003-AR1</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95.33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4580</w:t>
            </w:r>
          </w:p>
        </w:tc>
        <w:tc>
          <w:tcPr>
            <w:tcW w:w="4340" w:type="dxa"/>
            <w:vAlign w:val="bottom"/>
          </w:tcPr>
          <w:p>
            <w:pPr>
              <w:ind w:left="160"/>
              <w:spacing w:after="0"/>
              <w:rPr>
                <w:sz w:val="20"/>
                <w:szCs w:val="20"/>
                <w:color w:val="auto"/>
              </w:rPr>
            </w:pPr>
            <w:r>
              <w:rPr>
                <w:rFonts w:ascii="Arial" w:cs="Arial" w:eastAsia="Arial" w:hAnsi="Arial"/>
                <w:sz w:val="18"/>
                <w:szCs w:val="18"/>
                <w:color w:val="auto"/>
              </w:rPr>
              <w:t>GMACM 2007-HE3</w:t>
            </w:r>
          </w:p>
        </w:tc>
        <w:tc>
          <w:tcPr>
            <w:tcW w:w="2940" w:type="dxa"/>
            <w:vAlign w:val="bottom"/>
          </w:tcPr>
          <w:p>
            <w:pPr>
              <w:jc w:val="right"/>
              <w:spacing w:after="0"/>
              <w:rPr>
                <w:sz w:val="20"/>
                <w:szCs w:val="20"/>
                <w:color w:val="auto"/>
              </w:rPr>
            </w:pPr>
            <w:r>
              <w:rPr>
                <w:rFonts w:ascii="Arial" w:cs="Arial" w:eastAsia="Arial" w:hAnsi="Arial"/>
                <w:sz w:val="18"/>
                <w:szCs w:val="18"/>
                <w:color w:val="auto"/>
              </w:rPr>
              <w:t>32.05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3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DBALT 2007-RAMP1</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18.63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10779</w:t>
            </w:r>
          </w:p>
        </w:tc>
        <w:tc>
          <w:tcPr>
            <w:tcW w:w="4340" w:type="dxa"/>
            <w:vAlign w:val="bottom"/>
          </w:tcPr>
          <w:p>
            <w:pPr>
              <w:ind w:left="160"/>
              <w:spacing w:after="0"/>
              <w:rPr>
                <w:sz w:val="20"/>
                <w:szCs w:val="20"/>
                <w:color w:val="auto"/>
              </w:rPr>
            </w:pPr>
            <w:r>
              <w:rPr>
                <w:rFonts w:ascii="Arial" w:cs="Arial" w:eastAsia="Arial" w:hAnsi="Arial"/>
                <w:sz w:val="18"/>
                <w:szCs w:val="18"/>
                <w:color w:val="auto"/>
              </w:rPr>
              <w:t>2007-E1</w:t>
            </w:r>
          </w:p>
        </w:tc>
        <w:tc>
          <w:tcPr>
            <w:tcW w:w="2940" w:type="dxa"/>
            <w:vAlign w:val="bottom"/>
          </w:tcPr>
          <w:p>
            <w:pPr>
              <w:jc w:val="right"/>
              <w:spacing w:after="0"/>
              <w:rPr>
                <w:sz w:val="20"/>
                <w:szCs w:val="20"/>
                <w:color w:val="auto"/>
              </w:rPr>
            </w:pPr>
            <w:r>
              <w:rPr>
                <w:rFonts w:ascii="Arial" w:cs="Arial" w:eastAsia="Arial" w:hAnsi="Arial"/>
                <w:sz w:val="18"/>
                <w:szCs w:val="18"/>
                <w:color w:val="auto"/>
              </w:rPr>
              <w:t>22.77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3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2006-WH17</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51.85</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5185</w:t>
            </w:r>
          </w:p>
        </w:tc>
        <w:tc>
          <w:tcPr>
            <w:tcW w:w="4340" w:type="dxa"/>
            <w:vAlign w:val="bottom"/>
          </w:tcPr>
          <w:p>
            <w:pPr>
              <w:ind w:left="160"/>
              <w:spacing w:after="0"/>
              <w:rPr>
                <w:sz w:val="20"/>
                <w:szCs w:val="20"/>
                <w:color w:val="auto"/>
              </w:rPr>
            </w:pPr>
            <w:r>
              <w:rPr>
                <w:rFonts w:ascii="Arial" w:cs="Arial" w:eastAsia="Arial" w:hAnsi="Arial"/>
                <w:sz w:val="18"/>
                <w:szCs w:val="18"/>
                <w:color w:val="auto"/>
              </w:rPr>
              <w:t>TCMLT 2006-1</w:t>
            </w: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0"/>
                <w:szCs w:val="20"/>
                <w:color w:val="auto"/>
              </w:rPr>
            </w:pPr>
          </w:p>
        </w:tc>
      </w:tr>
      <w:tr>
        <w:trPr>
          <w:trHeight w:val="438"/>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5140</w:t>
            </w:r>
          </w:p>
        </w:tc>
        <w:tc>
          <w:tcPr>
            <w:tcW w:w="44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Subflow 2005</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5240</w:t>
            </w:r>
          </w:p>
        </w:tc>
        <w:tc>
          <w:tcPr>
            <w:tcW w:w="4420" w:type="dxa"/>
            <w:vAlign w:val="bottom"/>
          </w:tcPr>
          <w:p>
            <w:pPr>
              <w:ind w:left="160"/>
              <w:spacing w:after="0"/>
              <w:rPr>
                <w:sz w:val="20"/>
                <w:szCs w:val="20"/>
                <w:color w:val="auto"/>
              </w:rPr>
            </w:pPr>
            <w:r>
              <w:rPr>
                <w:rFonts w:ascii="Arial" w:cs="Arial" w:eastAsia="Arial" w:hAnsi="Arial"/>
                <w:sz w:val="18"/>
                <w:szCs w:val="18"/>
                <w:color w:val="auto"/>
              </w:rPr>
              <w:t>Subflow 2005</w:t>
            </w: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4690</w:t>
            </w:r>
          </w:p>
        </w:tc>
        <w:tc>
          <w:tcPr>
            <w:tcW w:w="44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SEQ 2007-4</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72.40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4688</w:t>
            </w:r>
          </w:p>
        </w:tc>
        <w:tc>
          <w:tcPr>
            <w:tcW w:w="4420" w:type="dxa"/>
            <w:vAlign w:val="bottom"/>
          </w:tcPr>
          <w:p>
            <w:pPr>
              <w:ind w:left="160"/>
              <w:spacing w:after="0"/>
              <w:rPr>
                <w:sz w:val="20"/>
                <w:szCs w:val="20"/>
                <w:color w:val="auto"/>
              </w:rPr>
            </w:pPr>
            <w:r>
              <w:rPr>
                <w:rFonts w:ascii="Arial" w:cs="Arial" w:eastAsia="Arial" w:hAnsi="Arial"/>
                <w:sz w:val="18"/>
                <w:szCs w:val="18"/>
                <w:color w:val="auto"/>
              </w:rPr>
              <w:t>SEQ 2007-2</w:t>
            </w:r>
          </w:p>
        </w:tc>
        <w:tc>
          <w:tcPr>
            <w:tcW w:w="2940" w:type="dxa"/>
            <w:vAlign w:val="bottom"/>
          </w:tcPr>
          <w:p>
            <w:pPr>
              <w:jc w:val="right"/>
              <w:spacing w:after="0"/>
              <w:rPr>
                <w:sz w:val="20"/>
                <w:szCs w:val="20"/>
                <w:color w:val="auto"/>
              </w:rPr>
            </w:pPr>
            <w:r>
              <w:rPr>
                <w:rFonts w:ascii="Arial" w:cs="Arial" w:eastAsia="Arial" w:hAnsi="Arial"/>
                <w:sz w:val="18"/>
                <w:szCs w:val="18"/>
                <w:color w:val="auto"/>
              </w:rPr>
              <w:t>76.83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4687</w:t>
            </w:r>
          </w:p>
        </w:tc>
        <w:tc>
          <w:tcPr>
            <w:tcW w:w="44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SEQ 2007-1</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68.58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4677</w:t>
            </w:r>
          </w:p>
        </w:tc>
        <w:tc>
          <w:tcPr>
            <w:tcW w:w="4420" w:type="dxa"/>
            <w:vAlign w:val="bottom"/>
          </w:tcPr>
          <w:p>
            <w:pPr>
              <w:ind w:left="160"/>
              <w:spacing w:after="0"/>
              <w:rPr>
                <w:sz w:val="20"/>
                <w:szCs w:val="20"/>
                <w:color w:val="auto"/>
              </w:rPr>
            </w:pPr>
            <w:r>
              <w:rPr>
                <w:rFonts w:ascii="Arial" w:cs="Arial" w:eastAsia="Arial" w:hAnsi="Arial"/>
                <w:sz w:val="18"/>
                <w:szCs w:val="18"/>
                <w:color w:val="auto"/>
              </w:rPr>
              <w:t>SEQ 2004-4</w:t>
            </w:r>
          </w:p>
        </w:tc>
        <w:tc>
          <w:tcPr>
            <w:tcW w:w="2940" w:type="dxa"/>
            <w:vAlign w:val="bottom"/>
          </w:tcPr>
          <w:p>
            <w:pPr>
              <w:jc w:val="right"/>
              <w:spacing w:after="0"/>
              <w:rPr>
                <w:sz w:val="20"/>
                <w:szCs w:val="20"/>
                <w:color w:val="auto"/>
              </w:rPr>
            </w:pPr>
            <w:r>
              <w:rPr>
                <w:rFonts w:ascii="Arial" w:cs="Arial" w:eastAsia="Arial" w:hAnsi="Arial"/>
                <w:sz w:val="18"/>
                <w:szCs w:val="18"/>
                <w:color w:val="auto"/>
              </w:rPr>
              <w:t>62.65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4676</w:t>
            </w:r>
          </w:p>
        </w:tc>
        <w:tc>
          <w:tcPr>
            <w:tcW w:w="44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SEQ 2004-3</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4675</w:t>
            </w:r>
          </w:p>
        </w:tc>
        <w:tc>
          <w:tcPr>
            <w:tcW w:w="4420" w:type="dxa"/>
            <w:vAlign w:val="bottom"/>
          </w:tcPr>
          <w:p>
            <w:pPr>
              <w:ind w:left="160"/>
              <w:spacing w:after="0"/>
              <w:rPr>
                <w:sz w:val="20"/>
                <w:szCs w:val="20"/>
                <w:color w:val="auto"/>
              </w:rPr>
            </w:pPr>
            <w:r>
              <w:rPr>
                <w:rFonts w:ascii="Arial" w:cs="Arial" w:eastAsia="Arial" w:hAnsi="Arial"/>
                <w:sz w:val="18"/>
                <w:szCs w:val="18"/>
                <w:color w:val="auto"/>
              </w:rPr>
              <w:t>SEQ 2004-12</w:t>
            </w:r>
          </w:p>
        </w:tc>
        <w:tc>
          <w:tcPr>
            <w:tcW w:w="2940" w:type="dxa"/>
            <w:vAlign w:val="bottom"/>
          </w:tcPr>
          <w:p>
            <w:pPr>
              <w:jc w:val="right"/>
              <w:spacing w:after="0"/>
              <w:rPr>
                <w:sz w:val="20"/>
                <w:szCs w:val="20"/>
                <w:color w:val="auto"/>
              </w:rPr>
            </w:pPr>
            <w:r>
              <w:rPr>
                <w:rFonts w:ascii="Arial" w:cs="Arial" w:eastAsia="Arial" w:hAnsi="Arial"/>
                <w:sz w:val="18"/>
                <w:szCs w:val="18"/>
                <w:color w:val="auto"/>
              </w:rPr>
              <w:t>68.35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4673</w:t>
            </w:r>
          </w:p>
        </w:tc>
        <w:tc>
          <w:tcPr>
            <w:tcW w:w="44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SEQ 2004-10</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63.12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SASCO 2007-GEL2</w:t>
            </w: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44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SASCO 2006-GEL3</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5070</w:t>
            </w:r>
          </w:p>
        </w:tc>
        <w:tc>
          <w:tcPr>
            <w:tcW w:w="4420" w:type="dxa"/>
            <w:vAlign w:val="bottom"/>
          </w:tcPr>
          <w:p>
            <w:pPr>
              <w:ind w:left="160"/>
              <w:spacing w:after="0"/>
              <w:rPr>
                <w:sz w:val="20"/>
                <w:szCs w:val="20"/>
                <w:color w:val="auto"/>
              </w:rPr>
            </w:pPr>
            <w:r>
              <w:rPr>
                <w:rFonts w:ascii="Arial" w:cs="Arial" w:eastAsia="Arial" w:hAnsi="Arial"/>
                <w:sz w:val="18"/>
                <w:szCs w:val="18"/>
                <w:color w:val="auto"/>
              </w:rPr>
              <w:t>RAST 2005-A6CB</w:t>
            </w:r>
          </w:p>
        </w:tc>
        <w:tc>
          <w:tcPr>
            <w:tcW w:w="2940" w:type="dxa"/>
            <w:vAlign w:val="bottom"/>
          </w:tcPr>
          <w:p>
            <w:pPr>
              <w:jc w:val="right"/>
              <w:spacing w:after="0"/>
              <w:rPr>
                <w:sz w:val="20"/>
                <w:szCs w:val="20"/>
                <w:color w:val="auto"/>
              </w:rPr>
            </w:pPr>
            <w:r>
              <w:rPr>
                <w:rFonts w:ascii="Arial" w:cs="Arial" w:eastAsia="Arial" w:hAnsi="Arial"/>
                <w:sz w:val="18"/>
                <w:szCs w:val="18"/>
                <w:color w:val="auto"/>
              </w:rPr>
              <w:t>52.59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4788</w:t>
            </w:r>
          </w:p>
        </w:tc>
        <w:tc>
          <w:tcPr>
            <w:tcW w:w="44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ONEWEST BANK FSB</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26.03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4748</w:t>
            </w:r>
          </w:p>
        </w:tc>
        <w:tc>
          <w:tcPr>
            <w:tcW w:w="4420" w:type="dxa"/>
            <w:vAlign w:val="bottom"/>
          </w:tcPr>
          <w:p>
            <w:pPr>
              <w:ind w:left="160"/>
              <w:spacing w:after="0"/>
              <w:rPr>
                <w:sz w:val="20"/>
                <w:szCs w:val="20"/>
                <w:color w:val="auto"/>
              </w:rPr>
            </w:pPr>
            <w:r>
              <w:rPr>
                <w:rFonts w:ascii="Arial" w:cs="Arial" w:eastAsia="Arial" w:hAnsi="Arial"/>
                <w:sz w:val="18"/>
                <w:szCs w:val="18"/>
                <w:color w:val="auto"/>
              </w:rPr>
              <w:t>NCHELT 2004-A</w:t>
            </w:r>
          </w:p>
        </w:tc>
        <w:tc>
          <w:tcPr>
            <w:tcW w:w="2940" w:type="dxa"/>
            <w:vAlign w:val="bottom"/>
          </w:tcPr>
          <w:p>
            <w:pPr>
              <w:jc w:val="right"/>
              <w:spacing w:after="0"/>
              <w:rPr>
                <w:sz w:val="20"/>
                <w:szCs w:val="20"/>
                <w:color w:val="auto"/>
              </w:rPr>
            </w:pPr>
            <w:r>
              <w:rPr>
                <w:rFonts w:ascii="Arial" w:cs="Arial" w:eastAsia="Arial" w:hAnsi="Arial"/>
                <w:sz w:val="18"/>
                <w:szCs w:val="18"/>
                <w:color w:val="auto"/>
              </w:rPr>
              <w:t>66.73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5218</w:t>
            </w:r>
          </w:p>
        </w:tc>
        <w:tc>
          <w:tcPr>
            <w:tcW w:w="44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NAAC 2007-2</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4746</w:t>
            </w:r>
          </w:p>
        </w:tc>
        <w:tc>
          <w:tcPr>
            <w:tcW w:w="4420" w:type="dxa"/>
            <w:vAlign w:val="bottom"/>
          </w:tcPr>
          <w:p>
            <w:pPr>
              <w:ind w:left="160"/>
              <w:spacing w:after="0"/>
              <w:rPr>
                <w:sz w:val="20"/>
                <w:szCs w:val="20"/>
                <w:color w:val="auto"/>
              </w:rPr>
            </w:pPr>
            <w:r>
              <w:rPr>
                <w:rFonts w:ascii="Arial" w:cs="Arial" w:eastAsia="Arial" w:hAnsi="Arial"/>
                <w:sz w:val="18"/>
                <w:szCs w:val="18"/>
                <w:color w:val="auto"/>
              </w:rPr>
              <w:t>NAAC 2005-AP1</w:t>
            </w:r>
          </w:p>
        </w:tc>
        <w:tc>
          <w:tcPr>
            <w:tcW w:w="2940" w:type="dxa"/>
            <w:vAlign w:val="bottom"/>
          </w:tcPr>
          <w:p>
            <w:pPr>
              <w:jc w:val="right"/>
              <w:spacing w:after="0"/>
              <w:rPr>
                <w:sz w:val="20"/>
                <w:szCs w:val="20"/>
                <w:color w:val="auto"/>
              </w:rPr>
            </w:pPr>
            <w:r>
              <w:rPr>
                <w:rFonts w:ascii="Arial" w:cs="Arial" w:eastAsia="Arial" w:hAnsi="Arial"/>
                <w:sz w:val="18"/>
                <w:szCs w:val="18"/>
                <w:color w:val="auto"/>
              </w:rPr>
              <w:t>51.17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5124</w:t>
            </w:r>
          </w:p>
        </w:tc>
        <w:tc>
          <w:tcPr>
            <w:tcW w:w="44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NAAC 2004-AP2</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5117</w:t>
            </w:r>
          </w:p>
        </w:tc>
        <w:tc>
          <w:tcPr>
            <w:tcW w:w="4420" w:type="dxa"/>
            <w:vAlign w:val="bottom"/>
          </w:tcPr>
          <w:p>
            <w:pPr>
              <w:ind w:left="160"/>
              <w:spacing w:after="0"/>
              <w:rPr>
                <w:sz w:val="20"/>
                <w:szCs w:val="20"/>
                <w:color w:val="auto"/>
              </w:rPr>
            </w:pPr>
            <w:r>
              <w:rPr>
                <w:rFonts w:ascii="Arial" w:cs="Arial" w:eastAsia="Arial" w:hAnsi="Arial"/>
                <w:sz w:val="18"/>
                <w:szCs w:val="18"/>
                <w:color w:val="auto"/>
              </w:rPr>
              <w:t>NAAC 2004-AP1</w:t>
            </w: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5180</w:t>
            </w:r>
          </w:p>
        </w:tc>
        <w:tc>
          <w:tcPr>
            <w:tcW w:w="44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MSLT 2006-2</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5192</w:t>
            </w:r>
          </w:p>
        </w:tc>
        <w:tc>
          <w:tcPr>
            <w:tcW w:w="4420" w:type="dxa"/>
            <w:vAlign w:val="bottom"/>
          </w:tcPr>
          <w:p>
            <w:pPr>
              <w:ind w:left="160"/>
              <w:spacing w:after="0"/>
              <w:rPr>
                <w:sz w:val="20"/>
                <w:szCs w:val="20"/>
                <w:color w:val="auto"/>
              </w:rPr>
            </w:pPr>
            <w:r>
              <w:rPr>
                <w:rFonts w:ascii="Arial" w:cs="Arial" w:eastAsia="Arial" w:hAnsi="Arial"/>
                <w:sz w:val="18"/>
                <w:szCs w:val="18"/>
                <w:color w:val="auto"/>
              </w:rPr>
              <w:t>MSLT 2006-03</w:t>
            </w: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5164</w:t>
            </w:r>
          </w:p>
        </w:tc>
        <w:tc>
          <w:tcPr>
            <w:tcW w:w="44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MSLT 2005-03</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5146</w:t>
            </w:r>
          </w:p>
        </w:tc>
        <w:tc>
          <w:tcPr>
            <w:tcW w:w="4420" w:type="dxa"/>
            <w:vAlign w:val="bottom"/>
          </w:tcPr>
          <w:p>
            <w:pPr>
              <w:ind w:left="160"/>
              <w:spacing w:after="0"/>
              <w:rPr>
                <w:sz w:val="20"/>
                <w:szCs w:val="20"/>
                <w:color w:val="auto"/>
              </w:rPr>
            </w:pPr>
            <w:r>
              <w:rPr>
                <w:rFonts w:ascii="Arial" w:cs="Arial" w:eastAsia="Arial" w:hAnsi="Arial"/>
                <w:sz w:val="18"/>
                <w:szCs w:val="18"/>
                <w:color w:val="auto"/>
              </w:rPr>
              <w:t>MSLT 2005-01</w:t>
            </w: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5127</w:t>
            </w:r>
          </w:p>
        </w:tc>
        <w:tc>
          <w:tcPr>
            <w:tcW w:w="44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MSLT 2004-1</w:t>
            </w:r>
          </w:p>
        </w:tc>
        <w:tc>
          <w:tcPr>
            <w:tcW w:w="29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4743</w:t>
            </w:r>
          </w:p>
        </w:tc>
        <w:tc>
          <w:tcPr>
            <w:tcW w:w="42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MLMI 2005-A6</w:t>
            </w:r>
          </w:p>
        </w:tc>
        <w:tc>
          <w:tcPr>
            <w:tcW w:w="3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70.37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5189</w:t>
            </w:r>
          </w:p>
        </w:tc>
        <w:tc>
          <w:tcPr>
            <w:tcW w:w="4220" w:type="dxa"/>
            <w:vAlign w:val="bottom"/>
          </w:tcPr>
          <w:p>
            <w:pPr>
              <w:ind w:left="160"/>
              <w:spacing w:after="0"/>
              <w:rPr>
                <w:sz w:val="20"/>
                <w:szCs w:val="20"/>
                <w:color w:val="auto"/>
              </w:rPr>
            </w:pPr>
            <w:r>
              <w:rPr>
                <w:rFonts w:ascii="Arial" w:cs="Arial" w:eastAsia="Arial" w:hAnsi="Arial"/>
                <w:sz w:val="18"/>
                <w:szCs w:val="18"/>
                <w:color w:val="auto"/>
              </w:rPr>
              <w:t>MARM 2006-OA2</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4714</w:t>
            </w:r>
          </w:p>
        </w:tc>
        <w:tc>
          <w:tcPr>
            <w:tcW w:w="42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MARM 2005-1</w:t>
            </w:r>
          </w:p>
        </w:tc>
        <w:tc>
          <w:tcPr>
            <w:tcW w:w="3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71.82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4698</w:t>
            </w:r>
          </w:p>
        </w:tc>
        <w:tc>
          <w:tcPr>
            <w:tcW w:w="4220" w:type="dxa"/>
            <w:vAlign w:val="bottom"/>
          </w:tcPr>
          <w:p>
            <w:pPr>
              <w:ind w:left="160"/>
              <w:spacing w:after="0"/>
              <w:rPr>
                <w:sz w:val="20"/>
                <w:szCs w:val="20"/>
                <w:color w:val="auto"/>
              </w:rPr>
            </w:pPr>
            <w:r>
              <w:rPr>
                <w:rFonts w:ascii="Arial" w:cs="Arial" w:eastAsia="Arial" w:hAnsi="Arial"/>
                <w:sz w:val="18"/>
                <w:szCs w:val="18"/>
                <w:color w:val="auto"/>
              </w:rPr>
              <w:t>MANA 2007-OAR3</w:t>
            </w:r>
          </w:p>
        </w:tc>
        <w:tc>
          <w:tcPr>
            <w:tcW w:w="3060" w:type="dxa"/>
            <w:vAlign w:val="bottom"/>
          </w:tcPr>
          <w:p>
            <w:pPr>
              <w:jc w:val="right"/>
              <w:spacing w:after="0"/>
              <w:rPr>
                <w:sz w:val="20"/>
                <w:szCs w:val="20"/>
                <w:color w:val="auto"/>
              </w:rPr>
            </w:pPr>
            <w:r>
              <w:rPr>
                <w:rFonts w:ascii="Arial" w:cs="Arial" w:eastAsia="Arial" w:hAnsi="Arial"/>
                <w:sz w:val="18"/>
                <w:szCs w:val="18"/>
                <w:color w:val="auto"/>
              </w:rPr>
              <w:t>59.48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2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LXS 2006-GP4</w:t>
            </w:r>
          </w:p>
        </w:tc>
        <w:tc>
          <w:tcPr>
            <w:tcW w:w="3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LXS 2006-GP3</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2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LXS 2006-GP2</w:t>
            </w:r>
          </w:p>
        </w:tc>
        <w:tc>
          <w:tcPr>
            <w:tcW w:w="3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LXS 2006-GP1</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2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LXS 2006-4N</w:t>
            </w:r>
          </w:p>
        </w:tc>
        <w:tc>
          <w:tcPr>
            <w:tcW w:w="3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10909</w:t>
            </w:r>
          </w:p>
        </w:tc>
        <w:tc>
          <w:tcPr>
            <w:tcW w:w="4220" w:type="dxa"/>
            <w:vAlign w:val="bottom"/>
          </w:tcPr>
          <w:p>
            <w:pPr>
              <w:ind w:left="160"/>
              <w:spacing w:after="0"/>
              <w:rPr>
                <w:sz w:val="20"/>
                <w:szCs w:val="20"/>
                <w:color w:val="auto"/>
              </w:rPr>
            </w:pPr>
            <w:r>
              <w:rPr>
                <w:rFonts w:ascii="Arial" w:cs="Arial" w:eastAsia="Arial" w:hAnsi="Arial"/>
                <w:sz w:val="18"/>
                <w:szCs w:val="18"/>
                <w:color w:val="auto"/>
              </w:rPr>
              <w:t>LXS 2006-12N</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10908</w:t>
            </w:r>
          </w:p>
        </w:tc>
        <w:tc>
          <w:tcPr>
            <w:tcW w:w="42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LXS 2006-10N</w:t>
            </w:r>
          </w:p>
        </w:tc>
        <w:tc>
          <w:tcPr>
            <w:tcW w:w="3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5175</w:t>
            </w:r>
          </w:p>
        </w:tc>
        <w:tc>
          <w:tcPr>
            <w:tcW w:w="4220" w:type="dxa"/>
            <w:vAlign w:val="bottom"/>
          </w:tcPr>
          <w:p>
            <w:pPr>
              <w:ind w:left="160"/>
              <w:spacing w:after="0"/>
              <w:rPr>
                <w:sz w:val="20"/>
                <w:szCs w:val="20"/>
                <w:color w:val="auto"/>
              </w:rPr>
            </w:pPr>
            <w:r>
              <w:rPr>
                <w:rFonts w:ascii="Arial" w:cs="Arial" w:eastAsia="Arial" w:hAnsi="Arial"/>
                <w:sz w:val="18"/>
                <w:szCs w:val="18"/>
                <w:color w:val="auto"/>
              </w:rPr>
              <w:t>LUM 2006-4</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5260</w:t>
            </w:r>
          </w:p>
        </w:tc>
        <w:tc>
          <w:tcPr>
            <w:tcW w:w="42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ISAC 2007-3</w:t>
            </w:r>
          </w:p>
        </w:tc>
        <w:tc>
          <w:tcPr>
            <w:tcW w:w="3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35.93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4527</w:t>
            </w:r>
          </w:p>
        </w:tc>
        <w:tc>
          <w:tcPr>
            <w:tcW w:w="4220" w:type="dxa"/>
            <w:vAlign w:val="bottom"/>
          </w:tcPr>
          <w:p>
            <w:pPr>
              <w:ind w:left="160"/>
              <w:spacing w:after="0"/>
              <w:rPr>
                <w:sz w:val="20"/>
                <w:szCs w:val="20"/>
                <w:color w:val="auto"/>
              </w:rPr>
            </w:pPr>
            <w:r>
              <w:rPr>
                <w:rFonts w:ascii="Arial" w:cs="Arial" w:eastAsia="Arial" w:hAnsi="Arial"/>
                <w:sz w:val="18"/>
                <w:szCs w:val="18"/>
                <w:color w:val="auto"/>
              </w:rPr>
              <w:t>ISAC 2006-5</w:t>
            </w:r>
          </w:p>
        </w:tc>
        <w:tc>
          <w:tcPr>
            <w:tcW w:w="3060" w:type="dxa"/>
            <w:vAlign w:val="bottom"/>
          </w:tcPr>
          <w:p>
            <w:pPr>
              <w:jc w:val="right"/>
              <w:spacing w:after="0"/>
              <w:rPr>
                <w:sz w:val="20"/>
                <w:szCs w:val="20"/>
                <w:color w:val="auto"/>
              </w:rPr>
            </w:pPr>
            <w:r>
              <w:rPr>
                <w:rFonts w:ascii="Arial" w:cs="Arial" w:eastAsia="Arial" w:hAnsi="Arial"/>
                <w:sz w:val="18"/>
                <w:szCs w:val="18"/>
                <w:color w:val="auto"/>
              </w:rPr>
              <w:t>21.49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42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ISAC 2006-4</w:t>
            </w:r>
          </w:p>
        </w:tc>
        <w:tc>
          <w:tcPr>
            <w:tcW w:w="3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4525</w:t>
            </w:r>
          </w:p>
        </w:tc>
        <w:tc>
          <w:tcPr>
            <w:tcW w:w="4220" w:type="dxa"/>
            <w:vAlign w:val="bottom"/>
          </w:tcPr>
          <w:p>
            <w:pPr>
              <w:ind w:left="160"/>
              <w:spacing w:after="0"/>
              <w:rPr>
                <w:sz w:val="20"/>
                <w:szCs w:val="20"/>
                <w:color w:val="auto"/>
              </w:rPr>
            </w:pPr>
            <w:r>
              <w:rPr>
                <w:rFonts w:ascii="Arial" w:cs="Arial" w:eastAsia="Arial" w:hAnsi="Arial"/>
                <w:sz w:val="18"/>
                <w:szCs w:val="18"/>
                <w:color w:val="auto"/>
              </w:rPr>
              <w:t>ISAC 2006-2</w:t>
            </w:r>
          </w:p>
        </w:tc>
        <w:tc>
          <w:tcPr>
            <w:tcW w:w="3060" w:type="dxa"/>
            <w:vAlign w:val="bottom"/>
          </w:tcPr>
          <w:p>
            <w:pPr>
              <w:jc w:val="right"/>
              <w:spacing w:after="0"/>
              <w:rPr>
                <w:sz w:val="20"/>
                <w:szCs w:val="20"/>
                <w:color w:val="auto"/>
              </w:rPr>
            </w:pPr>
            <w:r>
              <w:rPr>
                <w:rFonts w:ascii="Arial" w:cs="Arial" w:eastAsia="Arial" w:hAnsi="Arial"/>
                <w:sz w:val="18"/>
                <w:szCs w:val="18"/>
                <w:color w:val="auto"/>
              </w:rPr>
              <w:t>69.01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4524</w:t>
            </w:r>
          </w:p>
        </w:tc>
        <w:tc>
          <w:tcPr>
            <w:tcW w:w="42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ISAC 2006-1</w:t>
            </w:r>
          </w:p>
        </w:tc>
        <w:tc>
          <w:tcPr>
            <w:tcW w:w="3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52.68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4528</w:t>
            </w:r>
          </w:p>
        </w:tc>
        <w:tc>
          <w:tcPr>
            <w:tcW w:w="4220" w:type="dxa"/>
            <w:vAlign w:val="bottom"/>
          </w:tcPr>
          <w:p>
            <w:pPr>
              <w:ind w:left="160"/>
              <w:spacing w:after="0"/>
              <w:rPr>
                <w:sz w:val="20"/>
                <w:szCs w:val="20"/>
                <w:color w:val="auto"/>
              </w:rPr>
            </w:pPr>
            <w:r>
              <w:rPr>
                <w:rFonts w:ascii="Arial" w:cs="Arial" w:eastAsia="Arial" w:hAnsi="Arial"/>
                <w:sz w:val="18"/>
                <w:szCs w:val="18"/>
                <w:color w:val="auto"/>
              </w:rPr>
              <w:t>ISAC 2005-1</w:t>
            </w:r>
          </w:p>
        </w:tc>
        <w:tc>
          <w:tcPr>
            <w:tcW w:w="3060" w:type="dxa"/>
            <w:vAlign w:val="bottom"/>
          </w:tcPr>
          <w:p>
            <w:pPr>
              <w:jc w:val="right"/>
              <w:spacing w:after="0"/>
              <w:rPr>
                <w:sz w:val="20"/>
                <w:szCs w:val="20"/>
                <w:color w:val="auto"/>
              </w:rPr>
            </w:pPr>
            <w:r>
              <w:rPr>
                <w:rFonts w:ascii="Arial" w:cs="Arial" w:eastAsia="Arial" w:hAnsi="Arial"/>
                <w:sz w:val="18"/>
                <w:szCs w:val="18"/>
                <w:color w:val="auto"/>
              </w:rPr>
              <w:t>69.17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4523</w:t>
            </w:r>
          </w:p>
        </w:tc>
        <w:tc>
          <w:tcPr>
            <w:tcW w:w="42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ISAC 2004-4</w:t>
            </w:r>
          </w:p>
        </w:tc>
        <w:tc>
          <w:tcPr>
            <w:tcW w:w="3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71.43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4522</w:t>
            </w:r>
          </w:p>
        </w:tc>
        <w:tc>
          <w:tcPr>
            <w:tcW w:w="4220" w:type="dxa"/>
            <w:vAlign w:val="bottom"/>
          </w:tcPr>
          <w:p>
            <w:pPr>
              <w:ind w:left="160"/>
              <w:spacing w:after="0"/>
              <w:rPr>
                <w:sz w:val="20"/>
                <w:szCs w:val="20"/>
                <w:color w:val="auto"/>
              </w:rPr>
            </w:pPr>
            <w:r>
              <w:rPr>
                <w:rFonts w:ascii="Arial" w:cs="Arial" w:eastAsia="Arial" w:hAnsi="Arial"/>
                <w:sz w:val="18"/>
                <w:szCs w:val="18"/>
                <w:color w:val="auto"/>
              </w:rPr>
              <w:t>ISAC 2004-2</w:t>
            </w:r>
          </w:p>
        </w:tc>
        <w:tc>
          <w:tcPr>
            <w:tcW w:w="3060" w:type="dxa"/>
            <w:vAlign w:val="bottom"/>
          </w:tcPr>
          <w:p>
            <w:pPr>
              <w:jc w:val="right"/>
              <w:spacing w:after="0"/>
              <w:rPr>
                <w:sz w:val="20"/>
                <w:szCs w:val="20"/>
                <w:color w:val="auto"/>
              </w:rPr>
            </w:pPr>
            <w:r>
              <w:rPr>
                <w:rFonts w:ascii="Arial" w:cs="Arial" w:eastAsia="Arial" w:hAnsi="Arial"/>
                <w:sz w:val="18"/>
                <w:szCs w:val="18"/>
                <w:color w:val="auto"/>
              </w:rPr>
              <w:t>47.24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4521</w:t>
            </w:r>
          </w:p>
        </w:tc>
        <w:tc>
          <w:tcPr>
            <w:tcW w:w="42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ISAC 2004-1</w:t>
            </w:r>
          </w:p>
        </w:tc>
        <w:tc>
          <w:tcPr>
            <w:tcW w:w="3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42.65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4520</w:t>
            </w:r>
          </w:p>
        </w:tc>
        <w:tc>
          <w:tcPr>
            <w:tcW w:w="4220" w:type="dxa"/>
            <w:vAlign w:val="bottom"/>
          </w:tcPr>
          <w:p>
            <w:pPr>
              <w:ind w:left="160"/>
              <w:spacing w:after="0"/>
              <w:rPr>
                <w:sz w:val="20"/>
                <w:szCs w:val="20"/>
                <w:color w:val="auto"/>
              </w:rPr>
            </w:pPr>
            <w:r>
              <w:rPr>
                <w:rFonts w:ascii="Arial" w:cs="Arial" w:eastAsia="Arial" w:hAnsi="Arial"/>
                <w:sz w:val="18"/>
                <w:szCs w:val="18"/>
                <w:color w:val="auto"/>
              </w:rPr>
              <w:t>ISAC 2003-3</w:t>
            </w:r>
          </w:p>
        </w:tc>
        <w:tc>
          <w:tcPr>
            <w:tcW w:w="3060" w:type="dxa"/>
            <w:vAlign w:val="bottom"/>
          </w:tcPr>
          <w:p>
            <w:pPr>
              <w:jc w:val="right"/>
              <w:spacing w:after="0"/>
              <w:rPr>
                <w:sz w:val="20"/>
                <w:szCs w:val="20"/>
                <w:color w:val="auto"/>
              </w:rPr>
            </w:pPr>
            <w:r>
              <w:rPr>
                <w:rFonts w:ascii="Arial" w:cs="Arial" w:eastAsia="Arial" w:hAnsi="Arial"/>
                <w:sz w:val="18"/>
                <w:szCs w:val="18"/>
                <w:color w:val="auto"/>
              </w:rPr>
              <w:t>47.54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4519</w:t>
            </w:r>
          </w:p>
        </w:tc>
        <w:tc>
          <w:tcPr>
            <w:tcW w:w="422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ISAC 2003-1</w:t>
            </w:r>
          </w:p>
        </w:tc>
        <w:tc>
          <w:tcPr>
            <w:tcW w:w="30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49.40</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4518</w:t>
            </w:r>
          </w:p>
        </w:tc>
        <w:tc>
          <w:tcPr>
            <w:tcW w:w="42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ISAC 2002-3</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98.63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4517</w:t>
            </w:r>
          </w:p>
        </w:tc>
        <w:tc>
          <w:tcPr>
            <w:tcW w:w="4200" w:type="dxa"/>
            <w:vAlign w:val="bottom"/>
          </w:tcPr>
          <w:p>
            <w:pPr>
              <w:ind w:left="160"/>
              <w:spacing w:after="0"/>
              <w:rPr>
                <w:sz w:val="20"/>
                <w:szCs w:val="20"/>
                <w:color w:val="auto"/>
              </w:rPr>
            </w:pPr>
            <w:r>
              <w:rPr>
                <w:rFonts w:ascii="Arial" w:cs="Arial" w:eastAsia="Arial" w:hAnsi="Arial"/>
                <w:sz w:val="18"/>
                <w:szCs w:val="18"/>
                <w:color w:val="auto"/>
              </w:rPr>
              <w:t>ISAC 2002-2</w:t>
            </w:r>
          </w:p>
        </w:tc>
        <w:tc>
          <w:tcPr>
            <w:tcW w:w="3160" w:type="dxa"/>
            <w:vAlign w:val="bottom"/>
          </w:tcPr>
          <w:p>
            <w:pPr>
              <w:jc w:val="right"/>
              <w:spacing w:after="0"/>
              <w:rPr>
                <w:sz w:val="20"/>
                <w:szCs w:val="20"/>
                <w:color w:val="auto"/>
              </w:rPr>
            </w:pPr>
            <w:r>
              <w:rPr>
                <w:rFonts w:ascii="Arial" w:cs="Arial" w:eastAsia="Arial" w:hAnsi="Arial"/>
                <w:sz w:val="18"/>
                <w:szCs w:val="18"/>
                <w:color w:val="auto"/>
              </w:rPr>
              <w:t>41.68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42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ICMB 2007-A</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52.54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4515</w:t>
            </w:r>
          </w:p>
        </w:tc>
        <w:tc>
          <w:tcPr>
            <w:tcW w:w="4200" w:type="dxa"/>
            <w:vAlign w:val="bottom"/>
          </w:tcPr>
          <w:p>
            <w:pPr>
              <w:ind w:left="160"/>
              <w:spacing w:after="0"/>
              <w:rPr>
                <w:sz w:val="20"/>
                <w:szCs w:val="20"/>
                <w:color w:val="auto"/>
              </w:rPr>
            </w:pPr>
            <w:r>
              <w:rPr>
                <w:rFonts w:ascii="Arial" w:cs="Arial" w:eastAsia="Arial" w:hAnsi="Arial"/>
                <w:sz w:val="18"/>
                <w:szCs w:val="18"/>
                <w:color w:val="auto"/>
              </w:rPr>
              <w:t>ICMB 2005-8</w:t>
            </w:r>
          </w:p>
        </w:tc>
        <w:tc>
          <w:tcPr>
            <w:tcW w:w="3160" w:type="dxa"/>
            <w:vAlign w:val="bottom"/>
          </w:tcPr>
          <w:p>
            <w:pPr>
              <w:jc w:val="right"/>
              <w:spacing w:after="0"/>
              <w:rPr>
                <w:sz w:val="20"/>
                <w:szCs w:val="20"/>
                <w:color w:val="auto"/>
              </w:rPr>
            </w:pPr>
            <w:r>
              <w:rPr>
                <w:rFonts w:ascii="Arial" w:cs="Arial" w:eastAsia="Arial" w:hAnsi="Arial"/>
                <w:sz w:val="18"/>
                <w:szCs w:val="18"/>
                <w:color w:val="auto"/>
              </w:rPr>
              <w:t>68.69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4514</w:t>
            </w:r>
          </w:p>
        </w:tc>
        <w:tc>
          <w:tcPr>
            <w:tcW w:w="42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ICMB 2005-4</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66.06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4513</w:t>
            </w:r>
          </w:p>
        </w:tc>
        <w:tc>
          <w:tcPr>
            <w:tcW w:w="4200" w:type="dxa"/>
            <w:vAlign w:val="bottom"/>
          </w:tcPr>
          <w:p>
            <w:pPr>
              <w:ind w:left="160"/>
              <w:spacing w:after="0"/>
              <w:rPr>
                <w:sz w:val="20"/>
                <w:szCs w:val="20"/>
                <w:color w:val="auto"/>
              </w:rPr>
            </w:pPr>
            <w:r>
              <w:rPr>
                <w:rFonts w:ascii="Arial" w:cs="Arial" w:eastAsia="Arial" w:hAnsi="Arial"/>
                <w:sz w:val="18"/>
                <w:szCs w:val="18"/>
                <w:color w:val="auto"/>
              </w:rPr>
              <w:t>ICMB 2005-2</w:t>
            </w:r>
          </w:p>
        </w:tc>
        <w:tc>
          <w:tcPr>
            <w:tcW w:w="3160" w:type="dxa"/>
            <w:vAlign w:val="bottom"/>
          </w:tcPr>
          <w:p>
            <w:pPr>
              <w:jc w:val="right"/>
              <w:spacing w:after="0"/>
              <w:rPr>
                <w:sz w:val="20"/>
                <w:szCs w:val="20"/>
                <w:color w:val="auto"/>
              </w:rPr>
            </w:pPr>
            <w:r>
              <w:rPr>
                <w:rFonts w:ascii="Arial" w:cs="Arial" w:eastAsia="Arial" w:hAnsi="Arial"/>
                <w:sz w:val="18"/>
                <w:szCs w:val="18"/>
                <w:color w:val="auto"/>
              </w:rPr>
              <w:t>65.27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4512</w:t>
            </w:r>
          </w:p>
        </w:tc>
        <w:tc>
          <w:tcPr>
            <w:tcW w:w="42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ICMB 2005-1</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71.62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4511</w:t>
            </w:r>
          </w:p>
        </w:tc>
        <w:tc>
          <w:tcPr>
            <w:tcW w:w="4200" w:type="dxa"/>
            <w:vAlign w:val="bottom"/>
          </w:tcPr>
          <w:p>
            <w:pPr>
              <w:ind w:left="160"/>
              <w:spacing w:after="0"/>
              <w:rPr>
                <w:sz w:val="20"/>
                <w:szCs w:val="20"/>
                <w:color w:val="auto"/>
              </w:rPr>
            </w:pPr>
            <w:r>
              <w:rPr>
                <w:rFonts w:ascii="Arial" w:cs="Arial" w:eastAsia="Arial" w:hAnsi="Arial"/>
                <w:sz w:val="18"/>
                <w:szCs w:val="18"/>
                <w:color w:val="auto"/>
              </w:rPr>
              <w:t>ICMB 2004-9</w:t>
            </w:r>
          </w:p>
        </w:tc>
        <w:tc>
          <w:tcPr>
            <w:tcW w:w="3160" w:type="dxa"/>
            <w:vAlign w:val="bottom"/>
          </w:tcPr>
          <w:p>
            <w:pPr>
              <w:jc w:val="right"/>
              <w:spacing w:after="0"/>
              <w:rPr>
                <w:sz w:val="20"/>
                <w:szCs w:val="20"/>
                <w:color w:val="auto"/>
              </w:rPr>
            </w:pPr>
            <w:r>
              <w:rPr>
                <w:rFonts w:ascii="Arial" w:cs="Arial" w:eastAsia="Arial" w:hAnsi="Arial"/>
                <w:sz w:val="18"/>
                <w:szCs w:val="18"/>
                <w:color w:val="auto"/>
              </w:rPr>
              <w:t>54.18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4510</w:t>
            </w:r>
          </w:p>
        </w:tc>
        <w:tc>
          <w:tcPr>
            <w:tcW w:w="42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ICMB 2004-8</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69.97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4509</w:t>
            </w:r>
          </w:p>
        </w:tc>
        <w:tc>
          <w:tcPr>
            <w:tcW w:w="4200" w:type="dxa"/>
            <w:vAlign w:val="bottom"/>
          </w:tcPr>
          <w:p>
            <w:pPr>
              <w:ind w:left="160"/>
              <w:spacing w:after="0"/>
              <w:rPr>
                <w:sz w:val="20"/>
                <w:szCs w:val="20"/>
                <w:color w:val="auto"/>
              </w:rPr>
            </w:pPr>
            <w:r>
              <w:rPr>
                <w:rFonts w:ascii="Arial" w:cs="Arial" w:eastAsia="Arial" w:hAnsi="Arial"/>
                <w:sz w:val="18"/>
                <w:szCs w:val="18"/>
                <w:color w:val="auto"/>
              </w:rPr>
              <w:t>ICMB 2004-7</w:t>
            </w:r>
          </w:p>
        </w:tc>
        <w:tc>
          <w:tcPr>
            <w:tcW w:w="3160" w:type="dxa"/>
            <w:vAlign w:val="bottom"/>
          </w:tcPr>
          <w:p>
            <w:pPr>
              <w:jc w:val="right"/>
              <w:spacing w:after="0"/>
              <w:rPr>
                <w:sz w:val="20"/>
                <w:szCs w:val="20"/>
                <w:color w:val="auto"/>
              </w:rPr>
            </w:pPr>
            <w:r>
              <w:rPr>
                <w:rFonts w:ascii="Arial" w:cs="Arial" w:eastAsia="Arial" w:hAnsi="Arial"/>
                <w:sz w:val="18"/>
                <w:szCs w:val="18"/>
                <w:color w:val="auto"/>
              </w:rPr>
              <w:t>72.28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4508</w:t>
            </w:r>
          </w:p>
        </w:tc>
        <w:tc>
          <w:tcPr>
            <w:tcW w:w="42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ICMB 2004-5</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54.82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4507</w:t>
            </w:r>
          </w:p>
        </w:tc>
        <w:tc>
          <w:tcPr>
            <w:tcW w:w="4200" w:type="dxa"/>
            <w:vAlign w:val="bottom"/>
          </w:tcPr>
          <w:p>
            <w:pPr>
              <w:ind w:left="160"/>
              <w:spacing w:after="0"/>
              <w:rPr>
                <w:sz w:val="20"/>
                <w:szCs w:val="20"/>
                <w:color w:val="auto"/>
              </w:rPr>
            </w:pPr>
            <w:r>
              <w:rPr>
                <w:rFonts w:ascii="Arial" w:cs="Arial" w:eastAsia="Arial" w:hAnsi="Arial"/>
                <w:sz w:val="18"/>
                <w:szCs w:val="18"/>
                <w:color w:val="auto"/>
              </w:rPr>
              <w:t>ICMB 2004-4</w:t>
            </w:r>
          </w:p>
        </w:tc>
        <w:tc>
          <w:tcPr>
            <w:tcW w:w="3160" w:type="dxa"/>
            <w:vAlign w:val="bottom"/>
          </w:tcPr>
          <w:p>
            <w:pPr>
              <w:jc w:val="right"/>
              <w:spacing w:after="0"/>
              <w:rPr>
                <w:sz w:val="20"/>
                <w:szCs w:val="20"/>
                <w:color w:val="auto"/>
              </w:rPr>
            </w:pPr>
            <w:r>
              <w:rPr>
                <w:rFonts w:ascii="Arial" w:cs="Arial" w:eastAsia="Arial" w:hAnsi="Arial"/>
                <w:sz w:val="18"/>
                <w:szCs w:val="18"/>
                <w:color w:val="auto"/>
              </w:rPr>
              <w:t>50.77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4902</w:t>
            </w:r>
          </w:p>
        </w:tc>
        <w:tc>
          <w:tcPr>
            <w:tcW w:w="42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ICMB 2004-11</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46.48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4506</w:t>
            </w:r>
          </w:p>
        </w:tc>
        <w:tc>
          <w:tcPr>
            <w:tcW w:w="4200" w:type="dxa"/>
            <w:vAlign w:val="bottom"/>
          </w:tcPr>
          <w:p>
            <w:pPr>
              <w:ind w:left="160"/>
              <w:spacing w:after="0"/>
              <w:rPr>
                <w:sz w:val="20"/>
                <w:szCs w:val="20"/>
                <w:color w:val="auto"/>
              </w:rPr>
            </w:pPr>
            <w:r>
              <w:rPr>
                <w:rFonts w:ascii="Arial" w:cs="Arial" w:eastAsia="Arial" w:hAnsi="Arial"/>
                <w:sz w:val="18"/>
                <w:szCs w:val="18"/>
                <w:color w:val="auto"/>
              </w:rPr>
              <w:t>ICMB 2004-10</w:t>
            </w:r>
          </w:p>
        </w:tc>
        <w:tc>
          <w:tcPr>
            <w:tcW w:w="3160" w:type="dxa"/>
            <w:vAlign w:val="bottom"/>
          </w:tcPr>
          <w:p>
            <w:pPr>
              <w:jc w:val="right"/>
              <w:spacing w:after="0"/>
              <w:rPr>
                <w:sz w:val="20"/>
                <w:szCs w:val="20"/>
                <w:color w:val="auto"/>
              </w:rPr>
            </w:pPr>
            <w:r>
              <w:rPr>
                <w:rFonts w:ascii="Arial" w:cs="Arial" w:eastAsia="Arial" w:hAnsi="Arial"/>
                <w:sz w:val="18"/>
                <w:szCs w:val="18"/>
                <w:color w:val="auto"/>
              </w:rPr>
              <w:t>65.75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4505</w:t>
            </w:r>
          </w:p>
        </w:tc>
        <w:tc>
          <w:tcPr>
            <w:tcW w:w="42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ICMB 2003-9F</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(23.93)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5214</w:t>
            </w:r>
          </w:p>
        </w:tc>
        <w:tc>
          <w:tcPr>
            <w:tcW w:w="4200" w:type="dxa"/>
            <w:vAlign w:val="bottom"/>
          </w:tcPr>
          <w:p>
            <w:pPr>
              <w:ind w:left="160"/>
              <w:spacing w:after="0"/>
              <w:rPr>
                <w:sz w:val="20"/>
                <w:szCs w:val="20"/>
                <w:color w:val="auto"/>
              </w:rPr>
            </w:pPr>
            <w:r>
              <w:rPr>
                <w:rFonts w:ascii="Arial" w:cs="Arial" w:eastAsia="Arial" w:hAnsi="Arial"/>
                <w:sz w:val="18"/>
                <w:szCs w:val="18"/>
                <w:color w:val="auto"/>
              </w:rPr>
              <w:t>HVMLT 2007-4</w:t>
            </w:r>
          </w:p>
        </w:tc>
        <w:tc>
          <w:tcPr>
            <w:tcW w:w="31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5205</w:t>
            </w:r>
          </w:p>
        </w:tc>
        <w:tc>
          <w:tcPr>
            <w:tcW w:w="42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HVMLT 2007-3</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5222</w:t>
            </w:r>
          </w:p>
        </w:tc>
        <w:tc>
          <w:tcPr>
            <w:tcW w:w="4200" w:type="dxa"/>
            <w:vAlign w:val="bottom"/>
          </w:tcPr>
          <w:p>
            <w:pPr>
              <w:ind w:left="160"/>
              <w:spacing w:after="0"/>
              <w:rPr>
                <w:sz w:val="20"/>
                <w:szCs w:val="20"/>
                <w:color w:val="auto"/>
              </w:rPr>
            </w:pPr>
            <w:r>
              <w:rPr>
                <w:rFonts w:ascii="Arial" w:cs="Arial" w:eastAsia="Arial" w:hAnsi="Arial"/>
                <w:sz w:val="18"/>
                <w:szCs w:val="18"/>
                <w:color w:val="auto"/>
              </w:rPr>
              <w:t>HVMLT 2007-07</w:t>
            </w:r>
          </w:p>
        </w:tc>
        <w:tc>
          <w:tcPr>
            <w:tcW w:w="31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5220</w:t>
            </w:r>
          </w:p>
        </w:tc>
        <w:tc>
          <w:tcPr>
            <w:tcW w:w="42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HVMLT 2007-06</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5193</w:t>
            </w:r>
          </w:p>
        </w:tc>
        <w:tc>
          <w:tcPr>
            <w:tcW w:w="4200" w:type="dxa"/>
            <w:vAlign w:val="bottom"/>
          </w:tcPr>
          <w:p>
            <w:pPr>
              <w:ind w:left="160"/>
              <w:spacing w:after="0"/>
              <w:rPr>
                <w:sz w:val="20"/>
                <w:szCs w:val="20"/>
                <w:color w:val="auto"/>
              </w:rPr>
            </w:pPr>
            <w:r>
              <w:rPr>
                <w:rFonts w:ascii="Arial" w:cs="Arial" w:eastAsia="Arial" w:hAnsi="Arial"/>
                <w:sz w:val="18"/>
                <w:szCs w:val="18"/>
                <w:color w:val="auto"/>
              </w:rPr>
              <w:t>HVMLT 2006-SB1</w:t>
            </w:r>
          </w:p>
        </w:tc>
        <w:tc>
          <w:tcPr>
            <w:tcW w:w="31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5197</w:t>
            </w:r>
          </w:p>
        </w:tc>
        <w:tc>
          <w:tcPr>
            <w:tcW w:w="42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HVMLT 2006-14</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5194</w:t>
            </w:r>
          </w:p>
        </w:tc>
        <w:tc>
          <w:tcPr>
            <w:tcW w:w="4200" w:type="dxa"/>
            <w:vAlign w:val="bottom"/>
          </w:tcPr>
          <w:p>
            <w:pPr>
              <w:ind w:left="160"/>
              <w:spacing w:after="0"/>
              <w:rPr>
                <w:sz w:val="20"/>
                <w:szCs w:val="20"/>
                <w:color w:val="auto"/>
              </w:rPr>
            </w:pPr>
            <w:r>
              <w:rPr>
                <w:rFonts w:ascii="Arial" w:cs="Arial" w:eastAsia="Arial" w:hAnsi="Arial"/>
                <w:sz w:val="18"/>
                <w:szCs w:val="18"/>
                <w:color w:val="auto"/>
              </w:rPr>
              <w:t>HVMLT 2006-10</w:t>
            </w:r>
          </w:p>
        </w:tc>
        <w:tc>
          <w:tcPr>
            <w:tcW w:w="31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5163</w:t>
            </w:r>
          </w:p>
        </w:tc>
        <w:tc>
          <w:tcPr>
            <w:tcW w:w="42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HVMLT 2005-15</w:t>
            </w:r>
          </w:p>
        </w:tc>
        <w:tc>
          <w:tcPr>
            <w:tcW w:w="31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5158</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HVMLT 2005-11</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GSR 2006-AR1</w:t>
            </w:r>
          </w:p>
        </w:tc>
        <w:tc>
          <w:tcPr>
            <w:tcW w:w="3220" w:type="dxa"/>
            <w:vAlign w:val="bottom"/>
          </w:tcPr>
          <w:p>
            <w:pPr>
              <w:jc w:val="right"/>
              <w:spacing w:after="0"/>
              <w:rPr>
                <w:sz w:val="20"/>
                <w:szCs w:val="20"/>
                <w:color w:val="auto"/>
              </w:rPr>
            </w:pPr>
            <w:r>
              <w:rPr>
                <w:rFonts w:ascii="Arial" w:cs="Arial" w:eastAsia="Arial" w:hAnsi="Arial"/>
                <w:sz w:val="18"/>
                <w:szCs w:val="18"/>
                <w:color w:val="auto"/>
              </w:rPr>
              <w:t>52.95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GSR 2006-4F</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51.03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5188</w:t>
            </w:r>
          </w:p>
        </w:tc>
        <w:tc>
          <w:tcPr>
            <w:tcW w:w="4140" w:type="dxa"/>
            <w:vAlign w:val="bottom"/>
          </w:tcPr>
          <w:p>
            <w:pPr>
              <w:ind w:left="160"/>
              <w:spacing w:after="0"/>
              <w:rPr>
                <w:sz w:val="20"/>
                <w:szCs w:val="20"/>
                <w:color w:val="auto"/>
              </w:rPr>
            </w:pPr>
            <w:r>
              <w:rPr>
                <w:rFonts w:ascii="Arial" w:cs="Arial" w:eastAsia="Arial" w:hAnsi="Arial"/>
                <w:sz w:val="18"/>
                <w:szCs w:val="18"/>
                <w:color w:val="auto"/>
              </w:rPr>
              <w:t>GSMPS 2006-RP2</w:t>
            </w:r>
          </w:p>
        </w:tc>
        <w:tc>
          <w:tcPr>
            <w:tcW w:w="3220" w:type="dxa"/>
            <w:vAlign w:val="bottom"/>
          </w:tcPr>
          <w:p>
            <w:pPr>
              <w:jc w:val="right"/>
              <w:spacing w:after="0"/>
              <w:rPr>
                <w:sz w:val="20"/>
                <w:szCs w:val="20"/>
                <w:color w:val="auto"/>
              </w:rPr>
            </w:pPr>
            <w:r>
              <w:rPr>
                <w:rFonts w:ascii="Arial" w:cs="Arial" w:eastAsia="Arial" w:hAnsi="Arial"/>
                <w:sz w:val="18"/>
                <w:szCs w:val="18"/>
                <w:color w:val="auto"/>
              </w:rPr>
              <w:t>(262.35)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GPMF 2007-AR2</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GPMF 2007-AR1</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GPMF 2006-AR8</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GPMF 2006-AR7</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GPMF 2006-AR6</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GPMF 2006-AR5</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GPMF 2006-AR4</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4799</w:t>
            </w:r>
          </w:p>
        </w:tc>
        <w:tc>
          <w:tcPr>
            <w:tcW w:w="4140" w:type="dxa"/>
            <w:vAlign w:val="bottom"/>
          </w:tcPr>
          <w:p>
            <w:pPr>
              <w:ind w:left="160"/>
              <w:spacing w:after="0"/>
              <w:rPr>
                <w:sz w:val="20"/>
                <w:szCs w:val="20"/>
                <w:color w:val="auto"/>
              </w:rPr>
            </w:pPr>
            <w:r>
              <w:rPr>
                <w:rFonts w:ascii="Arial" w:cs="Arial" w:eastAsia="Arial" w:hAnsi="Arial"/>
                <w:sz w:val="18"/>
                <w:szCs w:val="18"/>
                <w:color w:val="auto"/>
              </w:rPr>
              <w:t>FHAVA 2002-9</w:t>
            </w:r>
          </w:p>
        </w:tc>
        <w:tc>
          <w:tcPr>
            <w:tcW w:w="3220" w:type="dxa"/>
            <w:vAlign w:val="bottom"/>
          </w:tcPr>
          <w:p>
            <w:pPr>
              <w:jc w:val="right"/>
              <w:spacing w:after="0"/>
              <w:rPr>
                <w:sz w:val="20"/>
                <w:szCs w:val="20"/>
                <w:color w:val="auto"/>
              </w:rPr>
            </w:pPr>
            <w:r>
              <w:rPr>
                <w:rFonts w:ascii="Arial" w:cs="Arial" w:eastAsia="Arial" w:hAnsi="Arial"/>
                <w:sz w:val="18"/>
                <w:szCs w:val="18"/>
                <w:color w:val="auto"/>
              </w:rPr>
              <w:t>(168.03)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4694</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DMSI 2004-5</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46.81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4693</w:t>
            </w:r>
          </w:p>
        </w:tc>
        <w:tc>
          <w:tcPr>
            <w:tcW w:w="4140" w:type="dxa"/>
            <w:vAlign w:val="bottom"/>
          </w:tcPr>
          <w:p>
            <w:pPr>
              <w:ind w:left="160"/>
              <w:spacing w:after="0"/>
              <w:rPr>
                <w:sz w:val="20"/>
                <w:szCs w:val="20"/>
                <w:color w:val="auto"/>
              </w:rPr>
            </w:pPr>
            <w:r>
              <w:rPr>
                <w:rFonts w:ascii="Arial" w:cs="Arial" w:eastAsia="Arial" w:hAnsi="Arial"/>
                <w:sz w:val="18"/>
                <w:szCs w:val="18"/>
                <w:color w:val="auto"/>
              </w:rPr>
              <w:t>DMSI 2004-4</w:t>
            </w:r>
          </w:p>
        </w:tc>
        <w:tc>
          <w:tcPr>
            <w:tcW w:w="3220" w:type="dxa"/>
            <w:vAlign w:val="bottom"/>
          </w:tcPr>
          <w:p>
            <w:pPr>
              <w:jc w:val="right"/>
              <w:spacing w:after="0"/>
              <w:rPr>
                <w:sz w:val="20"/>
                <w:szCs w:val="20"/>
                <w:color w:val="auto"/>
              </w:rPr>
            </w:pPr>
            <w:r>
              <w:rPr>
                <w:rFonts w:ascii="Arial" w:cs="Arial" w:eastAsia="Arial" w:hAnsi="Arial"/>
                <w:sz w:val="18"/>
                <w:szCs w:val="18"/>
                <w:color w:val="auto"/>
              </w:rPr>
              <w:t>53.03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4691</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DMSI 2004-1</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43.82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5219</w:t>
            </w:r>
          </w:p>
        </w:tc>
        <w:tc>
          <w:tcPr>
            <w:tcW w:w="4140" w:type="dxa"/>
            <w:vAlign w:val="bottom"/>
          </w:tcPr>
          <w:p>
            <w:pPr>
              <w:ind w:left="160"/>
              <w:spacing w:after="0"/>
              <w:rPr>
                <w:sz w:val="20"/>
                <w:szCs w:val="20"/>
                <w:color w:val="auto"/>
              </w:rPr>
            </w:pPr>
            <w:r>
              <w:rPr>
                <w:rFonts w:ascii="Arial" w:cs="Arial" w:eastAsia="Arial" w:hAnsi="Arial"/>
                <w:sz w:val="18"/>
                <w:szCs w:val="18"/>
                <w:color w:val="auto"/>
              </w:rPr>
              <w:t>DBALT 2007-OA5</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5215</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DBALT 2007-OA4</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5213</w:t>
            </w:r>
          </w:p>
        </w:tc>
        <w:tc>
          <w:tcPr>
            <w:tcW w:w="4140" w:type="dxa"/>
            <w:vAlign w:val="bottom"/>
          </w:tcPr>
          <w:p>
            <w:pPr>
              <w:ind w:left="160"/>
              <w:spacing w:after="0"/>
              <w:rPr>
                <w:sz w:val="20"/>
                <w:szCs w:val="20"/>
                <w:color w:val="auto"/>
              </w:rPr>
            </w:pPr>
            <w:r>
              <w:rPr>
                <w:rFonts w:ascii="Arial" w:cs="Arial" w:eastAsia="Arial" w:hAnsi="Arial"/>
                <w:sz w:val="18"/>
                <w:szCs w:val="18"/>
                <w:color w:val="auto"/>
              </w:rPr>
              <w:t>DBALT 2007-OA3</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4774</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DBALT 2005-3</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36.89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4773</w:t>
            </w:r>
          </w:p>
        </w:tc>
        <w:tc>
          <w:tcPr>
            <w:tcW w:w="4140" w:type="dxa"/>
            <w:vAlign w:val="bottom"/>
          </w:tcPr>
          <w:p>
            <w:pPr>
              <w:ind w:left="160"/>
              <w:spacing w:after="0"/>
              <w:rPr>
                <w:sz w:val="20"/>
                <w:szCs w:val="20"/>
                <w:color w:val="auto"/>
              </w:rPr>
            </w:pPr>
            <w:r>
              <w:rPr>
                <w:rFonts w:ascii="Arial" w:cs="Arial" w:eastAsia="Arial" w:hAnsi="Arial"/>
                <w:sz w:val="18"/>
                <w:szCs w:val="18"/>
                <w:color w:val="auto"/>
              </w:rPr>
              <w:t>DBALT 2003-4XS</w:t>
            </w:r>
          </w:p>
        </w:tc>
        <w:tc>
          <w:tcPr>
            <w:tcW w:w="3220" w:type="dxa"/>
            <w:vAlign w:val="bottom"/>
          </w:tcPr>
          <w:p>
            <w:pPr>
              <w:jc w:val="right"/>
              <w:spacing w:after="0"/>
              <w:rPr>
                <w:sz w:val="20"/>
                <w:szCs w:val="20"/>
                <w:color w:val="auto"/>
              </w:rPr>
            </w:pPr>
            <w:r>
              <w:rPr>
                <w:rFonts w:ascii="Arial" w:cs="Arial" w:eastAsia="Arial" w:hAnsi="Arial"/>
                <w:sz w:val="18"/>
                <w:szCs w:val="18"/>
                <w:color w:val="auto"/>
              </w:rPr>
              <w:t>39.64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4772</w:t>
            </w: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DBALT 2003-2XS</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44.89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4766</w:t>
            </w:r>
          </w:p>
        </w:tc>
        <w:tc>
          <w:tcPr>
            <w:tcW w:w="4140" w:type="dxa"/>
            <w:vAlign w:val="bottom"/>
          </w:tcPr>
          <w:p>
            <w:pPr>
              <w:ind w:left="160"/>
              <w:spacing w:after="0"/>
              <w:rPr>
                <w:sz w:val="20"/>
                <w:szCs w:val="20"/>
                <w:color w:val="auto"/>
              </w:rPr>
            </w:pPr>
            <w:r>
              <w:rPr>
                <w:rFonts w:ascii="Arial" w:cs="Arial" w:eastAsia="Arial" w:hAnsi="Arial"/>
                <w:sz w:val="18"/>
                <w:szCs w:val="18"/>
                <w:color w:val="auto"/>
              </w:rPr>
              <w:t>CSFB 2005-9</w:t>
            </w:r>
          </w:p>
        </w:tc>
        <w:tc>
          <w:tcPr>
            <w:tcW w:w="3220" w:type="dxa"/>
            <w:vAlign w:val="bottom"/>
          </w:tcPr>
          <w:p>
            <w:pPr>
              <w:jc w:val="right"/>
              <w:spacing w:after="0"/>
              <w:rPr>
                <w:sz w:val="20"/>
                <w:szCs w:val="20"/>
                <w:color w:val="auto"/>
              </w:rPr>
            </w:pPr>
            <w:r>
              <w:rPr>
                <w:rFonts w:ascii="Arial" w:cs="Arial" w:eastAsia="Arial" w:hAnsi="Arial"/>
                <w:sz w:val="18"/>
                <w:szCs w:val="18"/>
                <w:color w:val="auto"/>
              </w:rPr>
              <w:t>41.92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4140" w:type="dxa"/>
            <w:vAlign w:val="bottom"/>
            <w:shd w:val="clear" w:color="auto" w:fill="CCEECC"/>
          </w:tcPr>
          <w:p>
            <w:pPr>
              <w:ind w:left="160"/>
              <w:spacing w:after="0"/>
              <w:rPr>
                <w:sz w:val="20"/>
                <w:szCs w:val="20"/>
                <w:color w:val="auto"/>
              </w:rPr>
            </w:pPr>
            <w:r>
              <w:rPr>
                <w:rFonts w:ascii="Arial" w:cs="Arial" w:eastAsia="Arial" w:hAnsi="Arial"/>
                <w:sz w:val="18"/>
                <w:szCs w:val="18"/>
                <w:color w:val="auto"/>
              </w:rPr>
              <w:t>BSALTA 2006-3</w:t>
            </w:r>
          </w:p>
        </w:tc>
        <w:tc>
          <w:tcPr>
            <w:tcW w:w="3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60.23</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5169</w:t>
            </w:r>
          </w:p>
        </w:tc>
        <w:tc>
          <w:tcPr>
            <w:tcW w:w="50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BSALTA 2006-1</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4865</w:t>
            </w:r>
          </w:p>
        </w:tc>
        <w:tc>
          <w:tcPr>
            <w:tcW w:w="5080" w:type="dxa"/>
            <w:vAlign w:val="bottom"/>
          </w:tcPr>
          <w:p>
            <w:pPr>
              <w:ind w:left="160"/>
              <w:spacing w:after="0"/>
              <w:rPr>
                <w:sz w:val="20"/>
                <w:szCs w:val="20"/>
                <w:color w:val="auto"/>
              </w:rPr>
            </w:pPr>
            <w:r>
              <w:rPr>
                <w:rFonts w:ascii="Arial" w:cs="Arial" w:eastAsia="Arial" w:hAnsi="Arial"/>
                <w:sz w:val="18"/>
                <w:szCs w:val="18"/>
                <w:color w:val="auto"/>
              </w:rPr>
              <w:t>BSABS 2004-BO1</w:t>
            </w:r>
          </w:p>
        </w:tc>
        <w:tc>
          <w:tcPr>
            <w:tcW w:w="2200" w:type="dxa"/>
            <w:vAlign w:val="bottom"/>
          </w:tcPr>
          <w:p>
            <w:pPr>
              <w:jc w:val="right"/>
              <w:spacing w:after="0"/>
              <w:rPr>
                <w:sz w:val="20"/>
                <w:szCs w:val="20"/>
                <w:color w:val="auto"/>
              </w:rPr>
            </w:pPr>
            <w:r>
              <w:rPr>
                <w:rFonts w:ascii="Arial" w:cs="Arial" w:eastAsia="Arial" w:hAnsi="Arial"/>
                <w:sz w:val="18"/>
                <w:szCs w:val="18"/>
                <w:color w:val="auto"/>
              </w:rPr>
              <w:t>(2.51)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4804</w:t>
            </w:r>
          </w:p>
        </w:tc>
        <w:tc>
          <w:tcPr>
            <w:tcW w:w="50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WELLS FARGO BANK, N.A.</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(17.94)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4627</w:t>
            </w:r>
          </w:p>
        </w:tc>
        <w:tc>
          <w:tcPr>
            <w:tcW w:w="5080" w:type="dxa"/>
            <w:vAlign w:val="bottom"/>
          </w:tcPr>
          <w:p>
            <w:pPr>
              <w:ind w:left="160"/>
              <w:spacing w:after="0"/>
              <w:rPr>
                <w:sz w:val="20"/>
                <w:szCs w:val="20"/>
                <w:color w:val="auto"/>
              </w:rPr>
            </w:pPr>
            <w:r>
              <w:rPr>
                <w:rFonts w:ascii="Arial" w:cs="Arial" w:eastAsia="Arial" w:hAnsi="Arial"/>
                <w:sz w:val="18"/>
                <w:szCs w:val="18"/>
                <w:color w:val="auto"/>
              </w:rPr>
              <w:t>BAFC 2006-4</w:t>
            </w:r>
          </w:p>
        </w:tc>
        <w:tc>
          <w:tcPr>
            <w:tcW w:w="2200" w:type="dxa"/>
            <w:vAlign w:val="bottom"/>
          </w:tcPr>
          <w:p>
            <w:pPr>
              <w:jc w:val="right"/>
              <w:spacing w:after="0"/>
              <w:rPr>
                <w:sz w:val="20"/>
                <w:szCs w:val="20"/>
                <w:color w:val="auto"/>
              </w:rPr>
            </w:pPr>
            <w:r>
              <w:rPr>
                <w:rFonts w:ascii="Arial" w:cs="Arial" w:eastAsia="Arial" w:hAnsi="Arial"/>
                <w:sz w:val="18"/>
                <w:szCs w:val="18"/>
                <w:color w:val="auto"/>
              </w:rPr>
              <w:t>44.41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4623</w:t>
            </w:r>
          </w:p>
        </w:tc>
        <w:tc>
          <w:tcPr>
            <w:tcW w:w="50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ARMT 2005-9</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74.39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4645</w:t>
            </w:r>
          </w:p>
        </w:tc>
        <w:tc>
          <w:tcPr>
            <w:tcW w:w="5080" w:type="dxa"/>
            <w:vAlign w:val="bottom"/>
          </w:tcPr>
          <w:p>
            <w:pPr>
              <w:ind w:left="160"/>
              <w:spacing w:after="0"/>
              <w:rPr>
                <w:sz w:val="20"/>
                <w:szCs w:val="20"/>
                <w:color w:val="auto"/>
              </w:rPr>
            </w:pPr>
            <w:r>
              <w:rPr>
                <w:rFonts w:ascii="Arial" w:cs="Arial" w:eastAsia="Arial" w:hAnsi="Arial"/>
                <w:sz w:val="18"/>
                <w:szCs w:val="18"/>
                <w:color w:val="auto"/>
              </w:rPr>
              <w:t>ARMT 2005-11</w:t>
            </w:r>
          </w:p>
        </w:tc>
        <w:tc>
          <w:tcPr>
            <w:tcW w:w="2200" w:type="dxa"/>
            <w:vAlign w:val="bottom"/>
          </w:tcPr>
          <w:p>
            <w:pPr>
              <w:jc w:val="right"/>
              <w:spacing w:after="0"/>
              <w:rPr>
                <w:sz w:val="20"/>
                <w:szCs w:val="20"/>
                <w:color w:val="auto"/>
              </w:rPr>
            </w:pPr>
            <w:r>
              <w:rPr>
                <w:rFonts w:ascii="Arial" w:cs="Arial" w:eastAsia="Arial" w:hAnsi="Arial"/>
                <w:sz w:val="18"/>
                <w:szCs w:val="18"/>
                <w:color w:val="auto"/>
              </w:rPr>
              <w:t>58.38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5207</w:t>
            </w:r>
          </w:p>
        </w:tc>
        <w:tc>
          <w:tcPr>
            <w:tcW w:w="50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ACE 2007-HE4</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5057</w:t>
            </w:r>
          </w:p>
        </w:tc>
        <w:tc>
          <w:tcPr>
            <w:tcW w:w="5080" w:type="dxa"/>
            <w:vAlign w:val="bottom"/>
          </w:tcPr>
          <w:p>
            <w:pPr>
              <w:ind w:left="160"/>
              <w:spacing w:after="0"/>
              <w:rPr>
                <w:sz w:val="20"/>
                <w:szCs w:val="20"/>
                <w:color w:val="auto"/>
              </w:rPr>
            </w:pPr>
            <w:r>
              <w:rPr>
                <w:rFonts w:ascii="Arial" w:cs="Arial" w:eastAsia="Arial" w:hAnsi="Arial"/>
                <w:sz w:val="18"/>
                <w:szCs w:val="18"/>
                <w:color w:val="auto"/>
              </w:rPr>
              <w:t>2004-WH6</w:t>
            </w:r>
          </w:p>
        </w:tc>
        <w:tc>
          <w:tcPr>
            <w:tcW w:w="2200" w:type="dxa"/>
            <w:vAlign w:val="bottom"/>
          </w:tcPr>
          <w:p>
            <w:pPr>
              <w:jc w:val="right"/>
              <w:spacing w:after="0"/>
              <w:rPr>
                <w:sz w:val="20"/>
                <w:szCs w:val="20"/>
                <w:color w:val="auto"/>
              </w:rPr>
            </w:pPr>
            <w:r>
              <w:rPr>
                <w:rFonts w:ascii="Arial" w:cs="Arial" w:eastAsia="Arial" w:hAnsi="Arial"/>
                <w:sz w:val="18"/>
                <w:szCs w:val="18"/>
                <w:color w:val="auto"/>
              </w:rPr>
              <w:t>65.39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10020</w:t>
            </w:r>
          </w:p>
        </w:tc>
        <w:tc>
          <w:tcPr>
            <w:tcW w:w="50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2003-7</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(428.10)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5073</w:t>
            </w:r>
          </w:p>
        </w:tc>
        <w:tc>
          <w:tcPr>
            <w:tcW w:w="5080" w:type="dxa"/>
            <w:vAlign w:val="bottom"/>
          </w:tcPr>
          <w:p>
            <w:pPr>
              <w:ind w:left="160"/>
              <w:spacing w:after="0"/>
              <w:rPr>
                <w:sz w:val="20"/>
                <w:szCs w:val="20"/>
                <w:color w:val="auto"/>
              </w:rPr>
            </w:pPr>
            <w:r>
              <w:rPr>
                <w:rFonts w:ascii="Arial" w:cs="Arial" w:eastAsia="Arial" w:hAnsi="Arial"/>
                <w:sz w:val="18"/>
                <w:szCs w:val="18"/>
                <w:color w:val="auto"/>
              </w:rPr>
              <w:t>2002-Flow</w:t>
            </w:r>
          </w:p>
        </w:tc>
        <w:tc>
          <w:tcPr>
            <w:tcW w:w="2200" w:type="dxa"/>
            <w:vAlign w:val="bottom"/>
          </w:tcPr>
          <w:p>
            <w:pPr>
              <w:jc w:val="right"/>
              <w:spacing w:after="0"/>
              <w:rPr>
                <w:sz w:val="20"/>
                <w:szCs w:val="20"/>
                <w:color w:val="auto"/>
              </w:rPr>
            </w:pPr>
            <w:r>
              <w:rPr>
                <w:rFonts w:ascii="Arial" w:cs="Arial" w:eastAsia="Arial" w:hAnsi="Arial"/>
                <w:sz w:val="18"/>
                <w:szCs w:val="18"/>
                <w:color w:val="auto"/>
              </w:rPr>
              <w:t>(198.64)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50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E*Trade Bank - FB</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5096</w:t>
            </w:r>
          </w:p>
        </w:tc>
        <w:tc>
          <w:tcPr>
            <w:tcW w:w="5080" w:type="dxa"/>
            <w:vAlign w:val="bottom"/>
          </w:tcPr>
          <w:p>
            <w:pPr>
              <w:ind w:left="160"/>
              <w:spacing w:after="0"/>
              <w:rPr>
                <w:sz w:val="20"/>
                <w:szCs w:val="20"/>
                <w:color w:val="auto"/>
              </w:rPr>
            </w:pPr>
            <w:r>
              <w:rPr>
                <w:rFonts w:ascii="Arial" w:cs="Arial" w:eastAsia="Arial" w:hAnsi="Arial"/>
                <w:sz w:val="18"/>
                <w:szCs w:val="18"/>
                <w:color w:val="auto"/>
              </w:rPr>
              <w:t>E*Trade Bank</w:t>
            </w:r>
          </w:p>
        </w:tc>
        <w:tc>
          <w:tcPr>
            <w:tcW w:w="2200" w:type="dxa"/>
            <w:vAlign w:val="bottom"/>
          </w:tcPr>
          <w:p>
            <w:pPr>
              <w:jc w:val="right"/>
              <w:spacing w:after="0"/>
              <w:rPr>
                <w:sz w:val="20"/>
                <w:szCs w:val="20"/>
                <w:color w:val="auto"/>
              </w:rPr>
            </w:pPr>
            <w:r>
              <w:rPr>
                <w:rFonts w:ascii="Arial" w:cs="Arial" w:eastAsia="Arial" w:hAnsi="Arial"/>
                <w:sz w:val="18"/>
                <w:szCs w:val="18"/>
                <w:color w:val="auto"/>
              </w:rPr>
              <w:t>(0.43)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5210</w:t>
            </w:r>
          </w:p>
        </w:tc>
        <w:tc>
          <w:tcPr>
            <w:tcW w:w="50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Macquarie Mortgages USA, Inc. - FB</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5236</w:t>
            </w:r>
          </w:p>
        </w:tc>
        <w:tc>
          <w:tcPr>
            <w:tcW w:w="5080" w:type="dxa"/>
            <w:vAlign w:val="bottom"/>
          </w:tcPr>
          <w:p>
            <w:pPr>
              <w:ind w:left="160"/>
              <w:spacing w:after="0"/>
              <w:rPr>
                <w:sz w:val="20"/>
                <w:szCs w:val="20"/>
                <w:color w:val="auto"/>
              </w:rPr>
            </w:pPr>
            <w:r>
              <w:rPr>
                <w:rFonts w:ascii="Arial" w:cs="Arial" w:eastAsia="Arial" w:hAnsi="Arial"/>
                <w:sz w:val="18"/>
                <w:szCs w:val="18"/>
                <w:color w:val="auto"/>
              </w:rPr>
              <w:t>E*Trade Bank</w:t>
            </w:r>
          </w:p>
        </w:tc>
        <w:tc>
          <w:tcPr>
            <w:tcW w:w="2200" w:type="dxa"/>
            <w:vAlign w:val="bottom"/>
          </w:tcPr>
          <w:p>
            <w:pPr>
              <w:jc w:val="right"/>
              <w:spacing w:after="0"/>
              <w:rPr>
                <w:sz w:val="20"/>
                <w:szCs w:val="20"/>
                <w:color w:val="auto"/>
              </w:rPr>
            </w:pPr>
            <w:r>
              <w:rPr>
                <w:rFonts w:ascii="Arial" w:cs="Arial" w:eastAsia="Arial" w:hAnsi="Arial"/>
                <w:sz w:val="18"/>
                <w:szCs w:val="18"/>
                <w:color w:val="auto"/>
              </w:rPr>
              <w:t>(5.77)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5072</w:t>
            </w:r>
          </w:p>
        </w:tc>
        <w:tc>
          <w:tcPr>
            <w:tcW w:w="50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EMC FHA/VA 2002-1</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(226.28)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5071</w:t>
            </w:r>
          </w:p>
        </w:tc>
        <w:tc>
          <w:tcPr>
            <w:tcW w:w="5080" w:type="dxa"/>
            <w:vAlign w:val="bottom"/>
          </w:tcPr>
          <w:p>
            <w:pPr>
              <w:ind w:left="160"/>
              <w:spacing w:after="0"/>
              <w:rPr>
                <w:sz w:val="20"/>
                <w:szCs w:val="20"/>
                <w:color w:val="auto"/>
              </w:rPr>
            </w:pPr>
            <w:r>
              <w:rPr>
                <w:rFonts w:ascii="Arial" w:cs="Arial" w:eastAsia="Arial" w:hAnsi="Arial"/>
                <w:sz w:val="18"/>
                <w:szCs w:val="18"/>
                <w:color w:val="auto"/>
              </w:rPr>
              <w:t>EMC FHA/VA 2003-1</w:t>
            </w:r>
          </w:p>
        </w:tc>
        <w:tc>
          <w:tcPr>
            <w:tcW w:w="2200" w:type="dxa"/>
            <w:vAlign w:val="bottom"/>
          </w:tcPr>
          <w:p>
            <w:pPr>
              <w:jc w:val="right"/>
              <w:spacing w:after="0"/>
              <w:rPr>
                <w:sz w:val="20"/>
                <w:szCs w:val="20"/>
                <w:color w:val="auto"/>
              </w:rPr>
            </w:pPr>
            <w:r>
              <w:rPr>
                <w:rFonts w:ascii="Arial" w:cs="Arial" w:eastAsia="Arial" w:hAnsi="Arial"/>
                <w:sz w:val="18"/>
                <w:szCs w:val="18"/>
                <w:color w:val="auto"/>
              </w:rPr>
              <w:t>(166.10)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5094</w:t>
            </w:r>
          </w:p>
        </w:tc>
        <w:tc>
          <w:tcPr>
            <w:tcW w:w="50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AMALGAMATED BANK</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43.07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5095</w:t>
            </w:r>
          </w:p>
        </w:tc>
        <w:tc>
          <w:tcPr>
            <w:tcW w:w="5080" w:type="dxa"/>
            <w:vAlign w:val="bottom"/>
          </w:tcPr>
          <w:p>
            <w:pPr>
              <w:ind w:left="160"/>
              <w:spacing w:after="0"/>
              <w:rPr>
                <w:sz w:val="20"/>
                <w:szCs w:val="20"/>
                <w:color w:val="auto"/>
              </w:rPr>
            </w:pPr>
            <w:r>
              <w:rPr>
                <w:rFonts w:ascii="Arial" w:cs="Arial" w:eastAsia="Arial" w:hAnsi="Arial"/>
                <w:sz w:val="18"/>
                <w:szCs w:val="18"/>
                <w:color w:val="auto"/>
              </w:rPr>
              <w:t>Washington Mutual Mortgage Securities Corp</w:t>
            </w:r>
          </w:p>
        </w:tc>
        <w:tc>
          <w:tcPr>
            <w:tcW w:w="2200" w:type="dxa"/>
            <w:vAlign w:val="bottom"/>
          </w:tcPr>
          <w:p>
            <w:pPr>
              <w:jc w:val="right"/>
              <w:spacing w:after="0"/>
              <w:rPr>
                <w:sz w:val="20"/>
                <w:szCs w:val="20"/>
                <w:color w:val="auto"/>
              </w:rPr>
            </w:pPr>
            <w:r>
              <w:rPr>
                <w:rFonts w:ascii="Arial" w:cs="Arial" w:eastAsia="Arial" w:hAnsi="Arial"/>
                <w:sz w:val="18"/>
                <w:szCs w:val="18"/>
                <w:color w:val="auto"/>
              </w:rPr>
              <w:t>31.28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ind w:left="100"/>
              <w:spacing w:after="0"/>
              <w:rPr>
                <w:sz w:val="20"/>
                <w:szCs w:val="20"/>
                <w:color w:val="auto"/>
              </w:rPr>
            </w:pPr>
            <w:r>
              <w:rPr>
                <w:rFonts w:ascii="Arial" w:cs="Arial" w:eastAsia="Arial" w:hAnsi="Arial"/>
                <w:sz w:val="18"/>
                <w:szCs w:val="18"/>
                <w:color w:val="auto"/>
              </w:rPr>
              <w:t>5173</w:t>
            </w:r>
          </w:p>
        </w:tc>
        <w:tc>
          <w:tcPr>
            <w:tcW w:w="50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TCF National Bank</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Everbank</w:t>
            </w:r>
          </w:p>
        </w:tc>
        <w:tc>
          <w:tcPr>
            <w:tcW w:w="2200" w:type="dxa"/>
            <w:vAlign w:val="bottom"/>
          </w:tcPr>
          <w:p>
            <w:pPr>
              <w:jc w:val="right"/>
              <w:spacing w:after="0"/>
              <w:rPr>
                <w:sz w:val="20"/>
                <w:szCs w:val="20"/>
                <w:color w:val="auto"/>
              </w:rPr>
            </w:pPr>
            <w:r>
              <w:rPr>
                <w:rFonts w:ascii="Arial" w:cs="Arial" w:eastAsia="Arial" w:hAnsi="Arial"/>
                <w:sz w:val="18"/>
                <w:szCs w:val="18"/>
                <w:color w:val="auto"/>
              </w:rPr>
              <w:t>(211.91)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5080" w:type="dxa"/>
            <w:vAlign w:val="bottom"/>
            <w:shd w:val="clear" w:color="auto" w:fill="CCEECC"/>
          </w:tcPr>
          <w:p>
            <w:pPr>
              <w:ind w:left="160"/>
              <w:spacing w:after="0"/>
              <w:rPr>
                <w:sz w:val="20"/>
                <w:szCs w:val="20"/>
                <w:color w:val="auto"/>
              </w:rPr>
            </w:pPr>
            <w:r>
              <w:rPr>
                <w:rFonts w:ascii="Arial" w:cs="Arial" w:eastAsia="Arial" w:hAnsi="Arial"/>
                <w:sz w:val="18"/>
                <w:szCs w:val="18"/>
                <w:color w:val="auto"/>
              </w:rPr>
              <w:t>BOA Merrill Lynch Global Securities</w:t>
            </w:r>
          </w:p>
        </w:tc>
        <w:tc>
          <w:tcPr>
            <w:tcW w:w="2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28.22</w:t>
            </w:r>
          </w:p>
        </w:tc>
        <w:tc>
          <w:tcPr>
            <w:tcW w:w="1720" w:type="dxa"/>
            <w:vAlign w:val="bottom"/>
          </w:tcPr>
          <w:p>
            <w:pPr>
              <w:spacing w:after="0"/>
              <w:rPr>
                <w:sz w:val="18"/>
                <w:szCs w:val="18"/>
                <w:color w:val="auto"/>
              </w:rPr>
            </w:pPr>
          </w:p>
        </w:tc>
      </w:tr>
      <w:tr>
        <w:trPr>
          <w:trHeight w:val="453"/>
        </w:trPr>
        <w:tc>
          <w:tcPr>
            <w:tcW w:w="1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10.5</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SUBSERVICING SUPPLEMENT</w:t>
      </w:r>
    </w:p>
    <w:p>
      <w:pPr>
        <w:spacing w:after="0" w:line="18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Amendment (the “Amendment”), dated as of September 30, 2013, between Ocwen Loan Servicing, LLC, a Delaware limited liability company (“Ocwen”) and HLSS Holdings, LLC, a Delaware limited liability company (“Servicer”):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98"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WHEREAS, Ocwen and Servicer entered into that certain Master Subservicing Agreement, dated as of October 1, 2012 (as amended, supplemented and modified from time to time, the “Agreement”);</w:t>
      </w:r>
    </w:p>
    <w:p>
      <w:pPr>
        <w:spacing w:after="0" w:line="130"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WHEREAS, Ocwen and Servicer entered into that certain Subservicing Supplement dated as of July 1, 2013 (collectively, as amended, supplemented and modified from time to time, the “Subservicing Supplement”); and</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Ocwen and Servicer desire to amend the Subservicing Supplement to amend certain schedules thereto;</w:t>
      </w:r>
    </w:p>
    <w:p>
      <w:pPr>
        <w:spacing w:after="0" w:line="198" w:lineRule="exact"/>
        <w:rPr>
          <w:sz w:val="20"/>
          <w:szCs w:val="20"/>
          <w:color w:val="auto"/>
        </w:rPr>
      </w:pPr>
    </w:p>
    <w:p>
      <w:pPr>
        <w:ind w:right="800" w:firstLine="1297"/>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consideration of the mutual covenants herein contained, the parties hereto hereby agree as follows: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85"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Amendment of Subservicing Supplement</w:t>
      </w:r>
      <w:r>
        <w:rPr>
          <w:rFonts w:ascii="Arial" w:cs="Arial" w:eastAsia="Arial" w:hAnsi="Arial"/>
          <w:sz w:val="16"/>
          <w:szCs w:val="16"/>
          <w:color w:val="auto"/>
        </w:rPr>
        <w:t>. The Subservicing Supplement shall be deemed amended as follows:</w:t>
      </w:r>
    </w:p>
    <w:p>
      <w:pPr>
        <w:spacing w:after="0" w:line="198" w:lineRule="exact"/>
        <w:rPr>
          <w:sz w:val="20"/>
          <w:szCs w:val="20"/>
          <w:color w:val="auto"/>
        </w:rPr>
      </w:pPr>
    </w:p>
    <w:p>
      <w:pPr>
        <w:ind w:left="660" w:right="180" w:firstLine="645"/>
        <w:spacing w:after="0" w:line="309" w:lineRule="auto"/>
        <w:tabs>
          <w:tab w:leader="none" w:pos="20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Schedule I and Schedule II of the Subservicing Supplement is hereby amended by deleting such Schedule in its entirety and inserting Schedules I, II and III hereto, respectively.</w:t>
      </w:r>
    </w:p>
    <w:p>
      <w:pPr>
        <w:spacing w:after="0" w:line="101" w:lineRule="exact"/>
        <w:rPr>
          <w:rFonts w:ascii="Arial" w:cs="Arial" w:eastAsia="Arial" w:hAnsi="Arial"/>
          <w:sz w:val="18"/>
          <w:szCs w:val="18"/>
          <w:color w:val="auto"/>
        </w:rPr>
      </w:pPr>
    </w:p>
    <w:p>
      <w:pPr>
        <w:ind w:left="2040" w:hanging="735"/>
        <w:spacing w:after="0"/>
        <w:tabs>
          <w:tab w:leader="none" w:pos="2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these amendments shall be deemed effective as of July 1, 2013.</w:t>
      </w:r>
    </w:p>
    <w:p>
      <w:pPr>
        <w:spacing w:after="0" w:line="198"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Limited Effect</w:t>
      </w:r>
      <w:r>
        <w:rPr>
          <w:rFonts w:ascii="Arial" w:cs="Arial" w:eastAsia="Arial" w:hAnsi="Arial"/>
          <w:sz w:val="18"/>
          <w:szCs w:val="18"/>
          <w:color w:val="auto"/>
        </w:rPr>
        <w:t>. Except as expressly amended and modified by this Amendment, the Agreement and the Subservicing Supplement shall continue to be, and shall remain, in full force and effect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37" w:name="page138"/>
    <w:bookmarkEnd w:id="137"/>
    <w:p>
      <w:pPr>
        <w:ind w:right="280" w:firstLine="1297"/>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each of the parties hereto on any number of separate counterparts, each of which shall be an original and all of which taken together shall constitute one and the same instrument.</w:t>
      </w:r>
    </w:p>
    <w:p>
      <w:pPr>
        <w:spacing w:after="0" w:line="13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REFERENCE TO ITS CONFLICT OF LAW PROVISIONS (OTHER THAN SECTION 5-1401 AND SECTION 5-1402 OF THE GENERAL OBLIGATIONS LAW) AND THE OBLIGATIONS, RIGHTS AND REMEDIES OF THE PARTIES HEREUNDER AND THEREUNDER SHALL BE DETERMINED IN ACCORDANCE WITH SUCH LAWS.</w:t>
      </w:r>
    </w:p>
    <w:p>
      <w:pPr>
        <w:spacing w:after="0" w:line="160"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but not defined herein have the meaning set forth in the Agreement.</w:t>
      </w:r>
    </w:p>
    <w:p>
      <w:pPr>
        <w:spacing w:after="0" w:line="18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138" w:name="page139"/>
    <w:bookmarkEnd w:id="138"/>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and delivered by its respective officer thereunto duly authorized as of the date above written.</w:t>
      </w:r>
    </w:p>
    <w:p>
      <w:pPr>
        <w:spacing w:after="0" w:line="16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OCWEN LOAN SERVICING, LLC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Ocwen Mortgage Servicing, Inc., as its sole member</w:t>
      </w:r>
    </w:p>
    <w:p>
      <w:pPr>
        <w:spacing w:after="0" w:line="225" w:lineRule="exact"/>
        <w:rPr>
          <w:sz w:val="20"/>
          <w:szCs w:val="20"/>
          <w:color w:val="auto"/>
        </w:rPr>
      </w:pPr>
    </w:p>
    <w:p>
      <w:pPr>
        <w:ind w:left="5600"/>
        <w:spacing w:after="0"/>
        <w:tabs>
          <w:tab w:leader="none" w:pos="6100" w:val="left"/>
        </w:tabs>
        <w:rPr>
          <w:sz w:val="20"/>
          <w:szCs w:val="20"/>
          <w:color w:val="auto"/>
        </w:rPr>
      </w:pPr>
      <w:r>
        <w:rPr>
          <w:rFonts w:ascii="Arial" w:cs="Arial" w:eastAsia="Arial" w:hAnsi="Arial"/>
          <w:sz w:val="18"/>
          <w:szCs w:val="18"/>
          <w:color w:val="auto"/>
        </w:rPr>
        <w:t>By:</w:t>
        <w:tab/>
        <w:t>/s/ Richard L. Cooperstein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23495</wp:posOffset>
            </wp:positionV>
            <wp:extent cx="3361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Richard L. Cooperstein</w:t>
      </w:r>
    </w:p>
    <w:p>
      <w:pPr>
        <w:spacing w:after="0" w:line="225" w:lineRule="exact"/>
        <w:rPr>
          <w:sz w:val="20"/>
          <w:szCs w:val="20"/>
          <w:color w:val="auto"/>
        </w:rPr>
      </w:pPr>
    </w:p>
    <w:p>
      <w:pPr>
        <w:ind w:left="560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HLSS HOLDINGS, LLC</w:t>
      </w:r>
    </w:p>
    <w:p>
      <w:pPr>
        <w:spacing w:after="0" w:line="229" w:lineRule="exact"/>
        <w:rPr>
          <w:sz w:val="20"/>
          <w:szCs w:val="20"/>
          <w:color w:val="auto"/>
        </w:rPr>
      </w:pPr>
    </w:p>
    <w:p>
      <w:pPr>
        <w:ind w:left="5600"/>
        <w:spacing w:after="0"/>
        <w:tabs>
          <w:tab w:leader="none" w:pos="6100" w:val="left"/>
        </w:tabs>
        <w:rPr>
          <w:sz w:val="20"/>
          <w:szCs w:val="20"/>
          <w:color w:val="auto"/>
        </w:rPr>
      </w:pPr>
      <w:r>
        <w:rPr>
          <w:rFonts w:ascii="Arial" w:cs="Arial" w:eastAsia="Arial" w:hAnsi="Arial"/>
          <w:sz w:val="18"/>
          <w:szCs w:val="18"/>
          <w:color w:val="auto"/>
        </w:rPr>
        <w:t>By:</w:t>
        <w:tab/>
        <w:t>/s/ James Lauter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23495</wp:posOffset>
            </wp:positionV>
            <wp:extent cx="3361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James Lauter</w:t>
      </w:r>
    </w:p>
    <w:p>
      <w:pPr>
        <w:spacing w:after="0" w:line="225" w:lineRule="exact"/>
        <w:rPr>
          <w:sz w:val="20"/>
          <w:szCs w:val="20"/>
          <w:color w:val="auto"/>
        </w:rPr>
      </w:pPr>
    </w:p>
    <w:p>
      <w:pPr>
        <w:ind w:left="560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00"/>
          </w:cols>
          <w:pgMar w:left="240" w:top="665" w:right="65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40" w:type="dxa"/>
            <w:vAlign w:val="bottom"/>
            <w:gridSpan w:val="3"/>
          </w:tcPr>
          <w:p>
            <w:pPr>
              <w:ind w:left="1780"/>
              <w:spacing w:after="0"/>
              <w:rPr>
                <w:sz w:val="20"/>
                <w:szCs w:val="20"/>
                <w:color w:val="auto"/>
              </w:rPr>
            </w:pPr>
            <w:r>
              <w:rPr>
                <w:rFonts w:ascii="Arial" w:cs="Arial" w:eastAsia="Arial" w:hAnsi="Arial"/>
                <w:sz w:val="18"/>
                <w:szCs w:val="18"/>
                <w:b w:val="1"/>
                <w:bCs w:val="1"/>
                <w:color w:val="auto"/>
              </w:rPr>
              <w:t>SCHEDULE I</w:t>
            </w:r>
          </w:p>
        </w:tc>
      </w:tr>
      <w:tr>
        <w:trPr>
          <w:trHeight w:val="432"/>
        </w:trPr>
        <w:tc>
          <w:tcPr>
            <w:tcW w:w="2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40" w:type="dxa"/>
            <w:vAlign w:val="bottom"/>
            <w:gridSpan w:val="3"/>
          </w:tcPr>
          <w:p>
            <w:pPr>
              <w:ind w:left="1160"/>
              <w:spacing w:after="0"/>
              <w:rPr>
                <w:sz w:val="20"/>
                <w:szCs w:val="20"/>
                <w:color w:val="auto"/>
              </w:rPr>
            </w:pPr>
            <w:r>
              <w:rPr>
                <w:rFonts w:ascii="Arial" w:cs="Arial" w:eastAsia="Arial" w:hAnsi="Arial"/>
                <w:sz w:val="18"/>
                <w:szCs w:val="18"/>
                <w:b w:val="1"/>
                <w:bCs w:val="1"/>
                <w:color w:val="auto"/>
              </w:rPr>
              <w:t>SERVICING AGREEMENTS</w:t>
            </w:r>
          </w:p>
        </w:tc>
      </w:tr>
      <w:tr>
        <w:trPr>
          <w:trHeight w:val="360"/>
        </w:trPr>
        <w:tc>
          <w:tcPr>
            <w:tcW w:w="2360" w:type="dxa"/>
            <w:vAlign w:val="bottom"/>
          </w:tcPr>
          <w:p>
            <w:pPr>
              <w:spacing w:after="0"/>
              <w:rPr>
                <w:sz w:val="24"/>
                <w:szCs w:val="2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Investor</w:t>
            </w:r>
          </w:p>
        </w:tc>
        <w:tc>
          <w:tcPr>
            <w:tcW w:w="2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94"/>
        </w:trPr>
        <w:tc>
          <w:tcPr>
            <w:tcW w:w="2360" w:type="dxa"/>
            <w:vAlign w:val="bottom"/>
          </w:tcPr>
          <w:p>
            <w:pPr>
              <w:spacing w:after="0"/>
              <w:rPr>
                <w:sz w:val="16"/>
                <w:szCs w:val="16"/>
                <w:color w:val="auto"/>
              </w:rPr>
            </w:pPr>
          </w:p>
        </w:tc>
        <w:tc>
          <w:tcPr>
            <w:tcW w:w="1020" w:type="dxa"/>
            <w:vAlign w:val="bottom"/>
            <w:gridSpan w:val="2"/>
          </w:tcPr>
          <w:p>
            <w:pPr>
              <w:jc w:val="center"/>
              <w:ind w:right="380"/>
              <w:spacing w:after="0" w:line="194" w:lineRule="exact"/>
              <w:rPr>
                <w:sz w:val="20"/>
                <w:szCs w:val="20"/>
                <w:color w:val="auto"/>
              </w:rPr>
            </w:pPr>
            <w:r>
              <w:rPr>
                <w:rFonts w:ascii="Arial" w:cs="Arial" w:eastAsia="Arial" w:hAnsi="Arial"/>
                <w:sz w:val="18"/>
                <w:szCs w:val="18"/>
                <w:b w:val="1"/>
                <w:bCs w:val="1"/>
                <w:color w:val="auto"/>
                <w:w w:val="94"/>
              </w:rPr>
              <w:t>Number</w:t>
            </w:r>
          </w:p>
        </w:tc>
        <w:tc>
          <w:tcPr>
            <w:tcW w:w="8040" w:type="dxa"/>
            <w:vAlign w:val="bottom"/>
            <w:gridSpan w:val="3"/>
          </w:tcPr>
          <w:p>
            <w:pPr>
              <w:ind w:left="2880"/>
              <w:spacing w:after="0" w:line="194" w:lineRule="exact"/>
              <w:rPr>
                <w:sz w:val="20"/>
                <w:szCs w:val="20"/>
                <w:color w:val="auto"/>
              </w:rPr>
            </w:pPr>
            <w:r>
              <w:rPr>
                <w:rFonts w:ascii="Arial" w:cs="Arial" w:eastAsia="Arial" w:hAnsi="Arial"/>
                <w:sz w:val="18"/>
                <w:szCs w:val="18"/>
                <w:b w:val="1"/>
                <w:bCs w:val="1"/>
                <w:color w:val="auto"/>
              </w:rPr>
              <w:t>Deal Name</w:t>
            </w:r>
          </w:p>
        </w:tc>
      </w:tr>
      <w:tr>
        <w:trPr>
          <w:trHeight w:val="195"/>
        </w:trPr>
        <w:tc>
          <w:tcPr>
            <w:tcW w:w="2360" w:type="dxa"/>
            <w:vAlign w:val="bottom"/>
          </w:tcPr>
          <w:p>
            <w:pPr>
              <w:spacing w:after="0"/>
              <w:rPr>
                <w:sz w:val="16"/>
                <w:szCs w:val="16"/>
                <w:color w:val="auto"/>
              </w:rPr>
            </w:pPr>
          </w:p>
        </w:tc>
        <w:tc>
          <w:tcPr>
            <w:tcW w:w="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2959</w:t>
            </w:r>
          </w:p>
        </w:tc>
        <w:tc>
          <w:tcPr>
            <w:tcW w:w="380" w:type="dxa"/>
            <w:vAlign w:val="bottom"/>
          </w:tcPr>
          <w:p>
            <w:pPr>
              <w:spacing w:after="0"/>
              <w:rPr>
                <w:sz w:val="16"/>
                <w:szCs w:val="16"/>
                <w:color w:val="auto"/>
              </w:rPr>
            </w:pPr>
          </w:p>
        </w:tc>
        <w:tc>
          <w:tcPr>
            <w:tcW w:w="2880" w:type="dxa"/>
            <w:vAlign w:val="bottom"/>
          </w:tcPr>
          <w:p>
            <w:pPr>
              <w:ind w:left="360"/>
              <w:spacing w:after="0" w:line="195" w:lineRule="exact"/>
              <w:rPr>
                <w:sz w:val="20"/>
                <w:szCs w:val="20"/>
                <w:color w:val="auto"/>
              </w:rPr>
            </w:pPr>
            <w:r>
              <w:rPr>
                <w:rFonts w:ascii="Arial" w:cs="Arial" w:eastAsia="Arial" w:hAnsi="Arial"/>
                <w:sz w:val="18"/>
                <w:szCs w:val="18"/>
                <w:color w:val="auto"/>
              </w:rPr>
              <w:t>AMSI 2002-AR1</w:t>
            </w:r>
          </w:p>
        </w:tc>
        <w:tc>
          <w:tcPr>
            <w:tcW w:w="840" w:type="dxa"/>
            <w:vAlign w:val="bottom"/>
            <w:tcBorders>
              <w:top w:val="single" w:sz="8" w:color="auto"/>
            </w:tcBorders>
          </w:tcPr>
          <w:p>
            <w:pPr>
              <w:spacing w:after="0"/>
              <w:rPr>
                <w:sz w:val="16"/>
                <w:szCs w:val="16"/>
                <w:color w:val="auto"/>
              </w:rPr>
            </w:pPr>
          </w:p>
        </w:tc>
        <w:tc>
          <w:tcPr>
            <w:tcW w:w="4320" w:type="dxa"/>
            <w:vAlign w:val="bottom"/>
          </w:tcPr>
          <w:p>
            <w:pPr>
              <w:spacing w:after="0"/>
              <w:rPr>
                <w:sz w:val="16"/>
                <w:szCs w:val="16"/>
                <w:color w:val="auto"/>
              </w:rPr>
            </w:pP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2960</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AMSI 2003-7</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2964</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ARSI 2003-W4</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2965</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ARSI 2004-W3</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2969</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BOND SECURITIZATION 2003-1</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2971</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C-BASS 1999-CB1</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2972</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C-BASS 1999-CB2</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3105</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FREMONT HM LN TR 2002-1</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3106</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FREMONT HM LN TR 2002-2</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3107</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FREMONT HM LN TR 2003-1</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3142</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GSAMP 2003-NC1</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3195</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MLMI 2002-NC1</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3201</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MORGAN STANLEY 2002-AM2</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3203</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MORGAN STANLEY 2002-HE2</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3214</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NAAC 2003-A2</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3234</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PC 2005-2</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3322</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RAAC 2007-SP2</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3327</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RALI 2003-QS17</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3329</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RALI 2003-QS19</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3337</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RALI 2005-QS6</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3346</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RALI 2003-QS15</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3350</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RALI 2004-QA6</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3354</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RALI 2004-QS16</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3358</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RALI 2004-QS7</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3359</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RALI 2005-QA3</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3361</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RALI 2005-QS14</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3362</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RALI 2005-QS16</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3363</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RALI 2005-QS17</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3366</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RALI 2006-QS7</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3371</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RAMP 2003-RP1</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3372</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RAMP 2003-RP2</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3374</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RAMP 2003-SL1</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3381</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RAMP 2005-RP2</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3385</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RAMP 2006-RP1</w:t>
            </w:r>
          </w:p>
        </w:tc>
      </w:tr>
      <w:tr>
        <w:trPr>
          <w:trHeight w:val="203"/>
        </w:trPr>
        <w:tc>
          <w:tcPr>
            <w:tcW w:w="3000" w:type="dxa"/>
            <w:vAlign w:val="bottom"/>
            <w:gridSpan w:val="2"/>
          </w:tcPr>
          <w:p>
            <w:pPr>
              <w:jc w:val="center"/>
              <w:ind w:left="2270"/>
              <w:spacing w:after="0" w:line="202" w:lineRule="exact"/>
              <w:rPr>
                <w:sz w:val="20"/>
                <w:szCs w:val="20"/>
                <w:color w:val="auto"/>
              </w:rPr>
            </w:pPr>
            <w:r>
              <w:rPr>
                <w:rFonts w:ascii="Arial" w:cs="Arial" w:eastAsia="Arial" w:hAnsi="Arial"/>
                <w:sz w:val="18"/>
                <w:szCs w:val="18"/>
                <w:color w:val="auto"/>
                <w:w w:val="89"/>
              </w:rPr>
              <w:t>3386</w:t>
            </w:r>
          </w:p>
        </w:tc>
        <w:tc>
          <w:tcPr>
            <w:tcW w:w="380" w:type="dxa"/>
            <w:vAlign w:val="bottom"/>
          </w:tcPr>
          <w:p>
            <w:pPr>
              <w:spacing w:after="0"/>
              <w:rPr>
                <w:sz w:val="17"/>
                <w:szCs w:val="17"/>
                <w:color w:val="auto"/>
              </w:rPr>
            </w:pPr>
          </w:p>
        </w:tc>
        <w:tc>
          <w:tcPr>
            <w:tcW w:w="80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RAMP 2006-RP2</w:t>
            </w:r>
          </w:p>
        </w:tc>
      </w:tr>
      <w:tr>
        <w:trPr>
          <w:trHeight w:val="230"/>
        </w:trPr>
        <w:tc>
          <w:tcPr>
            <w:tcW w:w="3000" w:type="dxa"/>
            <w:vAlign w:val="bottom"/>
            <w:gridSpan w:val="2"/>
          </w:tcPr>
          <w:p>
            <w:pPr>
              <w:jc w:val="center"/>
              <w:ind w:left="2270"/>
              <w:spacing w:after="0"/>
              <w:rPr>
                <w:sz w:val="20"/>
                <w:szCs w:val="20"/>
                <w:color w:val="auto"/>
              </w:rPr>
            </w:pPr>
            <w:r>
              <w:rPr>
                <w:rFonts w:ascii="Arial" w:cs="Arial" w:eastAsia="Arial" w:hAnsi="Arial"/>
                <w:sz w:val="18"/>
                <w:szCs w:val="18"/>
                <w:color w:val="auto"/>
                <w:w w:val="89"/>
              </w:rPr>
              <w:t>3387</w:t>
            </w:r>
          </w:p>
        </w:tc>
        <w:tc>
          <w:tcPr>
            <w:tcW w:w="380" w:type="dxa"/>
            <w:vAlign w:val="bottom"/>
          </w:tcPr>
          <w:p>
            <w:pPr>
              <w:spacing w:after="0"/>
              <w:rPr>
                <w:sz w:val="20"/>
                <w:szCs w:val="20"/>
                <w:color w:val="auto"/>
              </w:rPr>
            </w:pPr>
          </w:p>
        </w:tc>
        <w:tc>
          <w:tcPr>
            <w:tcW w:w="8040" w:type="dxa"/>
            <w:vAlign w:val="bottom"/>
            <w:gridSpan w:val="3"/>
          </w:tcPr>
          <w:p>
            <w:pPr>
              <w:ind w:left="360"/>
              <w:spacing w:after="0"/>
              <w:rPr>
                <w:sz w:val="20"/>
                <w:szCs w:val="20"/>
                <w:color w:val="auto"/>
              </w:rPr>
            </w:pPr>
            <w:r>
              <w:rPr>
                <w:rFonts w:ascii="Arial" w:cs="Arial" w:eastAsia="Arial" w:hAnsi="Arial"/>
                <w:sz w:val="18"/>
                <w:szCs w:val="18"/>
                <w:color w:val="auto"/>
              </w:rPr>
              <w:t>RAMP 2006-RP3</w:t>
            </w:r>
          </w:p>
        </w:tc>
      </w:tr>
      <w:tr>
        <w:trPr>
          <w:trHeight w:val="439"/>
        </w:trPr>
        <w:tc>
          <w:tcPr>
            <w:tcW w:w="2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3389</w:t>
            </w:r>
          </w:p>
        </w:tc>
        <w:tc>
          <w:tcPr>
            <w:tcW w:w="8120" w:type="dxa"/>
            <w:vAlign w:val="bottom"/>
          </w:tcPr>
          <w:p>
            <w:pPr>
              <w:ind w:left="440"/>
              <w:spacing w:after="0"/>
              <w:rPr>
                <w:sz w:val="20"/>
                <w:szCs w:val="20"/>
                <w:color w:val="auto"/>
              </w:rPr>
            </w:pPr>
            <w:r>
              <w:rPr>
                <w:rFonts w:ascii="Arial" w:cs="Arial" w:eastAsia="Arial" w:hAnsi="Arial"/>
                <w:sz w:val="18"/>
                <w:szCs w:val="18"/>
                <w:color w:val="auto"/>
              </w:rPr>
              <w:t>RAMP 2007-RP1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3392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2007-RP4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3402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SABR 2004-NC3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3404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SBM7 2002-WMC2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3408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Soundview 2001-2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3413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Soundview 2007-2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TERWIN 2003-7SL</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3428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TERWIN 2004-10SL</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3429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TERWIN 2004-2SL</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3430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TERWIN 2004-6SL</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3451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CMLTI 2003-HE2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3535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C-BASS 2003-CB4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3553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2007-S1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3218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Option One 2002-5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3315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RAAC 2005-SP2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3318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RAAC 2006-SP2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3321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RAAC 2007-SP1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2003-QS13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3376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2004-SL1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3380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2005-RP1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2005-SL2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3388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2006-RP4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3390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2007-RP2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3391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RAMP 2007-RP3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3452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CMLTI 2004-NCM1 (Nat City)</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3778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MSMLT 2007-2AX</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3779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MSMLT 2007-5AX</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3785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2006-15XS</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3787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2007-8XS</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3788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2007-10XS</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3796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2007-11AR</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3810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MSAC 2007-SEA1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2007-13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2007-14AR</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3827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MSM 2007-15AR</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3853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Saxon 01-3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3856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Saxon 02-1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3976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ABFC 2001-AQ1</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3977</w:t>
            </w:r>
          </w:p>
        </w:tc>
        <w:tc>
          <w:tcPr>
            <w:tcW w:w="8120" w:type="dxa"/>
            <w:vAlign w:val="bottom"/>
          </w:tcPr>
          <w:p>
            <w:pPr>
              <w:ind w:left="440"/>
              <w:spacing w:after="0"/>
              <w:rPr>
                <w:sz w:val="20"/>
                <w:szCs w:val="20"/>
                <w:color w:val="auto"/>
              </w:rPr>
            </w:pPr>
            <w:r>
              <w:rPr>
                <w:rFonts w:ascii="Arial" w:cs="Arial" w:eastAsia="Arial" w:hAnsi="Arial"/>
                <w:sz w:val="18"/>
                <w:szCs w:val="18"/>
                <w:color w:val="auto"/>
              </w:rPr>
              <w:t>ABFC 2002-OPT1</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3978</w:t>
            </w:r>
          </w:p>
        </w:tc>
        <w:tc>
          <w:tcPr>
            <w:tcW w:w="8120" w:type="dxa"/>
            <w:vAlign w:val="bottom"/>
          </w:tcPr>
          <w:p>
            <w:pPr>
              <w:ind w:left="440"/>
              <w:spacing w:after="0"/>
              <w:rPr>
                <w:sz w:val="20"/>
                <w:szCs w:val="20"/>
                <w:color w:val="auto"/>
              </w:rPr>
            </w:pPr>
            <w:r>
              <w:rPr>
                <w:rFonts w:ascii="Arial" w:cs="Arial" w:eastAsia="Arial" w:hAnsi="Arial"/>
                <w:sz w:val="18"/>
                <w:szCs w:val="18"/>
                <w:color w:val="auto"/>
              </w:rPr>
              <w:t>ABFC 2003-OPT1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ABFC 2005-AQ1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3985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ABFC 2005-HE1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3988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ABFC 2006-OPT1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3989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ABFC 2006-OPT2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3990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ABFC 2006-OPT3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3992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ABSC 2001-HE3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3998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ACE Series 2001-AQ1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4002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ACE Series 2005-SD1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4005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2005-1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4006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2005-2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4007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2006-1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4008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2006-2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4011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2006-5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4012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2006-6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4015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2007-3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4016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2007-4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4017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2007-5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2004-2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2004-3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2004-4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2005-1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2005-2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2005-3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2005-4A</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4028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2005-SD1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4030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2006-2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4031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2006-3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4032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2007-1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4033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2007-2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4034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2007-A</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4036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Investment Trust 2007-SD1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2001-2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2001-A</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2002-2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2002-3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2002-4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2002-A</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2002-AR1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4048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2002-B</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4049</w:t>
            </w:r>
          </w:p>
        </w:tc>
        <w:tc>
          <w:tcPr>
            <w:tcW w:w="8120" w:type="dxa"/>
            <w:vAlign w:val="bottom"/>
          </w:tcPr>
          <w:p>
            <w:pPr>
              <w:ind w:left="440"/>
              <w:spacing w:after="0"/>
              <w:rPr>
                <w:sz w:val="20"/>
                <w:szCs w:val="20"/>
                <w:color w:val="auto"/>
              </w:rPr>
            </w:pPr>
            <w:r>
              <w:rPr>
                <w:rFonts w:ascii="Arial" w:cs="Arial" w:eastAsia="Arial" w:hAnsi="Arial"/>
                <w:sz w:val="18"/>
                <w:szCs w:val="18"/>
                <w:color w:val="auto"/>
              </w:rPr>
              <w:t>AMSI 2002-C</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4050</w:t>
            </w:r>
          </w:p>
        </w:tc>
        <w:tc>
          <w:tcPr>
            <w:tcW w:w="8120" w:type="dxa"/>
            <w:vAlign w:val="bottom"/>
          </w:tcPr>
          <w:p>
            <w:pPr>
              <w:ind w:left="440"/>
              <w:spacing w:after="0"/>
              <w:rPr>
                <w:sz w:val="20"/>
                <w:szCs w:val="20"/>
                <w:color w:val="auto"/>
              </w:rPr>
            </w:pPr>
            <w:r>
              <w:rPr>
                <w:rFonts w:ascii="Arial" w:cs="Arial" w:eastAsia="Arial" w:hAnsi="Arial"/>
                <w:sz w:val="18"/>
                <w:szCs w:val="18"/>
                <w:color w:val="auto"/>
              </w:rPr>
              <w:t>AMSI 2002-D</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2003-12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2003-13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4059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2003-AR1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2003-AR2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2003-AR3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2003-IA1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2004-FR1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2004-IA1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4068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2004-R12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4079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2004-R9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4089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4090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4091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4092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4094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2005-R9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4095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AMSI 2006-R1</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4096</w:t>
            </w:r>
          </w:p>
        </w:tc>
        <w:tc>
          <w:tcPr>
            <w:tcW w:w="8120" w:type="dxa"/>
            <w:vAlign w:val="bottom"/>
          </w:tcPr>
          <w:p>
            <w:pPr>
              <w:ind w:left="440"/>
              <w:spacing w:after="0"/>
              <w:rPr>
                <w:sz w:val="20"/>
                <w:szCs w:val="20"/>
                <w:color w:val="auto"/>
              </w:rPr>
            </w:pPr>
            <w:r>
              <w:rPr>
                <w:rFonts w:ascii="Arial" w:cs="Arial" w:eastAsia="Arial" w:hAnsi="Arial"/>
                <w:sz w:val="18"/>
                <w:szCs w:val="18"/>
                <w:color w:val="auto"/>
              </w:rPr>
              <w:t>AMSI 2006-R2</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4101</w:t>
            </w:r>
          </w:p>
        </w:tc>
        <w:tc>
          <w:tcPr>
            <w:tcW w:w="8120" w:type="dxa"/>
            <w:vAlign w:val="bottom"/>
          </w:tcPr>
          <w:p>
            <w:pPr>
              <w:ind w:left="440"/>
              <w:spacing w:after="0"/>
              <w:rPr>
                <w:sz w:val="20"/>
                <w:szCs w:val="20"/>
                <w:color w:val="auto"/>
              </w:rPr>
            </w:pPr>
            <w:r>
              <w:rPr>
                <w:rFonts w:ascii="Arial" w:cs="Arial" w:eastAsia="Arial" w:hAnsi="Arial"/>
                <w:sz w:val="18"/>
                <w:szCs w:val="18"/>
                <w:color w:val="auto"/>
              </w:rPr>
              <w:t>Lehman ARC 2002-BC6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ARC 2002-BC8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4109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2003-W9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2004-PW1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4119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2004-W9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2005-W1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2005-W3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4129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2005-W4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2006-M1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2006-M2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2006-M3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2006-W3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2006-W4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ARSI 2006-W5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4139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Banc of America Funding Corp. 2008-1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4142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Bear Stearns ABS I Trust 2006-AC3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4151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Citigroup CMLTI 2006-AMC1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4152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Citigroup CMLTI 2006-HE2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4165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Deutsche DBALT 2006-AB2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4166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Deutsche DBALT 2006-AB3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4167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Deutsche DBALT 2006-AB4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4171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Deutsche DBALT 2006-AR5</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4172</w:t>
            </w:r>
          </w:p>
        </w:tc>
        <w:tc>
          <w:tcPr>
            <w:tcW w:w="8120" w:type="dxa"/>
            <w:vAlign w:val="bottom"/>
          </w:tcPr>
          <w:p>
            <w:pPr>
              <w:ind w:left="440"/>
              <w:spacing w:after="0"/>
              <w:rPr>
                <w:sz w:val="20"/>
                <w:szCs w:val="20"/>
                <w:color w:val="auto"/>
              </w:rPr>
            </w:pPr>
            <w:r>
              <w:rPr>
                <w:rFonts w:ascii="Arial" w:cs="Arial" w:eastAsia="Arial" w:hAnsi="Arial"/>
                <w:sz w:val="18"/>
                <w:szCs w:val="18"/>
                <w:color w:val="auto"/>
              </w:rPr>
              <w:t>Deutsche DBALT 2006-AR6</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4173</w:t>
            </w:r>
          </w:p>
        </w:tc>
        <w:tc>
          <w:tcPr>
            <w:tcW w:w="8120" w:type="dxa"/>
            <w:vAlign w:val="bottom"/>
          </w:tcPr>
          <w:p>
            <w:pPr>
              <w:ind w:left="440"/>
              <w:spacing w:after="0"/>
              <w:rPr>
                <w:sz w:val="20"/>
                <w:szCs w:val="20"/>
                <w:color w:val="auto"/>
              </w:rPr>
            </w:pPr>
            <w:r>
              <w:rPr>
                <w:rFonts w:ascii="Arial" w:cs="Arial" w:eastAsia="Arial" w:hAnsi="Arial"/>
                <w:sz w:val="18"/>
                <w:szCs w:val="18"/>
                <w:color w:val="auto"/>
              </w:rPr>
              <w:t>Deutsche DBALT 2007-1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4175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Deutsche DBALT 2007-AB1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4176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First Franklin 2001-FF1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4177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First Franklin 2001-FF2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4179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GSAA Home Equity 2006-10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GSAA Home Equity 2006-11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GSAA Home Equity 2006-6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GSAA Home Equity 2006-9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GSAMP 2003-HE2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GSAMP 2004-OPT</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GSAMP 2006-S4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GSR 2006-AR1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GSR 2006-AR2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4188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Goldman Sachs GSR 2006-OA1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4192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HSBC HASCO 2005-I1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4193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HSBC HASCO 2005-OPT1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4198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HSBC HASCO 2007-HE1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4207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HarborView Mortgage Loan Trust 2006-14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4208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HarborView Mortgage Loan Trust 2006-6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4209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HarborView Mortgage Loan Trust 2006-7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4210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HarborView Mortgage Loan Trust 2007-2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4216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Luminent Mortgage Trust 2006-7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4223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MASTR ABS Trust 2007-HE2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4224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MASTR ALT Series 2006-2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MASTR ARM Trust 2005-8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4227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MASTR ARM Trust 2006-OA1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4229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MASTR ARM Trust 2007-1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4231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MESA Trust 2001-2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4237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Merrill Lynch Series 2002-HE1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4240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Merrill Lynch Series 2004-OPT1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4243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Morgan Stanley 2004-OP1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4244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Morgan Stanley 2005-HE1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4245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Morgan Stanley 2005-HE2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4247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Morgan Stanley 2006-5AR</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4255</w:t>
            </w:r>
          </w:p>
        </w:tc>
        <w:tc>
          <w:tcPr>
            <w:tcW w:w="8120" w:type="dxa"/>
            <w:vAlign w:val="bottom"/>
          </w:tcPr>
          <w:p>
            <w:pPr>
              <w:ind w:left="440"/>
              <w:spacing w:after="0"/>
              <w:rPr>
                <w:sz w:val="20"/>
                <w:szCs w:val="20"/>
                <w:color w:val="auto"/>
              </w:rPr>
            </w:pPr>
            <w:r>
              <w:rPr>
                <w:rFonts w:ascii="Arial" w:cs="Arial" w:eastAsia="Arial" w:hAnsi="Arial"/>
                <w:sz w:val="18"/>
                <w:szCs w:val="18"/>
                <w:color w:val="auto"/>
              </w:rPr>
              <w:t>OOMC Loan Trust 1999-A</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4256</w:t>
            </w:r>
          </w:p>
        </w:tc>
        <w:tc>
          <w:tcPr>
            <w:tcW w:w="8120" w:type="dxa"/>
            <w:vAlign w:val="bottom"/>
          </w:tcPr>
          <w:p>
            <w:pPr>
              <w:ind w:left="440"/>
              <w:spacing w:after="0"/>
              <w:rPr>
                <w:sz w:val="20"/>
                <w:szCs w:val="20"/>
                <w:color w:val="auto"/>
              </w:rPr>
            </w:pPr>
            <w:r>
              <w:rPr>
                <w:rFonts w:ascii="Arial" w:cs="Arial" w:eastAsia="Arial" w:hAnsi="Arial"/>
                <w:sz w:val="18"/>
                <w:szCs w:val="18"/>
                <w:color w:val="auto"/>
              </w:rPr>
              <w:t>OOMC Loan Trust 1999-B</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4257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1999-C</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2000-A</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2000-B</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2000-C</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2000-D</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2001-4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2001-A</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2001-B</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2001-C</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4268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2001-D</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4270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2002-2 -STEP</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4272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2002-4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4273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2002-5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4275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2002-A -STEP</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4302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Loan Trust 2007-HL1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4304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OOMC Woodbridge 2002-2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4308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2002-X1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4309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2003-X2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2003-X3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2003-X4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2004-X1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2004-X2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2004-X3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2005-X1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2005-X2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2006-X1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4318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QUEST 2006-X2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4324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2003-BC10 Step Fee</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2003-BC11 Step Fee</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2003-BC12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4327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2003-BC13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4328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4329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4331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4332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4333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4334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2003-BC9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4337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2004-11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4338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2004-2</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4339</w:t>
            </w:r>
          </w:p>
        </w:tc>
        <w:tc>
          <w:tcPr>
            <w:tcW w:w="8120" w:type="dxa"/>
            <w:vAlign w:val="bottom"/>
          </w:tcPr>
          <w:p>
            <w:pPr>
              <w:ind w:left="440"/>
              <w:spacing w:after="0"/>
              <w:rPr>
                <w:sz w:val="20"/>
                <w:szCs w:val="20"/>
                <w:color w:val="auto"/>
              </w:rPr>
            </w:pPr>
            <w:r>
              <w:rPr>
                <w:rFonts w:ascii="Arial" w:cs="Arial" w:eastAsia="Arial" w:hAnsi="Arial"/>
                <w:sz w:val="18"/>
                <w:szCs w:val="18"/>
                <w:color w:val="auto"/>
              </w:rPr>
              <w:t>Lehman SAIL 2004-3</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4340</w:t>
            </w:r>
          </w:p>
        </w:tc>
        <w:tc>
          <w:tcPr>
            <w:tcW w:w="8120" w:type="dxa"/>
            <w:vAlign w:val="bottom"/>
          </w:tcPr>
          <w:p>
            <w:pPr>
              <w:ind w:left="440"/>
              <w:spacing w:after="0"/>
              <w:rPr>
                <w:sz w:val="20"/>
                <w:szCs w:val="20"/>
                <w:color w:val="auto"/>
              </w:rPr>
            </w:pPr>
            <w:r>
              <w:rPr>
                <w:rFonts w:ascii="Arial" w:cs="Arial" w:eastAsia="Arial" w:hAnsi="Arial"/>
                <w:sz w:val="18"/>
                <w:szCs w:val="18"/>
                <w:color w:val="auto"/>
              </w:rPr>
              <w:t>Lehman SAIL 2004-4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4341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2004-6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4342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2004-7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4344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2004-8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4349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2005-3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4350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2005-4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4351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2005-5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4352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2005-6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4355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SAIL 2006-BNC3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4356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Bear Stearns SAMI II Trust 2006-AR5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4360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SASCO 1999-BC4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4372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SASCO 2005-S7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4373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SASCO 2005-SC1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4379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SASCO 2006-Z</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4381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SASCO 2007-GEL2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4382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Lehman SASCO 2007-TC1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Salomon Brothers 1997-LB6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4385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Salomon Brothers 1998-AQ1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4386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Salomon Brothers 1998-NC7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4403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Soundview 2007-OPT2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4404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Soundview 2007-OPT3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4422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AHM Assets Trust 2007-SD2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2652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SGMS 2007-AHL1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2709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NMFT 2003-2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2710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NMFT 2003-3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2711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NMFT 2003-4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2715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NMFT 2004-4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2764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NMI 2006-5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3048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2002-4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3052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2003-3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3056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2004-3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3058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2004-5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3065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2005-C</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3066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2005-5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3067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Equity One 2005-D</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3114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GPMF 2006-OH1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3115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3116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3117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2006-14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3118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2006-15</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3119</w:t>
            </w:r>
          </w:p>
        </w:tc>
        <w:tc>
          <w:tcPr>
            <w:tcW w:w="8120" w:type="dxa"/>
            <w:vAlign w:val="bottom"/>
          </w:tcPr>
          <w:p>
            <w:pPr>
              <w:ind w:left="440"/>
              <w:spacing w:after="0"/>
              <w:rPr>
                <w:sz w:val="20"/>
                <w:szCs w:val="20"/>
                <w:color w:val="auto"/>
              </w:rPr>
            </w:pPr>
            <w:r>
              <w:rPr>
                <w:rFonts w:ascii="Arial" w:cs="Arial" w:eastAsia="Arial" w:hAnsi="Arial"/>
                <w:sz w:val="18"/>
                <w:szCs w:val="18"/>
                <w:color w:val="auto"/>
              </w:rPr>
              <w:t>GSAA 2006-16</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3120</w:t>
            </w:r>
          </w:p>
        </w:tc>
        <w:tc>
          <w:tcPr>
            <w:tcW w:w="8120" w:type="dxa"/>
            <w:vAlign w:val="bottom"/>
          </w:tcPr>
          <w:p>
            <w:pPr>
              <w:ind w:left="440"/>
              <w:spacing w:after="0"/>
              <w:rPr>
                <w:sz w:val="20"/>
                <w:szCs w:val="20"/>
                <w:color w:val="auto"/>
              </w:rPr>
            </w:pPr>
            <w:r>
              <w:rPr>
                <w:rFonts w:ascii="Arial" w:cs="Arial" w:eastAsia="Arial" w:hAnsi="Arial"/>
                <w:sz w:val="18"/>
                <w:szCs w:val="18"/>
                <w:color w:val="auto"/>
              </w:rPr>
              <w:t>GSAA 2006-17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2006-18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2006-19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2006-20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3129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2006-9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2007-07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2007-08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2007-09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3140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GSAA 2007-6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2006-10F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2006-2F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2006-3F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2006-4F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2006-5F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2006-8F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2006-OA1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2007-1F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3179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2007-2F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3180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2007-4F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3181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2007-5F</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3182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2007-AR1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3183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2007-OA1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GSR 2007-OA2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3187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Homeowner’s Financial 1996-1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3238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CWABS 2002-03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3241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CWABS 2002-BC1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3243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CWABS 2002-BC3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3244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CWABS 2004-BC2</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3245</w:t>
            </w:r>
          </w:p>
        </w:tc>
        <w:tc>
          <w:tcPr>
            <w:tcW w:w="8120" w:type="dxa"/>
            <w:vAlign w:val="bottom"/>
          </w:tcPr>
          <w:p>
            <w:pPr>
              <w:ind w:left="440"/>
              <w:spacing w:after="0"/>
              <w:rPr>
                <w:sz w:val="20"/>
                <w:szCs w:val="20"/>
                <w:color w:val="auto"/>
              </w:rPr>
            </w:pPr>
            <w:r>
              <w:rPr>
                <w:rFonts w:ascii="Arial" w:cs="Arial" w:eastAsia="Arial" w:hAnsi="Arial"/>
                <w:sz w:val="18"/>
                <w:szCs w:val="18"/>
                <w:color w:val="auto"/>
              </w:rPr>
              <w:t>CWABS 2004-BC3</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3253</w:t>
            </w:r>
          </w:p>
        </w:tc>
        <w:tc>
          <w:tcPr>
            <w:tcW w:w="8120" w:type="dxa"/>
            <w:vAlign w:val="bottom"/>
          </w:tcPr>
          <w:p>
            <w:pPr>
              <w:ind w:left="440"/>
              <w:spacing w:after="0"/>
              <w:rPr>
                <w:sz w:val="20"/>
                <w:szCs w:val="20"/>
                <w:color w:val="auto"/>
              </w:rPr>
            </w:pPr>
            <w:r>
              <w:rPr>
                <w:rFonts w:ascii="Arial" w:cs="Arial" w:eastAsia="Arial" w:hAnsi="Arial"/>
                <w:sz w:val="18"/>
                <w:szCs w:val="18"/>
                <w:color w:val="auto"/>
              </w:rPr>
              <w:t>CWALT 2004-09T1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3260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CWALT 2004-J2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3261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CWALT 2004-J3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3263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CWALT 2004-J8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3264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CWALT 2007-2 CB</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3266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CWALT 2007-6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3267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1998-04 ALT 1998-2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3273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2002-39_CHL 2002-39</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3274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2002-J5_CHL 2002-J5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3275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2003-01_CHL 2003-1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3277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2003-03_CHL 2003-03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2003-11_CHL 2003-11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3281</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2003-13 ALT 2003-5T2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2003-16 ALT 2003-6T2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2003-22 ALT 2003-9T1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2003-25 ALT 2003-11T1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2003-33 ALT 2003-15T2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3287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2003-34_CHL 2003-34</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3293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2003-55 ALT 2003-21T1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3295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2003-J11 ALT 2003-J1</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3300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CWMBS 2003-J8_CHL 2003-J8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3304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Popular 2006-C</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3305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Popular 2006-D</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3306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Popular 2006-E</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3314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RAAC 2004-SP3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3324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2002-QS6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3328</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2003-QS18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2004-QA3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2004-QS15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3335</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2004-QS5</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3336</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2004-QS8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3339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2001-QS16</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3340</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2001-QS17</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3342</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2002-QS10</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3343</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2002-QS3</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3344</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2002-QS8</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3347</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2003-QS2</w:t>
            </w:r>
          </w:p>
        </w:tc>
      </w:tr>
      <w:tr>
        <w:trPr>
          <w:trHeight w:val="203"/>
        </w:trPr>
        <w:tc>
          <w:tcPr>
            <w:tcW w:w="3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3349</w:t>
            </w:r>
          </w:p>
        </w:tc>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RALI 2004-QA4</w:t>
            </w:r>
          </w:p>
        </w:tc>
      </w:tr>
      <w:tr>
        <w:trPr>
          <w:trHeight w:val="230"/>
        </w:trPr>
        <w:tc>
          <w:tcPr>
            <w:tcW w:w="3300" w:type="dxa"/>
            <w:vAlign w:val="bottom"/>
          </w:tcPr>
          <w:p>
            <w:pPr>
              <w:jc w:val="right"/>
              <w:ind w:right="350"/>
              <w:spacing w:after="0"/>
              <w:rPr>
                <w:sz w:val="20"/>
                <w:szCs w:val="20"/>
                <w:color w:val="auto"/>
              </w:rPr>
            </w:pPr>
            <w:r>
              <w:rPr>
                <w:rFonts w:ascii="Arial" w:cs="Arial" w:eastAsia="Arial" w:hAnsi="Arial"/>
                <w:sz w:val="18"/>
                <w:szCs w:val="18"/>
                <w:color w:val="auto"/>
              </w:rPr>
              <w:t>3352</w:t>
            </w:r>
          </w:p>
        </w:tc>
        <w:tc>
          <w:tcPr>
            <w:tcW w:w="8120" w:type="dxa"/>
            <w:vAlign w:val="bottom"/>
          </w:tcPr>
          <w:p>
            <w:pPr>
              <w:ind w:left="440"/>
              <w:spacing w:after="0"/>
              <w:rPr>
                <w:sz w:val="20"/>
                <w:szCs w:val="20"/>
                <w:color w:val="auto"/>
              </w:rPr>
            </w:pPr>
            <w:r>
              <w:rPr>
                <w:rFonts w:ascii="Arial" w:cs="Arial" w:eastAsia="Arial" w:hAnsi="Arial"/>
                <w:sz w:val="18"/>
                <w:szCs w:val="18"/>
                <w:color w:val="auto"/>
              </w:rPr>
              <w:t>RALI 2004-QS12</w:t>
            </w:r>
          </w:p>
        </w:tc>
      </w:tr>
      <w:tr>
        <w:trPr>
          <w:trHeight w:val="439"/>
        </w:trPr>
        <w:tc>
          <w:tcPr>
            <w:tcW w:w="33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center"/>
              <w:ind w:left="1950"/>
              <w:spacing w:after="0"/>
              <w:rPr>
                <w:sz w:val="20"/>
                <w:szCs w:val="20"/>
                <w:color w:val="auto"/>
              </w:rPr>
            </w:pPr>
            <w:r>
              <w:rPr>
                <w:rFonts w:ascii="Arial" w:cs="Arial" w:eastAsia="Arial" w:hAnsi="Arial"/>
                <w:sz w:val="18"/>
                <w:szCs w:val="18"/>
                <w:color w:val="auto"/>
                <w:w w:val="89"/>
              </w:rPr>
              <w:t>3353</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2004-QS14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3356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3364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3365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3367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2001-RS3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3377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3378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3379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3399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2005-S8</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3400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2006-S10</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3453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CPT 2004-EC1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3458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Equity One 1999-1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3459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Equity One 2001-3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Equity One 2002-1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3464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Equity One 2005-2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3466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Equity One 2005-3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SASC 2004-13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3495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SASC 2004-7</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3503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UBS 2001-PB1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3504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UBS 2001-PB2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3506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Chase 2003-S13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3797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NMFT 2005-1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3799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NMFT 2005-3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NMI 2006-2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3803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NMI 2006-3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3804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NMI 2006-4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3845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Saxon 99-3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3846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Saxon 99-5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3847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Saxon 00-1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3850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Saxon 00-4</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SARM 2007-3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10636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RFSC 2004-RP1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2007-SA4</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2007-SA3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2007-SA2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2007-SA1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10905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2007-S9</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2007-S8</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2007-S7</w:t>
            </w:r>
          </w:p>
        </w:tc>
      </w:tr>
      <w:tr>
        <w:trPr>
          <w:trHeight w:val="230"/>
        </w:trPr>
        <w:tc>
          <w:tcPr>
            <w:tcW w:w="3320" w:type="dxa"/>
            <w:vAlign w:val="bottom"/>
          </w:tcPr>
          <w:p>
            <w:pPr>
              <w:spacing w:after="0"/>
              <w:rPr>
                <w:sz w:val="20"/>
                <w:szCs w:val="20"/>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RFMSI 2007-S6</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10904</w:t>
            </w:r>
          </w:p>
        </w:tc>
        <w:tc>
          <w:tcPr>
            <w:tcW w:w="8100" w:type="dxa"/>
            <w:vAlign w:val="bottom"/>
          </w:tcPr>
          <w:p>
            <w:pPr>
              <w:ind w:left="420"/>
              <w:spacing w:after="0"/>
              <w:rPr>
                <w:sz w:val="20"/>
                <w:szCs w:val="20"/>
                <w:color w:val="auto"/>
              </w:rPr>
            </w:pPr>
            <w:r>
              <w:rPr>
                <w:rFonts w:ascii="Arial" w:cs="Arial" w:eastAsia="Arial" w:hAnsi="Arial"/>
                <w:sz w:val="18"/>
                <w:szCs w:val="18"/>
                <w:color w:val="auto"/>
              </w:rPr>
              <w:t>RFMSI 2007-S5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10903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2007-S4</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10902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2007-S1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2006-SA4</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2006-SA3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2006-SA2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10901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2006-SA1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2006-S9</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10900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2006-S6</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2006-S12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2006-S11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2006-S1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2005-SA5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2005-SA4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2005-SA3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2005-SA2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10890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2005-SA1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2005-S1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2004-SA1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2004-S4</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10653</w:t>
            </w:r>
          </w:p>
        </w:tc>
        <w:tc>
          <w:tcPr>
            <w:tcW w:w="8100" w:type="dxa"/>
            <w:vAlign w:val="bottom"/>
          </w:tcPr>
          <w:p>
            <w:pPr>
              <w:ind w:left="420"/>
              <w:spacing w:after="0"/>
              <w:rPr>
                <w:sz w:val="20"/>
                <w:szCs w:val="20"/>
                <w:color w:val="auto"/>
              </w:rPr>
            </w:pPr>
            <w:r>
              <w:rPr>
                <w:rFonts w:ascii="Arial" w:cs="Arial" w:eastAsia="Arial" w:hAnsi="Arial"/>
                <w:sz w:val="18"/>
                <w:szCs w:val="18"/>
                <w:color w:val="auto"/>
              </w:rPr>
              <w:t>RFMSI 2004-S3</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10652</w:t>
            </w:r>
          </w:p>
        </w:tc>
        <w:tc>
          <w:tcPr>
            <w:tcW w:w="8100" w:type="dxa"/>
            <w:vAlign w:val="bottom"/>
          </w:tcPr>
          <w:p>
            <w:pPr>
              <w:ind w:left="420"/>
              <w:spacing w:after="0"/>
              <w:rPr>
                <w:sz w:val="20"/>
                <w:szCs w:val="20"/>
                <w:color w:val="auto"/>
              </w:rPr>
            </w:pPr>
            <w:r>
              <w:rPr>
                <w:rFonts w:ascii="Arial" w:cs="Arial" w:eastAsia="Arial" w:hAnsi="Arial"/>
                <w:sz w:val="18"/>
                <w:szCs w:val="18"/>
                <w:color w:val="auto"/>
              </w:rPr>
              <w:t>RFMSI 2004-S2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10606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2004-PS1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2003-S20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10559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10558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10557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10556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10555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10554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RFMSI 2003-S10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10880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2007-KS4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2007-KS3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2007-KS2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2007-KS1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10870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2006-KS1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10700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2005-KS11</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10697</w:t>
            </w:r>
          </w:p>
        </w:tc>
        <w:tc>
          <w:tcPr>
            <w:tcW w:w="8100" w:type="dxa"/>
            <w:vAlign w:val="bottom"/>
          </w:tcPr>
          <w:p>
            <w:pPr>
              <w:ind w:left="420"/>
              <w:spacing w:after="0"/>
              <w:rPr>
                <w:sz w:val="20"/>
                <w:szCs w:val="20"/>
                <w:color w:val="auto"/>
              </w:rPr>
            </w:pPr>
            <w:r>
              <w:rPr>
                <w:rFonts w:ascii="Arial" w:cs="Arial" w:eastAsia="Arial" w:hAnsi="Arial"/>
                <w:sz w:val="18"/>
                <w:szCs w:val="18"/>
                <w:color w:val="auto"/>
              </w:rPr>
              <w:t>RASC 2005-KS10</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10696</w:t>
            </w:r>
          </w:p>
        </w:tc>
        <w:tc>
          <w:tcPr>
            <w:tcW w:w="8100" w:type="dxa"/>
            <w:vAlign w:val="bottom"/>
          </w:tcPr>
          <w:p>
            <w:pPr>
              <w:ind w:left="420"/>
              <w:spacing w:after="0"/>
              <w:rPr>
                <w:sz w:val="20"/>
                <w:szCs w:val="20"/>
                <w:color w:val="auto"/>
              </w:rPr>
            </w:pPr>
            <w:r>
              <w:rPr>
                <w:rFonts w:ascii="Arial" w:cs="Arial" w:eastAsia="Arial" w:hAnsi="Arial"/>
                <w:sz w:val="18"/>
                <w:szCs w:val="18"/>
                <w:color w:val="auto"/>
              </w:rPr>
              <w:t>RASC 2005-KS1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10684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2005-AHL3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10683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2005-AHL2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10682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2005-AHL1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10600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2004-KS1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10512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10511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10510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10509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10508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10507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10506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2003-KS10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10461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2002-KS2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10444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2001-KS3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10443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RASC 2001-KS2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2007-RZ1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2007-RS2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2007-RS1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2006-RZ5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2006-RZ4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2006-RZ3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2006-RZ2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2006-RZ1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2006-RS1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2006-NC3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10850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2006-NC2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2006-NC1</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10848</w:t>
            </w:r>
          </w:p>
        </w:tc>
        <w:tc>
          <w:tcPr>
            <w:tcW w:w="8100" w:type="dxa"/>
            <w:vAlign w:val="bottom"/>
          </w:tcPr>
          <w:p>
            <w:pPr>
              <w:ind w:left="420"/>
              <w:spacing w:after="0"/>
              <w:rPr>
                <w:sz w:val="20"/>
                <w:szCs w:val="20"/>
                <w:color w:val="auto"/>
              </w:rPr>
            </w:pPr>
            <w:r>
              <w:rPr>
                <w:rFonts w:ascii="Arial" w:cs="Arial" w:eastAsia="Arial" w:hAnsi="Arial"/>
                <w:sz w:val="18"/>
                <w:szCs w:val="18"/>
                <w:color w:val="auto"/>
              </w:rPr>
              <w:t>RAMP 2006-EFC2</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10847</w:t>
            </w:r>
          </w:p>
        </w:tc>
        <w:tc>
          <w:tcPr>
            <w:tcW w:w="8100" w:type="dxa"/>
            <w:vAlign w:val="bottom"/>
          </w:tcPr>
          <w:p>
            <w:pPr>
              <w:ind w:left="420"/>
              <w:spacing w:after="0"/>
              <w:rPr>
                <w:sz w:val="20"/>
                <w:szCs w:val="20"/>
                <w:color w:val="auto"/>
              </w:rPr>
            </w:pPr>
            <w:r>
              <w:rPr>
                <w:rFonts w:ascii="Arial" w:cs="Arial" w:eastAsia="Arial" w:hAnsi="Arial"/>
                <w:sz w:val="18"/>
                <w:szCs w:val="18"/>
                <w:color w:val="auto"/>
              </w:rPr>
              <w:t>RAMP 2006-EFC1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2005-SL2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2005-SL1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2005-RZ4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2005-RZ3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2005-RZ2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10841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2005-RZ1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2005-RS1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2005-EFC6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2005-EFC5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2005-EFC4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2005-EFC3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10690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2005-EFC2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10689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2005-EFC1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2004-SL1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10650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2004-RZ4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2004-RZ3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2004-RZ1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10640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10639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10638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2004-RS10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2004-KR2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2004-KR1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10569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2003-SL1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10546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2003-RS7</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10544</w:t>
            </w:r>
          </w:p>
        </w:tc>
        <w:tc>
          <w:tcPr>
            <w:tcW w:w="8100" w:type="dxa"/>
            <w:vAlign w:val="bottom"/>
          </w:tcPr>
          <w:p>
            <w:pPr>
              <w:ind w:left="420"/>
              <w:spacing w:after="0"/>
              <w:rPr>
                <w:sz w:val="20"/>
                <w:szCs w:val="20"/>
                <w:color w:val="auto"/>
              </w:rPr>
            </w:pPr>
            <w:r>
              <w:rPr>
                <w:rFonts w:ascii="Arial" w:cs="Arial" w:eastAsia="Arial" w:hAnsi="Arial"/>
                <w:sz w:val="18"/>
                <w:szCs w:val="18"/>
                <w:color w:val="auto"/>
              </w:rPr>
              <w:t>RAMP 2003-RS10</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10499</w:t>
            </w:r>
          </w:p>
        </w:tc>
        <w:tc>
          <w:tcPr>
            <w:tcW w:w="8100" w:type="dxa"/>
            <w:vAlign w:val="bottom"/>
          </w:tcPr>
          <w:p>
            <w:pPr>
              <w:ind w:left="420"/>
              <w:spacing w:after="0"/>
              <w:rPr>
                <w:sz w:val="20"/>
                <w:szCs w:val="20"/>
                <w:color w:val="auto"/>
              </w:rPr>
            </w:pPr>
            <w:r>
              <w:rPr>
                <w:rFonts w:ascii="Arial" w:cs="Arial" w:eastAsia="Arial" w:hAnsi="Arial"/>
                <w:sz w:val="18"/>
                <w:szCs w:val="18"/>
                <w:color w:val="auto"/>
              </w:rPr>
              <w:t>RAMP 2002-SL1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2002-RZ3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10496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2002-RZ2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2002-RS3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2002-RS2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RAMP 2001-RS2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2007-QS9</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10670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10666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2007-QS10</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2007-QS1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2007-QA5</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2007-QA4</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2007-QA3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2007-QA2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2007-QA1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10830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2006-QS8</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2006-QS18</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2006-QS15</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10820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2006-QS1</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10816</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2006-QA9</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10815</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2006-QA8</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10810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2006-QA11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2006-QA1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10742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10741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10740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10730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2005-QA6</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10720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2005-QA1</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10635</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2004-QS9</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10634</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2004-QS8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10633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10632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10631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10630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10620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2004-QA6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2004-QA5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2004-QA4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2004-QA3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2004-QA2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10613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2004-QA1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2003-QS23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2003-QS22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10530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2003-QS21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2003-QS20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2003-QS13</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10520</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2003-QS12</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10519</w:t>
            </w:r>
          </w:p>
        </w:tc>
        <w:tc>
          <w:tcPr>
            <w:tcW w:w="8100" w:type="dxa"/>
            <w:vAlign w:val="bottom"/>
          </w:tcPr>
          <w:p>
            <w:pPr>
              <w:ind w:left="420"/>
              <w:spacing w:after="0"/>
              <w:rPr>
                <w:sz w:val="20"/>
                <w:szCs w:val="20"/>
                <w:color w:val="auto"/>
              </w:rPr>
            </w:pPr>
            <w:r>
              <w:rPr>
                <w:rFonts w:ascii="Arial" w:cs="Arial" w:eastAsia="Arial" w:hAnsi="Arial"/>
                <w:sz w:val="18"/>
                <w:szCs w:val="18"/>
                <w:color w:val="auto"/>
              </w:rPr>
              <w:t>RALI 2003-QS11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10518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2003-QS10</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10517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2003-QS1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2003-QA1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10490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10480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10479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2002-QS15</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10478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10477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10476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10475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10474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2002-QS1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10458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2001-QS19</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10457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2001-QS18</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10456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2001-QS17</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10455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2001-QS16</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10454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RALI 2001-QS13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2007-SP3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2007-SP2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2007-SP1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2007-RP4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2007-RP3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2007-RP2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10715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2007-RP1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2006-SP4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2006-SP3</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2006-SP2</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2006-SP1</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2006-RP4</w:t>
            </w:r>
          </w:p>
        </w:tc>
      </w:tr>
      <w:tr>
        <w:trPr>
          <w:trHeight w:val="203"/>
        </w:trPr>
        <w:tc>
          <w:tcPr>
            <w:tcW w:w="33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10800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2006-RP3</w:t>
            </w:r>
          </w:p>
        </w:tc>
      </w:tr>
      <w:tr>
        <w:trPr>
          <w:trHeight w:val="230"/>
        </w:trPr>
        <w:tc>
          <w:tcPr>
            <w:tcW w:w="3320" w:type="dxa"/>
            <w:vAlign w:val="bottom"/>
          </w:tcPr>
          <w:p>
            <w:pPr>
              <w:jc w:val="right"/>
              <w:ind w:right="330"/>
              <w:spacing w:after="0"/>
              <w:rPr>
                <w:sz w:val="20"/>
                <w:szCs w:val="20"/>
                <w:color w:val="auto"/>
              </w:rPr>
            </w:pPr>
            <w:r>
              <w:rPr>
                <w:rFonts w:ascii="Arial" w:cs="Arial" w:eastAsia="Arial" w:hAnsi="Arial"/>
                <w:sz w:val="18"/>
                <w:szCs w:val="18"/>
                <w:color w:val="auto"/>
              </w:rPr>
              <w:t>10799</w:t>
            </w:r>
          </w:p>
        </w:tc>
        <w:tc>
          <w:tcPr>
            <w:tcW w:w="8100" w:type="dxa"/>
            <w:vAlign w:val="bottom"/>
          </w:tcPr>
          <w:p>
            <w:pPr>
              <w:ind w:left="420"/>
              <w:spacing w:after="0"/>
              <w:rPr>
                <w:sz w:val="20"/>
                <w:szCs w:val="20"/>
                <w:color w:val="auto"/>
              </w:rPr>
            </w:pPr>
            <w:r>
              <w:rPr>
                <w:rFonts w:ascii="Arial" w:cs="Arial" w:eastAsia="Arial" w:hAnsi="Arial"/>
                <w:sz w:val="18"/>
                <w:szCs w:val="18"/>
                <w:color w:val="auto"/>
              </w:rPr>
              <w:t>RAAC 2006-RP2</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center"/>
              <w:ind w:left="1950"/>
              <w:spacing w:after="0"/>
              <w:rPr>
                <w:sz w:val="20"/>
                <w:szCs w:val="20"/>
                <w:color w:val="auto"/>
              </w:rPr>
            </w:pPr>
            <w:r>
              <w:rPr>
                <w:rFonts w:ascii="Arial" w:cs="Arial" w:eastAsia="Arial" w:hAnsi="Arial"/>
                <w:sz w:val="18"/>
                <w:szCs w:val="18"/>
                <w:color w:val="auto"/>
                <w:w w:val="87"/>
              </w:rPr>
              <w:t>10798</w:t>
            </w:r>
          </w:p>
        </w:tc>
        <w:tc>
          <w:tcPr>
            <w:tcW w:w="8100" w:type="dxa"/>
            <w:vAlign w:val="bottom"/>
          </w:tcPr>
          <w:p>
            <w:pPr>
              <w:ind w:left="420"/>
              <w:spacing w:after="0"/>
              <w:rPr>
                <w:sz w:val="20"/>
                <w:szCs w:val="20"/>
                <w:color w:val="auto"/>
              </w:rPr>
            </w:pPr>
            <w:r>
              <w:rPr>
                <w:rFonts w:ascii="Arial" w:cs="Arial" w:eastAsia="Arial" w:hAnsi="Arial"/>
                <w:sz w:val="18"/>
                <w:szCs w:val="18"/>
                <w:color w:val="auto"/>
              </w:rPr>
              <w:t>RAAC 2006-RP1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2005-SP3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2005-SP2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2005-RP3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2005-RP2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RAAC 2005-RP1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5216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MSLT 2007-2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MSLT 2007-1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LUM 2006-3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10790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HALO 2007-AR1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GSR 2007-AR1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10789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GSR 2006-AR2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GSR 2006-AR2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2006-J1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2006-AR2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2006-AR1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2005-J1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2005-AR6</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2005-AR5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2005-AR4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2005-AR3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2005-AR2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2005-AR1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2005-AF2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2005-AF1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2005-AA1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2004-J6</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2004-J5</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2004-J4</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2004-J3</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2004-J2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2004-J1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2004-GH1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4590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2004-AR2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2004-AR1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2003-J9</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2003-J8</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2003-J7</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2003-J6</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2003-J5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4584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GMACMLT 2003-J10</w:t>
            </w:r>
          </w:p>
        </w:tc>
      </w:tr>
      <w:tr>
        <w:trPr>
          <w:trHeight w:val="230"/>
        </w:trPr>
        <w:tc>
          <w:tcPr>
            <w:tcW w:w="3320" w:type="dxa"/>
            <w:vAlign w:val="bottom"/>
          </w:tcPr>
          <w:p>
            <w:pPr>
              <w:spacing w:after="0"/>
              <w:rPr>
                <w:sz w:val="20"/>
                <w:szCs w:val="20"/>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GMACMLT 2003-GH2</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9" w:name="page160"/>
    <w:bookmarkEnd w:id="159"/>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860" w:type="dxa"/>
            <w:vAlign w:val="bottom"/>
          </w:tcPr>
          <w:p>
            <w:pPr>
              <w:jc w:val="center"/>
              <w:ind w:right="330"/>
              <w:spacing w:after="0"/>
              <w:rPr>
                <w:sz w:val="20"/>
                <w:szCs w:val="20"/>
                <w:color w:val="auto"/>
              </w:rPr>
            </w:pPr>
            <w:r>
              <w:rPr>
                <w:rFonts w:ascii="Arial" w:cs="Arial" w:eastAsia="Arial" w:hAnsi="Arial"/>
                <w:sz w:val="18"/>
                <w:szCs w:val="18"/>
                <w:color w:val="auto"/>
                <w:w w:val="89"/>
              </w:rPr>
              <w:t>4583</w:t>
            </w:r>
          </w:p>
        </w:tc>
        <w:tc>
          <w:tcPr>
            <w:tcW w:w="2200" w:type="dxa"/>
            <w:vAlign w:val="bottom"/>
          </w:tcPr>
          <w:p>
            <w:pPr>
              <w:ind w:left="420"/>
              <w:spacing w:after="0"/>
              <w:rPr>
                <w:sz w:val="20"/>
                <w:szCs w:val="20"/>
                <w:color w:val="auto"/>
              </w:rPr>
            </w:pPr>
            <w:r>
              <w:rPr>
                <w:rFonts w:ascii="Arial" w:cs="Arial" w:eastAsia="Arial" w:hAnsi="Arial"/>
                <w:sz w:val="18"/>
                <w:szCs w:val="18"/>
                <w:color w:val="auto"/>
                <w:w w:val="98"/>
              </w:rPr>
              <w:t>GMACMLT 2003-GH1</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4582</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w w:val="99"/>
              </w:rPr>
              <w:t>GMACMLT 2003-AR2</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4581</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w w:val="99"/>
              </w:rPr>
              <w:t>GMACMLT 2003-AR1</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4580</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GMACM 2007-HE3</w:t>
            </w:r>
          </w:p>
        </w:tc>
      </w:tr>
      <w:tr>
        <w:trPr>
          <w:trHeight w:val="203"/>
        </w:trPr>
        <w:tc>
          <w:tcPr>
            <w:tcW w:w="860" w:type="dxa"/>
            <w:vAlign w:val="bottom"/>
          </w:tcPr>
          <w:p>
            <w:pPr>
              <w:spacing w:after="0"/>
              <w:rPr>
                <w:sz w:val="17"/>
                <w:szCs w:val="17"/>
                <w:color w:val="auto"/>
              </w:rPr>
            </w:pP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DBALT 2007-RAMP1</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7"/>
              </w:rPr>
              <w:t>10779</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2007-E1</w:t>
            </w:r>
          </w:p>
        </w:tc>
      </w:tr>
      <w:tr>
        <w:trPr>
          <w:trHeight w:val="203"/>
        </w:trPr>
        <w:tc>
          <w:tcPr>
            <w:tcW w:w="860" w:type="dxa"/>
            <w:vAlign w:val="bottom"/>
          </w:tcPr>
          <w:p>
            <w:pPr>
              <w:spacing w:after="0"/>
              <w:rPr>
                <w:sz w:val="17"/>
                <w:szCs w:val="17"/>
                <w:color w:val="auto"/>
              </w:rPr>
            </w:pP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2006-WH17</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5185</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TCMLT 2006-1</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5140</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Subflow 2005</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5240</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Subflow 2005</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4690</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SEQ 2007-4</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4688</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SEQ 2007-2</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4687</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SEQ 2007-1</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4677</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SEQ 2004-4</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4676</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SEQ 2004-3</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4675</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SEQ 2004-12</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4673</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SEQ 2004-10</w:t>
            </w:r>
          </w:p>
        </w:tc>
      </w:tr>
      <w:tr>
        <w:trPr>
          <w:trHeight w:val="203"/>
        </w:trPr>
        <w:tc>
          <w:tcPr>
            <w:tcW w:w="860" w:type="dxa"/>
            <w:vAlign w:val="bottom"/>
          </w:tcPr>
          <w:p>
            <w:pPr>
              <w:spacing w:after="0"/>
              <w:rPr>
                <w:sz w:val="17"/>
                <w:szCs w:val="17"/>
                <w:color w:val="auto"/>
              </w:rPr>
            </w:pP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SASCO 2007-GEL2</w:t>
            </w:r>
          </w:p>
        </w:tc>
      </w:tr>
      <w:tr>
        <w:trPr>
          <w:trHeight w:val="203"/>
        </w:trPr>
        <w:tc>
          <w:tcPr>
            <w:tcW w:w="860" w:type="dxa"/>
            <w:vAlign w:val="bottom"/>
          </w:tcPr>
          <w:p>
            <w:pPr>
              <w:spacing w:after="0"/>
              <w:rPr>
                <w:sz w:val="17"/>
                <w:szCs w:val="17"/>
                <w:color w:val="auto"/>
              </w:rPr>
            </w:pP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SASCO 2006-GEL3</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5070</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RAST 2005-A6CB</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4788</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w w:val="95"/>
              </w:rPr>
              <w:t>ONEWEST BANK FSB</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4748</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NCHELT 2004-A</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5218</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NAAC 2007-2</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4746</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NAAC 2005-AP1</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5124</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NAAC 2004-AP2</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5117</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NAAC 2004-AP1</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5180</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MSLT 2006-2</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5192</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MSLT 2006-03</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5164</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MSLT 2005-03</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5146</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MSLT 2005-01</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5127</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MSLT 2004-1</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4743</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MLMI 2005-A6</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5189</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MARM 2006-OA2</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4714</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MARM 2005-1</w:t>
            </w:r>
          </w:p>
        </w:tc>
      </w:tr>
      <w:tr>
        <w:trPr>
          <w:trHeight w:val="203"/>
        </w:trPr>
        <w:tc>
          <w:tcPr>
            <w:tcW w:w="86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89"/>
              </w:rPr>
              <w:t>4698</w:t>
            </w: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MANA 2007-OAR3</w:t>
            </w:r>
          </w:p>
        </w:tc>
      </w:tr>
      <w:tr>
        <w:trPr>
          <w:trHeight w:val="203"/>
        </w:trPr>
        <w:tc>
          <w:tcPr>
            <w:tcW w:w="860" w:type="dxa"/>
            <w:vAlign w:val="bottom"/>
          </w:tcPr>
          <w:p>
            <w:pPr>
              <w:spacing w:after="0"/>
              <w:rPr>
                <w:sz w:val="17"/>
                <w:szCs w:val="17"/>
                <w:color w:val="auto"/>
              </w:rPr>
            </w:pP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LXS 2006-GP4</w:t>
            </w:r>
          </w:p>
        </w:tc>
      </w:tr>
      <w:tr>
        <w:trPr>
          <w:trHeight w:val="203"/>
        </w:trPr>
        <w:tc>
          <w:tcPr>
            <w:tcW w:w="860" w:type="dxa"/>
            <w:vAlign w:val="bottom"/>
          </w:tcPr>
          <w:p>
            <w:pPr>
              <w:spacing w:after="0"/>
              <w:rPr>
                <w:sz w:val="17"/>
                <w:szCs w:val="17"/>
                <w:color w:val="auto"/>
              </w:rPr>
            </w:pPr>
          </w:p>
        </w:tc>
        <w:tc>
          <w:tcPr>
            <w:tcW w:w="2200" w:type="dxa"/>
            <w:vAlign w:val="bottom"/>
          </w:tcPr>
          <w:p>
            <w:pPr>
              <w:ind w:left="420"/>
              <w:spacing w:after="0" w:line="202" w:lineRule="exact"/>
              <w:rPr>
                <w:sz w:val="20"/>
                <w:szCs w:val="20"/>
                <w:color w:val="auto"/>
              </w:rPr>
            </w:pPr>
            <w:r>
              <w:rPr>
                <w:rFonts w:ascii="Arial" w:cs="Arial" w:eastAsia="Arial" w:hAnsi="Arial"/>
                <w:sz w:val="18"/>
                <w:szCs w:val="18"/>
                <w:color w:val="auto"/>
              </w:rPr>
              <w:t>LXS 2006-GP3</w:t>
            </w:r>
          </w:p>
        </w:tc>
      </w:tr>
      <w:tr>
        <w:trPr>
          <w:trHeight w:val="219"/>
        </w:trPr>
        <w:tc>
          <w:tcPr>
            <w:tcW w:w="860" w:type="dxa"/>
            <w:vAlign w:val="bottom"/>
          </w:tcPr>
          <w:p>
            <w:pPr>
              <w:spacing w:after="0"/>
              <w:rPr>
                <w:sz w:val="19"/>
                <w:szCs w:val="19"/>
                <w:color w:val="auto"/>
              </w:rPr>
            </w:pPr>
          </w:p>
        </w:tc>
        <w:tc>
          <w:tcPr>
            <w:tcW w:w="2200" w:type="dxa"/>
            <w:vAlign w:val="bottom"/>
          </w:tcPr>
          <w:p>
            <w:pPr>
              <w:ind w:left="420"/>
              <w:spacing w:after="0"/>
              <w:rPr>
                <w:sz w:val="20"/>
                <w:szCs w:val="20"/>
                <w:color w:val="auto"/>
              </w:rPr>
            </w:pPr>
            <w:r>
              <w:rPr>
                <w:rFonts w:ascii="Arial" w:cs="Arial" w:eastAsia="Arial" w:hAnsi="Arial"/>
                <w:sz w:val="18"/>
                <w:szCs w:val="18"/>
                <w:color w:val="auto"/>
              </w:rPr>
              <w:t>LXS 2006-GP2</w:t>
            </w:r>
          </w:p>
        </w:tc>
      </w:tr>
    </w:tbl>
    <w:p>
      <w:pPr>
        <w:ind w:left="2540"/>
        <w:spacing w:after="0" w:line="234" w:lineRule="auto"/>
        <w:rPr>
          <w:sz w:val="20"/>
          <w:szCs w:val="20"/>
          <w:color w:val="auto"/>
        </w:rPr>
      </w:pPr>
      <w:r>
        <w:rPr>
          <w:rFonts w:ascii="Arial" w:cs="Arial" w:eastAsia="Arial" w:hAnsi="Arial"/>
          <w:sz w:val="18"/>
          <w:szCs w:val="18"/>
          <w:color w:val="auto"/>
        </w:rPr>
        <w:t>LXS 2006-GP1</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LXS 2006-4N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270510</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3320" w:type="dxa"/>
            <w:vAlign w:val="bottom"/>
          </w:tcPr>
          <w:p>
            <w:pPr>
              <w:jc w:val="center"/>
              <w:ind w:left="1950"/>
              <w:spacing w:after="0"/>
              <w:rPr>
                <w:sz w:val="20"/>
                <w:szCs w:val="20"/>
                <w:color w:val="auto"/>
              </w:rPr>
            </w:pPr>
            <w:r>
              <w:rPr>
                <w:rFonts w:ascii="Arial" w:cs="Arial" w:eastAsia="Arial" w:hAnsi="Arial"/>
                <w:sz w:val="18"/>
                <w:szCs w:val="18"/>
                <w:color w:val="auto"/>
                <w:w w:val="87"/>
              </w:rPr>
              <w:t>10909</w:t>
            </w:r>
          </w:p>
        </w:tc>
        <w:tc>
          <w:tcPr>
            <w:tcW w:w="8100" w:type="dxa"/>
            <w:vAlign w:val="bottom"/>
          </w:tcPr>
          <w:p>
            <w:pPr>
              <w:ind w:left="420"/>
              <w:spacing w:after="0"/>
              <w:rPr>
                <w:sz w:val="20"/>
                <w:szCs w:val="20"/>
                <w:color w:val="auto"/>
              </w:rPr>
            </w:pPr>
            <w:r>
              <w:rPr>
                <w:rFonts w:ascii="Arial" w:cs="Arial" w:eastAsia="Arial" w:hAnsi="Arial"/>
                <w:sz w:val="18"/>
                <w:szCs w:val="18"/>
                <w:color w:val="auto"/>
              </w:rPr>
              <w:t>LXS 2006-12N</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10908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LXS 2006-10N</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5175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LUM 2006-4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5260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2007-3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2006-5</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2006-4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2006-2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2006-1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2005-1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2004-4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2004-2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2004-1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4520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2003-3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2003-1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2002-3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ISAC 2002-2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2007-A</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2005-8</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2005-4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2005-2</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2005-1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2004-9</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4510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2004-8</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4509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2004-7</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4508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4507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4902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2004-11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4506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2004-10</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4505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ICMB 2003-9F</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5214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2007-4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5205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2007-3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5222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2007-07</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5220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2007-06</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2006-SB1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5197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2006-14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2006-10</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5163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2005-15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5158</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HVMLT 2005-11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GSR 2006-AR1</w:t>
            </w:r>
          </w:p>
        </w:tc>
      </w:tr>
      <w:tr>
        <w:trPr>
          <w:trHeight w:val="230"/>
        </w:trPr>
        <w:tc>
          <w:tcPr>
            <w:tcW w:w="3320" w:type="dxa"/>
            <w:vAlign w:val="bottom"/>
          </w:tcPr>
          <w:p>
            <w:pPr>
              <w:spacing w:after="0"/>
              <w:rPr>
                <w:sz w:val="20"/>
                <w:szCs w:val="20"/>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GSR 2006-4F</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jc w:val="center"/>
              <w:ind w:left="1950"/>
              <w:spacing w:after="0"/>
              <w:rPr>
                <w:sz w:val="20"/>
                <w:szCs w:val="20"/>
                <w:color w:val="auto"/>
              </w:rPr>
            </w:pPr>
            <w:r>
              <w:rPr>
                <w:rFonts w:ascii="Arial" w:cs="Arial" w:eastAsia="Arial" w:hAnsi="Arial"/>
                <w:sz w:val="18"/>
                <w:szCs w:val="18"/>
                <w:color w:val="auto"/>
                <w:w w:val="89"/>
              </w:rPr>
              <w:t>5188</w:t>
            </w:r>
          </w:p>
        </w:tc>
        <w:tc>
          <w:tcPr>
            <w:tcW w:w="8100" w:type="dxa"/>
            <w:vAlign w:val="bottom"/>
          </w:tcPr>
          <w:p>
            <w:pPr>
              <w:ind w:left="420"/>
              <w:spacing w:after="0"/>
              <w:rPr>
                <w:sz w:val="20"/>
                <w:szCs w:val="20"/>
                <w:color w:val="auto"/>
              </w:rPr>
            </w:pPr>
            <w:r>
              <w:rPr>
                <w:rFonts w:ascii="Arial" w:cs="Arial" w:eastAsia="Arial" w:hAnsi="Arial"/>
                <w:sz w:val="18"/>
                <w:szCs w:val="18"/>
                <w:color w:val="auto"/>
              </w:rPr>
              <w:t>GSMPS 2006-RP2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2007-AR2</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2007-AR1</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2006-AR8</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2006-AR7</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2006-AR6</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2006-AR5</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GPMF 2006-AR4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4799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FHAVA 2002-9</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DMSI 2004-5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4693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DMSI 2004-4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4691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DMSI 2004-1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5219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DBALT 2007-OA5</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5215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DBALT 2007-OA4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5213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DBALT 2007-OA3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4774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DBALT 2005-3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4773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DBALT 2003-4XS</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4772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DBALT 2003-2XS</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4766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CSFB 2005-9</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BSALTA 2006-3</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5169</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BSALTA 2006-1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4865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BSABS 2004-BO1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4804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WELLS FARGO BANK, N.A.</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4627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BAFC 2006-4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4623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ARMT 2005-9</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4645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ARMT 2005-11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5207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ACE 2007-HE4</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5057</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2004-WH6</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7"/>
              </w:rPr>
              <w:t>10020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2003-7</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5073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2002-Flow</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E*Trade Bank - FB</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5096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E*Trade Bank</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5210</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Macquarie Mortgages USA, Inc. - FB</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5236</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E*Trade Bank</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5072</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EMC FHA/VA 2002-1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5071</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EMC FHA/VA 2003-1</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5094</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AMALGAMATED BANK</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5095</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Washington Mutual Mortgage Securities Corp</w:t>
            </w:r>
          </w:p>
        </w:tc>
      </w:tr>
      <w:tr>
        <w:trPr>
          <w:trHeight w:val="203"/>
        </w:trPr>
        <w:tc>
          <w:tcPr>
            <w:tcW w:w="3320" w:type="dxa"/>
            <w:vAlign w:val="bottom"/>
          </w:tcPr>
          <w:p>
            <w:pPr>
              <w:jc w:val="center"/>
              <w:ind w:left="1950"/>
              <w:spacing w:after="0" w:line="202" w:lineRule="exact"/>
              <w:rPr>
                <w:sz w:val="20"/>
                <w:szCs w:val="20"/>
                <w:color w:val="auto"/>
              </w:rPr>
            </w:pPr>
            <w:r>
              <w:rPr>
                <w:rFonts w:ascii="Arial" w:cs="Arial" w:eastAsia="Arial" w:hAnsi="Arial"/>
                <w:sz w:val="18"/>
                <w:szCs w:val="18"/>
                <w:color w:val="auto"/>
                <w:w w:val="89"/>
              </w:rPr>
              <w:t>5173</w:t>
            </w: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TCF National Bank</w:t>
            </w:r>
          </w:p>
        </w:tc>
      </w:tr>
      <w:tr>
        <w:trPr>
          <w:trHeight w:val="203"/>
        </w:trPr>
        <w:tc>
          <w:tcPr>
            <w:tcW w:w="33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Everbank</w:t>
            </w:r>
          </w:p>
        </w:tc>
      </w:tr>
      <w:tr>
        <w:trPr>
          <w:trHeight w:val="230"/>
        </w:trPr>
        <w:tc>
          <w:tcPr>
            <w:tcW w:w="3320" w:type="dxa"/>
            <w:vAlign w:val="bottom"/>
          </w:tcPr>
          <w:p>
            <w:pPr>
              <w:spacing w:after="0"/>
              <w:rPr>
                <w:sz w:val="20"/>
                <w:szCs w:val="20"/>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BOA Merrill Lynch Global Securities</w:t>
            </w:r>
          </w:p>
        </w:tc>
      </w:tr>
      <w:tr>
        <w:trPr>
          <w:trHeight w:val="439"/>
        </w:trPr>
        <w:tc>
          <w:tcPr>
            <w:tcW w:w="3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62" w:name="page163"/>
    <w:bookmarkEnd w:id="162"/>
    <w:p>
      <w:pPr>
        <w:spacing w:after="0" w:line="1" w:lineRule="exact"/>
        <w:rPr>
          <w:sz w:val="20"/>
          <w:szCs w:val="20"/>
          <w:color w:val="auto"/>
        </w:rPr>
      </w:pPr>
    </w:p>
    <w:tbl>
      <w:tblPr>
        <w:tblLayout w:type="fixed"/>
        <w:tblInd w:w="1712"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SCHEDULE II</w:t>
            </w: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20" w:type="dxa"/>
            <w:vAlign w:val="bottom"/>
            <w:gridSpan w:val="5"/>
          </w:tcPr>
          <w:p>
            <w:pPr>
              <w:ind w:left="160"/>
              <w:spacing w:after="0"/>
              <w:rPr>
                <w:sz w:val="20"/>
                <w:szCs w:val="20"/>
                <w:color w:val="auto"/>
              </w:rPr>
            </w:pPr>
            <w:r>
              <w:rPr>
                <w:rFonts w:ascii="Arial" w:cs="Arial" w:eastAsia="Arial" w:hAnsi="Arial"/>
                <w:sz w:val="18"/>
                <w:szCs w:val="18"/>
                <w:b w:val="1"/>
                <w:bCs w:val="1"/>
                <w:color w:val="auto"/>
              </w:rPr>
              <w:t>RETAINED SERVICING FEE PERCENTAGE</w:t>
            </w:r>
          </w:p>
        </w:tc>
      </w:tr>
      <w:tr>
        <w:trPr>
          <w:trHeight w:val="412"/>
        </w:trPr>
        <w:tc>
          <w:tcPr>
            <w:tcW w:w="9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From Month</w:t>
            </w:r>
            <w:r>
              <w:rPr>
                <w:rFonts w:ascii="Arial" w:cs="Arial" w:eastAsia="Arial" w:hAnsi="Arial"/>
                <w:sz w:val="30"/>
                <w:szCs w:val="30"/>
                <w:b w:val="1"/>
                <w:bCs w:val="1"/>
                <w:color w:val="auto"/>
                <w:vertAlign w:val="superscript"/>
              </w:rPr>
              <w:t>1</w:t>
            </w:r>
          </w:p>
        </w:tc>
        <w:tc>
          <w:tcPr>
            <w:tcW w:w="37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To Month</w:t>
            </w:r>
          </w:p>
        </w:tc>
        <w:tc>
          <w:tcPr>
            <w:tcW w:w="204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Retained Fee</w:t>
            </w:r>
          </w:p>
        </w:tc>
      </w:tr>
      <w:tr>
        <w:trPr>
          <w:trHeight w:val="217"/>
        </w:trPr>
        <w:tc>
          <w:tcPr>
            <w:tcW w:w="920" w:type="dxa"/>
            <w:vAlign w:val="bottom"/>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003300"/>
                <w:w w:val="79"/>
              </w:rPr>
              <w:t>1</w:t>
            </w:r>
          </w:p>
        </w:tc>
        <w:tc>
          <w:tcPr>
            <w:tcW w:w="240" w:type="dxa"/>
            <w:vAlign w:val="bottom"/>
            <w:shd w:val="clear" w:color="auto" w:fill="CCEECC"/>
          </w:tcPr>
          <w:p>
            <w:pPr>
              <w:spacing w:after="0"/>
              <w:rPr>
                <w:sz w:val="18"/>
                <w:szCs w:val="18"/>
                <w:color w:val="auto"/>
              </w:rPr>
            </w:pPr>
          </w:p>
        </w:tc>
        <w:tc>
          <w:tcPr>
            <w:tcW w:w="1440" w:type="dxa"/>
            <w:vAlign w:val="bottom"/>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003300"/>
                <w:w w:val="79"/>
              </w:rPr>
              <w:t>3</w:t>
            </w:r>
          </w:p>
        </w:tc>
        <w:tc>
          <w:tcPr>
            <w:tcW w:w="1580" w:type="dxa"/>
            <w:vAlign w:val="bottom"/>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8"/>
              </w:rPr>
              <w:t>16.75</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910"/>
              <w:spacing w:after="0"/>
              <w:rPr>
                <w:sz w:val="20"/>
                <w:szCs w:val="20"/>
                <w:color w:val="auto"/>
              </w:rPr>
            </w:pPr>
            <w:r>
              <w:rPr>
                <w:rFonts w:ascii="Arial" w:cs="Arial" w:eastAsia="Arial" w:hAnsi="Arial"/>
                <w:sz w:val="18"/>
                <w:szCs w:val="18"/>
                <w:color w:val="003300"/>
                <w:w w:val="79"/>
              </w:rPr>
              <w:t>4</w:t>
            </w:r>
          </w:p>
        </w:tc>
        <w:tc>
          <w:tcPr>
            <w:tcW w:w="240" w:type="dxa"/>
            <w:vAlign w:val="bottom"/>
          </w:tcPr>
          <w:p>
            <w:pPr>
              <w:spacing w:after="0"/>
              <w:rPr>
                <w:sz w:val="18"/>
                <w:szCs w:val="18"/>
                <w:color w:val="auto"/>
              </w:rPr>
            </w:pPr>
          </w:p>
        </w:tc>
        <w:tc>
          <w:tcPr>
            <w:tcW w:w="2200" w:type="dxa"/>
            <w:vAlign w:val="bottom"/>
            <w:gridSpan w:val="2"/>
          </w:tcPr>
          <w:p>
            <w:pPr>
              <w:jc w:val="center"/>
              <w:ind w:left="1350"/>
              <w:spacing w:after="0"/>
              <w:rPr>
                <w:sz w:val="20"/>
                <w:szCs w:val="20"/>
                <w:color w:val="auto"/>
              </w:rPr>
            </w:pPr>
            <w:r>
              <w:rPr>
                <w:rFonts w:ascii="Arial" w:cs="Arial" w:eastAsia="Arial" w:hAnsi="Arial"/>
                <w:sz w:val="18"/>
                <w:szCs w:val="18"/>
                <w:color w:val="003300"/>
                <w:w w:val="79"/>
              </w:rPr>
              <w:t>6</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15.75</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910"/>
              <w:spacing w:after="0"/>
              <w:rPr>
                <w:sz w:val="20"/>
                <w:szCs w:val="20"/>
                <w:color w:val="auto"/>
              </w:rPr>
            </w:pPr>
            <w:r>
              <w:rPr>
                <w:rFonts w:ascii="Arial" w:cs="Arial" w:eastAsia="Arial" w:hAnsi="Arial"/>
                <w:sz w:val="18"/>
                <w:szCs w:val="18"/>
                <w:color w:val="003300"/>
                <w:w w:val="79"/>
              </w:rPr>
              <w:t>7</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50"/>
              <w:spacing w:after="0"/>
              <w:rPr>
                <w:sz w:val="20"/>
                <w:szCs w:val="20"/>
                <w:color w:val="auto"/>
              </w:rPr>
            </w:pPr>
            <w:r>
              <w:rPr>
                <w:rFonts w:ascii="Arial" w:cs="Arial" w:eastAsia="Arial" w:hAnsi="Arial"/>
                <w:sz w:val="18"/>
                <w:szCs w:val="18"/>
                <w:color w:val="003300"/>
                <w:w w:val="79"/>
              </w:rPr>
              <w:t>9</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15.25</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10</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12</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14.75</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13</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15</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14.75</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16</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18</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14.25</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19</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21</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13.75</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22</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24</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13.50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25</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27</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13.50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28</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30</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13.25</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31</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33</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34</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36</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37</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39</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40</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42</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43</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45</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46</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48</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49</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51</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52</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54</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55</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57</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58</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60</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61</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63</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16"/>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64</w:t>
            </w:r>
          </w:p>
        </w:tc>
        <w:tc>
          <w:tcPr>
            <w:tcW w:w="240" w:type="dxa"/>
            <w:vAlign w:val="bottom"/>
          </w:tcPr>
          <w:p>
            <w:pPr>
              <w:spacing w:after="0"/>
              <w:rPr>
                <w:sz w:val="18"/>
                <w:szCs w:val="18"/>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66</w:t>
            </w:r>
          </w:p>
        </w:tc>
        <w:tc>
          <w:tcPr>
            <w:tcW w:w="1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18"/>
                <w:szCs w:val="18"/>
                <w:color w:val="auto"/>
              </w:rPr>
            </w:pPr>
          </w:p>
        </w:tc>
      </w:tr>
      <w:tr>
        <w:trPr>
          <w:trHeight w:val="216"/>
        </w:trPr>
        <w:tc>
          <w:tcPr>
            <w:tcW w:w="1920" w:type="dxa"/>
            <w:vAlign w:val="bottom"/>
            <w:gridSpan w:val="2"/>
            <w:shd w:val="clear" w:color="auto" w:fill="CCEECC"/>
          </w:tcPr>
          <w:p>
            <w:pPr>
              <w:jc w:val="center"/>
              <w:ind w:left="890"/>
              <w:spacing w:after="0"/>
              <w:rPr>
                <w:sz w:val="20"/>
                <w:szCs w:val="20"/>
                <w:color w:val="auto"/>
              </w:rPr>
            </w:pPr>
            <w:r>
              <w:rPr>
                <w:rFonts w:ascii="Arial" w:cs="Arial" w:eastAsia="Arial" w:hAnsi="Arial"/>
                <w:sz w:val="18"/>
                <w:szCs w:val="18"/>
                <w:color w:val="003300"/>
                <w:w w:val="89"/>
              </w:rPr>
              <w:t>67</w:t>
            </w:r>
          </w:p>
        </w:tc>
        <w:tc>
          <w:tcPr>
            <w:tcW w:w="240" w:type="dxa"/>
            <w:vAlign w:val="bottom"/>
            <w:shd w:val="clear" w:color="auto" w:fill="CCEECC"/>
          </w:tcPr>
          <w:p>
            <w:pPr>
              <w:spacing w:after="0"/>
              <w:rPr>
                <w:sz w:val="18"/>
                <w:szCs w:val="18"/>
                <w:color w:val="auto"/>
              </w:rPr>
            </w:pPr>
          </w:p>
        </w:tc>
        <w:tc>
          <w:tcPr>
            <w:tcW w:w="2200" w:type="dxa"/>
            <w:vAlign w:val="bottom"/>
            <w:gridSpan w:val="2"/>
            <w:shd w:val="clear" w:color="auto" w:fill="CCEECC"/>
          </w:tcPr>
          <w:p>
            <w:pPr>
              <w:jc w:val="center"/>
              <w:ind w:left="1330"/>
              <w:spacing w:after="0"/>
              <w:rPr>
                <w:sz w:val="20"/>
                <w:szCs w:val="20"/>
                <w:color w:val="auto"/>
              </w:rPr>
            </w:pPr>
            <w:r>
              <w:rPr>
                <w:rFonts w:ascii="Arial" w:cs="Arial" w:eastAsia="Arial" w:hAnsi="Arial"/>
                <w:sz w:val="18"/>
                <w:szCs w:val="18"/>
                <w:color w:val="003300"/>
                <w:w w:val="89"/>
              </w:rPr>
              <w:t>69</w:t>
            </w:r>
          </w:p>
        </w:tc>
        <w:tc>
          <w:tcPr>
            <w:tcW w:w="1580" w:type="dxa"/>
            <w:vAlign w:val="bottom"/>
            <w:shd w:val="clear" w:color="auto" w:fill="CCEECC"/>
          </w:tcPr>
          <w:p>
            <w:pPr>
              <w:spacing w:after="0"/>
              <w:rPr>
                <w:sz w:val="18"/>
                <w:szCs w:val="18"/>
                <w:color w:val="auto"/>
              </w:rPr>
            </w:pP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shd w:val="clear" w:color="auto" w:fill="CCEECC"/>
          </w:tcPr>
          <w:p>
            <w:pPr>
              <w:spacing w:after="0"/>
              <w:rPr>
                <w:sz w:val="18"/>
                <w:szCs w:val="18"/>
                <w:color w:val="auto"/>
              </w:rPr>
            </w:pPr>
          </w:p>
        </w:tc>
      </w:tr>
      <w:tr>
        <w:trPr>
          <w:trHeight w:val="230"/>
        </w:trPr>
        <w:tc>
          <w:tcPr>
            <w:tcW w:w="1920" w:type="dxa"/>
            <w:vAlign w:val="bottom"/>
            <w:gridSpan w:val="2"/>
          </w:tcPr>
          <w:p>
            <w:pPr>
              <w:jc w:val="center"/>
              <w:ind w:left="890"/>
              <w:spacing w:after="0"/>
              <w:rPr>
                <w:sz w:val="20"/>
                <w:szCs w:val="20"/>
                <w:color w:val="auto"/>
              </w:rPr>
            </w:pPr>
            <w:r>
              <w:rPr>
                <w:rFonts w:ascii="Arial" w:cs="Arial" w:eastAsia="Arial" w:hAnsi="Arial"/>
                <w:sz w:val="18"/>
                <w:szCs w:val="18"/>
                <w:color w:val="003300"/>
                <w:w w:val="89"/>
              </w:rPr>
              <w:t>70</w:t>
            </w:r>
          </w:p>
        </w:tc>
        <w:tc>
          <w:tcPr>
            <w:tcW w:w="240" w:type="dxa"/>
            <w:vAlign w:val="bottom"/>
          </w:tcPr>
          <w:p>
            <w:pPr>
              <w:spacing w:after="0"/>
              <w:rPr>
                <w:sz w:val="20"/>
                <w:szCs w:val="20"/>
                <w:color w:val="auto"/>
              </w:rPr>
            </w:pPr>
          </w:p>
        </w:tc>
        <w:tc>
          <w:tcPr>
            <w:tcW w:w="2200" w:type="dxa"/>
            <w:vAlign w:val="bottom"/>
            <w:gridSpan w:val="2"/>
          </w:tcPr>
          <w:p>
            <w:pPr>
              <w:jc w:val="center"/>
              <w:ind w:left="1330"/>
              <w:spacing w:after="0"/>
              <w:rPr>
                <w:sz w:val="20"/>
                <w:szCs w:val="20"/>
                <w:color w:val="auto"/>
              </w:rPr>
            </w:pPr>
            <w:r>
              <w:rPr>
                <w:rFonts w:ascii="Arial" w:cs="Arial" w:eastAsia="Arial" w:hAnsi="Arial"/>
                <w:sz w:val="18"/>
                <w:szCs w:val="18"/>
                <w:color w:val="003300"/>
                <w:w w:val="89"/>
              </w:rPr>
              <w:t>72</w:t>
            </w:r>
          </w:p>
        </w:tc>
        <w:tc>
          <w:tcPr>
            <w:tcW w:w="15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18097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47" w:lineRule="exact"/>
        <w:rPr>
          <w:sz w:val="20"/>
          <w:szCs w:val="20"/>
          <w:color w:val="auto"/>
        </w:rPr>
      </w:pPr>
    </w:p>
    <w:p>
      <w:pPr>
        <w:ind w:left="112" w:hanging="112"/>
        <w:spacing w:after="0"/>
        <w:tabs>
          <w:tab w:leader="none" w:pos="112" w:val="left"/>
        </w:tabs>
        <w:numPr>
          <w:ilvl w:val="0"/>
          <w:numId w:val="70"/>
        </w:numPr>
        <w:rPr>
          <w:rFonts w:ascii="Arial" w:cs="Arial" w:eastAsia="Arial" w:hAnsi="Arial"/>
          <w:sz w:val="30"/>
          <w:szCs w:val="30"/>
          <w:color w:val="auto"/>
          <w:vertAlign w:val="superscript"/>
        </w:rPr>
      </w:pPr>
      <w:r>
        <w:rPr>
          <w:rFonts w:ascii="Arial" w:cs="Arial" w:eastAsia="Arial" w:hAnsi="Arial"/>
          <w:sz w:val="18"/>
          <w:szCs w:val="18"/>
          <w:color w:val="auto"/>
        </w:rPr>
        <w:t>Starting with July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1"/>
          </w:cols>
          <w:pgMar w:left="248" w:top="662" w:right="1440"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rPr>
              <w:t>SCHEDULE III</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5"/>
        </w:trPr>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40" w:type="dxa"/>
            <w:vAlign w:val="bottom"/>
            <w:gridSpan w:val="5"/>
          </w:tcPr>
          <w:p>
            <w:pPr>
              <w:jc w:val="center"/>
              <w:ind w:left="910"/>
              <w:spacing w:after="0"/>
              <w:rPr>
                <w:sz w:val="20"/>
                <w:szCs w:val="20"/>
                <w:color w:val="auto"/>
              </w:rPr>
            </w:pPr>
            <w:r>
              <w:rPr>
                <w:rFonts w:ascii="Arial" w:cs="Arial" w:eastAsia="Arial" w:hAnsi="Arial"/>
                <w:sz w:val="18"/>
                <w:szCs w:val="18"/>
                <w:b w:val="1"/>
                <w:bCs w:val="1"/>
                <w:color w:val="auto"/>
              </w:rPr>
              <w:t>TARGET RATIO SCHEDULE</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2"/>
        </w:trPr>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w w:val="92"/>
              </w:rPr>
              <w:t>Month</w:t>
            </w:r>
          </w:p>
        </w:tc>
        <w:tc>
          <w:tcPr>
            <w:tcW w:w="25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Target Advance Ratio</w:t>
            </w:r>
          </w:p>
        </w:tc>
        <w:tc>
          <w:tcPr>
            <w:tcW w:w="1000" w:type="dxa"/>
            <w:vAlign w:val="bottom"/>
          </w:tcPr>
          <w:p>
            <w:pPr>
              <w:spacing w:after="0"/>
              <w:rPr>
                <w:sz w:val="24"/>
                <w:szCs w:val="24"/>
                <w:color w:val="auto"/>
              </w:rPr>
            </w:pPr>
          </w:p>
        </w:tc>
        <w:tc>
          <w:tcPr>
            <w:tcW w:w="126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6"/>
              </w:rPr>
              <w:t>Month</w:t>
            </w:r>
          </w:p>
        </w:tc>
        <w:tc>
          <w:tcPr>
            <w:tcW w:w="24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Target Advance Ratio</w:t>
            </w: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520" w:type="dxa"/>
            <w:vAlign w:val="bottom"/>
            <w:tcBorders>
              <w:top w:val="single" w:sz="8" w:color="auto"/>
            </w:tcBorders>
            <w:shd w:val="clear" w:color="auto" w:fill="CCEECC"/>
          </w:tcPr>
          <w:p>
            <w:pPr>
              <w:jc w:val="center"/>
              <w:spacing w:after="0" w:line="202" w:lineRule="exact"/>
              <w:rPr>
                <w:sz w:val="20"/>
                <w:szCs w:val="20"/>
                <w:color w:val="auto"/>
              </w:rPr>
            </w:pPr>
            <w:r>
              <w:rPr>
                <w:rFonts w:ascii="Arial" w:cs="Arial" w:eastAsia="Arial" w:hAnsi="Arial"/>
                <w:sz w:val="18"/>
                <w:szCs w:val="18"/>
                <w:color w:val="auto"/>
                <w:w w:val="79"/>
              </w:rPr>
              <w:t>1</w:t>
            </w:r>
          </w:p>
        </w:tc>
        <w:tc>
          <w:tcPr>
            <w:tcW w:w="740" w:type="dxa"/>
            <w:vAlign w:val="bottom"/>
            <w:shd w:val="clear" w:color="auto" w:fill="CCEECC"/>
          </w:tcPr>
          <w:p>
            <w:pPr>
              <w:spacing w:after="0"/>
              <w:rPr>
                <w:sz w:val="17"/>
                <w:szCs w:val="17"/>
                <w:color w:val="auto"/>
              </w:rPr>
            </w:pPr>
          </w:p>
        </w:tc>
        <w:tc>
          <w:tcPr>
            <w:tcW w:w="1680" w:type="dxa"/>
            <w:vAlign w:val="bottom"/>
            <w:tcBorders>
              <w:top w:val="single" w:sz="8" w:color="auto"/>
            </w:tcBorders>
            <w:shd w:val="clear" w:color="auto" w:fill="CCEECC"/>
          </w:tcPr>
          <w:p>
            <w:pPr>
              <w:jc w:val="center"/>
              <w:spacing w:after="0" w:line="202" w:lineRule="exact"/>
              <w:rPr>
                <w:sz w:val="20"/>
                <w:szCs w:val="20"/>
                <w:color w:val="auto"/>
              </w:rPr>
            </w:pPr>
            <w:r>
              <w:rPr>
                <w:rFonts w:ascii="Arial" w:cs="Arial" w:eastAsia="Arial" w:hAnsi="Arial"/>
                <w:sz w:val="18"/>
                <w:szCs w:val="18"/>
                <w:color w:val="auto"/>
                <w:w w:val="93"/>
              </w:rPr>
              <w:t>2.87%</w:t>
            </w:r>
          </w:p>
        </w:tc>
        <w:tc>
          <w:tcPr>
            <w:tcW w:w="10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520" w:type="dxa"/>
            <w:vAlign w:val="bottom"/>
            <w:tcBorders>
              <w:top w:val="single" w:sz="8" w:color="auto"/>
            </w:tcBorders>
            <w:shd w:val="clear" w:color="auto" w:fill="CCEECC"/>
          </w:tcPr>
          <w:p>
            <w:pPr>
              <w:jc w:val="center"/>
              <w:spacing w:after="0" w:line="202" w:lineRule="exact"/>
              <w:rPr>
                <w:sz w:val="20"/>
                <w:szCs w:val="20"/>
                <w:color w:val="auto"/>
              </w:rPr>
            </w:pPr>
            <w:r>
              <w:rPr>
                <w:rFonts w:ascii="Arial" w:cs="Arial" w:eastAsia="Arial" w:hAnsi="Arial"/>
                <w:sz w:val="18"/>
                <w:szCs w:val="18"/>
                <w:color w:val="auto"/>
                <w:w w:val="89"/>
              </w:rPr>
              <w:t>37</w:t>
            </w:r>
          </w:p>
        </w:tc>
        <w:tc>
          <w:tcPr>
            <w:tcW w:w="74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680" w:type="dxa"/>
            <w:vAlign w:val="bottom"/>
            <w:tcBorders>
              <w:top w:val="single" w:sz="8" w:color="auto"/>
            </w:tcBorders>
            <w:shd w:val="clear" w:color="auto" w:fill="CCEECC"/>
          </w:tcPr>
          <w:p>
            <w:pPr>
              <w:jc w:val="center"/>
              <w:spacing w:after="0" w:line="202" w:lineRule="exact"/>
              <w:rPr>
                <w:sz w:val="20"/>
                <w:szCs w:val="20"/>
                <w:color w:val="auto"/>
              </w:rPr>
            </w:pPr>
            <w:r>
              <w:rPr>
                <w:rFonts w:ascii="Arial" w:cs="Arial" w:eastAsia="Arial" w:hAnsi="Arial"/>
                <w:sz w:val="18"/>
                <w:szCs w:val="18"/>
                <w:color w:val="auto"/>
                <w:w w:val="90"/>
              </w:rPr>
              <w:t>1.67%</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79"/>
              </w:rPr>
              <w:t>2</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2.82%</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38</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1.64%</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30"/>
              <w:spacing w:after="0" w:line="202" w:lineRule="exact"/>
              <w:rPr>
                <w:sz w:val="20"/>
                <w:szCs w:val="20"/>
                <w:color w:val="auto"/>
              </w:rPr>
            </w:pPr>
            <w:r>
              <w:rPr>
                <w:rFonts w:ascii="Arial" w:cs="Arial" w:eastAsia="Arial" w:hAnsi="Arial"/>
                <w:sz w:val="18"/>
                <w:szCs w:val="18"/>
                <w:color w:val="auto"/>
                <w:w w:val="79"/>
              </w:rPr>
              <w:t>3</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2.85%</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39</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1.62%</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79"/>
              </w:rPr>
              <w:t>4</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2.77%</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40</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1.59%</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30"/>
              <w:spacing w:after="0" w:line="202" w:lineRule="exact"/>
              <w:rPr>
                <w:sz w:val="20"/>
                <w:szCs w:val="20"/>
                <w:color w:val="auto"/>
              </w:rPr>
            </w:pPr>
            <w:r>
              <w:rPr>
                <w:rFonts w:ascii="Arial" w:cs="Arial" w:eastAsia="Arial" w:hAnsi="Arial"/>
                <w:sz w:val="18"/>
                <w:szCs w:val="18"/>
                <w:color w:val="auto"/>
                <w:w w:val="79"/>
              </w:rPr>
              <w:t>5</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2.70%</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41</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1.57%</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79"/>
              </w:rPr>
              <w:t>6</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2.66%</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42</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1.54%</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30"/>
              <w:spacing w:after="0" w:line="202" w:lineRule="exact"/>
              <w:rPr>
                <w:sz w:val="20"/>
                <w:szCs w:val="20"/>
                <w:color w:val="auto"/>
              </w:rPr>
            </w:pPr>
            <w:r>
              <w:rPr>
                <w:rFonts w:ascii="Arial" w:cs="Arial" w:eastAsia="Arial" w:hAnsi="Arial"/>
                <w:sz w:val="18"/>
                <w:szCs w:val="18"/>
                <w:color w:val="auto"/>
                <w:w w:val="79"/>
              </w:rPr>
              <w:t>7</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2.62%</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43</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1.52%</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79"/>
              </w:rPr>
              <w:t>8</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2.58%</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44</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30"/>
              <w:spacing w:after="0" w:line="202" w:lineRule="exact"/>
              <w:rPr>
                <w:sz w:val="20"/>
                <w:szCs w:val="20"/>
                <w:color w:val="auto"/>
              </w:rPr>
            </w:pPr>
            <w:r>
              <w:rPr>
                <w:rFonts w:ascii="Arial" w:cs="Arial" w:eastAsia="Arial" w:hAnsi="Arial"/>
                <w:sz w:val="18"/>
                <w:szCs w:val="18"/>
                <w:color w:val="auto"/>
                <w:w w:val="79"/>
              </w:rPr>
              <w:t>9</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2.54%</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45</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10</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2.50%</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46</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30"/>
              <w:spacing w:after="0" w:line="202" w:lineRule="exact"/>
              <w:rPr>
                <w:sz w:val="20"/>
                <w:szCs w:val="20"/>
                <w:color w:val="auto"/>
              </w:rPr>
            </w:pPr>
            <w:r>
              <w:rPr>
                <w:rFonts w:ascii="Arial" w:cs="Arial" w:eastAsia="Arial" w:hAnsi="Arial"/>
                <w:sz w:val="18"/>
                <w:szCs w:val="18"/>
                <w:color w:val="auto"/>
                <w:w w:val="79"/>
              </w:rPr>
              <w:t>11</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2.47%</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47</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12</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2.43%</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48</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50"/>
              <w:spacing w:after="0" w:line="202" w:lineRule="exact"/>
              <w:rPr>
                <w:sz w:val="20"/>
                <w:szCs w:val="20"/>
                <w:color w:val="auto"/>
              </w:rPr>
            </w:pPr>
            <w:r>
              <w:rPr>
                <w:rFonts w:ascii="Arial" w:cs="Arial" w:eastAsia="Arial" w:hAnsi="Arial"/>
                <w:sz w:val="18"/>
                <w:szCs w:val="18"/>
                <w:color w:val="auto"/>
                <w:w w:val="89"/>
              </w:rPr>
              <w:t>13</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2.39%</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49</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14</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2.36%</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50</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50"/>
              <w:spacing w:after="0" w:line="202" w:lineRule="exact"/>
              <w:rPr>
                <w:sz w:val="20"/>
                <w:szCs w:val="20"/>
                <w:color w:val="auto"/>
              </w:rPr>
            </w:pPr>
            <w:r>
              <w:rPr>
                <w:rFonts w:ascii="Arial" w:cs="Arial" w:eastAsia="Arial" w:hAnsi="Arial"/>
                <w:sz w:val="18"/>
                <w:szCs w:val="18"/>
                <w:color w:val="auto"/>
                <w:w w:val="89"/>
              </w:rPr>
              <w:t>15</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2.32%</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51</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16</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2.29%</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52</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50"/>
              <w:spacing w:after="0" w:line="202" w:lineRule="exact"/>
              <w:rPr>
                <w:sz w:val="20"/>
                <w:szCs w:val="20"/>
                <w:color w:val="auto"/>
              </w:rPr>
            </w:pPr>
            <w:r>
              <w:rPr>
                <w:rFonts w:ascii="Arial" w:cs="Arial" w:eastAsia="Arial" w:hAnsi="Arial"/>
                <w:sz w:val="18"/>
                <w:szCs w:val="18"/>
                <w:color w:val="auto"/>
                <w:w w:val="89"/>
              </w:rPr>
              <w:t>17</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2.25%</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53</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18</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2.22%</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54</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50"/>
              <w:spacing w:after="0" w:line="202" w:lineRule="exact"/>
              <w:rPr>
                <w:sz w:val="20"/>
                <w:szCs w:val="20"/>
                <w:color w:val="auto"/>
              </w:rPr>
            </w:pPr>
            <w:r>
              <w:rPr>
                <w:rFonts w:ascii="Arial" w:cs="Arial" w:eastAsia="Arial" w:hAnsi="Arial"/>
                <w:sz w:val="18"/>
                <w:szCs w:val="18"/>
                <w:color w:val="auto"/>
                <w:w w:val="89"/>
              </w:rPr>
              <w:t>19</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2.19%</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55</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20</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2.15%</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56</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50"/>
              <w:spacing w:after="0" w:line="202" w:lineRule="exact"/>
              <w:rPr>
                <w:sz w:val="20"/>
                <w:szCs w:val="20"/>
                <w:color w:val="auto"/>
              </w:rPr>
            </w:pPr>
            <w:r>
              <w:rPr>
                <w:rFonts w:ascii="Arial" w:cs="Arial" w:eastAsia="Arial" w:hAnsi="Arial"/>
                <w:sz w:val="18"/>
                <w:szCs w:val="18"/>
                <w:color w:val="auto"/>
                <w:w w:val="89"/>
              </w:rPr>
              <w:t>21</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2.12%</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57</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22</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2.09%</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58</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50"/>
              <w:spacing w:after="0" w:line="202" w:lineRule="exact"/>
              <w:rPr>
                <w:sz w:val="20"/>
                <w:szCs w:val="20"/>
                <w:color w:val="auto"/>
              </w:rPr>
            </w:pPr>
            <w:r>
              <w:rPr>
                <w:rFonts w:ascii="Arial" w:cs="Arial" w:eastAsia="Arial" w:hAnsi="Arial"/>
                <w:sz w:val="18"/>
                <w:szCs w:val="18"/>
                <w:color w:val="auto"/>
                <w:w w:val="89"/>
              </w:rPr>
              <w:t>23</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2.06%</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59</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24</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2.03%</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60</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50"/>
              <w:spacing w:after="0" w:line="202" w:lineRule="exact"/>
              <w:rPr>
                <w:sz w:val="20"/>
                <w:szCs w:val="20"/>
                <w:color w:val="auto"/>
              </w:rPr>
            </w:pPr>
            <w:r>
              <w:rPr>
                <w:rFonts w:ascii="Arial" w:cs="Arial" w:eastAsia="Arial" w:hAnsi="Arial"/>
                <w:sz w:val="18"/>
                <w:szCs w:val="18"/>
                <w:color w:val="auto"/>
                <w:w w:val="89"/>
              </w:rPr>
              <w:t>25</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2.00%</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61</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26</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1.97%</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62</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50"/>
              <w:spacing w:after="0" w:line="202" w:lineRule="exact"/>
              <w:rPr>
                <w:sz w:val="20"/>
                <w:szCs w:val="20"/>
                <w:color w:val="auto"/>
              </w:rPr>
            </w:pPr>
            <w:r>
              <w:rPr>
                <w:rFonts w:ascii="Arial" w:cs="Arial" w:eastAsia="Arial" w:hAnsi="Arial"/>
                <w:sz w:val="18"/>
                <w:szCs w:val="18"/>
                <w:color w:val="auto"/>
                <w:w w:val="89"/>
              </w:rPr>
              <w:t>27</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1.94%</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63</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28</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1.91%</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64</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50"/>
              <w:spacing w:after="0" w:line="202" w:lineRule="exact"/>
              <w:rPr>
                <w:sz w:val="20"/>
                <w:szCs w:val="20"/>
                <w:color w:val="auto"/>
              </w:rPr>
            </w:pPr>
            <w:r>
              <w:rPr>
                <w:rFonts w:ascii="Arial" w:cs="Arial" w:eastAsia="Arial" w:hAnsi="Arial"/>
                <w:sz w:val="18"/>
                <w:szCs w:val="18"/>
                <w:color w:val="auto"/>
                <w:w w:val="89"/>
              </w:rPr>
              <w:t>29</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1.88%</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65</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30</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1.85%</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66</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50"/>
              <w:spacing w:after="0" w:line="202" w:lineRule="exact"/>
              <w:rPr>
                <w:sz w:val="20"/>
                <w:szCs w:val="20"/>
                <w:color w:val="auto"/>
              </w:rPr>
            </w:pPr>
            <w:r>
              <w:rPr>
                <w:rFonts w:ascii="Arial" w:cs="Arial" w:eastAsia="Arial" w:hAnsi="Arial"/>
                <w:sz w:val="18"/>
                <w:szCs w:val="18"/>
                <w:color w:val="auto"/>
                <w:w w:val="89"/>
              </w:rPr>
              <w:t>31</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1.82%</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67</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32</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1.80%</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68</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50"/>
              <w:spacing w:after="0" w:line="202" w:lineRule="exact"/>
              <w:rPr>
                <w:sz w:val="20"/>
                <w:szCs w:val="20"/>
                <w:color w:val="auto"/>
              </w:rPr>
            </w:pPr>
            <w:r>
              <w:rPr>
                <w:rFonts w:ascii="Arial" w:cs="Arial" w:eastAsia="Arial" w:hAnsi="Arial"/>
                <w:sz w:val="18"/>
                <w:szCs w:val="18"/>
                <w:color w:val="auto"/>
                <w:w w:val="89"/>
              </w:rPr>
              <w:t>33</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1.77%</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69</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34</w:t>
            </w:r>
          </w:p>
        </w:tc>
        <w:tc>
          <w:tcPr>
            <w:tcW w:w="242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3"/>
              </w:rPr>
              <w:t>1.74%</w:t>
            </w:r>
          </w:p>
        </w:tc>
        <w:tc>
          <w:tcPr>
            <w:tcW w:w="100" w:type="dxa"/>
            <w:vAlign w:val="bottom"/>
          </w:tcPr>
          <w:p>
            <w:pPr>
              <w:spacing w:after="0"/>
              <w:rPr>
                <w:sz w:val="17"/>
                <w:szCs w:val="17"/>
                <w:color w:val="auto"/>
              </w:rPr>
            </w:pPr>
          </w:p>
        </w:tc>
        <w:tc>
          <w:tcPr>
            <w:tcW w:w="1520" w:type="dxa"/>
            <w:vAlign w:val="bottom"/>
            <w:gridSpan w:val="2"/>
          </w:tcPr>
          <w:p>
            <w:pPr>
              <w:jc w:val="center"/>
              <w:ind w:left="890"/>
              <w:spacing w:after="0" w:line="202" w:lineRule="exact"/>
              <w:rPr>
                <w:sz w:val="20"/>
                <w:szCs w:val="20"/>
                <w:color w:val="auto"/>
              </w:rPr>
            </w:pPr>
            <w:r>
              <w:rPr>
                <w:rFonts w:ascii="Arial" w:cs="Arial" w:eastAsia="Arial" w:hAnsi="Arial"/>
                <w:sz w:val="18"/>
                <w:szCs w:val="18"/>
                <w:color w:val="auto"/>
                <w:w w:val="89"/>
              </w:rPr>
              <w:t>70</w:t>
            </w:r>
          </w:p>
        </w:tc>
        <w:tc>
          <w:tcPr>
            <w:tcW w:w="740" w:type="dxa"/>
            <w:vAlign w:val="bottom"/>
          </w:tcPr>
          <w:p>
            <w:pPr>
              <w:spacing w:after="0"/>
              <w:rPr>
                <w:sz w:val="17"/>
                <w:szCs w:val="17"/>
                <w:color w:val="auto"/>
              </w:rPr>
            </w:pPr>
          </w:p>
        </w:tc>
        <w:tc>
          <w:tcPr>
            <w:tcW w:w="198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740" w:type="dxa"/>
            <w:vAlign w:val="bottom"/>
            <w:gridSpan w:val="2"/>
            <w:shd w:val="clear" w:color="auto" w:fill="CCEECC"/>
          </w:tcPr>
          <w:p>
            <w:pPr>
              <w:jc w:val="center"/>
              <w:ind w:left="150"/>
              <w:spacing w:after="0" w:line="202" w:lineRule="exact"/>
              <w:rPr>
                <w:sz w:val="20"/>
                <w:szCs w:val="20"/>
                <w:color w:val="auto"/>
              </w:rPr>
            </w:pPr>
            <w:r>
              <w:rPr>
                <w:rFonts w:ascii="Arial" w:cs="Arial" w:eastAsia="Arial" w:hAnsi="Arial"/>
                <w:sz w:val="18"/>
                <w:szCs w:val="18"/>
                <w:color w:val="auto"/>
                <w:w w:val="89"/>
              </w:rPr>
              <w:t>35</w:t>
            </w:r>
          </w:p>
        </w:tc>
        <w:tc>
          <w:tcPr>
            <w:tcW w:w="2420" w:type="dxa"/>
            <w:vAlign w:val="bottom"/>
            <w:gridSpan w:val="2"/>
            <w:shd w:val="clear" w:color="auto" w:fill="CCEECC"/>
          </w:tcPr>
          <w:p>
            <w:pPr>
              <w:jc w:val="center"/>
              <w:ind w:left="650"/>
              <w:spacing w:after="0" w:line="202" w:lineRule="exact"/>
              <w:rPr>
                <w:sz w:val="20"/>
                <w:szCs w:val="20"/>
                <w:color w:val="auto"/>
              </w:rPr>
            </w:pPr>
            <w:r>
              <w:rPr>
                <w:rFonts w:ascii="Arial" w:cs="Arial" w:eastAsia="Arial" w:hAnsi="Arial"/>
                <w:sz w:val="18"/>
                <w:szCs w:val="18"/>
                <w:color w:val="auto"/>
                <w:w w:val="93"/>
              </w:rPr>
              <w:t>1.72%</w:t>
            </w:r>
          </w:p>
        </w:tc>
        <w:tc>
          <w:tcPr>
            <w:tcW w:w="100" w:type="dxa"/>
            <w:vAlign w:val="bottom"/>
            <w:shd w:val="clear" w:color="auto" w:fill="CCEECC"/>
          </w:tcPr>
          <w:p>
            <w:pPr>
              <w:spacing w:after="0"/>
              <w:rPr>
                <w:sz w:val="17"/>
                <w:szCs w:val="17"/>
                <w:color w:val="auto"/>
              </w:rPr>
            </w:pPr>
          </w:p>
        </w:tc>
        <w:tc>
          <w:tcPr>
            <w:tcW w:w="1520" w:type="dxa"/>
            <w:vAlign w:val="bottom"/>
            <w:gridSpan w:val="2"/>
            <w:shd w:val="clear" w:color="auto" w:fill="CCEECC"/>
          </w:tcPr>
          <w:p>
            <w:pPr>
              <w:jc w:val="center"/>
              <w:ind w:left="890"/>
              <w:spacing w:after="0" w:line="202" w:lineRule="exact"/>
              <w:rPr>
                <w:sz w:val="20"/>
                <w:szCs w:val="20"/>
                <w:color w:val="auto"/>
              </w:rPr>
            </w:pPr>
            <w:r>
              <w:rPr>
                <w:rFonts w:ascii="Arial" w:cs="Arial" w:eastAsia="Arial" w:hAnsi="Arial"/>
                <w:sz w:val="18"/>
                <w:szCs w:val="18"/>
                <w:color w:val="auto"/>
                <w:w w:val="89"/>
              </w:rPr>
              <w:t>71</w:t>
            </w:r>
          </w:p>
        </w:tc>
        <w:tc>
          <w:tcPr>
            <w:tcW w:w="740" w:type="dxa"/>
            <w:vAlign w:val="bottom"/>
            <w:shd w:val="clear" w:color="auto" w:fill="CCEECC"/>
          </w:tcPr>
          <w:p>
            <w:pPr>
              <w:spacing w:after="0"/>
              <w:rPr>
                <w:sz w:val="17"/>
                <w:szCs w:val="17"/>
                <w:color w:val="auto"/>
              </w:rPr>
            </w:pPr>
          </w:p>
        </w:tc>
        <w:tc>
          <w:tcPr>
            <w:tcW w:w="1980" w:type="dxa"/>
            <w:vAlign w:val="bottom"/>
            <w:gridSpan w:val="2"/>
            <w:shd w:val="clear" w:color="auto" w:fill="CCEECC"/>
          </w:tcPr>
          <w:p>
            <w:pPr>
              <w:jc w:val="center"/>
              <w:ind w:left="230"/>
              <w:spacing w:after="0" w:line="202" w:lineRule="exact"/>
              <w:rPr>
                <w:sz w:val="20"/>
                <w:szCs w:val="20"/>
                <w:color w:val="auto"/>
              </w:rPr>
            </w:pPr>
            <w:r>
              <w:rPr>
                <w:rFonts w:ascii="Arial" w:cs="Arial" w:eastAsia="Arial" w:hAnsi="Arial"/>
                <w:sz w:val="18"/>
                <w:szCs w:val="18"/>
                <w:color w:val="auto"/>
                <w:w w:val="90"/>
              </w:rPr>
              <w:t>1.50%</w:t>
            </w:r>
          </w:p>
        </w:tc>
        <w:tc>
          <w:tcPr>
            <w:tcW w:w="48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230"/>
        </w:trPr>
        <w:tc>
          <w:tcPr>
            <w:tcW w:w="1720" w:type="dxa"/>
            <w:vAlign w:val="bottom"/>
          </w:tcPr>
          <w:p>
            <w:pPr>
              <w:spacing w:after="0"/>
              <w:rPr>
                <w:sz w:val="20"/>
                <w:szCs w:val="20"/>
                <w:color w:val="auto"/>
              </w:rPr>
            </w:pP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36</w:t>
            </w:r>
          </w:p>
        </w:tc>
        <w:tc>
          <w:tcPr>
            <w:tcW w:w="2420" w:type="dxa"/>
            <w:vAlign w:val="bottom"/>
            <w:gridSpan w:val="2"/>
          </w:tcPr>
          <w:p>
            <w:pPr>
              <w:jc w:val="center"/>
              <w:ind w:left="650"/>
              <w:spacing w:after="0"/>
              <w:rPr>
                <w:sz w:val="20"/>
                <w:szCs w:val="20"/>
                <w:color w:val="auto"/>
              </w:rPr>
            </w:pPr>
            <w:r>
              <w:rPr>
                <w:rFonts w:ascii="Arial" w:cs="Arial" w:eastAsia="Arial" w:hAnsi="Arial"/>
                <w:sz w:val="18"/>
                <w:szCs w:val="18"/>
                <w:color w:val="auto"/>
                <w:w w:val="93"/>
              </w:rPr>
              <w:t>1.69%</w:t>
            </w:r>
          </w:p>
        </w:tc>
        <w:tc>
          <w:tcPr>
            <w:tcW w:w="100" w:type="dxa"/>
            <w:vAlign w:val="bottom"/>
          </w:tcPr>
          <w:p>
            <w:pPr>
              <w:spacing w:after="0"/>
              <w:rPr>
                <w:sz w:val="20"/>
                <w:szCs w:val="20"/>
                <w:color w:val="auto"/>
              </w:rPr>
            </w:pPr>
          </w:p>
        </w:tc>
        <w:tc>
          <w:tcPr>
            <w:tcW w:w="1520" w:type="dxa"/>
            <w:vAlign w:val="bottom"/>
            <w:gridSpan w:val="2"/>
          </w:tcPr>
          <w:p>
            <w:pPr>
              <w:jc w:val="center"/>
              <w:ind w:left="890"/>
              <w:spacing w:after="0"/>
              <w:rPr>
                <w:sz w:val="20"/>
                <w:szCs w:val="20"/>
                <w:color w:val="auto"/>
              </w:rPr>
            </w:pPr>
            <w:r>
              <w:rPr>
                <w:rFonts w:ascii="Arial" w:cs="Arial" w:eastAsia="Arial" w:hAnsi="Arial"/>
                <w:sz w:val="18"/>
                <w:szCs w:val="18"/>
                <w:color w:val="auto"/>
                <w:w w:val="89"/>
              </w:rPr>
              <w:t>72</w:t>
            </w:r>
          </w:p>
        </w:tc>
        <w:tc>
          <w:tcPr>
            <w:tcW w:w="740" w:type="dxa"/>
            <w:vAlign w:val="bottom"/>
          </w:tcPr>
          <w:p>
            <w:pPr>
              <w:spacing w:after="0"/>
              <w:rPr>
                <w:sz w:val="20"/>
                <w:szCs w:val="20"/>
                <w:color w:val="auto"/>
              </w:rPr>
            </w:pPr>
          </w:p>
        </w:tc>
        <w:tc>
          <w:tcPr>
            <w:tcW w:w="198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1.50%</w:t>
            </w:r>
          </w:p>
        </w:tc>
        <w:tc>
          <w:tcPr>
            <w:tcW w:w="4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25"/>
        </w:trPr>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9"/>
              </w:rPr>
              <w:t>-1-</w:t>
            </w: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2"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198"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80" w:hanging="332"/>
        <w:spacing w:after="0" w:line="264"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ind w:left="660" w:right="4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 w:leader="none" w:pos="5140" w:val="left"/>
        </w:tabs>
        <w:rPr>
          <w:sz w:val="20"/>
          <w:szCs w:val="20"/>
          <w:color w:val="auto"/>
        </w:rPr>
      </w:pPr>
      <w:r>
        <w:rPr>
          <w:rFonts w:ascii="Arial" w:cs="Arial" w:eastAsia="Arial" w:hAnsi="Arial"/>
          <w:sz w:val="18"/>
          <w:szCs w:val="18"/>
          <w:color w:val="auto"/>
        </w:rPr>
        <w:t>Date:</w:t>
        <w:tab/>
        <w:t>November 4, 2013</w:t>
      </w:r>
      <w:r>
        <w:rPr>
          <w:sz w:val="20"/>
          <w:szCs w:val="20"/>
          <w:color w:val="auto"/>
        </w:rPr>
        <w:tab/>
      </w:r>
      <w:r>
        <w:rPr>
          <w:rFonts w:ascii="Arial" w:cs="Arial" w:eastAsia="Arial" w:hAnsi="Arial"/>
          <w:sz w:val="16"/>
          <w:szCs w:val="16"/>
          <w:color w:val="auto"/>
        </w:rPr>
        <w:t>/s/ Ronald M. Faris</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21697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certify that:</w:t>
      </w:r>
    </w:p>
    <w:p>
      <w:pPr>
        <w:spacing w:after="0" w:line="198"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80" w:hanging="332"/>
        <w:spacing w:after="0" w:line="264"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ind w:left="660" w:right="40" w:hanging="328"/>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 w:leader="none" w:pos="5140" w:val="left"/>
        </w:tabs>
        <w:rPr>
          <w:sz w:val="20"/>
          <w:szCs w:val="20"/>
          <w:color w:val="auto"/>
        </w:rPr>
      </w:pPr>
      <w:r>
        <w:rPr>
          <w:rFonts w:ascii="Arial" w:cs="Arial" w:eastAsia="Arial" w:hAnsi="Arial"/>
          <w:sz w:val="18"/>
          <w:szCs w:val="18"/>
          <w:color w:val="auto"/>
        </w:rPr>
        <w:t>Date:</w:t>
        <w:tab/>
        <w:t>November 4, 2013</w:t>
      </w:r>
      <w:r>
        <w:rPr>
          <w:sz w:val="20"/>
          <w:szCs w:val="20"/>
          <w:color w:val="auto"/>
        </w:rPr>
        <w:tab/>
      </w:r>
      <w:r>
        <w:rPr>
          <w:rFonts w:ascii="Arial" w:cs="Arial" w:eastAsia="Arial" w:hAnsi="Arial"/>
          <w:sz w:val="16"/>
          <w:szCs w:val="16"/>
          <w:color w:val="auto"/>
        </w:rPr>
        <w:t>/s/ John V. Britti</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21697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198"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84"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2013 (the “periodic report”) containing financial statements fully complies with the requirements of Section 13(a) or 15(d), as applicable, of the Securities Exchange Act of 1934 (15 U.S.C. 78m or 78o(d)); and</w:t>
      </w:r>
    </w:p>
    <w:p>
      <w:pPr>
        <w:spacing w:after="0" w:line="154"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c>
          <w:tcPr>
            <w:tcW w:w="6500" w:type="dxa"/>
            <w:vAlign w:val="bottom"/>
          </w:tcPr>
          <w:p>
            <w:pPr>
              <w:spacing w:after="0"/>
              <w:rPr>
                <w:sz w:val="20"/>
                <w:szCs w:val="20"/>
                <w:color w:val="auto"/>
              </w:rPr>
            </w:pP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President and Chief Executive Officer</w:t>
            </w:r>
          </w:p>
        </w:tc>
        <w:tc>
          <w:tcPr>
            <w:tcW w:w="6500" w:type="dxa"/>
            <w:vAlign w:val="bottom"/>
          </w:tcPr>
          <w:p>
            <w:pPr>
              <w:spacing w:after="0"/>
              <w:rPr>
                <w:sz w:val="17"/>
                <w:szCs w:val="17"/>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November 4, 2013</w:t>
            </w:r>
          </w:p>
        </w:tc>
        <w:tc>
          <w:tcPr>
            <w:tcW w:w="6500" w:type="dxa"/>
            <w:vAlign w:val="bottom"/>
          </w:tcPr>
          <w:p>
            <w:pPr>
              <w:spacing w:after="0"/>
              <w:rPr>
                <w:sz w:val="20"/>
                <w:szCs w:val="20"/>
                <w:color w:val="auto"/>
              </w:rPr>
            </w:pPr>
          </w:p>
        </w:tc>
      </w:tr>
      <w:tr>
        <w:trPr>
          <w:trHeight w:val="439"/>
        </w:trPr>
        <w:tc>
          <w:tcPr>
            <w:tcW w:w="9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state and attest that:</w:t>
      </w:r>
    </w:p>
    <w:p>
      <w:pPr>
        <w:spacing w:after="0" w:line="198"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84"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2013 (the “periodic report”) containing financial statements fully complies with the requirements of Section 13(a) or 15(d), as applicable, of the Securities Exchange Act of 1934 (15 U.S.C. 78m or 78o(d)); and</w:t>
      </w:r>
    </w:p>
    <w:p>
      <w:pPr>
        <w:spacing w:after="0" w:line="154"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10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Britti</w:t>
            </w: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10500" w:type="dxa"/>
            <w:vAlign w:val="bottom"/>
          </w:tcPr>
          <w:p>
            <w:pPr>
              <w:spacing w:after="0" w:line="201" w:lineRule="exact"/>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10500" w:type="dxa"/>
            <w:vAlign w:val="bottom"/>
          </w:tcPr>
          <w:p>
            <w:pPr>
              <w:spacing w:after="0"/>
              <w:rPr>
                <w:sz w:val="20"/>
                <w:szCs w:val="20"/>
                <w:color w:val="auto"/>
              </w:rPr>
            </w:pPr>
            <w:r>
              <w:rPr>
                <w:rFonts w:ascii="Arial" w:cs="Arial" w:eastAsia="Arial" w:hAnsi="Arial"/>
                <w:sz w:val="18"/>
                <w:szCs w:val="18"/>
                <w:color w:val="auto"/>
              </w:rPr>
              <w:t>November 4, 2013</w:t>
            </w:r>
          </w:p>
        </w:tc>
      </w:tr>
      <w:tr>
        <w:trPr>
          <w:trHeight w:val="439"/>
        </w:trPr>
        <w:tc>
          <w:tcPr>
            <w:tcW w:w="9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x"/>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1."/>
      <w:numFmt w:val="lowerLetter"/>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decimal"/>
      <w:start w:val="1"/>
    </w:lvl>
    <w:lvl w:ilvl="1">
      <w:lvlJc w:val="left"/>
      <w:lvlText w:val="●"/>
      <w:numFmt w:val="bullet"/>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1"/>
    </w:lvl>
    <w:lvl w:ilvl="1">
      <w:lvlJc w:val="left"/>
      <w:lvlText w:val="●"/>
      <w:numFmt w:val="bullet"/>
      <w:start w:val="1"/>
    </w:lvl>
  </w:abstractNum>
  <w:abstractNum w:abstractNumId="29">
    <w:nsid w:val="75C6C33A"/>
    <w:multiLevelType w:val="hybridMultilevel"/>
    <w:lvl w:ilvl="0">
      <w:lvlJc w:val="left"/>
      <w:lvlText w:val="(%1)"/>
      <w:numFmt w:val="decimal"/>
      <w:start w:val="6"/>
    </w:lvl>
  </w:abstractNum>
  <w:abstractNum w:abstractNumId="30">
    <w:nsid w:val="12E685FB"/>
    <w:multiLevelType w:val="hybridMultilevel"/>
    <w:lvl w:ilvl="0">
      <w:lvlJc w:val="left"/>
      <w:lvlText w:val="(%1)"/>
      <w:numFmt w:val="decimal"/>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1)"/>
      <w:numFmt w:val="lowerRoman"/>
      <w:start w:val="2"/>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o"/>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decimal"/>
      <w:start w:val="3"/>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1)"/>
      <w:numFmt w:val="lowerLetter"/>
      <w:start w:val="2"/>
    </w:lvl>
  </w:abstractNum>
  <w:abstractNum w:abstractNumId="66">
    <w:nsid w:val="98A3148"/>
    <w:multiLevelType w:val="hybridMultilevel"/>
    <w:lvl w:ilvl="0">
      <w:lvlJc w:val="left"/>
      <w:lvlText w:val="1"/>
      <w:numFmt w:val="bullet"/>
      <w:start w:val="1"/>
    </w:lvl>
  </w:abstractNum>
  <w:abstractNum w:abstractNumId="67">
    <w:nsid w:val="799D0247"/>
    <w:multiLevelType w:val="hybridMultilevel"/>
    <w:lvl w:ilvl="0">
      <w:lvlJc w:val="left"/>
      <w:lvlText w:val="1"/>
      <w:numFmt w:val="bullet"/>
      <w:start w:val="1"/>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bullet"/>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
      <w:numFmt w:val="bullet"/>
      <w:start w:val="1"/>
    </w:lvl>
  </w:abstractNum>
  <w:abstractNum w:abstractNumId="73">
    <w:nsid w:val="5DC79EA8"/>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2019-12-06T04:58:55Z</dcterms:created>
  <dcterms:modified xsi:type="dcterms:W3CDTF">2019-12-06T04:58:55Z</dcterms:modified>
</cp:coreProperties>
</file>