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693420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March 31, 2017</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80"/>
              <w:spacing w:after="0"/>
              <w:rPr>
                <w:sz w:val="20"/>
                <w:szCs w:val="20"/>
                <w:color w:val="auto"/>
              </w:rPr>
            </w:pPr>
            <w:r>
              <w:rPr>
                <w:rFonts w:ascii="Arial" w:cs="Arial" w:eastAsia="Arial" w:hAnsi="Arial"/>
                <w:sz w:val="18"/>
                <w:szCs w:val="18"/>
                <w:color w:val="auto"/>
                <w:w w:val="88"/>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ind w:left="180"/>
              <w:spacing w:after="0"/>
              <w:rPr>
                <w:sz w:val="20"/>
                <w:szCs w:val="20"/>
                <w:color w:val="auto"/>
              </w:rPr>
            </w:pPr>
            <w:r>
              <w:rPr>
                <w:rFonts w:ascii="Arial" w:cs="Arial" w:eastAsia="Arial" w:hAnsi="Arial"/>
                <w:sz w:val="18"/>
                <w:szCs w:val="18"/>
                <w:color w:val="auto"/>
              </w:rPr>
              <w:t>(Do not check if a smaller reporting company)</w:t>
            </w:r>
          </w:p>
        </w:tc>
        <w:tc>
          <w:tcPr>
            <w:tcW w:w="30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r>
        <w:trPr>
          <w:trHeight w:val="270"/>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bl>
    <w:p>
      <w:pPr>
        <w:spacing w:after="0" w:line="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May 4, 2017: 124,582,673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4"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Arial" w:cs="Arial" w:eastAsia="Arial" w:hAnsi="Arial"/>
                <w:sz w:val="18"/>
                <w:szCs w:val="18"/>
                <w:b w:val="1"/>
                <w:bCs w:val="1"/>
                <w:color w:val="0000EE"/>
              </w:rPr>
              <w:t xml:space="preserve">PART I </w:t>
            </w:r>
            <w:r>
              <w:rPr>
                <w:rFonts w:ascii="Arial" w:cs="Arial" w:eastAsia="Arial" w:hAnsi="Arial"/>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Balance Sheets at March 31, 2017 and December 31, 2016</w:t>
            </w:r>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Months Ended March 31, 2017 and 2016</w:t>
            </w:r>
          </w:p>
        </w:tc>
        <w:tc>
          <w:tcPr>
            <w:tcW w:w="8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Comprehensive Income for the Three Months Ended March 31, 2017 and 2016</w:t>
            </w:r>
          </w:p>
        </w:tc>
        <w:tc>
          <w:tcPr>
            <w:tcW w:w="80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Changes in Equity for the Three Months Ended March 31, 2017 and 2016</w:t>
            </w:r>
          </w:p>
        </w:tc>
        <w:tc>
          <w:tcPr>
            <w:tcW w:w="8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Three Months Ended March 31, 2017 and 2016</w:t>
            </w:r>
          </w:p>
        </w:tc>
        <w:tc>
          <w:tcPr>
            <w:tcW w:w="8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Arial" w:cs="Arial" w:eastAsia="Arial" w:hAnsi="Arial"/>
                <w:sz w:val="18"/>
                <w:szCs w:val="18"/>
                <w:color w:val="auto"/>
              </w:rPr>
              <w:t>Notes to Unaudited Consolidated Financial Statements</w:t>
            </w:r>
          </w:p>
        </w:tc>
        <w:tc>
          <w:tcPr>
            <w:tcW w:w="80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3.</w:t>
            </w:r>
          </w:p>
        </w:tc>
        <w:tc>
          <w:tcPr>
            <w:tcW w:w="96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4.</w:t>
            </w:r>
          </w:p>
        </w:tc>
        <w:tc>
          <w:tcPr>
            <w:tcW w:w="968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Arial" w:cs="Arial" w:eastAsia="Arial" w:hAnsi="Arial"/>
                <w:sz w:val="18"/>
                <w:szCs w:val="18"/>
                <w:b w:val="1"/>
                <w:bCs w:val="1"/>
                <w:color w:val="0000EE"/>
              </w:rPr>
              <w:t xml:space="preserve">PART II </w:t>
            </w:r>
            <w:r>
              <w:rPr>
                <w:rFonts w:ascii="Arial" w:cs="Arial" w:eastAsia="Arial" w:hAnsi="Arial"/>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w:t>
            </w:r>
          </w:p>
        </w:tc>
        <w:tc>
          <w:tcPr>
            <w:tcW w:w="96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color w:val="0000EE"/>
              </w:rPr>
              <w:t>Item 1A.</w:t>
            </w:r>
          </w:p>
        </w:tc>
        <w:tc>
          <w:tcPr>
            <w:tcW w:w="96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96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in “Risk Factors” in this Quarterly Report on Form 10-Q and in Amendment No. 1 to our Annual Report on Form 10-K for the year ended December 31, 2016 and the following:</w:t>
      </w:r>
    </w:p>
    <w:p>
      <w:pPr>
        <w:spacing w:after="0" w:line="74" w:lineRule="exact"/>
        <w:rPr>
          <w:sz w:val="20"/>
          <w:szCs w:val="20"/>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reactions to the announcement of such investigations, litigation, cease and desist orders or settlements by key counterparties, including lenders;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and guarantors, including mortgage-backed securities investors, the Government National Mortgage Association (Ginnie Mae), trustees and government sponsored entities (GSEs), regarding loan put-backs, penalties and legal actions;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jc w:val="both"/>
        <w:ind w:left="660" w:right="9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GSEs substantially curtailing or ceasing to purchase our conforming loan originations or the Federal Housing Administration of the Department of Housing and Urban Development or Department of Veterans Affairs ceasing to provide insurance;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right="10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information technology and other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Amendment No. 1 to our Annual Report on Form 10-K for the year ended December 31, 2016 and our Current Reports on Form 8-K since such date. Forward-looking statements speak only as of the date they were made and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4"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268,320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256,549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($651,987 and $679,256 carried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1,010,518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1,042,978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257,882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assets (related to variable interest entities (VIEs))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1,392,421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Loans held for sale ($313,558 and $284,632 carried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339,153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314,006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3,916,387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265,720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60,774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 ($21,066 and $20,007 carried at fair value) ($27,141 and $43,331 related to VIEs)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428,617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438,104</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7,863,144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 ($4,198,452 and $3,911,488 carried at fair value)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4,295,408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4,012,812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liabilities (related to VIEs)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1,215,212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1,280,997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738,447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678,543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346,929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346,789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liabilities ($3,868 and $1,550 carried at fair value)</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643,714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7,239,710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3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(Notes 18 and 19)</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13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1300" w:type="dxa"/>
            <w:vAlign w:val="bottom"/>
            <w:shd w:val="clear" w:color="auto" w:fill="EAF9E8"/>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Ocwen Financial Corporation (Ocwen) stockholders’ equity</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stock, $.01 par value; 200,000,000 shares authorized; 124,577,169 and 123,988,160 shares issued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and outstanding at March 31, 2017 and December 31, 2016, respectively</w:t>
            </w: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527,986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527,001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126,167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Accumulated other comprehensive loss, net of income taxes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(1,450)</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Ocwen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621,008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652,958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655,283</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7,863,144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272,502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297,496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15,572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17,689</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321,864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91,801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96,249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95,692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70,907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27,347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26,869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24,745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276,383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328,657</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4,190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(84,062)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(106,089)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(3,501)</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(104,225)</w:t>
            </w:r>
          </w:p>
        </w:tc>
      </w:tr>
      <w:tr>
        <w:trPr>
          <w:trHeight w:val="27"/>
        </w:trPr>
        <w:tc>
          <w:tcPr>
            <w:tcW w:w="83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(102,125)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9,076</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97"/>
        </w:trPr>
        <w:tc>
          <w:tcPr>
            <w:tcW w:w="834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(111,331)</w:t>
            </w:r>
          </w:p>
        </w:tc>
      </w:tr>
      <w:tr>
        <w:trPr>
          <w:trHeight w:val="257"/>
        </w:trPr>
        <w:tc>
          <w:tcPr>
            <w:tcW w:w="834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180" w:type="dxa"/>
            <w:vAlign w:val="bottom"/>
            <w:shd w:val="clear" w:color="auto" w:fill="EAF9E8"/>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2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124,014,928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124,093,339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124,014,928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124,093,339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(LOSS) (Dollars in thousands)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(111,201)</w:t>
            </w:r>
          </w:p>
        </w:tc>
      </w:tr>
      <w:tr>
        <w:trPr>
          <w:trHeight w:val="297"/>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Reclassification adjustment for losses on cash flow hedges included in net income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(111,226)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MARCH 31, 2017 AND 2016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400" w:type="dxa"/>
            <w:vAlign w:val="bottom"/>
            <w:gridSpan w:val="4"/>
            <w:vMerge w:val="restart"/>
          </w:tcPr>
          <w:p>
            <w:pPr>
              <w:jc w:val="right"/>
              <w:ind w:right="539"/>
              <w:spacing w:after="0"/>
              <w:rPr>
                <w:sz w:val="20"/>
                <w:szCs w:val="20"/>
                <w:color w:val="auto"/>
              </w:rPr>
            </w:pPr>
            <w:r>
              <w:rPr>
                <w:rFonts w:ascii="Arial" w:cs="Arial" w:eastAsia="Arial" w:hAnsi="Arial"/>
                <w:sz w:val="16"/>
                <w:szCs w:val="16"/>
                <w:b w:val="1"/>
                <w:bCs w:val="1"/>
                <w:color w:val="auto"/>
              </w:rPr>
              <w:t>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123,988,160</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1,240</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527,001</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126,167</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655,283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 effect of adoption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1"/>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No. 2016-09</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589,009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EAF9E8"/>
            </w:tcBorders>
          </w:tcPr>
          <w:p>
            <w:pPr>
              <w:ind w:left="40"/>
              <w:spacing w:after="0"/>
              <w:rPr>
                <w:sz w:val="20"/>
                <w:szCs w:val="20"/>
                <w:color w:val="auto"/>
              </w:rPr>
            </w:pPr>
            <w:r>
              <w:rPr>
                <w:rFonts w:ascii="Arial" w:cs="Arial" w:eastAsia="Arial" w:hAnsi="Arial"/>
                <w:sz w:val="16"/>
                <w:szCs w:val="16"/>
                <w:b w:val="1"/>
                <w:bCs w:val="1"/>
                <w:color w:val="auto"/>
              </w:rPr>
              <w:t>Balance at March 31, 2017</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124,577,169</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1,246</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527,986</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93,159</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2,426</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623,434</w:t>
            </w:r>
          </w:p>
        </w:tc>
        <w:tc>
          <w:tcPr>
            <w:tcW w:w="0" w:type="dxa"/>
            <w:vAlign w:val="bottom"/>
          </w:tcPr>
          <w:p>
            <w:pPr>
              <w:spacing w:after="0"/>
              <w:rPr>
                <w:sz w:val="1"/>
                <w:szCs w:val="1"/>
                <w:color w:val="auto"/>
              </w:rPr>
            </w:pPr>
          </w:p>
        </w:tc>
      </w:tr>
      <w:tr>
        <w:trPr>
          <w:trHeight w:val="271"/>
        </w:trPr>
        <w:tc>
          <w:tcPr>
            <w:tcW w:w="274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900" w:type="dxa"/>
            <w:vAlign w:val="bottom"/>
            <w:shd w:val="clear" w:color="auto" w:fill="EAF9E8"/>
          </w:tcPr>
          <w:p>
            <w:pPr>
              <w:spacing w:after="0"/>
              <w:rPr>
                <w:sz w:val="23"/>
                <w:szCs w:val="23"/>
                <w:color w:val="auto"/>
              </w:rPr>
            </w:pPr>
          </w:p>
        </w:tc>
        <w:tc>
          <w:tcPr>
            <w:tcW w:w="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9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88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124,774,516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526,148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325,929</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854,638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(111,331)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(111,201)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Repurchase of common stock</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(991,985)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(5,890)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1,513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2016</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123,853,683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522,222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214,598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738,468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For the Three Months Ended March</w:t>
      </w:r>
    </w:p>
    <w:p>
      <w:pPr>
        <w:spacing w:after="0" w:line="3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22860</wp:posOffset>
            </wp:positionV>
            <wp:extent cx="1903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(111,201)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12,806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on valuation of mortgage servicing rights, at fair value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26,335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29,293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Impairment of mortgage servicing rights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29,953</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(1,175)</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Realized and unrealized (gains) losses on derivative financial instruments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22,410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11,382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5,039</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(5,360)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(3,667)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(1,237,535)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(1,211,076)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1,173,912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1,165,503</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Decrease in advances and match funded assets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105,958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109,076</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84,857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84,512</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Increase (decrease) in other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21,477</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7,997</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140,892</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(347,080)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(304,058)</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87,237</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Purchase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(4,263)</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15,305</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41,003</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37,129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1,624</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(182,952)</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(65,785)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(46,953)</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2,224,774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1,902,472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Repayments of mortgage loan warehouse facilities and other secured borrowings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(2,263,685)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(2,014,474)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1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8"/>
              </w:rPr>
              <w:t>Proceeds from sale of reverse mortgages (HECM loans) accounted for as a financing (HMBS-related</w:t>
            </w: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r>
      <w:tr>
        <w:trPr>
          <w:trHeight w:val="237"/>
        </w:trPr>
        <w:tc>
          <w:tcPr>
            <w:tcW w:w="81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borrowings)</w:t>
            </w: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306,749</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233,174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(786)</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201,149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65,301</w:t>
            </w:r>
          </w:p>
        </w:tc>
      </w:tr>
      <w:tr>
        <w:trPr>
          <w:trHeight w:val="27"/>
        </w:trPr>
        <w:tc>
          <w:tcPr>
            <w:tcW w:w="8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23,241</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256,549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257,272</w:t>
            </w:r>
          </w:p>
        </w:tc>
      </w:tr>
      <w:tr>
        <w:trPr>
          <w:trHeight w:val="297"/>
        </w:trPr>
        <w:tc>
          <w:tcPr>
            <w:tcW w:w="81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268,320</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280,513</w:t>
            </w:r>
          </w:p>
        </w:tc>
      </w:tr>
      <w:tr>
        <w:trPr>
          <w:trHeight w:val="311"/>
        </w:trPr>
        <w:tc>
          <w:tcPr>
            <w:tcW w:w="8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00"/>
          </w:cols>
          <w:pgMar w:left="240" w:top="337" w:right="559" w:bottom="0" w:gutter="0" w:footer="0" w:header="0"/>
        </w:sectPr>
      </w:pPr>
    </w:p>
    <w:p>
      <w:pPr>
        <w:spacing w:after="0" w:line="245" w:lineRule="exact"/>
        <w:rPr>
          <w:sz w:val="20"/>
          <w:szCs w:val="20"/>
          <w:color w:val="auto"/>
        </w:rPr>
      </w:pPr>
    </w:p>
    <w:p>
      <w:pPr>
        <w:ind w:left="218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ectPr>
          <w:pgSz w:w="11900" w:h="16838" w:orient="portrait"/>
          <w:cols w:equalWidth="0" w:num="1">
            <w:col w:w="11100"/>
          </w:cols>
          <w:pgMar w:left="240" w:top="337" w:right="55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12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14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originate, purchase, sell and securitize conventional (conforming to the underwriting standards of Fannie Mae or Freddie Mac; collectively referred to as Agency loans) and government-insured (Federal Housing Administration (FHA) or Department of Veterans Affairs (VA)) forward and reverse mortgages. The GSEs or Ginnie Mae guarantee these mortgage securitizations.</w:t>
      </w:r>
    </w:p>
    <w:p>
      <w:pPr>
        <w:spacing w:after="0" w:line="73"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had a total of approximately 9,400 employees at March 31, 2017 of which approximately 6,000 were located in India and approximately 800 were based in the Philippines. Our operations in India and the Philippines provide internal support services, principally to our loan servicing business as well as to our corporate functions. Of our foreign-based employees, nearly 80% were engaged in supporting our loan servicing operations as of March 31,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successfully operate and grow our business.</w:t>
      </w:r>
    </w:p>
    <w:p>
      <w:pPr>
        <w:spacing w:after="0" w:line="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Significant recent regulatory developments impacting our business include the following:</w:t>
      </w:r>
    </w:p>
    <w:p>
      <w:pPr>
        <w:spacing w:after="0" w:line="73" w:lineRule="exact"/>
        <w:rPr>
          <w:sz w:val="20"/>
          <w:szCs w:val="20"/>
          <w:color w:val="auto"/>
        </w:rPr>
      </w:pPr>
    </w:p>
    <w:p>
      <w:pPr>
        <w:jc w:val="both"/>
        <w:ind w:left="660" w:right="200" w:hanging="328"/>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February 17, 2017, we entered into three consent orders (collectively, the 2017 CA Consent Order) with the California Department of Business Oversight (CA DBO) that terminated a 2015 consent order with the CA DBO, including terminating the engagement of an independent third-party auditor (the CA Auditor) and rescinding the prohibition on Ocwen acquiring mortgage servicing rights (MSRs) for loans secured in California.</w:t>
      </w:r>
    </w:p>
    <w:p>
      <w:pPr>
        <w:ind w:left="660" w:right="4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27, 2017, we entered into a consent order with the New York Department of Financial Services (NY DFS) that provided for the termination of the engagement of the third-party operations monitor and for a determination on whether the restrictions on acquisition of MSRs should be eased following completion of a scheduled servicing examination.</w:t>
      </w:r>
    </w:p>
    <w:p>
      <w:pPr>
        <w:spacing w:after="0" w:line="1" w:lineRule="exact"/>
        <w:rPr>
          <w:rFonts w:ascii="Arial" w:cs="Arial" w:eastAsia="Arial" w:hAnsi="Arial"/>
          <w:sz w:val="18"/>
          <w:szCs w:val="18"/>
          <w:color w:val="auto"/>
        </w:rPr>
      </w:pPr>
    </w:p>
    <w:p>
      <w:pPr>
        <w:ind w:left="660" w:right="10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April 20, 2017, the Consumer Financial Protection Bureau (CFPB) filed a lawsuit in the federal district court for the Southern District of Florida against Ocwen, OMS and OLS alleging violations of federal consumer financial laws relating to our servicing business. The CFPB does not claim specific monetary damages, although it does seek consumer relief, disgorgement of allegedly improper gains and civil money penalties. We believe we have factual and legal defenses to the CFPB’s allegations and intend to vigorously defend ourselves. We have asked the federal court to consider making an early ruling that the CFPB is unconstitutional and the enforcement action should be dismissed for that reason. We also informed the district court that the Department of Justice recently stated its official conclusion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11" w:name="page12"/>
    <w:bookmarkEnd w:id="11"/>
    <w:p>
      <w:pPr>
        <w:ind w:left="660" w:right="240"/>
        <w:spacing w:after="0" w:line="282" w:lineRule="auto"/>
        <w:rPr>
          <w:sz w:val="20"/>
          <w:szCs w:val="20"/>
          <w:color w:val="auto"/>
        </w:rPr>
      </w:pPr>
      <w:r>
        <w:rPr>
          <w:rFonts w:ascii="Arial" w:cs="Arial" w:eastAsia="Arial" w:hAnsi="Arial"/>
          <w:sz w:val="18"/>
          <w:szCs w:val="18"/>
          <w:color w:val="auto"/>
        </w:rPr>
        <w:t>that the CFPB is unconstitutionally structured, and so we asked the district court to invite the Department to participate in the legal briefing in our case.</w:t>
      </w:r>
    </w:p>
    <w:p>
      <w:pPr>
        <w:spacing w:after="0" w:line="1" w:lineRule="exact"/>
        <w:rPr>
          <w:sz w:val="20"/>
          <w:szCs w:val="20"/>
          <w:color w:val="auto"/>
        </w:rPr>
      </w:pPr>
    </w:p>
    <w:p>
      <w:pPr>
        <w:ind w:left="660" w:right="80" w:hanging="328"/>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20, 2017, the Florida Attorney General filed a lawsuit in the federal district court for the Southern District of Florida against Ocwen, OMS and OLS alleging violations of federal and state consumer financial laws relating to our servicing business. On April 28, 2017, the Massachusetts Attorney General filed an action against OLS in the Superior Court for the Commonwealth of Massachusetts alleging violations of state consumer financial laws relating to our servicing business. Ocwen strongly disputes the claims of these Attorneys General and intends to vigorously defend itself in these actions.</w:t>
      </w:r>
    </w:p>
    <w:p>
      <w:pPr>
        <w:spacing w:after="0" w:line="2" w:lineRule="exact"/>
        <w:rPr>
          <w:rFonts w:ascii="Arial" w:cs="Arial" w:eastAsia="Arial" w:hAnsi="Arial"/>
          <w:sz w:val="18"/>
          <w:szCs w:val="18"/>
          <w:color w:val="auto"/>
        </w:rPr>
      </w:pPr>
    </w:p>
    <w:p>
      <w:pPr>
        <w:ind w:left="660" w:hanging="328"/>
        <w:spacing w:after="0" w:line="26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Since April 20, 2017, thirty state mortgage and banking regulatory agencies have taken regulatory action against us alleging breaches of various laws, regulations and licensing requirements, including those related to escrow administration and proper licensing of business activities. We intend to vigorously defend against unfounded claims while continuing to work with these regulatory agencies to resolve their concerns. We have agreed with certain regulatory agencies, where necessary, to obtain delays or exceptions to the orders. Additionally, we have revised our operations, where necessary, so as to comply with the orders in the interim period while we attempt to negotiate resolutions. For example, in certain states we are arranging to release servicing on new originations, and we have paused our origination activities in two states. We have also paused foreclosure activity in two states, which currently impacts less than 150 mortgage loans. While we do not currently believe these limitations on our loan origination or servicing activities will have a material impact on our financial results if we can resolve these agencies’ concerns on a timely basis, we do expect our loan origination volumes to decline until such time as we reach resolution. If we are unable to obtain timely resolutions in certain states, more serious consequences could result. For example, we could be required to transfer all of our mortgage servicing in Massachusetts and we could be required to cease mortgage servicing in Rhode Island.</w:t>
      </w:r>
    </w:p>
    <w:p>
      <w:pPr>
        <w:spacing w:after="0" w:line="79"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To the extent we are unable to reach a timely resolution with some or all of the state regulatory agencies or attorneys general or should the number or scope of the regulatory actions against us increase or expand, our business, reputation, financial condition, liquidity and results of operations could be adversely affected. See Note 17 – Regulatory Requirements and Note 19 – Contingencies for further information regarding regulatory requirements, regulatory settlements and regulatory-related contingencies.</w:t>
      </w:r>
    </w:p>
    <w:p>
      <w:pPr>
        <w:spacing w:after="0" w:line="18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Among other impacts, the regulatory actions taken by the CFPB and the state mortgage regulators and attorneys general were a catalyst for actions taken by the rating agencies with respect to our corporate credit ratings and our servicer ratings or rankings (collectively, servicer ratings). Between April 20 and April 25, 2017, each of Standard &amp; Poor’s Rating Services (S&amp;P), Moody’s Investors Services, Inc. (Moody’s), Fitch Ratings Inc. (Fitch), Morningstar, Inc. (Morningstar) and Kroll Bond Rating Agency (Kroll) took action with respect to our corporate credit ratings and servicer ratings as follows:</w:t>
      </w:r>
    </w:p>
    <w:p>
      <w:pPr>
        <w:spacing w:after="0" w:line="46" w:lineRule="exact"/>
        <w:rPr>
          <w:sz w:val="20"/>
          <w:szCs w:val="20"/>
          <w:color w:val="auto"/>
        </w:rPr>
      </w:pPr>
    </w:p>
    <w:p>
      <w:pPr>
        <w:jc w:val="both"/>
        <w:ind w:left="660" w:right="8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S&amp;P, Fitch and Kroll downgraded our corporate credit rating and S&amp;P, Moody’s, Fitch and Kroll changed the outlook for our corporate credit rating to on CreditWatch with Negative implications, on Review for Downgrade, on Rating Watch Negative and on Watch Downgrade status, respectively.</w:t>
      </w:r>
    </w:p>
    <w:p>
      <w:pPr>
        <w:ind w:left="660" w:right="92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Moody’s, Fitch and Morningstar changed the outlook for our servicer ratings to on Review for Downgrade, to Negative and to On Alert, respectively. No changes were made to our actual servicer ratings. See Note 8 – Mortgage Servicing for further information.</w:t>
      </w:r>
    </w:p>
    <w:p>
      <w:pPr>
        <w:spacing w:after="0" w:line="5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These and any additional actions by rating agencies could have a material adverse impact on our business, financial condition and liquidity, including through adverse changes to the terms on which we may be able to fund our operations or borrow money or through adverse impacts on our dealings with counterparties and regulators, including our status as an approved seller/servicer with the GSEs. We are required under our agreements with New Residential Investment Corp. (NRZ) to maintain certain primary servicer ratings with S&amp;P or Moody’s. See Note 4 — Sales of Advances and MSRs for additional information.</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incurred a net loss in first quarter of 2017, which followed losses in each of the last three fiscal years. While these losses have eroded stockholders’ equity and weakened our financial condition, it is important to note that we generated positive operating cash flow in each of these periods. We are reinvesting cash flows generated by our Servicing business to grow not only our residential mortgage lending business but also to grow other new business lines such as our Automotive Capital Services (ACS) business to diversify our income profile and drive improved financial performance over time. We believe asset generation, through our lending businesses, will be Ocwen’s primary driver of growth for the future. We are also focused on improving our operations to enhance customer experiences and improve operating effectiveness, both of which we believe will drive stronger financial performance through lower overall costs and improved customer retention.</w:t>
      </w:r>
    </w:p>
    <w:p>
      <w:pPr>
        <w:spacing w:after="0" w:line="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With regard to the current maturities of our borrowings, we have approximately $1.1 billion of debt coming due in the next 12 months, related to our servicing match funded liabilities and our mortgage loan warehouse facilities. Portions of our match funded liabilities and all of our mortgage loan warehouse facilities have 364-day terms consistent with market practice. We have historically renewed these facilities on or before their expiration in the ordinary course of financing our business. We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11" w:right="25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color w:val="auto"/>
        </w:rPr>
        <w:t>expect to renew, replace or extend all such borrowings to the extent necessary to finance our business on or prior to their respective maturities consistent with our historical experience.</w:t>
      </w:r>
    </w:p>
    <w:p>
      <w:pPr>
        <w:spacing w:after="0" w:line="6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Provisions of this type are commonly found in debt agreements such as ours. Certain of these provisions are open to subjective interpretation and, if our interpretation were contested by a lender, a court may ultimately be required to determine compliance or lack thereof. If a lender were to allege an event of default, whether as a result of recent events or otherwise, and we are unable to avoid, remedy or secure a waiver, we could be subject to adverse action by our lenders, including acceleration of outstanding obligations, enforcement of liens against the assets securing or otherwise supporting our obligations and other legal remedies, any of which could have a material adverse impact on us. See Note 11 – Borrowings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months ended March 31, 2017 are not necessarily indicative of the results that may be expected for any other interim period or for the year ending December 31, 2017. The unaudited consolidated financial statements presented herein should be read in conjunction with the audited consolidated financial statements and related notes thereto included in Amendment No. 1 to our Annual Report on Form 10-K for the year ended December 31, 2016.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the amortization of mortgage servicing rights, income taxes, the provision for potential losses that may arise from litigation proceedings, representation and warranty and other indemnification obligations, and our going concern evaluation. In developing estimates and assumptions, management uses all available information; however, actual results could materially differ from those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As a result of our adoption on January 1, 2017 of FASB Accounting Standards Update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Accounting for Employee Share-Based Payments</w:t>
      </w:r>
      <w:r>
        <w:rPr>
          <w:rFonts w:ascii="Arial" w:cs="Arial" w:eastAsia="Arial" w:hAnsi="Arial"/>
          <w:sz w:val="17"/>
          <w:szCs w:val="17"/>
          <w:color w:val="auto"/>
        </w:rPr>
        <w:t>, excess tax benefits have been classified along with other income tax cash flows as an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activity in our unaudited consolidated statements of cash flows, rather than being separated from other income tax cash flows and classified as a financing activity. Additionally, cash paid by Ocwen when directly withholding shares for tax-withholding purposes has been classified as a financing activity in our unaudited consolidated statements of cash flows, rather than being classified as an operating activity.</w:t>
      </w:r>
    </w:p>
    <w:p>
      <w:pPr>
        <w:spacing w:after="0" w:line="6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Certain amounts in the unaudited consolidated statement of cash flows for the three months ended March 31, 2016 have been reclassified to conform to the current year presentation as follows:</w:t>
      </w:r>
    </w:p>
    <w:p>
      <w:pPr>
        <w:spacing w:after="0" w:line="62" w:lineRule="exact"/>
        <w:rPr>
          <w:sz w:val="20"/>
          <w:szCs w:val="20"/>
          <w:color w:val="auto"/>
        </w:rPr>
      </w:pPr>
    </w:p>
    <w:p>
      <w:pPr>
        <w:ind w:left="660" w:right="18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Net gain on valuation of mortgage loans held for investment and HMBS-related borrowings from Other to a new separate line item. In addition, we reclassified amounts related to reverse mortgages from Gain on loans held for sale, net to Other.</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the financing activities section, we reclassified Proceeds from exercise of stock options to Other.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reclassifications had no impact on our consolidated cash flows from operating, investing or financing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Within the total assets section of the unaudited consolidated balance sheet at December 31, 2016, we reclassified Deferred tax assets, net to Other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 Stock Compensation: Improvements to Employee Shared-Based Payment Accounting (ASU 2016-09)</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to the reclassification matters discussed above, ASU 2016-09 requires excess tax benefits associated with employee share-based payments to be recognized through the income statement, regardless of whether the benefit reduces income taxes payable in the current period. Prior to our adoption of this standard, excess tax benefits were recognized in additional paid-in capital and were not recognized until the deduction reduced income taxes payable. Additionally, concurrent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3" w:name="page14"/>
    <w:bookmarkEnd w:id="13"/>
    <w:p>
      <w:pPr>
        <w:ind w:right="220"/>
        <w:spacing w:after="0" w:line="279" w:lineRule="auto"/>
        <w:rPr>
          <w:sz w:val="20"/>
          <w:szCs w:val="20"/>
          <w:color w:val="auto"/>
        </w:rPr>
      </w:pPr>
      <w:r>
        <w:rPr>
          <w:rFonts w:ascii="Arial" w:cs="Arial" w:eastAsia="Arial" w:hAnsi="Arial"/>
          <w:sz w:val="17"/>
          <w:szCs w:val="17"/>
          <w:color w:val="auto"/>
        </w:rPr>
        <w:t>with our adoption of ASU 2016-09, we made an accounting policy election to account for forfeitures when they occur, rather than estimating the number of awards that are expected to vest, as we had done prior to our adoption of this standard. Amendments requiring recognition of excess tax benefits in the income statement were adopted prospectively. Amendments related to the timing of when excess tax benefits are recognized and forfeitures were adopted using a modified retrospective transition method by means of cumulative-effect adjustments to equity as of January 1, 2017.</w:t>
      </w:r>
    </w:p>
    <w:p>
      <w:pPr>
        <w:spacing w:after="0" w:line="6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For the timing of the recognition of excess tax benefits, the cumulative-effect adjustment was to recognize an increase in retained earnings of $5.0 million and a deferred tax asset for the same amount. However, because we have determined that our US and USVI deferred tax assets are not considered to be more likely than not realizable, we established an offsetting full valuation allowance on the deferred tax asset through a reduction in retained earnings.</w:t>
      </w:r>
    </w:p>
    <w:p>
      <w:pPr>
        <w:spacing w:after="0" w:line="3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the change in accounting for forfeitures, we recognized a cumulative-effect adjustment through a reduction of $0.3 million in retained earnings and an increase in additional paid-in capital for the same amount. We also recognized the tax effect of this adjustment through an increase in retained earnings of $0.1 million and a deferred tax asset for the same amount. However, we also fully reserved the resulting deferred tax asset as an offsetting reduction in retained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Clarifying the Definition of a Business (ASU 2017-01)</w:t>
      </w:r>
    </w:p>
    <w:p>
      <w:pPr>
        <w:spacing w:after="0" w:line="11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January 2017, the FASB issued ASU 2017-01 to clarify the definition of a business with the objective of adding guidance to assist entities with evaluating whether transactions should be accounted for as acquisitions or disposals of assets or businesses. This standard provides a more robust framework to use in determining when a set of assets and activities is a business and also provides more consistency in applying the guidance, reduces the costs of application, and makes the definition of a business more operable. This standard will be effective for us on January 1, 2018. We do not anticipate that our adoption of this standard will have a material impact on our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Nonrefundable Fees and Other Costs (ASU 2017-08)</w:t>
      </w:r>
    </w:p>
    <w:p>
      <w:pPr>
        <w:spacing w:after="0" w:line="11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March 2017, the FASB issued ASU 2017-08 to amend the amortization period for certain purchased callable debt securities held at a premium. This standard shortens the amortization period for the premium to the earliest call date, rather than generally amortizing the premium as an adjustment of yield over the contractual life of the instrument, as required by current GAAP. This standard will be effective for us on January 1, 2019. We do not anticipate that our adoption of this standard will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on loans serviced for others and (3) financings of automotive dealer financing notes.</w:t>
      </w:r>
    </w:p>
    <w:p>
      <w:pPr>
        <w:spacing w:after="0" w:line="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w:t>
      </w:r>
    </w:p>
    <w:p>
      <w:pPr>
        <w:spacing w:after="0" w:line="112"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1,001,997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1,009,264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1,011,118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1,012,375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connection with these transfers, we retained MSRs of $8.1 million and $7.2 million during the three months ended March 31, 2017 and 2016, respectively.</w:t>
      </w:r>
    </w:p>
    <w:p>
      <w:pPr>
        <w:spacing w:after="0" w:line="6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98,342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94,492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37,336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11,078,980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10,485,697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11,215,315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10,617,758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2017 and December 31, 2016, 6.7% and 7.6%, respectively, of the transferred residential loans that we service were 60 days or more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We are an approved issuer of Ginnie Mae Home Equity Conversion Mortgage-Backed Securities (HMBS) that are guaranteed by Ginnie Mae. We originate Home Equity Conversion Mortgages (HECM,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with respect to standard representations and warranties and our contractual obligation to service the HECM loans and the HMBS.</w:t>
      </w:r>
    </w:p>
    <w:p>
      <w:pPr>
        <w:spacing w:after="0" w:line="5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measure the HECM loans and HMBS-related borrowings at fair value on a recurring basis. The changes in fair value of the HECM loans and HMBS-related borrowings are included in Other revenues in our unaudited consolidated statements of operations. Included in net fair value gains on the HECM loans and related HMBS borrowings are the interest income that we expect to be collected on the HECM loans and the interest expense that we expect to be paid on the HMBS-related borrowings. We report originations and collections of HECM loans in investing activities in the unaudited consolidated statements of cash flows. We report net fair value gains on HECM loans and the related HMBS borrowings as an adjustment to the net cash provided by or used in operating activities in the unaudited consolidated statements of cash flows. Proceeds from securitizations of HECM loans and payments on HMBS-related borrowings are included in financing activities in the unaudited consolidated statements of cash flows.</w:t>
      </w:r>
    </w:p>
    <w:p>
      <w:pPr>
        <w:spacing w:after="0" w:line="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At March 31, 2017 and December 31, 2016, HMBS-related borrowings of $3.7 billion and $3.4 billion were outstanding. Loans held for investment, at fair value were $3.9 billion and $3.6 billion at March 31, 2017 and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ind w:right="320"/>
        <w:spacing w:after="0" w:line="264" w:lineRule="auto"/>
        <w:rPr>
          <w:sz w:val="20"/>
          <w:szCs w:val="20"/>
          <w:color w:val="auto"/>
        </w:rPr>
      </w:pPr>
      <w:r>
        <w:rPr>
          <w:rFonts w:ascii="Arial" w:cs="Arial" w:eastAsia="Arial" w:hAnsi="Arial"/>
          <w:sz w:val="18"/>
          <w:szCs w:val="18"/>
          <w:color w:val="auto"/>
        </w:rPr>
        <w:t>respectively. At March 31, 2017 and December 31, 2016, Loans held for investment included $117.2 million and $81.3 million, respectively, of originated loans which had not yet been pledged as collateral. See Note 3 – Fair Value and Note 11 – Borrowings for additional information on HMBS-related borrowings and Loans held for investment - Reverse mortgages.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unaudited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Automotive Dealer Financing Notes</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Match funded automotive dealer financing notes result from our transfers of short-term, inventory-secured loans to car dealers to an SPE in exchange for cash. We consolidate this SPE because we have determined that Ocwen is the primary beneficiary of the SPE. The SPE issues debt supported by collections on the transferred loans.</w:t>
      </w:r>
    </w:p>
    <w:p>
      <w:pPr>
        <w:spacing w:after="0" w:line="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make the transfers to the SPE under the terms of our automotive capital asset receivables financing facility agreements. We classify the transferred loans on our unaudited consolidated balance sheets as a component of Match funded assets and the related liabilities as Match funded liabilities. The SPE uses collections of the pledged loans to repay principal and interest and to pay the expenses of the SPE. Holders of the debt issued by the SPE have recourse only to the assets of the SPE for satisfaction of the debt. The assets and liabilities of the automotive capital asset receivables financing SPE are comprised solely of Match funded automotive dealer financing notes, Debt service accounts, Match funded liabilities and amounts due to affiliates. Amounts due to affiliates are eliminated in consolidation in our unaudited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380"/>
              <w:spacing w:after="0"/>
              <w:rPr>
                <w:sz w:val="20"/>
                <w:szCs w:val="20"/>
                <w:color w:val="auto"/>
              </w:rPr>
            </w:pPr>
            <w:r>
              <w:rPr>
                <w:rFonts w:ascii="Arial" w:cs="Arial" w:eastAsia="Arial" w:hAnsi="Arial"/>
                <w:sz w:val="18"/>
                <w:szCs w:val="18"/>
                <w:b w:val="1"/>
                <w:bCs w:val="1"/>
                <w:color w:val="auto"/>
              </w:rPr>
              <w:t>March 31, 2017</w:t>
            </w:r>
          </w:p>
        </w:tc>
        <w:tc>
          <w:tcPr>
            <w:tcW w:w="340" w:type="dxa"/>
            <w:vAlign w:val="bottom"/>
          </w:tcPr>
          <w:p>
            <w:pPr>
              <w:spacing w:after="0"/>
              <w:rPr>
                <w:sz w:val="20"/>
                <w:szCs w:val="20"/>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313,558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313,558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25,595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 2017</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339,153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339,153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314,006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314,006</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5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3,916,387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3,916,387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Advances (including match funded)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1,599,598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1,599,598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1,709,846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1,709,846</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Automotive dealer financing notes (including match funded)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28,364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28,244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33,147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212,781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265,720</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U.S. Treasury notes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2078</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1,215,212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1,208,789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1,280,997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1,275,059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3,739,265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3,739,265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liability - MSRs pledged,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459,187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459,187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477,707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477,707</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96,956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83,013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101,324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81,805</w:t>
            </w: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4,295,408</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4,281,465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4,012,812</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3,993,293</w:t>
            </w:r>
          </w:p>
        </w:tc>
      </w:tr>
      <w:tr>
        <w:trPr>
          <w:trHeight w:val="237"/>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Senior secured term loan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320,131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333,707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323,514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327,674</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418,316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418,316</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355,029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355,029</w:t>
            </w: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738,447</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752,023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678,543</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682,703</w:t>
            </w:r>
          </w:p>
        </w:tc>
      </w:tr>
      <w:tr>
        <w:trPr>
          <w:trHeight w:val="311"/>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3,048</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Senior secured notes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357,284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343,695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352,255</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Senior notes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346,929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360,371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355,303</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6"/>
              </w:rPr>
              <w:t>Derivative financial instruments assets (liabilities), at fair value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6,507</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1,836</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516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651,987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651,987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462,289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363,722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467,911</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1,010,518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1,114,276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1,042,978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1,147,167</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500" w:right="20" w:hanging="492"/>
        <w:spacing w:after="0" w:line="276" w:lineRule="auto"/>
        <w:tabs>
          <w:tab w:leader="none" w:pos="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Balances include the impaired government-insured stratum of amortization method MSRs, which is measured at fair value on a non-recurring basis and reported net of the valuation allowance. Before applying the valuation allowance of $29.6 million, the carrying value of the impaired stratum at March 31, 2017 was $171.2 million. At December 31, 2016, the carrying value of this stratum was $172.9 million before applying the valuation allowance of $28.2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Backed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394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March 31, 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26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343,662</w:t>
            </w:r>
          </w:p>
        </w:tc>
      </w:tr>
      <w:tr>
        <w:trPr>
          <w:trHeight w:val="20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Purchases, issuances, sales and</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347,080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39,625</w:t>
            </w: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40" w:type="dxa"/>
            <w:vAlign w:val="bottom"/>
          </w:tcPr>
          <w:p>
            <w:pPr>
              <w:spacing w:after="0"/>
              <w:rPr>
                <w:sz w:val="21"/>
                <w:szCs w:val="21"/>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11,808</w:t>
            </w:r>
          </w:p>
        </w:tc>
      </w:tr>
      <w:tr>
        <w:trPr>
          <w:trHeight w:val="27"/>
        </w:trPr>
        <w:tc>
          <w:tcPr>
            <w:tcW w:w="40" w:type="dxa"/>
            <w:vAlign w:val="bottom"/>
            <w:tcBorders>
              <w:bottom w:val="single" w:sz="8" w:color="EAF9E8"/>
            </w:tcBorders>
          </w:tcPr>
          <w:p>
            <w:pPr>
              <w:spacing w:after="0"/>
              <w:rPr>
                <w:sz w:val="2"/>
                <w:szCs w:val="2"/>
                <w:color w:val="auto"/>
              </w:rPr>
            </w:pPr>
          </w:p>
        </w:tc>
        <w:tc>
          <w:tcPr>
            <w:tcW w:w="26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6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266,790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(231,650)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16,999</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51,205</w:t>
            </w:r>
          </w:p>
        </w:tc>
      </w:tr>
      <w:tr>
        <w:trPr>
          <w:trHeight w:val="20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2"/>
              </w:rPr>
              <w:t>Total realized and unrealized gains</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and (losses) (2):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83,881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(73,834)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(26,335)</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(14,025)</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 3</w:t>
            </w: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6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3,916,387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(3,739,265)</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(459,187)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651,987</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380,842</w:t>
            </w: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Reverse</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Backed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394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Three months ended March 31, 2016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26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(2,391,362)</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(541,704)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326,404</w:t>
            </w:r>
          </w:p>
        </w:tc>
      </w:tr>
      <w:tr>
        <w:trPr>
          <w:trHeight w:val="20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Purchases, issuances, sales and</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40" w:type="dxa"/>
            <w:vAlign w:val="bottom"/>
          </w:tcPr>
          <w:p>
            <w:pPr>
              <w:spacing w:after="0"/>
              <w:rPr>
                <w:sz w:val="21"/>
                <w:szCs w:val="21"/>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304,058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70,884</w:t>
            </w: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40" w:type="dxa"/>
            <w:vAlign w:val="bottom"/>
          </w:tcPr>
          <w:p>
            <w:pPr>
              <w:spacing w:after="0"/>
              <w:rPr>
                <w:sz w:val="21"/>
                <w:szCs w:val="21"/>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rPr>
              <w:t>Settlements (1)</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39,654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(29,463)</w:t>
            </w:r>
          </w:p>
        </w:tc>
      </w:tr>
      <w:tr>
        <w:trPr>
          <w:trHeight w:val="27"/>
        </w:trPr>
        <w:tc>
          <w:tcPr>
            <w:tcW w:w="40" w:type="dxa"/>
            <w:vAlign w:val="bottom"/>
            <w:tcBorders>
              <w:bottom w:val="single" w:sz="8" w:color="EAF9E8"/>
            </w:tcBorders>
          </w:tcPr>
          <w:p>
            <w:pPr>
              <w:spacing w:after="0"/>
              <w:rPr>
                <w:sz w:val="2"/>
                <w:szCs w:val="2"/>
                <w:color w:val="auto"/>
              </w:rPr>
            </w:pPr>
          </w:p>
        </w:tc>
        <w:tc>
          <w:tcPr>
            <w:tcW w:w="26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6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216,821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(193,520)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18,201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41,698</w:t>
            </w:r>
          </w:p>
        </w:tc>
      </w:tr>
      <w:tr>
        <w:trPr>
          <w:trHeight w:val="20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2"/>
              </w:rPr>
              <w:t>Total realized and unrealized gains</w:t>
            </w: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and (losses):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600" w:type="dxa"/>
            <w:vAlign w:val="bottom"/>
            <w:tcBorders>
              <w:bottom w:val="single" w:sz="8" w:color="EAF9E8"/>
            </w:tcBorders>
            <w:shd w:val="clear" w:color="auto" w:fill="EAF9E8"/>
          </w:tcPr>
          <w:p>
            <w:pPr>
              <w:ind w:left="2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66,168</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(63,218)</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(29,293)</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(27,333)</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4"/>
              </w:rPr>
              <w:t>Transfers in and / or out of Level 3</w:t>
            </w: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6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2,771,242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(2,648,100)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8,386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(523,503)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732,174</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340,769</w:t>
            </w: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Settlements for Loans held for investment - reverse mortgages consist chiefly of principal payments received, but also may include non-cash settlements of loans.</w:t>
      </w:r>
    </w:p>
    <w:p>
      <w:pPr>
        <w:spacing w:after="0" w:line="30" w:lineRule="exact"/>
        <w:rPr>
          <w:rFonts w:ascii="Arial" w:cs="Arial" w:eastAsia="Arial" w:hAnsi="Arial"/>
          <w:sz w:val="15"/>
          <w:szCs w:val="15"/>
          <w:color w:val="auto"/>
        </w:rPr>
      </w:pPr>
    </w:p>
    <w:p>
      <w:pPr>
        <w:ind w:left="500" w:right="100" w:hanging="492"/>
        <w:spacing w:after="0" w:line="25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gains (losses) attributable to derivative financial instruments still held at March 31, 2017 and March 31, 2016 were $0.4 million and $(1.5) million for the three months ended March 31, 2017 and 2016, respectively. Total losses attributable to MSRs still held at March 31, 2017 and March 31, 2016 were $26.3 million and $29.1 million for the three months ended March 31, 2017 and 2016,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8" w:name="page19"/>
    <w:bookmarkEnd w:id="18"/>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We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included in the valuations consisted of the following at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98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Range</w:t>
            </w:r>
          </w:p>
        </w:tc>
        <w:tc>
          <w:tcPr>
            <w:tcW w:w="1240" w:type="dxa"/>
            <w:vAlign w:val="bottom"/>
          </w:tcPr>
          <w:p>
            <w:pPr>
              <w:jc w:val="right"/>
              <w:spacing w:after="0"/>
              <w:rPr>
                <w:sz w:val="20"/>
                <w:szCs w:val="20"/>
                <w:color w:val="auto"/>
              </w:rPr>
            </w:pPr>
            <w:r>
              <w:rPr>
                <w:rFonts w:ascii="Arial" w:cs="Arial" w:eastAsia="Arial" w:hAnsi="Arial"/>
                <w:sz w:val="18"/>
                <w:szCs w:val="18"/>
                <w:color w:val="auto"/>
              </w:rPr>
              <w:t>5.5 to</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8.5</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5.5 to 8.7</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7"/>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3"/>
            <w:shd w:val="clear" w:color="auto" w:fill="EAF9E8"/>
          </w:tcPr>
          <w:p>
            <w:pPr>
              <w:ind w:left="420"/>
              <w:spacing w:after="0"/>
              <w:rPr>
                <w:sz w:val="20"/>
                <w:szCs w:val="20"/>
                <w:color w:val="auto"/>
              </w:rPr>
            </w:pPr>
            <w:r>
              <w:rPr>
                <w:rFonts w:ascii="Arial" w:cs="Arial" w:eastAsia="Arial" w:hAnsi="Arial"/>
                <w:sz w:val="18"/>
                <w:szCs w:val="18"/>
                <w:color w:val="auto"/>
              </w:rPr>
              <w:t>5.3% to 53.8%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 to 53.8%</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3.3%</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w w:val="96"/>
              </w:rPr>
              <w:t>Interest rate used for computing the cost of financing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valuations consisted of the following at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1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5-year swap</w:t>
            </w: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160" w:type="dxa"/>
            <w:vAlign w:val="bottom"/>
          </w:tcPr>
          <w:p>
            <w:pPr>
              <w:spacing w:after="0"/>
              <w:rPr>
                <w:sz w:val="21"/>
                <w:szCs w:val="21"/>
                <w:color w:val="auto"/>
              </w:rPr>
            </w:pP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5-year swap</w:t>
            </w:r>
          </w:p>
        </w:tc>
        <w:tc>
          <w:tcPr>
            <w:tcW w:w="3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The primary assumptions used in the valuations consisted of the following at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March 31, 2017</w:t>
            </w:r>
          </w:p>
        </w:tc>
        <w:tc>
          <w:tcPr>
            <w:tcW w:w="30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12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 Agency</w:t>
            </w: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Agency</w:t>
            </w:r>
          </w:p>
        </w:tc>
        <w:tc>
          <w:tcPr>
            <w:tcW w:w="12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Non Agency</w:t>
            </w:r>
          </w:p>
        </w:tc>
      </w:tr>
      <w:tr>
        <w:trPr>
          <w:trHeight w:val="27"/>
        </w:trPr>
        <w:tc>
          <w:tcPr>
            <w:tcW w:w="4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980" w:type="dxa"/>
            <w:vAlign w:val="bottom"/>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2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5-year swap</w:t>
            </w:r>
          </w:p>
        </w:tc>
        <w:tc>
          <w:tcPr>
            <w:tcW w:w="12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w w:val="94"/>
              </w:rPr>
              <w:t>1-Month LIBOR</w:t>
            </w:r>
          </w:p>
        </w:tc>
        <w:tc>
          <w:tcPr>
            <w:tcW w:w="3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5-year swap</w:t>
            </w:r>
          </w:p>
        </w:tc>
        <w:tc>
          <w:tcPr>
            <w:tcW w:w="120" w:type="dxa"/>
            <w:vAlign w:val="bottom"/>
            <w:shd w:val="clear" w:color="auto" w:fill="EAF9E8"/>
          </w:tcPr>
          <w:p>
            <w:pPr>
              <w:spacing w:after="0"/>
              <w:rPr>
                <w:sz w:val="19"/>
                <w:szCs w:val="19"/>
                <w:color w:val="auto"/>
              </w:rPr>
            </w:pPr>
          </w:p>
        </w:tc>
        <w:tc>
          <w:tcPr>
            <w:tcW w:w="14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7"/>
              </w:rPr>
              <w:t>1-Month LIBOR</w:t>
            </w:r>
          </w:p>
        </w:tc>
      </w:tr>
      <w:tr>
        <w:trPr>
          <w:trHeight w:val="237"/>
        </w:trPr>
        <w:tc>
          <w:tcPr>
            <w:tcW w:w="498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20" w:type="dxa"/>
            <w:vAlign w:val="bottom"/>
            <w:tcBorders>
              <w:bottom w:val="single" w:sz="8" w:color="EAF9E8"/>
            </w:tcBorders>
            <w:gridSpan w:val="3"/>
            <w:shd w:val="clear" w:color="auto" w:fill="EAF9E8"/>
          </w:tcPr>
          <w:p>
            <w:pPr>
              <w:jc w:val="right"/>
              <w:ind w:right="300"/>
              <w:spacing w:after="0"/>
              <w:rPr>
                <w:sz w:val="20"/>
                <w:szCs w:val="20"/>
                <w:color w:val="auto"/>
              </w:rPr>
            </w:pPr>
            <w:r>
              <w:rPr>
                <w:rFonts w:ascii="Arial" w:cs="Arial" w:eastAsia="Arial" w:hAnsi="Arial"/>
                <w:sz w:val="18"/>
                <w:szCs w:val="18"/>
                <w:color w:val="auto"/>
                <w:w w:val="99"/>
              </w:rPr>
              <w:t>(1ML) plus 3.5%</w:t>
            </w:r>
          </w:p>
        </w:tc>
        <w:tc>
          <w:tcPr>
            <w:tcW w:w="3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5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(1ML) plus 3.5%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280" w:type="dxa"/>
            <w:vAlign w:val="bottom"/>
          </w:tcPr>
          <w:p>
            <w:pPr>
              <w:spacing w:after="0"/>
              <w:rPr>
                <w:sz w:val="21"/>
                <w:szCs w:val="21"/>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rPr>
              <w:t>5-year swap</w:t>
            </w:r>
          </w:p>
        </w:tc>
        <w:tc>
          <w:tcPr>
            <w:tcW w:w="12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30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5-year swap</w:t>
            </w:r>
          </w:p>
        </w:tc>
        <w:tc>
          <w:tcPr>
            <w:tcW w:w="12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4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307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Dealer Financing Notes</w:t>
      </w:r>
    </w:p>
    <w:p>
      <w:pPr>
        <w:spacing w:after="0" w:line="1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estimate the fair value of our automotive dealer financing notes using unobservable inputs within an internally developed cash flow model. Key inputs included projected repayments, interest and fee receipts, deferrals, delinquencies, recoveries and charge-offs of the notes within the portfolio. The projected cash flows are then discounted at a rate commensurate with the risk of the estimated cash flows to derive the fair value of the portfolio. The more significant assumptions used in the valuation consisted of the following at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2017</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life in months</w:t>
            </w:r>
          </w:p>
        </w:tc>
        <w:tc>
          <w:tcPr>
            <w:tcW w:w="15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Average note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 loss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unaudited consolidated statements of operations.</w:t>
      </w:r>
    </w:p>
    <w:p>
      <w:pPr>
        <w:spacing w:after="0" w:line="19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of U.S. Treasury notes on quoted prices in active markets to which we have access.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advance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valuations consisted of the following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2016</w:t>
            </w:r>
          </w:p>
        </w:tc>
      </w:tr>
      <w:tr>
        <w:trPr>
          <w:trHeight w:val="27"/>
        </w:trPr>
        <w:tc>
          <w:tcPr>
            <w:tcW w:w="798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Life in years</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Range</w:t>
            </w:r>
          </w:p>
        </w:tc>
        <w:tc>
          <w:tcPr>
            <w:tcW w:w="1240" w:type="dxa"/>
            <w:vAlign w:val="bottom"/>
          </w:tcPr>
          <w:p>
            <w:pPr>
              <w:jc w:val="right"/>
              <w:spacing w:after="0"/>
              <w:rPr>
                <w:sz w:val="20"/>
                <w:szCs w:val="20"/>
                <w:color w:val="auto"/>
              </w:rPr>
            </w:pPr>
            <w:r>
              <w:rPr>
                <w:rFonts w:ascii="Arial" w:cs="Arial" w:eastAsia="Arial" w:hAnsi="Arial"/>
                <w:sz w:val="18"/>
                <w:szCs w:val="18"/>
                <w:color w:val="auto"/>
              </w:rPr>
              <w:t>4.5 to</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8.5</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4.5 to 8.7</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124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Conditional repayment rate</w:t>
            </w: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3"/>
            <w:shd w:val="clear" w:color="auto" w:fill="EAF9E8"/>
          </w:tcPr>
          <w:p>
            <w:pPr>
              <w:ind w:left="420"/>
              <w:spacing w:after="0"/>
              <w:rPr>
                <w:sz w:val="20"/>
                <w:szCs w:val="20"/>
                <w:color w:val="auto"/>
              </w:rPr>
            </w:pPr>
            <w:r>
              <w:rPr>
                <w:rFonts w:ascii="Arial" w:cs="Arial" w:eastAsia="Arial" w:hAnsi="Arial"/>
                <w:sz w:val="18"/>
                <w:szCs w:val="18"/>
                <w:color w:val="auto"/>
              </w:rPr>
              <w:t>5.3% to 53.8%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 to 53.8%</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EAF9E8"/>
          </w:tcPr>
          <w:p>
            <w:pPr>
              <w:spacing w:after="0"/>
              <w:rPr>
                <w:sz w:val="21"/>
                <w:szCs w:val="21"/>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2.7%</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periodically sell the right to receive servicing fees, excluding ancillary income (other than net income on custodial and escrow accounts), relating to certain of our MSRs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non-Agency MSRs, future fair value changes in the Financing Liability - MSRs Pledged will be largely offset by changes in the fair value of the related MSRs.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more significant assumptions used in determination of the prices of the underlying MSRs consisted of the following at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2017</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4440" w:type="dxa"/>
            <w:vAlign w:val="bottom"/>
            <w:tcBorders>
              <w:bottom w:val="single" w:sz="8" w:color="EAF9E8"/>
            </w:tcBorders>
          </w:tcPr>
          <w:p>
            <w:pPr>
              <w:spacing w:after="0"/>
              <w:rPr>
                <w:sz w:val="2"/>
                <w:szCs w:val="2"/>
                <w:color w:val="auto"/>
              </w:rPr>
            </w:pPr>
          </w:p>
        </w:tc>
        <w:tc>
          <w:tcPr>
            <w:tcW w:w="376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w:t>
            </w:r>
          </w:p>
        </w:tc>
        <w:tc>
          <w:tcPr>
            <w:tcW w:w="37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delinquency rate</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44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 financing cost</w:t>
            </w:r>
          </w:p>
        </w:tc>
        <w:tc>
          <w:tcPr>
            <w:tcW w:w="37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94"/>
              </w:rPr>
              <w:t>1ML plus 3.5%</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1ML plus 3.5%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rate for computing float earnings</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1ML</w:t>
            </w:r>
          </w:p>
        </w:tc>
        <w:tc>
          <w:tcPr>
            <w:tcW w:w="1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1ML</w:t>
            </w:r>
          </w:p>
        </w:tc>
      </w:tr>
      <w:tr>
        <w:trPr>
          <w:trHeight w:val="27"/>
        </w:trPr>
        <w:tc>
          <w:tcPr>
            <w:tcW w:w="44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discount rate</w:t>
            </w:r>
          </w:p>
        </w:tc>
        <w:tc>
          <w:tcPr>
            <w:tcW w:w="376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Weighted average cost to service (in dollars)</w:t>
            </w:r>
          </w:p>
        </w:tc>
        <w:tc>
          <w:tcPr>
            <w:tcW w:w="3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313</w:t>
            </w:r>
          </w:p>
        </w:tc>
      </w:tr>
      <w:tr>
        <w:trPr>
          <w:trHeight w:val="486"/>
        </w:trPr>
        <w:tc>
          <w:tcPr>
            <w:tcW w:w="4440" w:type="dxa"/>
            <w:vAlign w:val="bottom"/>
          </w:tcPr>
          <w:p>
            <w:pPr>
              <w:spacing w:after="0"/>
              <w:rPr>
                <w:sz w:val="24"/>
                <w:szCs w:val="24"/>
                <w:color w:val="auto"/>
              </w:rPr>
            </w:pPr>
          </w:p>
        </w:tc>
        <w:tc>
          <w:tcPr>
            <w:tcW w:w="3760" w:type="dxa"/>
            <w:vAlign w:val="bottom"/>
          </w:tcPr>
          <w:p>
            <w:pPr>
              <w:jc w:val="right"/>
              <w:ind w:right="23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2" w:name="page23"/>
    <w:bookmarkEnd w:id="22"/>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14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three months ended March 31, 2017 and 2016, we sold MSRs relating to loans with a UPB of $52.2 million (Agency and non-Agency) and $34.5 million (non-Agency), respectively.</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2012 and 2013, we sold Rights to MSRs with respect to certain non-Agency MSRs and the related servicing advances to Home Loan Servicing Solutions, Ltd. (HLSS). On April 6, 2015, HLSS closed on the sale of substantially all of its assets to NRZ. NRZ, through its subsidiaries, is the owner of the Rights to MSRs and has assumed HLSS’ rights and obligations under the associated agreements. We refer to the sale of Rights to MSRs and the related servicing advances as the NRZ/HLSS Transactions. As of March 31, 2017, these Rights to MSRs relate to approximately $114.3 billion in UPB of our non-Agency MSRs.</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was unable to fulfill its advance funding obligations, as the servicer under our servicing agreements with the residential mortgage backed securitization trusts, we would be contractually obligated to fund such advances under those servicing agreements. At March 31, 2017, NRZ had outstanding advances of approximately $3.7 billion in connection with the Rights to MSRs.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right="520" w:firstLine="324"/>
        <w:spacing w:after="0" w:line="277" w:lineRule="auto"/>
        <w:rPr>
          <w:sz w:val="20"/>
          <w:szCs w:val="20"/>
          <w:color w:val="auto"/>
        </w:rPr>
      </w:pPr>
      <w:r>
        <w:rPr>
          <w:rFonts w:ascii="Arial" w:cs="Arial" w:eastAsia="Arial" w:hAnsi="Arial"/>
          <w:sz w:val="18"/>
          <w:szCs w:val="18"/>
          <w:color w:val="auto"/>
        </w:rPr>
        <w:t>Under our agreements with NRZ, NRZ has certain rights to direct us to transfer the legal ownership of the MSRs and certain other rights under the servicing agreements underlying the Rights to MSRs as follows:</w:t>
      </w:r>
    </w:p>
    <w:p>
      <w:pPr>
        <w:spacing w:after="0" w:line="62" w:lineRule="exact"/>
        <w:rPr>
          <w:sz w:val="20"/>
          <w:szCs w:val="20"/>
          <w:color w:val="auto"/>
        </w:rPr>
      </w:pPr>
    </w:p>
    <w:p>
      <w:pPr>
        <w:ind w:left="660" w:right="24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HLSS Holdings, LLC (Holdings), a subsidiary of NRZ, if or when Holdings obtains all required third-party consents and licenses. If and when such transfer of legal ownership occurs, OLS would subservice the loans pursuant to the existing subservicing agreement(s), as amended, with Holdings. The subservicing agreement would have a subservicing fee reset date described below.</w:t>
      </w:r>
    </w:p>
    <w:p>
      <w:pPr>
        <w:ind w:left="660" w:right="2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 third party, other than Holdings, who can obtain all required third-party consents and licenses, provided that the transfer is subject to our continued right to be paid the servicing fees and other amounts payable under our agreements with NRZ as described below. To the extent Ocwen remained subservicer, new subservicing agreements would need to be executed.</w:t>
      </w:r>
    </w:p>
    <w:p>
      <w:pPr>
        <w:spacing w:after="0" w:line="1" w:lineRule="exact"/>
        <w:rPr>
          <w:rFonts w:ascii="Arial" w:cs="Arial" w:eastAsia="Arial" w:hAnsi="Arial"/>
          <w:sz w:val="18"/>
          <w:szCs w:val="18"/>
          <w:color w:val="auto"/>
        </w:rPr>
      </w:pPr>
    </w:p>
    <w:p>
      <w:pPr>
        <w:jc w:val="both"/>
        <w:ind w:left="660" w:right="8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termination event occurs with respect to an affected servicing agreement, to a replacement servicer that obtains all required third-party consents and licenses. Upon any such transfer, we would no longer be entitled to receive future servicing fee revenue with respect to the transferred servicing agreement.</w:t>
      </w:r>
    </w:p>
    <w:p>
      <w:pPr>
        <w:spacing w:after="0" w:line="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working toward an agreement with NRZ that would transfer legal ownership of MSRs underlying the Rights to MSRs to NRZ. The new agreement would extend our relationship with NRZ out to at least 2022, removing a level of uncertainty concerning NRZ’s future intentions and ability to move servicing without us retaining our rights to be paid the servicing fees and other amounts payable under our existing agreements. During our negotiations with NRZ, NRZ has informed us that its position is that a termination event has occurred under our agreements because our current Moody’s servicer rating (SQ3-) is allegedly below the contractual threshold. NRZ has also informed us that it does not intend to take any action to transfer servicing without us retaining our economics, although it has reserved its rights. As Ocwen has previously publicly stated, Ocwen does not consider any termination event to have occurred based on Ocwen’s current servicer ratings.</w:t>
      </w:r>
    </w:p>
    <w:p>
      <w:pPr>
        <w:spacing w:after="0" w:line="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Under our existing agreements, 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The apportionment of these fees with respect to each tranche of Rights to MSRs sold to NRZ is subject to negotiations required to be commenced by NRZ no later than six months prior to the servicing fee reset date. The servicing fee reset date is the earlier of April 30, 2020 or eight years after the closing date of the sale of each tranche of Rights to MSRs to NRZ, unless there is an uncured “termination event” with respect to an affected servicing agreement due to a servicer rating downgrade of OLS’s S&amp;P or Moody’s residential primary servicer rating for subprime loans to Below Average (or lower) or SQ4 (or lower), respectively, on the sixth anniversary of the closing date of the particular tranche, in which case such six year anniversary shall be the fee reset date. If the parties are not able to agree on servicing fees prior to the fee reset date, NRZ is required to continue paying under the existing fee structure and the agreements between the parties will continue in effect with respect to each underlying servicing agreement unless and until NRZ directs the transfer of servicing under such servicing agreement to a third-party servicer with respect to which all required third-party consents and licenses have been obtained.</w:t>
      </w:r>
    </w:p>
    <w:p>
      <w:pPr>
        <w:spacing w:after="0" w:line="6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To the extent servicing agreements with residential mortgage backed securities (RMBS) trustees underlying Rights to MSRs are terminated as a result of a termination event, NRZ is entitled to payment of an amount equal to an amortized percentage of NRZ’s purchase price for the related Rights to MSRs.</w:t>
      </w:r>
    </w:p>
    <w:p>
      <w:pPr>
        <w:spacing w:after="0" w:line="1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Under our agreements with NRZ, we were required to compensate NRZ for certain increased costs associated with its servicing advance financing facilities. This compensation requirement ran for a period of 12 months and ended in the second quarter of 2016.</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Rights to MSRs transactions are accounted for as financings. If and when transfer of legal ownership of the underlying MSRs occurs (which would follow receipt of the necessary consents), we would derecognize the related MSRs and the related financing liability. Upon derecognition, any resulting gain or loss would be deferred and amortized over the life of the related subservicing agreement. Until derecognition, we will continue to recognize the full amount of servicing revenue and changes in the fair value of the MSRs.</w:t>
      </w:r>
    </w:p>
    <w:p>
      <w:pPr>
        <w:spacing w:after="0" w:line="7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5 – Loans Held for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 Fair Value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the balance:</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840,999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789,180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(817,033)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(783,187)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in fair value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313,558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321,739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March 31, 2017 and 2016, the balances include $10.5 million and $13.7 million, respectively, of fair value adjustments.</w:t>
      </w:r>
    </w:p>
    <w:p>
      <w:pPr>
        <w:spacing w:after="0" w:line="10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At March 31, 2017, loans held for sale, at fair value with a UPB of $231.9 million were pledged as collateral to warehouse lines of credit in our Lending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 Lower of Cost or Fair Value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the net balance:</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104,992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396,536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421,896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(354,285)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(372,583)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(48,752)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87,070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580" w:hanging="492"/>
        <w:spacing w:after="0" w:line="26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March 31, 2017 and 2016, the balances include $20.0 million and $55.5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valuation allowance are as follows: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 from 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17,993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96" w:right="239" w:bottom="1440" w:gutter="0" w:footer="0" w:header="0"/>
          <w:type w:val="continuous"/>
        </w:sectPr>
      </w:pPr>
    </w:p>
    <w:bookmarkStart w:id="25" w:name="page26"/>
    <w:bookmarkEnd w:id="25"/>
    <w:p>
      <w:pPr>
        <w:ind w:right="440" w:firstLine="324"/>
        <w:spacing w:after="0" w:line="277" w:lineRule="auto"/>
        <w:rPr>
          <w:sz w:val="20"/>
          <w:szCs w:val="20"/>
          <w:color w:val="auto"/>
        </w:rPr>
      </w:pPr>
      <w:r>
        <w:rPr>
          <w:rFonts w:ascii="Arial" w:cs="Arial" w:eastAsia="Arial" w:hAnsi="Arial"/>
          <w:sz w:val="18"/>
          <w:szCs w:val="18"/>
          <w:color w:val="auto"/>
        </w:rPr>
        <w:t>At March 31, 2017, Loans held for sale, at lower of cost or fair value, with a UPB of $13.4 million were pledged as collateral to a warehouse line of credit in our Servicing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Loans Held for Sale, Net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retained on transfers of forward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gains related to transfers of reverse mortgage loans,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sale of repurchased Ginnie Mae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gains related to loans held for sale,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6,089</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sales of loans,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15,572</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net, which represent payments made on behalf of borrowers or on foreclosed properties, consisted of the following at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170,131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92,202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94,369</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295,834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(35,844)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(37,952)</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234,173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257,882</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Advances at March 31, 2017 and December 31, 2016 include $25.0 million and $29.0 million, respectively, of previously sold advances in connection with sales of loans that did not qualify for sale accounting.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net advances: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22860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36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257,882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0" w:type="dxa"/>
            <w:vAlign w:val="bottom"/>
          </w:tcPr>
          <w:p>
            <w:pPr>
              <w:spacing w:after="0"/>
              <w:rPr>
                <w:sz w:val="1"/>
                <w:szCs w:val="1"/>
                <w:color w:val="auto"/>
              </w:rPr>
            </w:pP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Sales of advances</w:t>
            </w: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364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(126,067)</w:t>
            </w:r>
          </w:p>
        </w:tc>
        <w:tc>
          <w:tcPr>
            <w:tcW w:w="0" w:type="dxa"/>
            <w:vAlign w:val="bottom"/>
          </w:tcPr>
          <w:p>
            <w:pPr>
              <w:spacing w:after="0"/>
              <w:rPr>
                <w:sz w:val="1"/>
                <w:szCs w:val="1"/>
                <w:color w:val="auto"/>
              </w:rPr>
            </w:pP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Decrease (increase) in allowance for losses</w:t>
            </w:r>
          </w:p>
        </w:tc>
        <w:tc>
          <w:tcPr>
            <w:tcW w:w="3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36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3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234,173</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317,348</w:t>
            </w:r>
          </w:p>
        </w:tc>
        <w:tc>
          <w:tcPr>
            <w:tcW w:w="0" w:type="dxa"/>
            <w:vAlign w:val="bottom"/>
          </w:tcPr>
          <w:p>
            <w:pPr>
              <w:spacing w:after="0"/>
              <w:rPr>
                <w:sz w:val="1"/>
                <w:szCs w:val="1"/>
                <w:color w:val="auto"/>
              </w:rPr>
            </w:pP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640" w:type="dxa"/>
            <w:vAlign w:val="bottom"/>
            <w:tcBorders>
              <w:top w:val="single" w:sz="8" w:color="EAF9E8"/>
              <w:bottom w:val="single" w:sz="8" w:color="EAF9E8"/>
            </w:tcBorders>
            <w:vMerge w:val="restart"/>
          </w:tcPr>
          <w:p>
            <w:pPr>
              <w:jc w:val="right"/>
              <w:ind w:right="2470"/>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The changes in the allowance for losses are as follows: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w w:val="92"/>
              </w:rPr>
              <w:t>For the Three Months Ended March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87"/>
              </w:rPr>
              <w:t>31,</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37,952</w:t>
            </w:r>
          </w:p>
        </w:tc>
        <w:tc>
          <w:tcPr>
            <w:tcW w:w="360" w:type="dxa"/>
            <w:vAlign w:val="bottom"/>
            <w:tcBorders>
              <w:bottom w:val="single" w:sz="8" w:color="EAF9E8"/>
            </w:tcBorders>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Charge-offs, net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(5,529)</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35,844</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7 – Match Funded Assets</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Match funded assets are comprised of the following at the dates indicated: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2"/>
              </w:rPr>
              <w:t>March 31, 2017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651,837</w:t>
            </w:r>
          </w:p>
        </w:tc>
        <w:tc>
          <w:tcPr>
            <w:tcW w:w="36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711,272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508,573</w:t>
            </w:r>
          </w:p>
        </w:tc>
        <w:tc>
          <w:tcPr>
            <w:tcW w:w="6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530,946</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real estate and other</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205,015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209,746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1,365,425</w:t>
            </w:r>
          </w:p>
        </w:tc>
        <w:tc>
          <w:tcPr>
            <w:tcW w:w="6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1,451,964</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(1)</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26,996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1,392,421</w:t>
            </w:r>
          </w:p>
        </w:tc>
        <w:tc>
          <w:tcPr>
            <w:tcW w:w="360" w:type="dxa"/>
            <w:vAlign w:val="bottom"/>
            <w:tcBorders>
              <w:bottom w:val="single" w:sz="8" w:color="EAF9E8"/>
            </w:tcBorders>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1,451,964</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February 24, 2017 and on March 17, 2017, we entered into loan agreements under a new automotive dealer loan financing facility to which these notes are pledged.</w:t>
      </w:r>
    </w:p>
    <w:p>
      <w:pPr>
        <w:spacing w:after="0" w:line="13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The following table summarizes the activity in match funded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 March 31,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Automotive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Dealer Financing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Advances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Notes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Advances</w:t>
            </w:r>
          </w:p>
        </w:tc>
        <w:tc>
          <w:tcPr>
            <w:tcW w:w="0" w:type="dxa"/>
            <w:vAlign w:val="bottom"/>
          </w:tcPr>
          <w:p>
            <w:pPr>
              <w:spacing w:after="0"/>
              <w:rPr>
                <w:sz w:val="1"/>
                <w:szCs w:val="1"/>
                <w:color w:val="auto"/>
              </w:rPr>
            </w:pPr>
          </w:p>
        </w:tc>
      </w:tr>
      <w:tr>
        <w:trPr>
          <w:trHeight w:val="27"/>
        </w:trPr>
        <w:tc>
          <w:tcPr>
            <w:tcW w:w="4900" w:type="dxa"/>
            <w:vAlign w:val="bottom"/>
            <w:tcBorders>
              <w:bottom w:val="single" w:sz="8" w:color="EAF9E8"/>
            </w:tcBorders>
          </w:tcPr>
          <w:p>
            <w:pPr>
              <w:spacing w:after="0"/>
              <w:rPr>
                <w:sz w:val="2"/>
                <w:szCs w:val="2"/>
                <w:color w:val="auto"/>
              </w:rPr>
            </w:pPr>
          </w:p>
        </w:tc>
        <w:tc>
          <w:tcPr>
            <w:tcW w:w="1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10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1,706,768</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Transfer from Other assets</w:t>
            </w: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184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New advances/notes (collections of pledged assets), net</w:t>
            </w: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14,129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EAF9E8"/>
            </w:tcBorders>
          </w:tcPr>
          <w:p>
            <w:pPr>
              <w:spacing w:after="0"/>
              <w:rPr>
                <w:sz w:val="2"/>
                <w:szCs w:val="2"/>
                <w:color w:val="auto"/>
              </w:rPr>
            </w:pPr>
          </w:p>
        </w:tc>
        <w:tc>
          <w:tcPr>
            <w:tcW w:w="18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1,365,425</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26,996</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1,720,897</w:t>
            </w:r>
          </w:p>
        </w:tc>
        <w:tc>
          <w:tcPr>
            <w:tcW w:w="0" w:type="dxa"/>
            <w:vAlign w:val="bottom"/>
          </w:tcPr>
          <w:p>
            <w:pPr>
              <w:spacing w:after="0"/>
              <w:rPr>
                <w:sz w:val="1"/>
                <w:szCs w:val="1"/>
                <w:color w:val="auto"/>
              </w:rPr>
            </w:pPr>
          </w:p>
        </w:tc>
      </w:tr>
      <w:tr>
        <w:trPr>
          <w:trHeight w:val="20"/>
        </w:trPr>
        <w:tc>
          <w:tcPr>
            <w:tcW w:w="4900" w:type="dxa"/>
            <w:vAlign w:val="bottom"/>
            <w:tcBorders>
              <w:top w:val="single" w:sz="8" w:color="EAF9E8"/>
            </w:tcBorders>
          </w:tcPr>
          <w:p>
            <w:pPr>
              <w:spacing w:after="0" w:line="20" w:lineRule="exact"/>
              <w:rPr>
                <w:sz w:val="1"/>
                <w:szCs w:val="1"/>
                <w:color w:val="auto"/>
              </w:rPr>
            </w:pPr>
          </w:p>
        </w:tc>
        <w:tc>
          <w:tcPr>
            <w:tcW w:w="1840" w:type="dxa"/>
            <w:vAlign w:val="bottom"/>
            <w:tcBorders>
              <w:top w:val="single" w:sz="8" w:color="EAF9E8"/>
              <w:bottom w:val="single" w:sz="8" w:color="EAF9E8"/>
            </w:tcBorders>
            <w:vMerge w:val="restart"/>
          </w:tcPr>
          <w:p>
            <w:pPr>
              <w:jc w:val="right"/>
              <w:ind w:right="850"/>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8 – Mortgage Servicing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the net carrying value of servicing assets that we account for using the amortization method:</w:t>
      </w:r>
    </w:p>
    <w:p>
      <w:pPr>
        <w:spacing w:after="0" w:line="27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363,722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377,379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372,647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388,798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in impairment valuation allowance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(29,953)</w:t>
            </w:r>
          </w:p>
        </w:tc>
      </w:tr>
      <w:tr>
        <w:trPr>
          <w:trHeight w:val="297"/>
        </w:trPr>
        <w:tc>
          <w:tcPr>
            <w:tcW w:w="83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358,531</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346,039</w:t>
            </w:r>
          </w:p>
        </w:tc>
      </w:tr>
      <w:tr>
        <w:trPr>
          <w:trHeight w:val="284"/>
        </w:trPr>
        <w:tc>
          <w:tcPr>
            <w:tcW w:w="83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462,289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390,970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20" w:hanging="492"/>
        <w:spacing w:after="0" w:line="275"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Impairment of MSRs is recognized in Servicing and origination expense in the unaudited consolidated statements of operations. See Note 3 – Fair Value for additional information regarding impairment and the valuation allowance.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the fair value of servicing assets that we account for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80" w:type="dxa"/>
            <w:vAlign w:val="bottom"/>
            <w:gridSpan w:val="8"/>
          </w:tcPr>
          <w:p>
            <w:pPr>
              <w:spacing w:after="0"/>
              <w:rPr>
                <w:sz w:val="20"/>
                <w:szCs w:val="20"/>
                <w:color w:val="auto"/>
              </w:rPr>
            </w:pPr>
            <w:r>
              <w:rPr>
                <w:rFonts w:ascii="Arial" w:cs="Arial" w:eastAsia="Arial" w:hAnsi="Arial"/>
                <w:sz w:val="18"/>
                <w:szCs w:val="18"/>
                <w:b w:val="1"/>
                <w:bCs w:val="1"/>
                <w:color w:val="auto"/>
                <w:w w:val="92"/>
              </w:rPr>
              <w:t>For the Three Months Ended March 31,</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Non-Agency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13,357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665,899</w:t>
            </w:r>
          </w:p>
        </w:tc>
        <w:tc>
          <w:tcPr>
            <w:tcW w:w="440" w:type="dxa"/>
            <w:vAlign w:val="bottom"/>
            <w:tcBorders>
              <w:bottom w:val="single" w:sz="8" w:color="EAF9E8"/>
            </w:tcBorders>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15,071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746,119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transfers and</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(706)</w:t>
            </w:r>
          </w:p>
        </w:tc>
        <w:tc>
          <w:tcPr>
            <w:tcW w:w="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6"/>
              </w:rPr>
              <w:t>Changes in valuation inputs or</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26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other assumptions</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(6,380)</w:t>
            </w: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8"/>
              </w:rPr>
              <w:t>Realization of expected future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440"/>
              <w:spacing w:after="0"/>
              <w:rPr>
                <w:sz w:val="20"/>
                <w:szCs w:val="20"/>
                <w:color w:val="auto"/>
              </w:rPr>
            </w:pPr>
            <w:r>
              <w:rPr>
                <w:rFonts w:ascii="Arial" w:cs="Arial" w:eastAsia="Arial" w:hAnsi="Arial"/>
                <w:sz w:val="18"/>
                <w:szCs w:val="18"/>
                <w:color w:val="auto"/>
                <w:w w:val="91"/>
              </w:rPr>
              <w:t>cash flows and other changes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(22,913)</w:t>
            </w: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13,406</w:t>
            </w:r>
          </w:p>
        </w:tc>
        <w:tc>
          <w:tcPr>
            <w:tcW w:w="1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638,581</w:t>
            </w:r>
          </w:p>
        </w:tc>
        <w:tc>
          <w:tcPr>
            <w:tcW w:w="44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651,987</w:t>
            </w:r>
          </w:p>
        </w:tc>
        <w:tc>
          <w:tcPr>
            <w:tcW w:w="12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12,011</w:t>
            </w:r>
          </w:p>
        </w:tc>
        <w:tc>
          <w:tcPr>
            <w:tcW w:w="10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720,163</w:t>
            </w:r>
          </w:p>
        </w:tc>
        <w:tc>
          <w:tcPr>
            <w:tcW w:w="12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732,174</w:t>
            </w:r>
          </w:p>
        </w:tc>
      </w:tr>
      <w:tr>
        <w:trPr>
          <w:trHeight w:val="20"/>
        </w:trPr>
        <w:tc>
          <w:tcPr>
            <w:tcW w:w="26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fair value are recognized in Servicing and origination expense in the unaudited consolidated statements of operations.</w:t>
      </w:r>
    </w:p>
    <w:p>
      <w:pPr>
        <w:spacing w:after="0" w:line="10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March 31, 2017 given hypothetical shifts in lifetime prepayments and yield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(63,546)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(129,059)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(24,349)</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0" w:right="239" w:bottom="1440" w:gutter="0" w:footer="0" w:header="0"/>
          <w:type w:val="continuous"/>
        </w:sectPr>
      </w:pPr>
    </w:p>
    <w:bookmarkStart w:id="28" w:name="page29"/>
    <w:bookmarkEnd w:id="28"/>
    <w:p>
      <w:pPr>
        <w:ind w:right="10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March 31, 2017 are increased prepayment speeds and a decrease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2017</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83,841,793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83,841,793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4,196,729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92,817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4,289,546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114,330,492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114,330,492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202,369,014</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92,817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202,461,831</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86,049,298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86,049,298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4,330,084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4,423,017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118,712,748</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118,712,748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209,092,130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92,933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209,185,063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March 31, 2016</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97,826,653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97,826,653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6,517,180</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6,653,653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NRZ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132,737,203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132,737,203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237,081,036</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237,217,509</w:t>
            </w:r>
          </w:p>
        </w:tc>
        <w:tc>
          <w:tcPr>
            <w:tcW w:w="0" w:type="dxa"/>
            <w:vAlign w:val="bottom"/>
          </w:tcPr>
          <w:p>
            <w:pPr>
              <w:spacing w:after="0"/>
              <w:rPr>
                <w:sz w:val="1"/>
                <w:szCs w:val="1"/>
                <w:color w:val="auto"/>
              </w:rPr>
            </w:pP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w:t>
      </w:r>
    </w:p>
    <w:p>
      <w:pPr>
        <w:spacing w:after="0" w:line="10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$1.4 billion, $1.4 billion and $1.7 billion at March 31, 2017, December 31, 2016 and March 31, 2016, respectively. Commercial assets consist of large-balance foreclosed real estate.</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Of 3,762 non-Agency servicing agreements, 721 with approximately $33.1 billion of UPB as of March 31, 2017 have minimum servicer ratings criteria. As a result of our current servicer ratings, termination rights have been triggered in 174 of these non-Agency servicing agreements. This represents approximately $10.5 billion in UPB as of March 31, 2017, or approximately 6.8% of our total non-Agency servicing portfolio.</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2"/>
              </w:rPr>
              <w:t>For the Three Months Ended March</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87"/>
              </w:rPr>
              <w:t>31,</w:t>
            </w: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67,172</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76,509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3,605</w:t>
            </w:r>
          </w:p>
        </w:tc>
        <w:tc>
          <w:tcPr>
            <w:tcW w:w="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NRZ</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147,311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162,129</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218,088</w:t>
            </w:r>
          </w:p>
        </w:tc>
        <w:tc>
          <w:tcPr>
            <w:tcW w:w="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245,877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22,618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Late charges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16,784</w:t>
            </w:r>
          </w:p>
        </w:tc>
        <w:tc>
          <w:tcPr>
            <w:tcW w:w="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7,129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10,329</w:t>
            </w:r>
          </w:p>
        </w:tc>
        <w:tc>
          <w:tcPr>
            <w:tcW w:w="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3,269</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272,502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297,496</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$2.0 billion and $2.3 billion at March 31, 2017 and March 31, 2016,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8"/>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114,386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133,063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NRZ</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34,199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29,358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27,086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213,744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256,105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61,932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19,111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21,125</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273,507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339,162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(60,726)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(73,442)</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212,781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265,720</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100" w:hanging="492"/>
        <w:spacing w:after="0" w:line="26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March 31, 2017 and December 31, 2016, the allowance for losses related entirely to receivables of our Servicing business. Allowance for losses related to defaulted FHA or VA insured loans repurchased from Ginnie Mae guaranteed securitizations (government-insured loan claims) at March 31, 2017 and December 31, 2016 were $41.4 million and $53.3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Other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8"/>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267,029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(2)</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57,188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Debt service accounts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43,268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net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8,342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income taxes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Interest-earning time deposits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6,454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Automotive dealer financing notes, net (3)</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33,224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14,692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12,050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428,617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438,104</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20" w:hanging="492"/>
        <w:spacing w:after="0" w:line="255"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previously transferred Ginnie Mae mortgage loans for which we have the right or the obligation to repurchase under the applicable agreement, we re-recognize the loans in Other assets and a corresponding liability in Other liabilities.</w:t>
      </w:r>
    </w:p>
    <w:p>
      <w:pPr>
        <w:spacing w:after="0" w:line="1" w:lineRule="exact"/>
        <w:rPr>
          <w:rFonts w:ascii="Arial" w:cs="Arial" w:eastAsia="Arial" w:hAnsi="Arial"/>
          <w:sz w:val="16"/>
          <w:szCs w:val="16"/>
          <w:color w:val="auto"/>
        </w:rPr>
      </w:pPr>
    </w:p>
    <w:p>
      <w:pPr>
        <w:ind w:left="500" w:right="18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connection with the sale of Agency MSRs in 2015, we placed $52.9 million in escrow for the payment of representation, warranty and indemnification claims associated with the underlying loans. Prepaid expenses at March 31, 2017 and December 31, 2016 includes the remaining balance of $36.4 million and $34.9 million, respectively.</w:t>
      </w:r>
    </w:p>
    <w:p>
      <w:pPr>
        <w:spacing w:after="0" w:line="1"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notes represent short-term inventory-secured floor plan loans – provided to independent used car dealerships through our ACS venture – that have not been pledged to our automotive dealer loan financing facility. Automotive dealer financing notes are net of an allowance of $10.5 million and $4.4 million at March 31, 2017 and December 31, 2016, respectively. We recognized a provision for losses on these notes of $6.1 million and $0.05 million during the three months ended March 31, 2017 and 2016,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Note 11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8"/>
                <w:szCs w:val="18"/>
                <w:b w:val="1"/>
                <w:bCs w:val="1"/>
                <w:color w:val="auto"/>
              </w:rPr>
              <w:t>March 31, 2017</w:t>
            </w:r>
          </w:p>
        </w:tc>
        <w:tc>
          <w:tcPr>
            <w:tcW w:w="100" w:type="dxa"/>
            <w:vAlign w:val="bottom"/>
          </w:tcPr>
          <w:p>
            <w:pPr>
              <w:spacing w:after="0"/>
              <w:rPr>
                <w:sz w:val="24"/>
                <w:szCs w:val="24"/>
                <w:color w:val="auto"/>
              </w:rPr>
            </w:pPr>
          </w:p>
        </w:tc>
        <w:tc>
          <w:tcPr>
            <w:tcW w:w="2420" w:type="dxa"/>
            <w:vAlign w:val="bottom"/>
            <w:gridSpan w:val="4"/>
          </w:tcPr>
          <w:p>
            <w:pPr>
              <w:jc w:val="right"/>
              <w:ind w:right="379"/>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 zation</w:t>
            </w:r>
          </w:p>
        </w:tc>
        <w:tc>
          <w:tcPr>
            <w:tcW w:w="1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760" w:type="dxa"/>
            <w:vAlign w:val="bottom"/>
            <w:gridSpan w:val="2"/>
          </w:tcPr>
          <w:p>
            <w:pPr>
              <w:ind w:left="840"/>
              <w:spacing w:after="0"/>
              <w:rPr>
                <w:sz w:val="20"/>
                <w:szCs w:val="20"/>
                <w:color w:val="auto"/>
              </w:rPr>
            </w:pPr>
            <w:r>
              <w:rPr>
                <w:rFonts w:ascii="Arial" w:cs="Arial" w:eastAsia="Arial" w:hAnsi="Arial"/>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Date (1)</w:t>
            </w: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Capacity (2)</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Balance</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2014-VF3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2047</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88,625</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w w:val="92"/>
              </w:rPr>
              <w:t>3.12%</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51,375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74,394</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2014-VF4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2047</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88,625</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51,375</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74,394</w:t>
            </w: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2015-VF5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2047</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2017</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88,626</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51,374</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74,394</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2015-T3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Nov. 2047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Nov.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400,000</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400,000</w:t>
            </w: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265,000</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265,000</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r>
      <w:tr>
        <w:trPr>
          <w:trHeight w:val="23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300" w:type="dxa"/>
            <w:vAlign w:val="bottom"/>
            <w:tcBorders>
              <w:bottom w:val="single" w:sz="8" w:color="EAF9E8"/>
            </w:tcBorders>
            <w:gridSpan w:val="2"/>
            <w:shd w:val="clear" w:color="auto" w:fill="EAF9E8"/>
          </w:tcPr>
          <w:p>
            <w:pPr>
              <w:jc w:val="right"/>
              <w:ind w:right="98"/>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235,000</w:t>
            </w:r>
          </w:p>
        </w:tc>
      </w:tr>
      <w:tr>
        <w:trPr>
          <w:trHeight w:val="196"/>
        </w:trPr>
        <w:tc>
          <w:tcPr>
            <w:tcW w:w="27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Ocwen Master Advance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0"/>
        </w:trPr>
        <w:tc>
          <w:tcPr>
            <w:tcW w:w="2760" w:type="dxa"/>
            <w:vAlign w:val="bottom"/>
            <w:gridSpan w:val="2"/>
          </w:tcPr>
          <w:p>
            <w:pPr>
              <w:ind w:left="440"/>
              <w:spacing w:after="0"/>
              <w:rPr>
                <w:sz w:val="20"/>
                <w:szCs w:val="20"/>
                <w:color w:val="auto"/>
              </w:rPr>
            </w:pPr>
            <w:r>
              <w:rPr>
                <w:rFonts w:ascii="Arial" w:cs="Arial" w:eastAsia="Arial" w:hAnsi="Arial"/>
                <w:sz w:val="16"/>
                <w:szCs w:val="16"/>
                <w:b w:val="1"/>
                <w:bCs w:val="1"/>
                <w:color w:val="auto"/>
              </w:rPr>
              <w:t>Receivables Trust (OMART)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265,876</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1,054,124</w:t>
            </w:r>
          </w:p>
        </w:tc>
        <w:tc>
          <w:tcPr>
            <w:tcW w:w="1300" w:type="dxa"/>
            <w:vAlign w:val="bottom"/>
            <w:gridSpan w:val="2"/>
          </w:tcPr>
          <w:p>
            <w:pPr>
              <w:jc w:val="right"/>
              <w:ind w:right="98"/>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1,123,182</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Ocwen Servicer Advance</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Receivables Trust III (OSART</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 xml:space="preserve">III) - </w:t>
            </w:r>
            <w:r>
              <w:rPr>
                <w:rFonts w:ascii="Arial" w:cs="Arial" w:eastAsia="Arial" w:hAnsi="Arial"/>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199"/>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2014-</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r>
      <w:tr>
        <w:trPr>
          <w:trHeight w:val="223"/>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 xml:space="preserve">VF1 </w:t>
            </w:r>
            <w:r>
              <w:rPr>
                <w:rFonts w:ascii="Arial" w:cs="Arial" w:eastAsia="Arial" w:hAnsi="Arial"/>
                <w:sz w:val="16"/>
                <w:szCs w:val="16"/>
                <w:b w:val="1"/>
                <w:bCs w:val="1"/>
                <w:color w:val="auto"/>
              </w:rPr>
              <w:t>(6)</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2047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2017</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14,052</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w w:val="92"/>
              </w:rPr>
              <w:t>4.18%</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60,948</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63,093</w:t>
            </w:r>
          </w:p>
        </w:tc>
      </w:tr>
      <w:tr>
        <w:trPr>
          <w:trHeight w:val="216"/>
        </w:trPr>
        <w:tc>
          <w:tcPr>
            <w:tcW w:w="2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Ocwen Freddie Advance Funding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2760" w:type="dxa"/>
            <w:vAlign w:val="bottom"/>
            <w:gridSpan w:val="2"/>
          </w:tcPr>
          <w:p>
            <w:pPr>
              <w:ind w:left="340"/>
              <w:spacing w:after="0"/>
              <w:rPr>
                <w:sz w:val="20"/>
                <w:szCs w:val="20"/>
                <w:color w:val="auto"/>
              </w:rPr>
            </w:pPr>
            <w:r>
              <w:rPr>
                <w:rFonts w:ascii="Arial" w:cs="Arial" w:eastAsia="Arial" w:hAnsi="Arial"/>
                <w:sz w:val="16"/>
                <w:szCs w:val="16"/>
                <w:b w:val="1"/>
                <w:bCs w:val="1"/>
                <w:color w:val="auto"/>
              </w:rPr>
              <w:t xml:space="preserve">(OFAF) - </w:t>
            </w:r>
            <w:r>
              <w:rPr>
                <w:rFonts w:ascii="Arial" w:cs="Arial" w:eastAsia="Arial" w:hAnsi="Arial"/>
                <w:sz w:val="16"/>
                <w:szCs w:val="16"/>
                <w:color w:val="auto"/>
              </w:rPr>
              <w:t>Advance Receivables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Backed Notes, Series 2015-</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 xml:space="preserve">VF1 </w:t>
            </w:r>
            <w:r>
              <w:rPr>
                <w:rFonts w:ascii="Arial" w:cs="Arial" w:eastAsia="Arial" w:hAnsi="Arial"/>
                <w:sz w:val="16"/>
                <w:szCs w:val="16"/>
                <w:b w:val="1"/>
                <w:bCs w:val="1"/>
                <w:color w:val="auto"/>
              </w:rPr>
              <w:t>(7)</w:t>
            </w:r>
          </w:p>
        </w:tc>
        <w:tc>
          <w:tcPr>
            <w:tcW w:w="1240" w:type="dxa"/>
            <w:vAlign w:val="bottom"/>
            <w:gridSpan w:val="2"/>
          </w:tcPr>
          <w:p>
            <w:pPr>
              <w:ind w:left="480"/>
              <w:spacing w:after="0"/>
              <w:rPr>
                <w:sz w:val="20"/>
                <w:szCs w:val="20"/>
                <w:color w:val="auto"/>
              </w:rPr>
            </w:pPr>
            <w:r>
              <w:rPr>
                <w:rFonts w:ascii="Arial" w:cs="Arial" w:eastAsia="Arial" w:hAnsi="Arial"/>
                <w:sz w:val="16"/>
                <w:szCs w:val="16"/>
                <w:color w:val="auto"/>
              </w:rPr>
              <w:t>Jun. 2047</w:t>
            </w:r>
          </w:p>
        </w:tc>
        <w:tc>
          <w:tcPr>
            <w:tcW w:w="1240" w:type="dxa"/>
            <w:vAlign w:val="bottom"/>
            <w:gridSpan w:val="2"/>
          </w:tcPr>
          <w:p>
            <w:pPr>
              <w:ind w:left="480"/>
              <w:spacing w:after="0"/>
              <w:rPr>
                <w:sz w:val="20"/>
                <w:szCs w:val="20"/>
                <w:color w:val="auto"/>
              </w:rPr>
            </w:pPr>
            <w:r>
              <w:rPr>
                <w:rFonts w:ascii="Arial" w:cs="Arial" w:eastAsia="Arial" w:hAnsi="Arial"/>
                <w:sz w:val="16"/>
                <w:szCs w:val="16"/>
                <w:color w:val="auto"/>
              </w:rPr>
              <w:t>Jun. 2017</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78,873</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w w:val="92"/>
              </w:rPr>
              <w:t>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81,127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94,722</w:t>
            </w: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358,801</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w w:val="92"/>
              </w:rPr>
              <w:t>3.23%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1,196,199</w:t>
            </w:r>
          </w:p>
        </w:tc>
        <w:tc>
          <w:tcPr>
            <w:tcW w:w="13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1,280,997</w:t>
            </w:r>
          </w:p>
        </w:tc>
      </w:tr>
      <w:tr>
        <w:trPr>
          <w:trHeight w:val="29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16"/>
        </w:trPr>
        <w:tc>
          <w:tcPr>
            <w:tcW w:w="2760" w:type="dxa"/>
            <w:vAlign w:val="bottom"/>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Automotive Dealer Loan Financing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r>
      <w:tr>
        <w:trPr>
          <w:trHeight w:val="223"/>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6"/>
                <w:szCs w:val="16"/>
                <w:b w:val="1"/>
                <w:bCs w:val="1"/>
                <w:color w:val="auto"/>
              </w:rPr>
              <w:t>Facility:</w:t>
            </w: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r>
      <w:tr>
        <w:trPr>
          <w:trHeight w:val="237"/>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Loan Series 2017-1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2019</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40,493</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w w:val="92"/>
              </w:rPr>
              <w:t>6.55%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9,507</w:t>
            </w: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6"/>
                <w:szCs w:val="16"/>
                <w:color w:val="auto"/>
              </w:rPr>
              <w:t>Loan Series 2017-2</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1"/>
              </w:rPr>
              <w:t>Mar. 2021</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1"/>
              </w:rPr>
              <w:t>Mar. 2019</w:t>
            </w: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40,494</w:t>
            </w:r>
          </w:p>
        </w:tc>
        <w:tc>
          <w:tcPr>
            <w:tcW w:w="130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9,506</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276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Automotive Capital Asset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3"/>
        </w:trPr>
        <w:tc>
          <w:tcPr>
            <w:tcW w:w="2760" w:type="dxa"/>
            <w:vAlign w:val="bottom"/>
            <w:gridSpan w:val="2"/>
          </w:tcPr>
          <w:p>
            <w:pPr>
              <w:ind w:left="520"/>
              <w:spacing w:after="0"/>
              <w:rPr>
                <w:sz w:val="20"/>
                <w:szCs w:val="20"/>
                <w:color w:val="auto"/>
              </w:rPr>
            </w:pPr>
            <w:r>
              <w:rPr>
                <w:rFonts w:ascii="Arial" w:cs="Arial" w:eastAsia="Arial" w:hAnsi="Arial"/>
                <w:sz w:val="16"/>
                <w:szCs w:val="16"/>
                <w:b w:val="1"/>
                <w:bCs w:val="1"/>
                <w:color w:val="auto"/>
              </w:rPr>
              <w:t>Receivables Trust (ACART)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640" w:type="dxa"/>
            <w:vAlign w:val="bottom"/>
          </w:tcPr>
          <w:p>
            <w:pPr>
              <w:ind w:left="520"/>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80,987</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w w:val="92"/>
              </w:rPr>
              <w:t>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19,013</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26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439,788</w:t>
            </w:r>
          </w:p>
        </w:tc>
        <w:tc>
          <w:tcPr>
            <w:tcW w:w="1300" w:type="dxa"/>
            <w:vAlign w:val="bottom"/>
            <w:gridSpan w:val="2"/>
          </w:tcPr>
          <w:p>
            <w:pPr>
              <w:ind w:left="860"/>
              <w:spacing w:after="0"/>
              <w:rPr>
                <w:sz w:val="20"/>
                <w:szCs w:val="20"/>
                <w:color w:val="auto"/>
              </w:rPr>
            </w:pPr>
            <w:r>
              <w:rPr>
                <w:rFonts w:ascii="Arial" w:cs="Arial" w:eastAsia="Arial" w:hAnsi="Arial"/>
                <w:sz w:val="16"/>
                <w:szCs w:val="16"/>
                <w:color w:val="auto"/>
                <w:w w:val="92"/>
              </w:rPr>
              <w:t>3.28%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1,215,212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1,280,997</w:t>
            </w: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140" w:hanging="492"/>
        <w:spacing w:after="0" w:line="263" w:lineRule="auto"/>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Borrowing capacity is available to us provided that we have additional eligible collateral to pledge. Collateral may only be pledged to one facility. At March 31, 2017, none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1ML was 0.98% and 0.77% at March 31, 2017 and December 31, 2016, respectively.</w:t>
      </w:r>
    </w:p>
    <w:p>
      <w:pPr>
        <w:spacing w:after="0" w:line="5" w:lineRule="exact"/>
        <w:rPr>
          <w:rFonts w:ascii="Arial" w:cs="Arial" w:eastAsia="Arial" w:hAnsi="Arial"/>
          <w:sz w:val="16"/>
          <w:szCs w:val="16"/>
          <w:color w:val="auto"/>
        </w:rPr>
      </w:pPr>
    </w:p>
    <w:p>
      <w:pPr>
        <w:ind w:left="500" w:right="140" w:hanging="492"/>
        <w:spacing w:after="0" w:line="246"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borrowing capacity of each series of variable rate notes is $140.0 million. There is a ceiling of 75 bps for 1ML in determining the interest rate for the notes. Rates on the individual notes are based on 1ML plus a margin of 185 to 545 basis points (bps).</w:t>
      </w:r>
    </w:p>
    <w:p>
      <w:pPr>
        <w:ind w:left="500" w:right="20" w:hanging="492"/>
        <w:spacing w:after="0" w:line="263" w:lineRule="auto"/>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Under the terms of the agreement, we must continue to borrow the full amount of the Series 2015-T3, Series 2016-T1 and Series 2016-T2 fixed-rate term notes until the amortization date. If there is insufficient collateral to support the level of borrowing, the excess cash proceeds are not distributed to Ocwen but are held by the trustee, and interest expense continues to be based on the full amount of the notes. The Series 2016-T1 and 2016-T2 notes have a total borrowing capacity of $500.0 million. The Series 2015-T3 notes have a borrowing capacity of $400.0 million. Rates on the individual notes range from 2.5207% to 4.6870%</w:t>
      </w:r>
    </w:p>
    <w:p>
      <w:pPr>
        <w:ind w:left="500" w:right="100" w:hanging="492"/>
        <w:spacing w:after="0" w:line="257"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maximum borrowing capacity under this facility is $75.0 million. There is a ceiling of 75 bps for 1ML in determining the interest rate for these variable rate notes. Rates on the individual notes are based on the lender’s cost of funds plus a margin of 230 to 470 bps.</w:t>
      </w:r>
    </w:p>
    <w:p>
      <w:pPr>
        <w:sectPr>
          <w:pgSz w:w="11900" w:h="16838" w:orient="portrait"/>
          <w:cols w:equalWidth="0" w:num="1">
            <w:col w:w="11420"/>
          </w:cols>
          <w:pgMar w:left="240" w:top="796"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796" w:right="239" w:bottom="1440" w:gutter="0" w:footer="0" w:header="0"/>
          <w:type w:val="continuous"/>
        </w:sectPr>
      </w:pPr>
    </w:p>
    <w:bookmarkStart w:id="32" w:name="page33"/>
    <w:bookmarkEnd w:id="32"/>
    <w:p>
      <w:pPr>
        <w:ind w:left="500" w:right="420" w:hanging="492"/>
        <w:spacing w:after="0" w:line="255"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combined borrowing capacity of the Series 2015-VF1 Notes is $160.0 million. There is a ceiling of 125 bps for 1ML in determining the interest rate for these variable rate notes. Rates on the individual notes are based on 1ML plus a margin of 240 to 480 bps.</w:t>
      </w:r>
    </w:p>
    <w:p>
      <w:pPr>
        <w:spacing w:after="0" w:line="1" w:lineRule="exact"/>
        <w:rPr>
          <w:rFonts w:ascii="Arial" w:cs="Arial" w:eastAsia="Arial" w:hAnsi="Arial"/>
          <w:sz w:val="16"/>
          <w:szCs w:val="16"/>
          <w:color w:val="auto"/>
        </w:rPr>
      </w:pPr>
    </w:p>
    <w:p>
      <w:pPr>
        <w:ind w:left="500" w:right="140" w:hanging="492"/>
        <w:spacing w:after="0" w:line="272" w:lineRule="auto"/>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entered into the loan agreements for the Series 2017-1 Notes on February 24, 2017 and for the Series 2017-2 Notes on March 17, 2017. The committed borrowing capacity for each of the Series 2017-1 and Series 2017-2 variable rate notes is $50.0 million. We may from time to time request increases in the aggregate maximum borrowing capacity of the facility to a maximum aggregate borrowing capacity of $200.0 million. Rates on the Series 2017-1 notes are based on 1ML plus a margin of 500 bps and rates on the Series 2017-2 notes are based on the lender’s cost of funds plus a margin of 500 bps.</w:t>
      </w:r>
    </w:p>
    <w:p>
      <w:pPr>
        <w:spacing w:after="0" w:line="64"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Pursuant to our agreements with NRZ, NRZ has assumed the obligation to fund new servicing advances with respect to the MSRs underlying the Rights to MSRs, or NRZ/HLSS Transactions.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March 31, 2017, we were the servicer on Rights to MSRs sold to NRZ pertaining to approximately $114.3 billion in UPB and the associated outstanding servicing advances as of such date were approximately $3.7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5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gridSpan w:val="2"/>
          </w:tcPr>
          <w:p>
            <w:pPr>
              <w:ind w:left="178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459,187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477,707</w:t>
            </w: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Secured Notes, Ocwen Asset Servicing Income Series,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Series 2014-1 (2)</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Feb. 2028</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81,131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37"/>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loans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20,193</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1ML + 263</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3,739,265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3,433,781</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4,295,408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4,012,812</w:t>
            </w:r>
          </w:p>
        </w:tc>
      </w:tr>
      <w:tr>
        <w:trPr>
          <w:trHeight w:val="20"/>
        </w:trPr>
        <w:tc>
          <w:tcPr>
            <w:tcW w:w="4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340" w:hanging="492"/>
        <w:spacing w:after="0" w:line="272"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the NRZ/HLSS Transactions and has no contractual maturity or repayment schedule. The balance of the liability is adjusted each reporting period to its fair value based on the present value of the estimated future cash flows underlying the related MSRs.</w:t>
      </w:r>
    </w:p>
    <w:p>
      <w:pPr>
        <w:spacing w:after="0" w:line="1" w:lineRule="exact"/>
        <w:rPr>
          <w:rFonts w:ascii="Arial" w:cs="Arial" w:eastAsia="Arial" w:hAnsi="Arial"/>
          <w:sz w:val="15"/>
          <w:szCs w:val="15"/>
          <w:color w:val="auto"/>
        </w:rPr>
      </w:pPr>
    </w:p>
    <w:p>
      <w:pPr>
        <w:ind w:left="500" w:right="240" w:hanging="492"/>
        <w:spacing w:after="0" w:line="263"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We accounted for this transaction as a financing. Monthly amortization of the liability is estimated using the proportion of monthly projected service fees on the underlying MSRs as a percentage of lifetime projected fees, adjusted for the term of the security.</w:t>
      </w:r>
    </w:p>
    <w:p>
      <w:pPr>
        <w:ind w:left="500" w:hanging="492"/>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Certain sales of advances did not qualify for sales accounting treatment and were accounted for as a financing. This financing liability has no contractual maturity.</w:t>
      </w:r>
    </w:p>
    <w:p>
      <w:pPr>
        <w:spacing w:after="0" w:line="16" w:lineRule="exact"/>
        <w:rPr>
          <w:rFonts w:ascii="Arial" w:cs="Arial" w:eastAsia="Arial" w:hAnsi="Arial"/>
          <w:sz w:val="15"/>
          <w:szCs w:val="15"/>
          <w:color w:val="auto"/>
        </w:rPr>
      </w:pPr>
    </w:p>
    <w:p>
      <w:pPr>
        <w:ind w:left="500" w:right="320" w:hanging="492"/>
        <w:spacing w:after="0" w:line="257"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9"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Other Secured Borrowings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8"/>
              </w:rPr>
              <w:t>Available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1"/>
              </w:rPr>
              <w:t>Borrowing</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900"/>
              <w:spacing w:after="0"/>
              <w:rPr>
                <w:sz w:val="20"/>
                <w:szCs w:val="20"/>
                <w:color w:val="auto"/>
              </w:rPr>
            </w:pPr>
            <w:r>
              <w:rPr>
                <w:rFonts w:ascii="Arial" w:cs="Arial" w:eastAsia="Arial" w:hAnsi="Arial"/>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Capacity (1)</w:t>
            </w: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8"/>
              </w:rPr>
              <w:t>Senior secured term loan (SSTL)</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rate + 500 bps with 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SSTL (2)</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 bps (2)</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330,813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335,000</w:t>
            </w:r>
          </w:p>
        </w:tc>
        <w:tc>
          <w:tcPr>
            <w:tcW w:w="0" w:type="dxa"/>
            <w:vAlign w:val="bottom"/>
          </w:tcPr>
          <w:p>
            <w:pPr>
              <w:spacing w:after="0"/>
              <w:rPr>
                <w:sz w:val="1"/>
                <w:szCs w:val="1"/>
                <w:color w:val="auto"/>
              </w:rPr>
            </w:pP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80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Mortgage loan warehouse</w:t>
            </w:r>
          </w:p>
        </w:tc>
        <w:tc>
          <w:tcPr>
            <w:tcW w:w="1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facilities:</w:t>
            </w: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5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Repurchase agreement (3)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sale (LHFS)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 2017</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13,176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+ 200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3"/>
              </w:rPr>
              <w:t>Master repurchase agreements (4)</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1ML floor of 0.0%</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2018</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69,600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130,400</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173,543</w:t>
            </w:r>
          </w:p>
        </w:tc>
        <w:tc>
          <w:tcPr>
            <w:tcW w:w="0" w:type="dxa"/>
            <w:vAlign w:val="bottom"/>
          </w:tcPr>
          <w:p>
            <w:pPr>
              <w:spacing w:after="0"/>
              <w:rPr>
                <w:sz w:val="1"/>
                <w:szCs w:val="1"/>
                <w:color w:val="auto"/>
              </w:rPr>
            </w:pPr>
          </w:p>
        </w:tc>
      </w:tr>
      <w:tr>
        <w:trPr>
          <w:trHeight w:val="243"/>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agreements (5)</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 2017 (5)</w:t>
            </w:r>
          </w:p>
        </w:tc>
        <w:tc>
          <w:tcPr>
            <w:tcW w:w="140" w:type="dxa"/>
            <w:vAlign w:val="bottom"/>
          </w:tcPr>
          <w:p>
            <w:pPr>
              <w:spacing w:after="0"/>
              <w:rPr>
                <w:sz w:val="21"/>
                <w:szCs w:val="21"/>
                <w:color w:val="auto"/>
              </w:rPr>
            </w:pPr>
          </w:p>
        </w:tc>
        <w:tc>
          <w:tcPr>
            <w:tcW w:w="126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163,956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92,739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1ML floor of 300 or</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Participation agreements (6)</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350 bps</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2017</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48,709</w:t>
            </w:r>
          </w:p>
        </w:tc>
        <w:tc>
          <w:tcPr>
            <w:tcW w:w="10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26,254</w:t>
            </w:r>
          </w:p>
        </w:tc>
        <w:tc>
          <w:tcPr>
            <w:tcW w:w="0" w:type="dxa"/>
            <w:vAlign w:val="bottom"/>
          </w:tcPr>
          <w:p>
            <w:pPr>
              <w:spacing w:after="0"/>
              <w:rPr>
                <w:sz w:val="1"/>
                <w:szCs w:val="1"/>
                <w:color w:val="auto"/>
              </w:rPr>
            </w:pPr>
          </w:p>
        </w:tc>
      </w:tr>
      <w:tr>
        <w:trPr>
          <w:trHeight w:val="229"/>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LHFS (reverse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1ML floor of 25 bps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Jan. 2018</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37,925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62,075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50,123</w:t>
            </w:r>
          </w:p>
        </w:tc>
        <w:tc>
          <w:tcPr>
            <w:tcW w:w="0" w:type="dxa"/>
            <w:vAlign w:val="bottom"/>
          </w:tcPr>
          <w:p>
            <w:pPr>
              <w:spacing w:after="0"/>
              <w:rPr>
                <w:sz w:val="1"/>
                <w:szCs w:val="1"/>
                <w:color w:val="auto"/>
              </w:rPr>
            </w:pP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144,349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418,316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355,029</w:t>
            </w: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144,349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749,129</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690,029</w:t>
            </w:r>
          </w:p>
        </w:tc>
        <w:tc>
          <w:tcPr>
            <w:tcW w:w="0" w:type="dxa"/>
            <w:vAlign w:val="bottom"/>
          </w:tcPr>
          <w:p>
            <w:pPr>
              <w:spacing w:after="0"/>
              <w:rPr>
                <w:sz w:val="1"/>
                <w:szCs w:val="1"/>
                <w:color w:val="auto"/>
              </w:rPr>
            </w:pPr>
          </w:p>
        </w:tc>
      </w:tr>
      <w:tr>
        <w:trPr>
          <w:trHeight w:val="20"/>
        </w:trPr>
        <w:tc>
          <w:tcPr>
            <w:tcW w:w="4040" w:type="dxa"/>
            <w:vAlign w:val="bottom"/>
            <w:gridSpan w:val="4"/>
            <w:vMerge w:val="restart"/>
          </w:tcPr>
          <w:p>
            <w:pPr>
              <w:ind w:left="40"/>
              <w:spacing w:after="0"/>
              <w:rPr>
                <w:sz w:val="20"/>
                <w:szCs w:val="20"/>
                <w:color w:val="auto"/>
              </w:rPr>
            </w:pPr>
            <w:r>
              <w:rPr>
                <w:rFonts w:ascii="Arial" w:cs="Arial" w:eastAsia="Arial" w:hAnsi="Arial"/>
                <w:sz w:val="18"/>
                <w:szCs w:val="18"/>
                <w:color w:val="auto"/>
              </w:rPr>
              <w:t>Unamortized debt issuance costs - SSTL</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vMerge w:val="restart"/>
          </w:tcPr>
          <w:p>
            <w:pPr>
              <w:jc w:val="right"/>
              <w:ind w:right="50"/>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line="20" w:lineRule="exact"/>
              <w:rPr>
                <w:sz w:val="1"/>
                <w:szCs w:val="1"/>
                <w:color w:val="auto"/>
              </w:rPr>
            </w:pPr>
          </w:p>
        </w:tc>
      </w:tr>
      <w:tr>
        <w:trPr>
          <w:trHeight w:val="230"/>
        </w:trPr>
        <w:tc>
          <w:tcPr>
            <w:tcW w:w="4040" w:type="dxa"/>
            <w:vAlign w:val="bottom"/>
            <w:gridSpan w:val="4"/>
            <w:vMerge w:val="continue"/>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Discount - SSTL</w:t>
            </w:r>
          </w:p>
        </w:tc>
        <w:tc>
          <w:tcPr>
            <w:tcW w:w="1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738,447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678,543</w:t>
            </w:r>
          </w:p>
        </w:tc>
        <w:tc>
          <w:tcPr>
            <w:tcW w:w="0" w:type="dxa"/>
            <w:vAlign w:val="bottom"/>
          </w:tcPr>
          <w:p>
            <w:pPr>
              <w:spacing w:after="0"/>
              <w:rPr>
                <w:sz w:val="1"/>
                <w:szCs w:val="1"/>
                <w:color w:val="auto"/>
              </w:rPr>
            </w:pPr>
          </w:p>
        </w:tc>
      </w:tr>
      <w:tr>
        <w:trPr>
          <w:trHeight w:val="67"/>
        </w:trPr>
        <w:tc>
          <w:tcPr>
            <w:tcW w:w="268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58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1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40" w:type="dxa"/>
            <w:vAlign w:val="bottom"/>
            <w:tcBorders>
              <w:bottom w:val="single" w:sz="8" w:color="EAF9E8"/>
            </w:tcBorders>
          </w:tcPr>
          <w:p>
            <w:pPr>
              <w:spacing w:after="0"/>
              <w:rPr>
                <w:sz w:val="5"/>
                <w:szCs w:val="5"/>
                <w:color w:val="auto"/>
              </w:rPr>
            </w:pPr>
          </w:p>
        </w:tc>
        <w:tc>
          <w:tcPr>
            <w:tcW w:w="10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58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1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40" w:type="dxa"/>
            <w:vAlign w:val="bottom"/>
            <w:shd w:val="clear" w:color="auto" w:fill="EAF9E8"/>
          </w:tcPr>
          <w:p>
            <w:pPr>
              <w:spacing w:after="0"/>
              <w:rPr>
                <w:sz w:val="13"/>
                <w:szCs w:val="13"/>
                <w:color w:val="auto"/>
              </w:rPr>
            </w:pPr>
          </w:p>
        </w:tc>
        <w:tc>
          <w:tcPr>
            <w:tcW w:w="10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14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110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120" w:hanging="492"/>
        <w:spacing w:after="0" w:line="252"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our mortgage loan warehouse facilities, available borrowing capacity does not consider the amount of the facility that the lender has extended on an uncommitted basis. Of the borrowing capacity extended on a committed basis, $0.8 million could be used at March 31, 2017 based on the amount of eligible collateral that had been pledged.</w:t>
      </w:r>
    </w:p>
    <w:p>
      <w:pPr>
        <w:spacing w:after="0" w:line="1" w:lineRule="exact"/>
        <w:rPr>
          <w:rFonts w:ascii="Arial" w:cs="Arial" w:eastAsia="Arial" w:hAnsi="Arial"/>
          <w:sz w:val="16"/>
          <w:szCs w:val="16"/>
          <w:color w:val="auto"/>
        </w:rPr>
      </w:pPr>
    </w:p>
    <w:p>
      <w:pPr>
        <w:ind w:left="500" w:right="60" w:hanging="492"/>
        <w:spacing w:after="0" w:line="250"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December 5, 2016, we entered into an Amended and Restated Senior Secured Term Loan Facility Agreement that established a new SSTL with a borrowing capacity of $335.0 million and a maturity date of December 5, 2020. We may request increases to the loan amount of up to $100.0 million in total, with additional increases subject to certain limitations. We are required to make quarterly payments on the SSTL in an amount of $4.2 million the first of which was paid on March 31, 2017.</w:t>
      </w:r>
    </w:p>
    <w:p>
      <w:pPr>
        <w:spacing w:after="0" w:line="83" w:lineRule="exact"/>
        <w:rPr>
          <w:rFonts w:ascii="Arial" w:cs="Arial" w:eastAsia="Arial" w:hAnsi="Arial"/>
          <w:sz w:val="16"/>
          <w:szCs w:val="16"/>
          <w:color w:val="auto"/>
        </w:rPr>
      </w:pPr>
    </w:p>
    <w:p>
      <w:pPr>
        <w:ind w:left="500" w:right="180"/>
        <w:spacing w:after="0" w:line="256" w:lineRule="auto"/>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187" w:lineRule="exact"/>
        <w:rPr>
          <w:rFonts w:ascii="Arial" w:cs="Arial" w:eastAsia="Arial" w:hAnsi="Arial"/>
          <w:sz w:val="16"/>
          <w:szCs w:val="16"/>
          <w:color w:val="auto"/>
        </w:rPr>
      </w:pPr>
    </w:p>
    <w:p>
      <w:pPr>
        <w:ind w:left="500" w:right="120"/>
        <w:spacing w:after="0" w:line="292" w:lineRule="auto"/>
        <w:rPr>
          <w:rFonts w:ascii="Arial" w:cs="Arial" w:eastAsia="Arial" w:hAnsi="Arial"/>
          <w:sz w:val="16"/>
          <w:szCs w:val="16"/>
          <w:color w:val="auto"/>
        </w:rPr>
      </w:pPr>
      <w:r>
        <w:rPr>
          <w:rFonts w:ascii="Arial" w:cs="Arial" w:eastAsia="Arial" w:hAnsi="Arial"/>
          <w:sz w:val="14"/>
          <w:szCs w:val="14"/>
          <w:color w:val="auto"/>
        </w:rPr>
        <w:t>Borrowings bear interest, at the election of Ocwen, at a rate per annum equal to either (a) the base rate (the greatest of (i) the prime rate in effect on such day, (ii) the federal funds rate in effect on such day plus 0.50% and (iii) the one-month Eurodollar rate (1ML)), plus a margin of 4.00% and subject to a base rate floor of 2.00% or</w:t>
      </w:r>
    </w:p>
    <w:p>
      <w:pPr>
        <w:ind w:left="500" w:right="240"/>
        <w:spacing w:after="0" w:line="246" w:lineRule="auto"/>
        <w:rPr>
          <w:rFonts w:ascii="Arial" w:cs="Arial" w:eastAsia="Arial" w:hAnsi="Arial"/>
          <w:sz w:val="16"/>
          <w:szCs w:val="16"/>
          <w:color w:val="auto"/>
        </w:rPr>
      </w:pPr>
      <w:r>
        <w:rPr>
          <w:rFonts w:ascii="Arial" w:cs="Arial" w:eastAsia="Arial" w:hAnsi="Arial"/>
          <w:sz w:val="16"/>
          <w:szCs w:val="16"/>
          <w:color w:val="auto"/>
        </w:rPr>
        <w:t>(b) the one month Eurodollar rate, plus a margin of 5.00% and subject to a one month Eurodollar floor of 2.00%. To date we have elected option (b) to determine the interest rate.</w:t>
      </w:r>
    </w:p>
    <w:p>
      <w:pPr>
        <w:ind w:left="500" w:right="20" w:hanging="492"/>
        <w:spacing w:after="0" w:line="246"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Fifty percent of the maximum borrowing amount of $100.0 million is available on a committed basis and fifty percent is available at the discretion of the lender. We use this facility to fund the repurchase of certain loans from Ginnie Mae guaranteed securitizations in connection with loan modifications and loan resolution activity as part of our contractual obligations as the servicer of the loans.</w:t>
      </w:r>
    </w:p>
    <w:p>
      <w:pPr>
        <w:spacing w:after="0" w:line="1" w:lineRule="exact"/>
        <w:rPr>
          <w:rFonts w:ascii="Arial" w:cs="Arial" w:eastAsia="Arial" w:hAnsi="Arial"/>
          <w:sz w:val="16"/>
          <w:szCs w:val="16"/>
          <w:color w:val="auto"/>
        </w:rPr>
      </w:pPr>
    </w:p>
    <w:p>
      <w:pPr>
        <w:ind w:left="500" w:right="660" w:hanging="492"/>
        <w:spacing w:after="0" w:line="290" w:lineRule="auto"/>
        <w:tabs>
          <w:tab w:leader="none" w:pos="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Under this repurchase agreement, the lender provides financing on a committed basis for $200.0 million. On February 24, 2017, we executed a $200.0 million warehouse facility to replace the existing facility of the same size and with the same lender with a maturity date of February 23,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88" w:right="239" w:bottom="1440" w:gutter="0" w:footer="0" w:header="0"/>
        </w:sectPr>
      </w:pPr>
    </w:p>
    <w:bookmarkStart w:id="34" w:name="page35"/>
    <w:bookmarkEnd w:id="34"/>
    <w:p>
      <w:pPr>
        <w:ind w:left="500" w:hanging="492"/>
        <w:spacing w:after="0" w:line="25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these participation agreements, the lender provides financing for a combined total of $250.0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April 25, 2017, the term of these participation agreements was extended to April 30, 2018.</w:t>
      </w:r>
    </w:p>
    <w:p>
      <w:pPr>
        <w:ind w:left="500" w:right="260" w:hanging="492"/>
        <w:spacing w:after="0" w:line="263" w:lineRule="auto"/>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Under this participation agreement, the lender provides uncommitted reverse mortgage financing for $110.0 million at the discretion of the lender. The lender has indicated to us that it does not currently intend to lend more than $20.0 million under this facility.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lender provides financing on a committed basis for $100.0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1"/>
              </w:rPr>
              <w:t>6.625%</w:t>
            </w:r>
          </w:p>
        </w:tc>
        <w:tc>
          <w:tcPr>
            <w:tcW w:w="7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Senior unsecured notes due May 15, 2019</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8.375%</w:t>
            </w:r>
          </w:p>
        </w:tc>
        <w:tc>
          <w:tcPr>
            <w:tcW w:w="7640" w:type="dxa"/>
            <w:vAlign w:val="bottom"/>
          </w:tcPr>
          <w:p>
            <w:pPr>
              <w:ind w:left="20"/>
              <w:spacing w:after="0"/>
              <w:rPr>
                <w:sz w:val="20"/>
                <w:szCs w:val="20"/>
                <w:color w:val="auto"/>
              </w:rPr>
            </w:pPr>
            <w:r>
              <w:rPr>
                <w:rFonts w:ascii="Arial" w:cs="Arial" w:eastAsia="Arial" w:hAnsi="Arial"/>
                <w:sz w:val="18"/>
                <w:szCs w:val="18"/>
                <w:color w:val="auto"/>
              </w:rPr>
              <w:t>Senior secured notes due November 15, 2022</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346,878</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(3,211)</w:t>
            </w:r>
          </w:p>
        </w:tc>
      </w:tr>
      <w:tr>
        <w:trPr>
          <w:trHeight w:val="27"/>
        </w:trPr>
        <w:tc>
          <w:tcPr>
            <w:tcW w:w="60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0" w:type="dxa"/>
            <w:vAlign w:val="bottom"/>
            <w:tcBorders>
              <w:bottom w:val="single" w:sz="8" w:color="EAF9E8"/>
            </w:tcBorders>
            <w:shd w:val="clear" w:color="auto" w:fill="EAF9E8"/>
          </w:tcPr>
          <w:p>
            <w:pPr>
              <w:spacing w:after="0"/>
              <w:rPr>
                <w:sz w:val="22"/>
                <w:szCs w:val="22"/>
                <w:color w:val="auto"/>
              </w:rPr>
            </w:pPr>
          </w:p>
        </w:tc>
        <w:tc>
          <w:tcPr>
            <w:tcW w:w="76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346,929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r>
      <w:tr>
        <w:trPr>
          <w:trHeight w:val="20"/>
        </w:trPr>
        <w:tc>
          <w:tcPr>
            <w:tcW w:w="600" w:type="dxa"/>
            <w:vAlign w:val="bottom"/>
            <w:tcBorders>
              <w:top w:val="single" w:sz="8" w:color="EAF9E8"/>
            </w:tcBorders>
          </w:tcPr>
          <w:p>
            <w:pPr>
              <w:spacing w:after="0" w:line="20" w:lineRule="exact"/>
              <w:rPr>
                <w:sz w:val="1"/>
                <w:szCs w:val="1"/>
                <w:color w:val="auto"/>
              </w:rPr>
            </w:pPr>
          </w:p>
        </w:tc>
        <w:tc>
          <w:tcPr>
            <w:tcW w:w="76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Ocwen may redeem all or a part of the remaining Senior Unsecured Notes, upon not less than 30 nor more than 60 days’ notice, at the redemption price (expressed as percentages of principal amount) of 103.313% and 100.000% for the twelve-month periods beginning May 15, 2017 and 2018, respectively, plus accrued and unpaid interest and additional interest, if 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Senior Secured Notes are guaranteed by Ocwen,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make whole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 of each year are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106.281%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102.094%</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73"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connection with our issuance of the Senior Secured Notes, we incurred certain costs that we capitalized and are amortizing over the period from the date of issuance to November 15, 2022. The unamortized balance of these issuance costs was $3.0 million and $3.2 million at March 31, 2017 and December 31, 2016,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debt, paying dividends of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enter into transactions with an affiliate;</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 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and OLS levels.</w:t>
      </w:r>
    </w:p>
    <w:p>
      <w:pPr>
        <w:spacing w:after="0" w:line="10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As of March 31, 2017, the most restrictive consolidated tangible net worth requirements were for a minimum of $1.1 billion at OLS under our match funded debt agreements and three repurchase agreements and $450.0 million at Ocwen under a master repurchase agreement.</w:t>
      </w:r>
    </w:p>
    <w:p>
      <w:pPr>
        <w:spacing w:after="0" w:line="3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8"/>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267,029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246,081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93,797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80,021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NRZ</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83,248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36,579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35,324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Amounts due in connection with MSR sales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39,398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23,133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23,216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26,584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32,020</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643,714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681,239</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Interest Rate Risk</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held for sale</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Borrowings</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Caps</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2016</w:t>
            </w: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360,450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609,177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955,000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1,427,753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971,499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(247,899)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(600,812)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Notional balance at March 31, 2017</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390,946</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600,809</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865,000</w:t>
            </w:r>
          </w:p>
        </w:tc>
      </w:tr>
      <w:tr>
        <w:trPr>
          <w:trHeight w:val="28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Apr. 2017 - Jun.</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1"/>
              </w:rPr>
              <w:t>Oct. 2017 - Dec.</w:t>
            </w:r>
          </w:p>
        </w:tc>
      </w:tr>
      <w:tr>
        <w:trPr>
          <w:trHeight w:val="230"/>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Jun. 2017</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March 31, 2017</w:t>
            </w: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7,765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1,836</w:t>
            </w:r>
          </w:p>
        </w:tc>
      </w:tr>
      <w:tr>
        <w:trPr>
          <w:trHeight w:val="27"/>
        </w:trPr>
        <w:tc>
          <w:tcPr>
            <w:tcW w:w="67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6740" w:type="dxa"/>
            <w:vAlign w:val="bottom"/>
            <w:shd w:val="clear" w:color="auto" w:fill="EAF9E8"/>
          </w:tcPr>
          <w:p>
            <w:pPr>
              <w:spacing w:after="0"/>
              <w:rPr>
                <w:sz w:val="24"/>
                <w:szCs w:val="24"/>
                <w:color w:val="auto"/>
              </w:rPr>
            </w:pPr>
          </w:p>
        </w:tc>
        <w:tc>
          <w:tcPr>
            <w:tcW w:w="1520" w:type="dxa"/>
            <w:vAlign w:val="bottom"/>
            <w:gridSpan w:val="2"/>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r>
      <w:tr>
        <w:trPr>
          <w:trHeight w:val="225"/>
        </w:trPr>
        <w:tc>
          <w:tcPr>
            <w:tcW w:w="674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Gain on loans held</w:t>
            </w: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Gain on loans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Gains (losses) on derivatives during the three months ended:</w:t>
            </w: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 sale, net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held for sale, net</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Other, net</w:t>
            </w:r>
          </w:p>
        </w:tc>
      </w:tr>
      <w:tr>
        <w:trPr>
          <w:trHeight w:val="27"/>
        </w:trPr>
        <w:tc>
          <w:tcPr>
            <w:tcW w:w="67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March 31, 2017</w:t>
            </w: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March 31, 2016</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(1,496)</w:t>
            </w:r>
          </w:p>
        </w:tc>
      </w:tr>
    </w:tbl>
    <w:p>
      <w:pPr>
        <w:spacing w:after="0" w:line="1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62" w:lineRule="exact"/>
        <w:rPr>
          <w:sz w:val="20"/>
          <w:szCs w:val="20"/>
          <w:color w:val="auto"/>
        </w:rPr>
      </w:pPr>
    </w:p>
    <w:p>
      <w:pPr>
        <w:ind w:left="60" w:right="220" w:firstLine="324"/>
        <w:spacing w:after="0" w:line="342" w:lineRule="auto"/>
        <w:rPr>
          <w:sz w:val="20"/>
          <w:szCs w:val="20"/>
          <w:color w:val="auto"/>
        </w:rPr>
      </w:pPr>
      <w:r>
        <w:rPr>
          <w:rFonts w:ascii="Arial" w:cs="Arial" w:eastAsia="Arial" w:hAnsi="Arial"/>
          <w:sz w:val="16"/>
          <w:szCs w:val="16"/>
          <w:color w:val="auto"/>
        </w:rPr>
        <w:t>Included in Accumulated other comprehensive loss (AOCL) at March 31, 2017 and 2016, respectively, were $1.3 million and $1.6 million of deferred unrealized losses, before taxes of $0.1 million and $0.1 million, respectively, on interest rate swaps that we had designated as cash flow hedges.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w:t>
      </w:r>
    </w:p>
    <w:p>
      <w:pPr>
        <w:spacing w:after="0" w:line="16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4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EAF9E8"/>
            </w:tcBorders>
          </w:tcPr>
          <w:p>
            <w:pPr>
              <w:spacing w:after="0"/>
              <w:rPr>
                <w:sz w:val="2"/>
                <w:szCs w:val="2"/>
                <w:color w:val="auto"/>
              </w:rPr>
            </w:pPr>
          </w:p>
        </w:tc>
        <w:tc>
          <w:tcPr>
            <w:tcW w:w="306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Gains (losses) on economic hedges</w:t>
            </w:r>
          </w:p>
        </w:tc>
        <w:tc>
          <w:tcPr>
            <w:tcW w:w="4080" w:type="dxa"/>
            <w:vAlign w:val="bottom"/>
            <w:tcBorders>
              <w:bottom w:val="single" w:sz="8" w:color="EAF9E8"/>
            </w:tcBorders>
            <w:gridSpan w:val="2"/>
            <w:shd w:val="clear" w:color="auto" w:fill="EAF9E8"/>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w w:val="98"/>
              </w:rPr>
              <w:t>Write-off of losses in AOCL for a discontinued hedge relationship</w:t>
            </w:r>
          </w:p>
        </w:tc>
        <w:tc>
          <w:tcPr>
            <w:tcW w:w="3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EAF9E8"/>
            </w:tcBorders>
          </w:tcPr>
          <w:p>
            <w:pPr>
              <w:spacing w:after="0"/>
              <w:rPr>
                <w:sz w:val="2"/>
                <w:szCs w:val="2"/>
                <w:color w:val="auto"/>
              </w:rPr>
            </w:pPr>
          </w:p>
        </w:tc>
        <w:tc>
          <w:tcPr>
            <w:tcW w:w="306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EAF9E8"/>
            </w:tcBorders>
            <w:shd w:val="clear" w:color="auto" w:fill="EAF9E8"/>
          </w:tcPr>
          <w:p>
            <w:pPr>
              <w:spacing w:after="0"/>
              <w:rPr>
                <w:sz w:val="22"/>
                <w:szCs w:val="22"/>
                <w:color w:val="auto"/>
              </w:rPr>
            </w:pPr>
          </w:p>
        </w:tc>
        <w:tc>
          <w:tcPr>
            <w:tcW w:w="4080" w:type="dxa"/>
            <w:vAlign w:val="bottom"/>
            <w:tcBorders>
              <w:bottom w:val="single" w:sz="8" w:color="EAF9E8"/>
            </w:tcBorders>
            <w:gridSpan w:val="2"/>
            <w:shd w:val="clear" w:color="auto" w:fill="EAF9E8"/>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
        </w:trPr>
        <w:tc>
          <w:tcPr>
            <w:tcW w:w="5280" w:type="dxa"/>
            <w:vAlign w:val="bottom"/>
            <w:tcBorders>
              <w:top w:val="single" w:sz="8" w:color="EAF9E8"/>
            </w:tcBorders>
          </w:tcPr>
          <w:p>
            <w:pPr>
              <w:spacing w:after="0" w:line="20" w:lineRule="exact"/>
              <w:rPr>
                <w:sz w:val="1"/>
                <w:szCs w:val="1"/>
                <w:color w:val="auto"/>
              </w:rPr>
            </w:pPr>
          </w:p>
        </w:tc>
        <w:tc>
          <w:tcPr>
            <w:tcW w:w="3060" w:type="dxa"/>
            <w:vAlign w:val="bottom"/>
            <w:tcBorders>
              <w:top w:val="single" w:sz="8" w:color="EAF9E8"/>
              <w:bottom w:val="single" w:sz="8" w:color="EAF9E8"/>
            </w:tcBorders>
            <w:vMerge w:val="restart"/>
          </w:tcPr>
          <w:p>
            <w:pPr>
              <w:jc w:val="right"/>
              <w:ind w:right="2450"/>
              <w:spacing w:after="0"/>
              <w:rPr>
                <w:sz w:val="20"/>
                <w:szCs w:val="20"/>
                <w:color w:val="auto"/>
              </w:rPr>
            </w:pPr>
            <w:r>
              <w:rPr>
                <w:rFonts w:ascii="Arial" w:cs="Arial" w:eastAsia="Arial" w:hAnsi="Arial"/>
                <w:sz w:val="18"/>
                <w:szCs w:val="18"/>
                <w:color w:val="auto"/>
              </w:rPr>
              <w:t>36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14 – Interest Expense</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following table presents the components of interest expense: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2"/>
              </w:rPr>
              <w:t>For the Three Months Ended March</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87"/>
              </w:rPr>
              <w:t>31,</w:t>
            </w: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52,969</w:t>
            </w:r>
          </w:p>
        </w:tc>
        <w:tc>
          <w:tcPr>
            <w:tcW w:w="520" w:type="dxa"/>
            <w:vAlign w:val="bottom"/>
            <w:tcBorders>
              <w:bottom w:val="single" w:sz="8" w:color="EAF9E8"/>
            </w:tcBorders>
            <w:gridSpan w:val="3"/>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67,707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18,174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9,548</w:t>
            </w:r>
          </w:p>
        </w:tc>
        <w:tc>
          <w:tcPr>
            <w:tcW w:w="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1,287</w:t>
            </w:r>
          </w:p>
        </w:tc>
      </w:tr>
      <w:tr>
        <w:trPr>
          <w:trHeight w:val="237"/>
        </w:trPr>
        <w:tc>
          <w:tcPr>
            <w:tcW w:w="8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84,062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106,089</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00" w:hanging="492"/>
        <w:spacing w:after="0" w:line="261"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interest expense related to financing liabilities recorded in connection with the NRZ/HLSS Transactions as indicated in the table below. The reduction in the financing liability does not include reimbursements to NRZ/HLSS for the loss of servicing revenues when we were terminated as servicer and where the related Rights to MSRs had been sold to HLSS.</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3"/>
              </w:rPr>
              <w:t>For the Three Months Ended March 31,</w:t>
            </w:r>
          </w:p>
        </w:tc>
      </w:tr>
      <w:tr>
        <w:trPr>
          <w:trHeight w:val="33"/>
        </w:trPr>
        <w:tc>
          <w:tcPr>
            <w:tcW w:w="7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7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73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Servicing fees collected on behalf of NRZ/HLSS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147,311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162,129</w:t>
            </w: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color w:val="auto"/>
              </w:rPr>
              <w:t>Less: Subservicing fee retained by Ocwen</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79,154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84,370</w:t>
            </w:r>
          </w:p>
        </w:tc>
      </w:tr>
      <w:tr>
        <w:trPr>
          <w:trHeight w:val="33"/>
        </w:trPr>
        <w:tc>
          <w:tcPr>
            <w:tcW w:w="73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Net servicing fees remitted to NRZ/HLSS</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68,157</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77,759</w:t>
            </w: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color w:val="auto"/>
              </w:rPr>
              <w:t>Less: Reduction in financing liability</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16,999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18,201</w:t>
            </w:r>
          </w:p>
        </w:tc>
      </w:tr>
      <w:tr>
        <w:trPr>
          <w:trHeight w:val="33"/>
        </w:trPr>
        <w:tc>
          <w:tcPr>
            <w:tcW w:w="73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Interest expense on NRZ/HLSS financing liability</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51,158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auto"/>
            </w:tcBorders>
            <w:shd w:val="clear" w:color="auto" w:fill="EAF9E8"/>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59,558</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$6.2 million of fees incurred during the three months ended March 31, 2016 in connection with our agreement to compensate NRZ/HLSS for a period of 12 months (beginning June 2015) for certain increased costs associated with its servicing advance financing facilities that were the direct result of a previous downgrade of our S&amp;P servicer rating.</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15 – Basic and Diluted Earnings (Loss) per Share</w:t>
      </w:r>
    </w:p>
    <w:p>
      <w:pPr>
        <w:spacing w:after="0" w:line="12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attributable to Ocwen by the weighted average number of common shares outstanding including the potential dilutive common shares related to outstanding stock options and restricted stock awards. The following is a reconciliation of the calculation of basic loss per share to diluted loss per share:</w:t>
      </w:r>
    </w:p>
    <w:p>
      <w:pPr>
        <w:spacing w:after="0" w:line="96"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340" w:type="dxa"/>
            <w:vAlign w:val="bottom"/>
            <w:gridSpan w:val="4"/>
            <w:vMerge w:val="restart"/>
          </w:tcPr>
          <w:p>
            <w:pPr>
              <w:ind w:left="40"/>
              <w:spacing w:after="0"/>
              <w:rPr>
                <w:sz w:val="20"/>
                <w:szCs w:val="20"/>
                <w:color w:val="auto"/>
              </w:rPr>
            </w:pPr>
            <w:r>
              <w:rPr>
                <w:rFonts w:ascii="Arial" w:cs="Arial" w:eastAsia="Arial" w:hAnsi="Arial"/>
                <w:sz w:val="18"/>
                <w:szCs w:val="18"/>
                <w:color w:val="auto"/>
              </w:rPr>
              <w:t>Basic loss per share: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4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Net loss attributable to Ocwen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124,014,928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124,093,339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Basic loss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shd w:val="clear" w:color="auto" w:fill="EAF9E8"/>
          </w:tcPr>
          <w:p>
            <w:pPr>
              <w:ind w:left="40"/>
              <w:spacing w:after="0" w:line="202" w:lineRule="exact"/>
              <w:rPr>
                <w:sz w:val="20"/>
                <w:szCs w:val="20"/>
                <w:color w:val="auto"/>
              </w:rPr>
            </w:pPr>
            <w:r>
              <w:rPr>
                <w:rFonts w:ascii="Arial" w:cs="Arial" w:eastAsia="Arial" w:hAnsi="Arial"/>
                <w:sz w:val="18"/>
                <w:szCs w:val="18"/>
                <w:color w:val="auto"/>
              </w:rPr>
              <w:t>Diluted loss per share (1):</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46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auto"/>
            </w:tcBorders>
            <w:shd w:val="clear" w:color="auto" w:fill="EAF9E8"/>
          </w:tcPr>
          <w:p>
            <w:pPr>
              <w:spacing w:after="0"/>
              <w:rPr>
                <w:sz w:val="4"/>
                <w:szCs w:val="4"/>
                <w:color w:val="auto"/>
              </w:rPr>
            </w:pPr>
          </w:p>
        </w:tc>
        <w:tc>
          <w:tcPr>
            <w:tcW w:w="644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Net loss attributable to Ocwen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(32,724)</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(111,331)</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64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124,014,928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124,093,339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Effect of dilutive elements (1):</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240"/>
              <w:spacing w:after="0"/>
              <w:rPr>
                <w:sz w:val="20"/>
                <w:szCs w:val="20"/>
                <w:color w:val="auto"/>
              </w:rPr>
            </w:pPr>
            <w:r>
              <w:rPr>
                <w:rFonts w:ascii="Arial" w:cs="Arial" w:eastAsia="Arial" w:hAnsi="Arial"/>
                <w:sz w:val="18"/>
                <w:szCs w:val="18"/>
                <w:color w:val="auto"/>
              </w:rPr>
              <w:t>Stock option awards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83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124,014,928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124,093,339</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64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8300" w:type="dxa"/>
            <w:vAlign w:val="bottom"/>
            <w:tcBorders>
              <w:bottom w:val="single" w:sz="8" w:color="EAF9E8"/>
            </w:tcBorders>
            <w:gridSpan w:val="3"/>
          </w:tcPr>
          <w:p>
            <w:pPr>
              <w:ind w:left="140"/>
              <w:spacing w:after="0"/>
              <w:rPr>
                <w:sz w:val="20"/>
                <w:szCs w:val="20"/>
                <w:color w:val="auto"/>
              </w:rPr>
            </w:pPr>
            <w:r>
              <w:rPr>
                <w:rFonts w:ascii="Arial" w:cs="Arial" w:eastAsia="Arial" w:hAnsi="Arial"/>
                <w:sz w:val="18"/>
                <w:szCs w:val="18"/>
                <w:color w:val="auto"/>
              </w:rPr>
              <w:t>Diluted loss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84"/>
        </w:trPr>
        <w:tc>
          <w:tcPr>
            <w:tcW w:w="4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644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Stock options and common stock awards excluded from the computation of diluted earnings per share: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83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(2)</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2,056,215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6,985,914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Arial" w:cs="Arial" w:eastAsia="Arial" w:hAnsi="Arial"/>
                <w:sz w:val="18"/>
                <w:szCs w:val="18"/>
                <w:color w:val="auto"/>
              </w:rPr>
              <w:t>Market-based (3)</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782,446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2,080,938</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00" w:right="60" w:hanging="492"/>
        <w:spacing w:after="0" w:line="255"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three months ended March 31, 2017 and 2016, we have excluded the effect of stock options and common stock awards from the computation of diluted loss per share because of the anti-dilutive effect of our reported net loss.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stock options were anti-dilutive because their exercise price was greater than the average market price of Ocwen’s stock.</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Business Segment Reporting</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business segments reflect the internal reporting that we use to evaluate operating performance of services and to assess the allocation of our resources. While our expense allocation methodology for the current period is consistent with that used in prior periods presented, during the first quarter of 2017, we moved certain functions which had been associated with corporate cost centers to our Lending and Servicing segments because these functions align more closely with those segments. As applicable, the results of operations for the first quarter of 2016 have been recast to conform to the current period presentation. As a result of these changes, income before income taxes for the Lending segment decreased by $2.6 million while loss before income taxes for the Servicing segment decreased by the same amount for the three months ended March 31, 2016.</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117"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servicing business. We provide residential and commercial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w:t>
      </w:r>
    </w:p>
    <w:p>
      <w:pPr>
        <w:sectPr>
          <w:pgSz w:w="11900" w:h="16838" w:orient="portrait"/>
          <w:cols w:equalWidth="0" w:num="1">
            <w:col w:w="11420"/>
          </w:cols>
          <w:pgMar w:left="240" w:top="79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96" w:right="239" w:bottom="1440" w:gutter="0" w:footer="0" w:header="0"/>
          <w:type w:val="continuous"/>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portfolio includes conventional, government-insured and non-Agency loans. Non-Agency loans include subprime loans, which represent residential loans that generally did not qualify under GSE guidelines or have subsequently become delinquent.</w:t>
      </w:r>
    </w:p>
    <w:p>
      <w:pPr>
        <w:spacing w:after="0" w:line="6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ACS and our other business activities that are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revenues and expenses that are not directly related to other reportable segments, interest income on short-term investments of cash, interest expense on corporate debt and certain corporate expenses. Our cash balances are included in Corporate Items and Other. ACS provides short-term inventory-secured loans to independent used car dealers to finance their inventory. In addition, Ocwen formed CR Limited (CRL), our wholly-owned captive reinsurance subsidiary, and entered into a quota share re-insurance agreement effective in 2016 with a third-party insurer related to coverage on foreclosed real estate properties owned or serviced by us.</w:t>
      </w:r>
    </w:p>
    <w:p>
      <w:pPr>
        <w:spacing w:after="0" w:line="8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We allocate portions of interest income and interest expense to each business segment, including interest earned on cash balances and short-term investments and interest incurred on corporate debt. We also allocate expenses incurred by corporate support services to each business segment.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2017</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284,019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30,746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321,864</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216,913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29,332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30,138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276,383</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(67,351)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(13,427)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(84,062)</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4,033</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(75,979)</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(34,738)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(30,498)</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2800" w:type="dxa"/>
            <w:vAlign w:val="bottom"/>
            <w:tcBorders>
              <w:top w:val="single" w:sz="8" w:color="EAF9E8"/>
            </w:tcBorders>
            <w:shd w:val="clear" w:color="auto" w:fill="EAF9E8"/>
          </w:tcPr>
          <w:p>
            <w:pPr>
              <w:spacing w:after="0"/>
              <w:rPr>
                <w:sz w:val="14"/>
                <w:szCs w:val="14"/>
                <w:color w:val="auto"/>
              </w:rPr>
            </w:pPr>
          </w:p>
        </w:tc>
        <w:tc>
          <w:tcPr>
            <w:tcW w:w="70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307,427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23,285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274,317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24,378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29,962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328,657</w:t>
            </w:r>
          </w:p>
        </w:tc>
      </w:tr>
      <w:tr>
        <w:trPr>
          <w:trHeight w:val="264"/>
        </w:trPr>
        <w:tc>
          <w:tcPr>
            <w:tcW w:w="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4,190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(96,474)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(106,089)</w:t>
            </w:r>
          </w:p>
        </w:tc>
      </w:tr>
      <w:tr>
        <w:trPr>
          <w:trHeight w:val="229"/>
        </w:trPr>
        <w:tc>
          <w:tcPr>
            <w:tcW w:w="40" w:type="dxa"/>
            <w:vAlign w:val="bottom"/>
          </w:tcPr>
          <w:p>
            <w:pPr>
              <w:spacing w:after="0"/>
              <w:rPr>
                <w:sz w:val="19"/>
                <w:szCs w:val="19"/>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7"/>
              </w:rPr>
              <w:t>Gain on sale of mortgage servicing rights,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ind w:left="10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(3,501)</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(104,225)</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70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3500" w:type="dxa"/>
            <w:vAlign w:val="bottom"/>
            <w:gridSpan w:val="2"/>
          </w:tcPr>
          <w:p>
            <w:pPr>
              <w:ind w:left="1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(65,679)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(102,125)</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Servicing</w:t>
            </w:r>
          </w:p>
        </w:tc>
        <w:tc>
          <w:tcPr>
            <w:tcW w:w="240" w:type="dxa"/>
            <w:vAlign w:val="bottom"/>
          </w:tcPr>
          <w:p>
            <w:pPr>
              <w:spacing w:after="0"/>
              <w:rPr>
                <w:sz w:val="20"/>
                <w:szCs w:val="20"/>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March 31,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3,157,083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4,248,844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457,217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7,863,144</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December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3,312,371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3,863,862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479,430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7,655,663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March 31, 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3,808,495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3,116,541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482,074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7,407,110</w:t>
            </w:r>
          </w:p>
        </w:tc>
      </w:tr>
      <w:tr>
        <w:trPr>
          <w:trHeight w:val="38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Servicing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Lending</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700" w:type="dxa"/>
            <w:vAlign w:val="bottom"/>
            <w:tcBorders>
              <w:bottom w:val="single" w:sz="8" w:color="EAF9E8"/>
            </w:tcBorders>
          </w:tcPr>
          <w:p>
            <w:pPr>
              <w:spacing w:after="0"/>
              <w:rPr>
                <w:sz w:val="2"/>
                <w:szCs w:val="2"/>
                <w:color w:val="auto"/>
              </w:rPr>
            </w:pPr>
          </w:p>
        </w:tc>
        <w:tc>
          <w:tcPr>
            <w:tcW w:w="26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2017</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Depreciation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1,402</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7,081</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9"/>
              </w:rPr>
              <w:t>Amortization of mortgage servicing rights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12,715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Three months ended March 31, 2016</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Depreciation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1,135</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5,039</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w w:val="99"/>
              </w:rPr>
              <w:t>Amortization of mortgage servicing rights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12,806</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Amortization of debt discount</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3,277</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Regulatory Requirements</w:t>
      </w:r>
    </w:p>
    <w:p>
      <w:pPr>
        <w:spacing w:after="0" w:line="12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CFPB, the Department of Housing and Urban Development (HUD), the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(including requests in the form of subpoenas and civil investigative demands)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loss of our licenses and approvals to engage in our servicing and lending businesses, (ii) governmental investigations and enforcement actions, including cease and desist orders,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be required to pay for the costs of third-party firms to monitor our compliance with such resolutions. We have recognized $175.4 million in such third-party monitoring costs from January 1, 2014 through March 31, 2017 in connection with our settlements with the CA DBO and the NY DFS and in connection with our National Mortgage Settlement.</w:t>
      </w:r>
    </w:p>
    <w:p>
      <w:pPr>
        <w:spacing w:after="0" w:line="7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Dodd-Frank Wall Street Reform and Consumer Protection Act (the Dodd-Frank Act), the Gramm-Leach-Bliley Act, the Fair Debt Collection Practices Act, the Real Estate Settlement Procedures Act (RESPA), the Truth in Lending Act (TILA), the</w:t>
      </w:r>
    </w:p>
    <w:p>
      <w:pPr>
        <w:sectPr>
          <w:pgSz w:w="11900" w:h="16838" w:orient="portrait"/>
          <w:cols w:equalWidth="0" w:num="1">
            <w:col w:w="11420"/>
          </w:cols>
          <w:pgMar w:left="240" w:top="85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850" w:right="239" w:bottom="1440" w:gutter="0" w:footer="0" w:header="0"/>
          <w:type w:val="continuous"/>
        </w:sectPr>
      </w:pPr>
    </w:p>
    <w:bookmarkStart w:id="42" w:name="page43"/>
    <w:bookmarkEnd w:id="42"/>
    <w:p>
      <w:pPr>
        <w:ind w:right="80"/>
        <w:spacing w:after="0" w:line="291" w:lineRule="auto"/>
        <w:rPr>
          <w:sz w:val="20"/>
          <w:szCs w:val="20"/>
          <w:color w:val="auto"/>
        </w:rPr>
      </w:pPr>
      <w:r>
        <w:rPr>
          <w:rFonts w:ascii="Arial" w:cs="Arial" w:eastAsia="Arial" w:hAnsi="Arial"/>
          <w:sz w:val="16"/>
          <w:szCs w:val="16"/>
          <w:color w:val="auto"/>
        </w:rPr>
        <w:t>Telephone Consumer Protection Act, the Servicemembers Civil Relief Act, the Homeowners Protection Act, the Federal Trade Commission Act, the Fair Credit Reporting Act and the Equal Credit Opportunity Act, as well as individual state licensing and foreclosure laws and federal and local bankruptcy rules.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5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Ocwen has various subsidiaries, including OLS, Homeward and Liberty,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The minimum net worth requirements to which our licensed entities are subject are unique to each state and type of license. We believe our licensed entities were in compliance with all of their minimum net worth requirements at March 31, 2017.</w:t>
      </w:r>
    </w:p>
    <w:p>
      <w:pPr>
        <w:spacing w:after="0" w:line="8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As discussed in Note 19 – Contingencies, since April 20, 2017, the CFPB, thirty state mortgage and banking regulatory agencies and two state attorneys general have taken regulatory action against us alleging breaches of various laws, regulations and licensing requirements. We believe we have factual and legal defenses to the CFPB’s and the state attorneys general’s allegations and intend to vigorously defend ourselves. With respect to the state regulatory agencies, we intend to vigorously defend against unfounded claims while continuing to work with the state regulatory agencies to resolve their concerns.</w:t>
      </w:r>
    </w:p>
    <w:p>
      <w:pPr>
        <w:spacing w:after="0" w:line="4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March 31, 2017. Our non-Agency servicing agreements also contain requirements regarding servicing practices and other matters, and a failure to comply with these requirements could have a material adverse impact on our business.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restrictive of the various net worth requirements is based on the total assets of OLS and was $372.7 million at March 31, 2017.</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8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expect to continue to invest in our risk and compliance infrastructure in order to comply with applicable laws and regulations. Furthermore, there may be additional federal, state or international laws enacted that place additional obligations on us and require additional investments by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$1.3 billion at March 31, 2017. This additional borrowing capacity is available on a scheduled or unscheduled payment basis. We also had short-term commitments to lend $343.6 million and $47.3 million in connection with our forward and reverse mortgage loan interest rate lock commitments, respectively, outstanding at March 31, 2017. We finance originated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3" w:name="page44"/>
    <w:bookmarkEnd w:id="43"/>
    <w:p>
      <w:pPr>
        <w:ind w:right="1640"/>
        <w:spacing w:after="0" w:line="402" w:lineRule="auto"/>
        <w:rPr>
          <w:sz w:val="20"/>
          <w:szCs w:val="20"/>
          <w:color w:val="auto"/>
        </w:rPr>
      </w:pPr>
      <w:r>
        <w:rPr>
          <w:rFonts w:ascii="Arial" w:cs="Arial" w:eastAsia="Arial" w:hAnsi="Arial"/>
          <w:sz w:val="18"/>
          <w:szCs w:val="18"/>
          <w:color w:val="auto"/>
        </w:rPr>
        <w:t xml:space="preserve">purchased forward and reverse mortgage loans with repurchase and participation agreements, commonly referred to as warehouse lines. </w:t>
      </w:r>
      <w:r>
        <w:rPr>
          <w:rFonts w:ascii="Arial" w:cs="Arial" w:eastAsia="Arial" w:hAnsi="Arial"/>
          <w:sz w:val="18"/>
          <w:szCs w:val="18"/>
          <w:b w:val="1"/>
          <w:bCs w:val="1"/>
          <w:color w:val="auto"/>
        </w:rPr>
        <w:t>Long Term Contracts</w:t>
      </w:r>
    </w:p>
    <w:p>
      <w:pPr>
        <w:spacing w:after="0" w:line="63"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business is currently dependent on many of the services and products provided by Altisource Portfolio Solutions, S.A.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w:t>
      </w:r>
    </w:p>
    <w:p>
      <w:pPr>
        <w:spacing w:after="0" w:line="6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5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Contingencies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such as claims under the Telephone Consumer Protection Act, claims related to our payment, escrow and other processing operations, and claims regarding certifications of our legal compliance related to our participation in certain government programs. In some of these proceedings, claims for substantial monetary damages are asserted against us.</w:t>
      </w:r>
    </w:p>
    <w:p>
      <w:pPr>
        <w:spacing w:after="0" w:line="8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4" w:name="page45"/>
    <w:bookmarkEnd w:id="44"/>
    <w:p>
      <w:pPr>
        <w:ind w:right="60" w:firstLine="324"/>
        <w:spacing w:after="0" w:line="271" w:lineRule="auto"/>
        <w:rPr>
          <w:sz w:val="20"/>
          <w:szCs w:val="20"/>
          <w:color w:val="auto"/>
        </w:rPr>
      </w:pPr>
      <w:r>
        <w:rPr>
          <w:rFonts w:ascii="Arial" w:cs="Arial" w:eastAsia="Arial" w:hAnsi="Arial"/>
          <w:sz w:val="17"/>
          <w:szCs w:val="17"/>
          <w:color w:val="auto"/>
        </w:rPr>
        <w:t>Where we determine that a loss contingency is probable in connection with a pending or threatened legal proceeding and the amount of our loss can be reasonably estimated, we record an accrual for the loss. Excluding expenses of internal or external legal counsel, we have accrued $57.9 million as of March 31, 2017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We cannot currently estimate the amount, if any, of reasonably possible losses above amounts that have been recorded at March 31, 2017.</w:t>
      </w:r>
    </w:p>
    <w:p>
      <w:pPr>
        <w:spacing w:after="0" w:line="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have previously disclosed several putative securities fraud class action lawsuits filed against Ocwen and certain of its officers and directors that contain allegations in connection with the restatements of our 2013 and first quarter 2014 financial statements and our December 2014 Consent Order with the NY DFS, among other matters. Those lawsuits have been consolidated and are pending in federal court in Florida. In December 2015, the court dismissed the action in part. In November 2016, the court granted plaintiffs’ motion for class certification with respect to the pending claims. We have recorded $8.0 million in our consolidated financial statements as of March 31, 2017 related to this certified, consolidated matter based on developments during the quarter. The amount recorded reflects our assessment of the probable contribution Ocwen would make to a settlement and consists of an accrual of $18.0 million, net of $10.0 million expected insurance recoveries. If we are successful in defending ourselves against this matter, it is possible that our losses could be less than $8.0 million. It is also possible that we could incur losses that materially exceed the amount accrued, and the resolution of this matter could have a material adverse impact on our business, reputation, financial condition, liquidity and results of operations. We cannot currently estimate the amount, if any, of reasonably possible loss above amounts previously accrued.</w:t>
      </w:r>
    </w:p>
    <w:p>
      <w:pPr>
        <w:spacing w:after="0" w:line="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8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result of the federal and state regulatory actions described below under “Regulatory”, and the impact on our stock price, several putative securities fraud class action lawsuits have been filed against Ocwen and certain of its officers that contain allegations in connection with Ocwen’s statements concerning its efforts to satisfy the evolving regulatory environment, and the resources it devoted to regulatory compliance.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February 17, 2017, OFC, OLS and Homeward signed an agreement with two qui tam relators to settle the following previously disclosed litigation matters relating to claims under the False Claims Act: (the Fisher Cases). The settlement agreement, which was subsequently approved by the United States, contained no admission of liability or wrongdoing by Ocwen and provided for the payment of $15.0 million to the United States and $15.0 million for the private citizens’ attorneys’ fees and costs. We accrued $30.0 million in 2016 with respect to the settlement agreement. The $57.9 million accrual for litigation matters noted above included the $30.0 million accrual that existed as of March 31, 2017 for the Fisher Cases. We paid the settlement amount in April 2017.</w:t>
      </w:r>
    </w:p>
    <w:p>
      <w:pPr>
        <w:spacing w:after="0" w:line="5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ind w:right="360"/>
        <w:spacing w:after="0" w:line="259" w:lineRule="auto"/>
        <w:rPr>
          <w:sz w:val="20"/>
          <w:szCs w:val="20"/>
          <w:color w:val="auto"/>
        </w:rPr>
      </w:pPr>
      <w:r>
        <w:rPr>
          <w:rFonts w:ascii="Arial" w:cs="Arial" w:eastAsia="Arial" w:hAnsi="Arial"/>
          <w:sz w:val="18"/>
          <w:szCs w:val="18"/>
          <w:color w:val="auto"/>
        </w:rPr>
        <w:t>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8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investors who issue notices of default could seek to press their allegations against Ocwen, independent of the trustees. At present, one such group of affiliated investors sought to direct one trustee to bring suit against Ocwen. The trustee declined to bring suit, and the investors instead brought suit against Ocwen directly. Ocwen is vigorously defending itself in that action.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right="60" w:firstLine="324"/>
        <w:spacing w:after="0" w:line="288" w:lineRule="auto"/>
        <w:rPr>
          <w:sz w:val="20"/>
          <w:szCs w:val="20"/>
          <w:color w:val="auto"/>
        </w:rPr>
      </w:pPr>
      <w:r>
        <w:rPr>
          <w:rFonts w:ascii="Arial" w:cs="Arial" w:eastAsia="Arial" w:hAnsi="Arial"/>
          <w:sz w:val="17"/>
          <w:szCs w:val="17"/>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platform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intend to vigorously defend ourselves.</w:t>
      </w:r>
    </w:p>
    <w:p>
      <w:pPr>
        <w:spacing w:after="0" w:line="5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Prior to the CFPB instituting legal proceedings, we had been engaged with the CFPB in efforts to resolve the matter. We recorded $12.5 million as of December 31, 2016 as a result of these discussions. If we are successful in defending ourselves against the CFPB, it is possible that our losses could be less than $12.5 million. It is also possible that we could incur losses that materially exceed the amount accrued, and the resolution of the matters raised by the CFPB could have a material adverse impact on our business, reputation, financial condition, liquidity and results of operations. We cannot currently estimate the amount, if any, of reasonably possible loss above amounts previously accrued.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State Attorneys General and Other Matters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loan origination and servicing businesses. We also regularly engage with state attorneys general and the CFPB and, on occasion, we engage with the Department of Justice on various matters, including responding to information requests and other inquiries. Many of our regulatory engagements arise from a complaint that the entity is investigating, although some are formal investigations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6" w:name="page47"/>
    <w:bookmarkEnd w:id="46"/>
    <w:p>
      <w:pPr>
        <w:ind w:right="60"/>
        <w:spacing w:after="0" w:line="264" w:lineRule="auto"/>
        <w:rPr>
          <w:sz w:val="20"/>
          <w:szCs w:val="20"/>
          <w:color w:val="auto"/>
        </w:rPr>
      </w:pPr>
      <w:r>
        <w:rPr>
          <w:rFonts w:ascii="Arial" w:cs="Arial" w:eastAsia="Arial" w:hAnsi="Arial"/>
          <w:sz w:val="18"/>
          <w:szCs w:val="18"/>
          <w:color w:val="auto"/>
        </w:rPr>
        <w:t>proceedings.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73"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On April 20, 2017 and subsequently, thirty state mortgage and banking regulatory agencies issued orders against OLS and certain other Ocwen companies. In general, the orders are styled as “cease and desist orders,” and we use that term to refer to all of the orders for ease of reference; we also include the District of Columbia regulator as a state regulator for ease of reference. All of the cease and desist orders apply to OLS, but additional Ocwen entities are named in some state orders, including Ocwen Financial Corporation, OMS, Homeward and Liberty. While each state’s cease and desist order is different, the orders generally prohibit a range of actions, including (1) acquiring new MSRs (17 states), (2) originating or acquiring new mortgage loans, where we would be the servicer (13 states), (3) originating or acquiring new mortgage loans (4 states) and (4) conducting foreclosure activities (2 states), among others. We intend to vigorously defend ourselves against unfounded claims while continuing to work with these regulatory agencies to resolve their concerns. We are currently working toward an agreement of an escrow account review plan to be conducted by an independent firm engaged by Ocwen. The independent firm would develop a statistically-based sample population, consistent with MMC guidelines (which would be substantially less than the entire loan population), as well as a possible targeted review of escrow accounts linked to certain loan categories. An agreement and implementation of an escrow review plan could be one aspect of a resolution of the cease and desist orders issued by the states described above. We have agreed with certain regulatory agencies, where necessary, to obtain delays or exceptions to the orders. Additionally, we have revised our operations, where necessary, so as to comply with the orders in the interim period while we attempt to negotiate resolutions. For example, in certain states, we are arranging to release servicing on new originations and we have paused our origination activities in two states. If we are unable to obtain timely resolutions in certain states, more serious consequences could result. For example, we could be required to transfer all of our mortgage servicing in Massachusetts and we could be required to cease mortgage servicing in Rhode Island. It is possible that the outcome of these state regulatory actions, whether through negotiated settlements or other resolutions, could be materially adverse to our business, reputation, financial condition, liquidity and results of operations. We cannot currently estimate the amount, if any, of reasonably possible loss related to these matters.</w:t>
      </w:r>
    </w:p>
    <w:p>
      <w:pPr>
        <w:spacing w:after="0" w:line="6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There were no monetary or other penalties under the MOU. Ocwen responded to the MOU items.</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April 2017, two state attorneys general took actions against us relating to our servicing practices. The Florida Attorney General filed a lawsuit in the federal district court for the Southern District of Florida against Ocwen, OMS and OLS alleging violations of federal and state consumer financial laws relating to our servicing business. These claims are similar to the claims made by the CFPB. The Florida Attorney General’s lawsuit seeks injunctive and equitable relief, costs, and civil money penalties in excess of $10,000 per confirmed violation of the applicable statute. As previously disclosed, the Massachusetts Attorney General had sent us a civil investigative demand requesting information relating to various aspects of our servicing practices, including lender-placed insurance and property preservation fees. Subsequently, 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The Massachusetts Attorney General’s lawsuit seeks injunctive and equitable relief, costs, and civil money penalties of $5,000 per confirmed violation of the applicable statute. We believe we have valid defenses to the claims made in both lawsuits and are vigorously defending ourselves in both of them. The outcome of these two lawsuits, whether through negotiated settlements in conjunction with other state settlements or otherwise, could be materially adverse to our business, reputation, financial condition, liquidity and results of operations. We cannot currently estimate the amount, if any, of reasonably possible loss related to these matters.</w:t>
      </w:r>
    </w:p>
    <w:p>
      <w:pPr>
        <w:spacing w:after="0" w:line="6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occasion, we engage with the Department of Justice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letter stated that at this point, the investigation is preliminary in nature and the Department of Justice has not made any determination as to whether OLS violated the act.</w:t>
      </w:r>
    </w:p>
    <w:p>
      <w:pPr>
        <w:spacing w:after="0" w:line="7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The subpoena consisted of a request for information but did not contain allegations against us.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December 2014, we entered into a consent order (the 2014 NY Consent Order) with the NY DFS as a result of an investigation relating to Ocwen’s servicing of residential mortgages. The 2014 NY Consent Order contained monetary and non-monetary provisions including the appointment of a third-party Operations Monitor to monitor various aspects of our operations and restrictions on our ability to acquire MSRs that effectively prohibit any such future acquisitions until we have satisfied certain specified conditions. We were also required to pay all reasonable and necessary costs of the Operations Monitor, and those costs were substantial.</w:t>
      </w:r>
    </w:p>
    <w:p>
      <w:pPr>
        <w:spacing w:after="0" w:line="18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March 27, 2017, we entered into a consent order (the 2017 NY Consent Order) with the NY DFS that provided for (1) the termination of the engagement of the Operations Monitor on April 14, 2017, (2) a regulatory examination of our servicing business, following which the DFS would make a determination on whether the restrictions on our ability to acquire MSRs contained in the 2014 NY Consent Order should be eased and (3) certain reporting and other obligations, including in connection with matters identified in a final report by the Operations Monitor. In addition, if the NY DFS concludes that we have materially failed to comply with these obligations or otherwise finds that our servicing operations are materially deficient, the NY DFS may, among other things and in addition to its general authority to take regulatory action against us, require us to retain an independent consultant to review and issue recommendations on our servicing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January 2015, OLS entered into a consent order (the 2015 CA Consent Order) with the CA DBO relating to our failure to produce certain information and documents during a routine licensing examination. The order contained monetary and non-monetary provisions, including the appointment of an independent third-party auditor (the CA Auditor) to assess OLS’ compliance with laws and regulations impacting California borrowers and a prohibition on acquiring any additional MSRs for loans secured in California. We were also required to pay all reasonable and necessary costs of the CA Auditor, and those costs were substantial.</w:t>
      </w:r>
    </w:p>
    <w:p>
      <w:pPr>
        <w:spacing w:after="0" w:line="8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On February 17, 2017, OLS and two other subsidiaries, Ocwen Business Solutions, Inc. (OBS) and OFSPL, reached an agreement, in three consent orders (collectively, the 2017 CA Consent Order), with the CA DBO that terminated the 2015 CA Consent Order and resolved open matters between the CA DBO and OLS, OBS and OFSPL, including certain matters relating to OLS’ servicing practices and the licensed activities of OBS and OFSPL. The 2017 CA Consent Order does not involve any admission of wrongdoing by OLS, OBS or OFSPL. Additionally, we have certain reporting and other obligations under the 2017 CA Consent Order. If the CA DBO were to allege that we failed to comply with these obligations or otherwise were in breach of applicable laws, regulations or licensing requirements, it could take regulatory action against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National Mortgage Settlement</w:t>
      </w:r>
    </w:p>
    <w:p>
      <w:pPr>
        <w:spacing w:after="0" w:line="229"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In December 2013, we entered into a settlement with the CFPB and various state attorneys general and other state agencies that regulate the mortgage servicing industry relating to various allegations regarding deficient mortgage servicing practices, including those with respect to foreclosures (the Ocwen National Mortgage Settlement). The settlement contained monetary and non-monetary provisions, including quarterly testing on various metrics to ensure compliance with the Ocwen National Mortgage Settlement.</w:t>
      </w:r>
    </w:p>
    <w:p>
      <w:pPr>
        <w:spacing w:after="0" w:line="7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For periods prior to 2016, the Office of Mortgage Settlement Oversight (OMSO) reports have detailed a number of instances where our testing has exceeded the applicable error rate threshold for a specific metric. Exceeding the metric error rate threshold for the first time does not result in a violation of the settlement, but rather it is deemed a “potential violation” which then is subject to a cure period following submission, approval and completion of a corrective action plan (CAP) to OMSO.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for certain metrics. In addition, in the event of substantial noncompliance with the settlement’s servicing standards, it is possible that a party to the settlement could bring an action to enforce the terms of the settlement and seek to impose on us a broader range of financial, injunctive or other penalties. OMSO has not yet released any reports relating to 2016 testing. Ocwen’s Internal Review Group’s analysis for 2016 has not found any instances for a tested metric where we exceeded the applicable error rate threshold, but this analysis has not been validated by any third party.</w:t>
      </w:r>
    </w:p>
    <w:p>
      <w:pPr>
        <w:spacing w:after="0" w:line="59"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While, to date, our performance under the Ocwen National Mortgage Settlement has not resulted in financial or other penalties, if we are found to have breached the settlement terms, we could become subject to financial penalties or other regulatory action could be taken against 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February 2015, we received a letter from the New York Regional Office of the SEC (the Staff) informing us that it was conducting an investigation relating to the use of collection agents by mortgage loan servicers. The letter requested that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88" w:right="239" w:bottom="1440" w:gutter="0" w:footer="0" w:header="0"/>
        </w:sectPr>
      </w:pPr>
    </w:p>
    <w:bookmarkStart w:id="48" w:name="page49"/>
    <w:bookmarkEnd w:id="48"/>
    <w:p>
      <w:pPr>
        <w:ind w:right="220"/>
        <w:spacing w:after="0" w:line="259" w:lineRule="auto"/>
        <w:rPr>
          <w:sz w:val="20"/>
          <w:szCs w:val="20"/>
          <w:color w:val="auto"/>
        </w:rPr>
      </w:pPr>
      <w:r>
        <w:rPr>
          <w:rFonts w:ascii="Arial" w:cs="Arial" w:eastAsia="Arial" w:hAnsi="Arial"/>
          <w:sz w:val="18"/>
          <w:szCs w:val="18"/>
          <w:color w:val="auto"/>
        </w:rPr>
        <w:t>voluntarily produce documents and information. We believe that the February 2015 letter was also sent to other companies in the industry. On February 11, 2016, we received a letter from the Staff informing us that it was conducting an investigation relating to fees and expenses incurred in connection with liquidated loans and REO properties held in non-agency RMBS trusts. The letter requested that we voluntarily produce documents and information. We are cooperating with the Staff on these matters.</w:t>
      </w:r>
    </w:p>
    <w:p>
      <w:pPr>
        <w:spacing w:after="0" w:line="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Homeward assumed the origination representations and warranties even though it did not originate the loans.</w:t>
      </w:r>
    </w:p>
    <w:p>
      <w:pPr>
        <w:spacing w:after="0" w:line="6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At March 31, 2017 and March 31, 2016, we had outstanding representation and warranty repurchase demands of $45.4 million UPB (249 loans) and</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$81.9 million UPB (408 loans), respectively. We review each demand and monitor through resolution, primarily through rescission, loan repurchase or make-whole payment.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12"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Charge-offs and other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19,536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32,329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March 31, 2017</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69"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You should bear these factors in mind when considering such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Amendment No. 1 to our Annual Report on Form 10-K for the year ended December 31, 2016 and our Current Reports on Form 8-K since such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a financial services company that services and originates loans. As of March 31, 2017, our residential servicing portfolio consisted of 1,353,956 loans with a UPB of $202.4 billion. We primarily originate, purchase, sell and securitize conventional and government-insured forward mortgage loans and reverse mortgages. In the first quarter of 2017, our lending business originated or purchased forward and reverse mortgage loans with a UPB of $840.5 million and $273.1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homeowners whose loans we have modified. Overall, Ocwen has completed over 735,000 loan modifications from January 1, 2008 through March 31, 2017.</w:t>
      </w:r>
    </w:p>
    <w:p>
      <w:pPr>
        <w:spacing w:after="0" w:line="7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discussed in further detail under “Operations Summary” and “Segment Results of Operations” below, a key driver of our first quarter of 2017 operating results as compared to the first quarter of 2016, was a decline in expenses that was primarily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400"/>
        <w:spacing w:after="0" w:line="264" w:lineRule="auto"/>
        <w:rPr>
          <w:sz w:val="20"/>
          <w:szCs w:val="20"/>
          <w:color w:val="auto"/>
        </w:rPr>
      </w:pPr>
      <w:r>
        <w:rPr>
          <w:rFonts w:ascii="Arial" w:cs="Arial" w:eastAsia="Arial" w:hAnsi="Arial"/>
          <w:sz w:val="18"/>
          <w:szCs w:val="18"/>
          <w:color w:val="auto"/>
        </w:rPr>
        <w:t>driven by favorable fair value changes and lower legal and monitor expenses. This decrease in expenses more than offset a decrease in servicing revenue driven largely by normal portfolio runoff. We have continued to make progress in our efforts to improve financial results through our various cost improvement initiatives. Our servicing and lending segments were both profitable in the first quarter of 2017.</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continues to be impacted by regulatory actions, regulatory settlements and the current regulatory environment. We have faced, and expect to continue to face, heightened regulatory and public scrutiny as well as stricter and more comprehensive regulation of our business. For example, since April 20, 2017, the CFPB, thirty state mortgage and banking regulatory agencies and two state attorneys general have taken regulatory actions against us, as discussed in further detail below under “Recent Regulatory Actions.” We continue to work diligently to assess the implications of the regulatory environment in which we operate and to meet the requirements of the current environment. We devote substantial resources to regulatory compliance and to addressing regulatory actions and engagements, while, at the same time, striving to meet the needs and expectations of our customers, clients and other stakeholders. Our business, operating results and financial condition have been significantly impacted in recent periods by legal and other fees and settlement payments related to litigation and regulatory matters, including the costs of third-party monitoring firms under our regulatory settlements. To the extent we are unable to avoid, mitigate or offset similar expenses in future periods, our business, operating results and financial condition will continue to be adversely affected, even if we are successful in our ongoing efforts to optimize our cost structure and grow our revenue through investment in our lending business and new business ventures.</w:t>
      </w:r>
    </w:p>
    <w:p>
      <w:pPr>
        <w:spacing w:after="0" w:line="18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regulatory settlements with the NY DFS in December 2014 and the CA DBO in January 2015 have significantly limited our ability in recent periods to grow our servicing portfolio, which naturally decreases over time through portfolio runoff. In connection with a settlement reached in February 2017, the CA DBO restrictions have now been lifted. However, we are still subject to restrictions under the NY DFS consent order. In addition, as discussed further below under “Recent Regulatory Actions,” we currently anticipate that, if we are successful in coming to a negotiated resolution with some or all of the state regulatory agencies, we may continue to be restricted from acquiring MSRs for some additional period of time. If we are successful in removing regulatory restrictions on acquisitions of servicing, we would consider acquiring servicing if we view the purchase price and other terms to be attractive. We would also need to determine that such acquisitions were an appropriate use of our available capital at such time. Generally, we would benefit from economies of scale if we were able to increase the size of our servicing portfolio.</w:t>
      </w:r>
    </w:p>
    <w:p>
      <w:pPr>
        <w:spacing w:after="0" w:line="17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servicing revenues in recent years have benefited significantly from our participation in the Federal Government’s HAMP loan modification program. HAMP expired on December 31, 2016, although borrowers, who have requested assistance or to whom an offer of assistance has been extended as of that date, will have until September 30, 2017 to finalize their modification. Accordingly, even though we continue to receive certain trailing fees, such as HAMP success fees to the extent that a borrower remains current in any agreed-upon loan modification, we anticipate that our servicing revenues will be significantly and adversely affected by the expiration of the HAMP program. HAMP fees accounted for $21.0 million, or 7% of total servicing segment revenues in the first quarter of 2017, and $22.6 million, or 7% of total servicing segment revenues in the first quarter of 2016.</w:t>
      </w:r>
    </w:p>
    <w:p>
      <w:pPr>
        <w:spacing w:after="0" w:line="16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anticipate that our future financial results and our financial condition will likely be impacted by the two factors discussed below, recent regulatory actions against us and our recent discussions with NRZ.</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Regulatory Actions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recent regulatory developments impacting our business include the following:</w:t>
      </w:r>
    </w:p>
    <w:p>
      <w:pPr>
        <w:spacing w:after="0" w:line="117" w:lineRule="exact"/>
        <w:rPr>
          <w:sz w:val="20"/>
          <w:szCs w:val="20"/>
          <w:color w:val="auto"/>
        </w:rPr>
      </w:pPr>
    </w:p>
    <w:p>
      <w:pPr>
        <w:ind w:left="660" w:right="26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February 17, 2017, we entered into three consent orders (collectively, the 2017 CA Consent Order) with the CA DBO that terminated a 2015 consent order with the CA DBO, including terminating the engagement of an independent third-party auditor (the CA Auditor) and rescinding the prohibition on Ocwen acquiring MSRs for loans secured in California. The termination of the CA Auditorship will reduce Professional services expenses going forward.</w:t>
      </w:r>
    </w:p>
    <w:p>
      <w:pPr>
        <w:spacing w:after="0" w:line="2"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March 27, 2017, we entered into a consent order with the NY DFS that provided for the termination of the engagement of the third-party operations monitor and for a determination on whether the restrictions on acquisition of MSRs should be eased following completion of a scheduled servicing examination. The termination of the NY DFS monitorship will reduce Professional services expenses going forward.</w:t>
      </w:r>
    </w:p>
    <w:p>
      <w:pPr>
        <w:ind w:left="660" w:right="60" w:hanging="328"/>
        <w:spacing w:after="0" w:line="25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April 20, 2017, the CFPB filed a lawsuit in the federal district court for the Southern District of Florida against Ocwen, OMS and OLS alleging violations of federal consumer financial laws relating to our servicing business. The CFPB does not claim specific monetary damages, although it does seek consumer relief, disgorgement of allegedly improper gains, and civil money penalties. We believe we have factual and legal defenses to the CFPB’s allegations and intend to vigorously defend ourselves. We have asked the federal court to consider making an early ruling that the CFPB is unconstitutional and the enforcement action should be dismissed for that reason. We also informed the district court that the Department of Justice recently stated its official conclusion that the CFPB is unconstitutionally structured, and so we asked the district court to invite the Department to participate in the legal briefing in our case.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left="660" w:right="100" w:hanging="328"/>
        <w:spacing w:after="0" w:line="25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April 20, 2017, the Florida Attorney General filed a lawsuit in the federal district court for the Southern District of Florida against Ocwen, OMS and OLS alleging violations of federal and state consumer financial laws relating to our servicing business. On April 28, 2017, the Massachusetts Attorney General filed an action against OLS in the Superior Court for the Commonwealth of Massachusetts alleging violations of state consumer financial laws relating to our servicing business. Ocwen strongly disputes the claims of these Attorneys General and intends to vigorously defend itself in these actions.</w:t>
      </w:r>
    </w:p>
    <w:p>
      <w:pPr>
        <w:spacing w:after="0" w:line="3"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Since April 20, 2017, thirty state mortgage and banking regulatory agencies have taken regulatory action against us alleging breaches of various laws, regulations and licensing requirements, including those related to escrow administration and proper licensing of business activities. We intend to vigorously defend against unfounded claims while continuing to work with these regulatory agencies to resolve their concerns.</w:t>
      </w:r>
    </w:p>
    <w:p>
      <w:pPr>
        <w:spacing w:after="0" w:line="4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See Note 17 – Regulatory Requirements and Note 19 – Contingencies to the Unaudited Consolidated Financial Statements for additional information for further information regarding regulatory requirements, regulatory settlements and regulatory-related contingencies.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With respect to the actions of state regulatory agencies, we intend to vigorously defend against unfounded claims while continuing to work with the state regulatory agencies to resolve their concerns. We have agreed with certain regulatory agencies, where necessary, to obtain delays or exceptions to the orders. Additionally, we have revised our operations, where necessary, so as to comply with the orders in the interim period while we attempt to negotiate resolutions. For example, in certain states we are arranging to release servicing on new originations and we have paused our origination activities in two states. We have also paused foreclosure activity in two states, which currently impacts less than 150 mortgage loans. While we do not currently believe these limitations on our loan origination or servicing activities will have a material impact on our financial results if we can resolve these agencies’ concerns on a timely basis, we do expect our loan origination volumes to decline until such time as we reach resolution. We also expect that our legal expenses will increase and it is possible that our borrowing costs could also increase, among other factors. If we are unable to obtain timely resolutions in certain states, more serious consequences could result. For example, we could be required to transfer all of our mortgage servicing in Massachusetts and we could be required to cease mortgage servicing in Rhode Island. To the extent we are unable to reach a timely resolution with some or all of the state regulatory agencies or attorneys general or should the number or scope of the regulatory actions against us increase or expand, our business, reputation, financial condition, liquidity and results of operations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NRZ Developments</w:t>
      </w:r>
    </w:p>
    <w:p>
      <w:pPr>
        <w:spacing w:after="0" w:line="12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May 1, 2017, we announced we are working toward an agreement with NRZ that would convert NRZ’s existing Rights to MSRs to fully-owned MSRs and extend the term of our relationship for at least two years; the process of transferring legal ownership would be initiated as soon as possible upon execution of definitive agreements, which would include a new fixed term subservicing agreement. In effect, the new arrangement would convert the existing arrangement into a more traditional subservicing arrangement and involve upfront payments to Ocwen as MSRs transfer based on an amortized value of $425.0 million, depending on the time it takes to receive consents for MSR transfers. Conceptually, these upfront payments are a proxy for the net present value of the difference between higher future fees for servicing the mortgage loans under the existing agreements and the lower fees for servicing the mortgage loans under the new subservicing arrangement. Under the agreement, NRZ would also make an equity investment in Ocwen, acquiring newly-issued common shares equal to 4.9% of the outstanding shares post-issuance. Unless and until a definitive agreement is executed, Ocwen and NRZ will continue to operate under the existing Rights to MSRs agreements. There can be no assurance that a definitive agreement will be entered into with NRZ on the terms currently being discussed or at all.</w:t>
      </w:r>
    </w:p>
    <w:p>
      <w:pPr>
        <w:spacing w:after="0" w:line="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believe that these new arrangements will solidify and strengthen our relationship with NRZ by extending our relationship out to at least 2022 and by providing for NRZ to be further invested in our economic success through its equity stake. These new arrangements would also remove a level of uncertainty that exists in the marketplace concerning NRZ’s future intentions and ability to move servicing without us retaining our rights to be paid the servicing fees and other amounts payable under our agreements with NRZ. Under our existing agreements with NRZ, if a termination event exists, NRZ has the right to direct the transfer of servicing with respect to any affected servicing agreements to an appropriately licensed replacement servicer that obtains all required third-party consents without Ocwen retaining its economics. During our negotiations with NRZ, NRZ has informed us that its position is that a termination event has occurred under our agreements with NRZ because our current Moody’s servicer rating is allegedly below the threshold to trigger a termination event. NRZ has also informed us that it does not intend to take any action to transfer servicing without us retaining our economics, although it has reserved its rights. As Ocwen has previously publicly stated, Ocwen does not consider any termination event to have occurred based on Ocwen’s current servicer ratings. Hypothetically, even if a termination event had occurred, we believe that NRZ’s potential transfer rights would apply to only a small portion of the NRZ portfolio and a very small portion of Ocwen's overall portfolio because affected servicing agreements would need to contain a servicer rating event of default that was triggered in order to be “affected” under the terms of Ocwen’s agreements with NRZ. In such a scenario, based on existing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ind w:right="20"/>
        <w:spacing w:after="0" w:line="279" w:lineRule="auto"/>
        <w:rPr>
          <w:sz w:val="20"/>
          <w:szCs w:val="20"/>
          <w:color w:val="auto"/>
        </w:rPr>
      </w:pPr>
      <w:r>
        <w:rPr>
          <w:rFonts w:ascii="Arial" w:cs="Arial" w:eastAsia="Arial" w:hAnsi="Arial"/>
          <w:sz w:val="17"/>
          <w:szCs w:val="17"/>
          <w:color w:val="auto"/>
        </w:rPr>
        <w:t>rating agency servicer ratings, as of March 31, 2017, NRZ could exercise this potential right on approximately 9% of its Ocwen servicing portfolio, representing just 5% of Ocwen’s overall servicing portfolio. NRZ has informed Ocwen that it disagrees with Ocwen on this point and that its position is that it could transfer all of Ocwen’s servicing away from Ocwen if a termination event relating to a rating agency servicer rating has occurred without us retaining our economics. We are currently negotiating toward a definitive agreement with NRZ to implement these new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 appearing in Amendment No. 1 to our Annual Report on Form 10-K for the fiscal 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Summary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consolidated operating results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272,502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297,496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22,944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15,572</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17,689</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321,864</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330,757</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1"/>
        </w:trPr>
        <w:tc>
          <w:tcPr>
            <w:tcW w:w="70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91,801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96,249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67,907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95,692</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70,907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27,347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26,869</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24,745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12,715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276,383</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328,657</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(84,062)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(106,089)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(75,979)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(104,225)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(30,498)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(102,125)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9,076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(32,623)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(111,201)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(32,724)</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(111,331)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Segment income (loss) before income taxes: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(65,679)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(35,867)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(30,498)</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(102,125)</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692"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Three Months Ended March 31, 2017 versus 2016</w:t>
      </w:r>
    </w:p>
    <w:p>
      <w:pPr>
        <w:spacing w:after="0" w:line="11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Servicing and subservicing fees for the first quarter of 2017 were $25.0 million, or 8%, lower than the first quarter of 2016, primarily due to portfolio runoff. The average UPB and average number of assets in our residential portfolio declined 16% and 14%, respectively, as compared to the first quarter of 2016.</w:t>
      </w:r>
    </w:p>
    <w:p>
      <w:pPr>
        <w:spacing w:after="0" w:line="7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Gains on loans held for sale for the first quarter of 2017 increased $7.4 million, or 47%, as compared to the first quarter of 2016. Gains on loans held for sale from our lending operations increased $6.2 million, primarily as a result of higher volumes and improved margin rates in our reverse lending business.</w:t>
      </w:r>
    </w:p>
    <w:p>
      <w:pPr>
        <w:spacing w:after="0" w:line="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Expenses were $52.3 million, or 16%, lower in the first quarter of 2017 as compared to the first quarter of 2016. MSR amortization and valuation adjustments (including both fair value adjustments and impairment charges), decreased $31.6 million, or 44%, as compared to the first quarter of 2016, principally due to a $28.6 million decrease in impairment charges related to our government insured MSRs and the effects of portfolio runoff. Monitor expenses decreased $25.7 million as compared to the first quarter of 2016 primarily as a result of reduced costs related to the CA Auditor, whose appointment was terminated in February 2017.</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Excluding MSR amortization and valuation adjustments and monitor expenses, expenses were $5.0 million, or 2%, higher in the first quarter of 2017 than the first quarter of 2016. Other expense increased by $15.6 million - to $17.0 million - primarily due to a $6.1 million provision for losses on automotive dealer financing notes we recognized in the first quarter of 2017 and a $3.3 million increase in the provision for indemnification obligations. The loss provision recorded by the ACS business on its portfolio of automotive dealer financing notes was required principally because of the deterioration since December 31, 2016 in the credit quality of notes due from certain dealers. At March 31, 2017, due to the increase in the age of these notes, we have assumed that the notes due from these dealers are fully collateral-dependent, with no recoveries beyond estimated liquidation value of the remaining unsold inventory.</w:t>
      </w:r>
    </w:p>
    <w:p>
      <w:pPr>
        <w:spacing w:after="0" w:line="16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Servicing and origination expense, excluding MSR valuation adjustments, increased $3.7 million. Occupancy and equipment expense declined by $7.0 million, or 28%, largely because of the effect of the decline in the size of the servicing portfolio on various expenses, particularly postage and other delivery services, and the effect of consolidating facilities. Compensation and benefits expense declined $4.4 million, or 5%, as average headcount declined by 9%, including a 9% reduction in U.S.-based headcount. The decline in headcount occurred principally in our Servicing business where headcount declined by 11%, including a 19% reduction in the U.S. Professional services expense, excluding monitor expenses, was $3.4 million, or 8%, lower in the first quarter of 2017 as compared to the first quarter of 2016 due to a $2.9 million decline in consulting fees and other professional fees.</w:t>
      </w:r>
    </w:p>
    <w:p>
      <w:pPr>
        <w:spacing w:after="0" w:line="1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expense for the first quarter of 2017 declined $22.0 million, or 21%, as compared to the first quarter of 2016 primarily due to declines in the value of the NRZ financing liability, principally as a result of runoff of the NRZ servicing portfolio, lower match funded liabilities consistent with the decline in servicing advances and the effect of the higher amortization of facility costs in the first quarter of 2016. In addition, interest expense for the first quarter of 2016 included $6.2 million of additional payments to NRZ to compensate it for certain increased costs associated with an earlier downgrade of our S&amp;P servicer rating.</w:t>
      </w:r>
    </w:p>
    <w:p>
      <w:pPr>
        <w:spacing w:after="0" w:line="8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Although we incurred a pre-tax loss of $30.5 million for the first quarter of 2017, we recorded income tax expense of $2.1 million due to the mix of earnings among different tax jurisdictions with different statutory tax rates, which impacts the amount of the tax benefit or expense recorded. Finally, we recognized income tax expense related to uncertain tax positions. The overall effective tax rate for the first quarter of 2017 was (7)%, compared to (9)% for the first quarter of 2016. This change primarily resulted from a reduction in income tax expense related to uncertain tax positions in the first quarter of 2017 as compared to the first quarter of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i w:val="1"/>
                <w:iCs w:val="1"/>
                <w:color w:val="auto"/>
              </w:rPr>
              <w:t>Financial Condition Summary</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8580" w:type="dxa"/>
            <w:vAlign w:val="bottom"/>
            <w:gridSpan w:val="4"/>
          </w:tcPr>
          <w:p>
            <w:pPr>
              <w:ind w:left="340"/>
              <w:spacing w:after="0"/>
              <w:rPr>
                <w:sz w:val="20"/>
                <w:szCs w:val="20"/>
                <w:color w:val="auto"/>
              </w:rPr>
            </w:pPr>
            <w:r>
              <w:rPr>
                <w:rFonts w:ascii="Arial" w:cs="Arial" w:eastAsia="Arial" w:hAnsi="Arial"/>
                <w:sz w:val="18"/>
                <w:szCs w:val="18"/>
                <w:color w:val="auto"/>
              </w:rPr>
              <w:t>The following table presents summarized consolidated balance sheet data at the dates indicated: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268,320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256,549</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1,010,518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1,042,978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1,599,598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1,709,846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339,153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314,006</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3,916,387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729,168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766,568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7,863,144</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1"/>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3,157,083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3,312,371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4,248,844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3,863,862</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457,217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479,430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7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7,863,144</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7,655,663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1"/>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4,295,408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4,012,812</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1,215,212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1,280,997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SSTL and other secured borrowings, net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738,447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678,543</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notes, net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346,929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346,789</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643,714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681,239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97"/>
        </w:trPr>
        <w:tc>
          <w:tcPr>
            <w:tcW w:w="70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7,239,710</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3 %</w:t>
            </w:r>
          </w:p>
        </w:tc>
      </w:tr>
      <w:tr>
        <w:trPr>
          <w:trHeight w:val="311"/>
        </w:trPr>
        <w:tc>
          <w:tcPr>
            <w:tcW w:w="7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2,238,790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2,369,697</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4,156,394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3,785,974</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844,526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844,709</w:t>
            </w:r>
          </w:p>
        </w:tc>
        <w:tc>
          <w:tcPr>
            <w:tcW w:w="1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0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7,239,710</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7,000,380</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3 %</w:t>
            </w:r>
          </w:p>
        </w:tc>
      </w:tr>
      <w:tr>
        <w:trPr>
          <w:trHeight w:val="311"/>
        </w:trPr>
        <w:tc>
          <w:tcPr>
            <w:tcW w:w="7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64"/>
        </w:trPr>
        <w:tc>
          <w:tcPr>
            <w:tcW w:w="70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623,434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655,283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Changes in the composition and balance of our assets and liabilities during the three months ended March 31, 2017 are principally attributable to Loans held for investment and Financing liabilities, which increased as a result of our reverse mortgage securitizations accounted for as secured financings. Match funded liabilities declined consistent with lower advances and match funded advances on a declining servicing portfolio. Total equity declined as a result of the net loss we incurred for the three months ended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activities are organized into two reportable business segments that reflect our primary lines of business - Servicing and Lending - as well as a Corporate Items and Other segment. While our expense allocation methodology for the current period is consistent with that used in prior periods presented, during the first quarter of 2017, we moved certain functions which had been associated with corporate cost centers to our Lending and Servicing segments because these functions align more closely with those segments. As applicable, the results of operations for the first quarter of 2016 have been recast to conform to the current period presentation. As a result of these changes, income before income taxes for the Lending segment decreased by $2.6 million while loss before income taxes for the Servicing segment decreased by the same amount for the three months ended March 31, 2016.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20" w:firstLine="324"/>
        <w:spacing w:after="0" w:line="245"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HAMP fees, float earnings, REO referral commissions, Speedpay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fees and late fees, in connection with owned MSRs. We also earn fees under both subservicing and special servicing arrangements with banks and other institutions that own the MSRs. We typically earn these fees either as a percentage of UPB or on a per loan basis. Per loan fees typically vary based on delinquency status.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Because we recognize servicing fees as revenue when the fees are earned, loan resolution activities are important to our financial performance. We recognize delinquent servicing fees and late fees as revenue when we collect cash on resolved loans, where permitted.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the best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8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Because the majority of our loan modifications have been in connection with the HAMP loan modification program, its expiration on December 31, 2016, will significantly, and adversely, affect our servicing revenue and the financial performance of our servicing segment in future periods if we are unable to replace HAMP with other modification programs. We estimate the balance of deferred servicing fees related to delinquent borrower payments was $357.7 million and $380.2 million, respectively, at March 31, 2017 and December 31, 2016. We are contractually obligated to remit to NRZ all deferred servicing fees collected in connection with MSRs underlying Rights to MSRs. However, under our agreements with NRZ, in addition to base servicing fees, we are entitled to performance fees that increase to the extent we collect deferred servicing fees. As such, the majority of the deferred servicing fees collected are recognized by us as additional revenue without a corresponding increase in interest expense related to the NRZ financing liability.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 NRZ effectively funds advances on loans for which we have sold the Rights to MSRs because NRZ is contractually required to buy the advances we make on those loans under our agreements with NRZ.</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HUD Note Sales</w:t>
      </w:r>
    </w:p>
    <w:p>
      <w:pPr>
        <w:spacing w:after="0" w:line="11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participate in HUD’s asset sale programs for non-performing loans insured by FHA (HUD Note Sales), the majority of which are associated with the Aged Delinquent Portfolio Loan Sale (ADPLS) program. HUD Note Sales programs are alternatives to the normal conveyance claim process in which a servicer must complete the foreclosure process and then convey the vacant, and potentially rehabilitated, home to FHA. Under each sale, the assignment of the loan to HUD by the servicer accelerates the receipt of claim proceeds by the servicer, significantly shortening the foreclosure and claim timelines and reducing related servicer expenses. HUD accepts and pools the resulting uninsured loans for resale through an auction process. The cancellation of the FHA insurance by HUD and sale of the uninsured loan delays the foreclosure process and gives the borrower more time and another chance to avoid foreclosure, options that may not have been feasible while the loans were insured. ADPLS differs from other HUD loan sale programs, in which Ocwen has participated on a smaller scale, in that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0" w:right="25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color w:val="auto"/>
        </w:rPr>
        <w:t>loans targeted for approval are over three years delinquent. There have been no new HUD Note Sales announced in 2017, but we would expect to participate if or when available.</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Similar to other servicers, we are the subject of mortgage servicer ratings or rankings (collectively, ratings) issued and revised from time to time by rating agencies including Moody’s, Morningstar, S&amp;P and Fitch. Favorable ratings from these agencies are important to the conduct of our loan servicing and lending businesses.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424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Positive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Negative</w:t>
            </w: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24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24, 2017</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April 25, 2017</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August 9,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25, 2017</w:t>
            </w:r>
          </w:p>
        </w:tc>
      </w:tr>
    </w:tbl>
    <w:p>
      <w:pPr>
        <w:spacing w:after="0" w:line="12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In addition to servicer ratings, each of the rating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S&amp;P’s servicer ratings outlook for Ocwen is stable in general and its outlook for master servicing is positive. Fitch Ratings changed the servicer ratings Outlook to Negative from Stable on April 25, 2017. Moody’s placed the servicer ratings on Review for Downgrade on April 24, 2017. Morningstar changed its forecast to On Alert from Positive on April 25, 2017.</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 In addition, a termination event under our existing agreements with NRZ could be triggered if our current residential primary servicer ratings for subprime loans with S&amp;P, Moody’s or Fitch are downgraded, which would give NRZ the right to direct the transfer of servicing with respect to any affected servicing agreements to an appropriately licensed replacement servicer that obtains all required third-party consents without Ocwen retaining its economics. As discussed above, we are currently in the process of negotiating new arrangements with NRZ.</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7" w:name="page58"/>
    <w:bookmarkEnd w:id="57"/>
    <w:p>
      <w:pPr>
        <w:ind w:right="1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Servicing segment for the three months ended March 31.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27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270,551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295,858</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EAF9E8"/>
            </w:tcBorders>
            <w:shd w:val="clear" w:color="auto" w:fill="EAF9E8"/>
          </w:tcPr>
          <w:p>
            <w:pPr>
              <w:spacing w:after="0"/>
              <w:rPr>
                <w:sz w:val="21"/>
                <w:szCs w:val="21"/>
                <w:color w:val="auto"/>
              </w:rPr>
            </w:pP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272,805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297,641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Gain (loss) on loans held for sale, net</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11,046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10,639</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5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284,019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307,427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shd w:val="clear" w:color="auto" w:fill="EAF9E8"/>
          </w:tcPr>
          <w:p>
            <w:pPr>
              <w:spacing w:after="0"/>
              <w:rPr>
                <w:sz w:val="22"/>
                <w:szCs w:val="22"/>
                <w:color w:val="auto"/>
              </w:rPr>
            </w:pPr>
          </w:p>
        </w:tc>
        <w:tc>
          <w:tcPr>
            <w:tcW w:w="246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41,122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50,126</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92,974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19,883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33,503</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15,460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12,348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20,551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12,725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56,429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48,978</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2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274,317</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shd w:val="clear" w:color="auto" w:fill="EAF9E8"/>
          </w:tcPr>
          <w:p>
            <w:pPr>
              <w:spacing w:after="0"/>
              <w:rPr>
                <w:sz w:val="22"/>
                <w:szCs w:val="22"/>
                <w:color w:val="auto"/>
              </w:rPr>
            </w:pPr>
          </w:p>
        </w:tc>
        <w:tc>
          <w:tcPr>
            <w:tcW w:w="246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(96,474)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246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(3,343)</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EAF9E8"/>
            </w:tcBorders>
          </w:tcPr>
          <w:p>
            <w:pPr>
              <w:spacing w:after="0"/>
              <w:rPr>
                <w:sz w:val="2"/>
                <w:szCs w:val="2"/>
                <w:color w:val="auto"/>
              </w:rPr>
            </w:pPr>
          </w:p>
        </w:tc>
        <w:tc>
          <w:tcPr>
            <w:tcW w:w="24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24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(63,975)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(98,789)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4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7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(65,679)</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540" w:type="dxa"/>
            <w:vAlign w:val="bottom"/>
            <w:tcBorders>
              <w:top w:val="single" w:sz="8" w:color="EAF9E8"/>
            </w:tcBorders>
          </w:tcPr>
          <w:p>
            <w:pPr>
              <w:spacing w:after="0" w:line="20" w:lineRule="exact"/>
              <w:rPr>
                <w:sz w:val="1"/>
                <w:szCs w:val="1"/>
                <w:color w:val="auto"/>
              </w:rPr>
            </w:pPr>
          </w:p>
        </w:tc>
        <w:tc>
          <w:tcPr>
            <w:tcW w:w="2460" w:type="dxa"/>
            <w:vAlign w:val="bottom"/>
            <w:tcBorders>
              <w:top w:val="single" w:sz="8" w:color="EAF9E8"/>
              <w:bottom w:val="single" w:sz="8" w:color="EAF9E8"/>
            </w:tcBorders>
            <w:vMerge w:val="restart"/>
          </w:tcPr>
          <w:p>
            <w:pPr>
              <w:jc w:val="right"/>
              <w:ind w:right="1110"/>
              <w:spacing w:after="0"/>
              <w:rPr>
                <w:sz w:val="20"/>
                <w:szCs w:val="20"/>
                <w:color w:val="auto"/>
              </w:rPr>
            </w:pPr>
            <w:r>
              <w:rPr>
                <w:rFonts w:ascii="Arial" w:cs="Arial" w:eastAsia="Arial" w:hAnsi="Arial"/>
                <w:sz w:val="18"/>
                <w:szCs w:val="18"/>
                <w:color w:val="auto"/>
              </w:rPr>
              <w:t>56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The following tables provide selected operating statistics at or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8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at March 31</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i w:val="1"/>
                <w:iCs w:val="1"/>
                <w:color w:val="auto"/>
              </w:rPr>
              <w:t>Unpaid principal balance (UPB):</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7"/>
              </w:rPr>
              <w:t>180,776,877</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206,279,041</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17,597,841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25,600,505</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16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3,994,296</w:t>
            </w:r>
          </w:p>
        </w:tc>
        <w:tc>
          <w:tcPr>
            <w:tcW w:w="6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5,201,490</w:t>
            </w:r>
          </w:p>
        </w:tc>
        <w:tc>
          <w:tcPr>
            <w:tcW w:w="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202,369,014</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237,081,036</w:t>
            </w:r>
          </w:p>
        </w:tc>
        <w:tc>
          <w:tcPr>
            <w:tcW w:w="2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68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Conventional loans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58,602,462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72,791,181</w:t>
            </w: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loans</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22,713,860</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24,944,465</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Non-Agency loans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7"/>
              </w:rPr>
              <w:t>121,052,692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139,345,390</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8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7"/>
              </w:rPr>
              <w:t>202,369,014</w:t>
            </w:r>
          </w:p>
        </w:tc>
        <w:tc>
          <w:tcPr>
            <w:tcW w:w="6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237,081,036</w:t>
            </w:r>
          </w:p>
        </w:tc>
        <w:tc>
          <w:tcPr>
            <w:tcW w:w="2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i w:val="1"/>
                <w:iCs w:val="1"/>
                <w:color w:val="auto"/>
              </w:rPr>
              <w:t>Percent of total UPB:</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NRZ (3)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assets</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97"/>
        </w:trPr>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i w:val="1"/>
                <w:iCs w:val="1"/>
                <w:color w:val="auto"/>
              </w:rPr>
              <w:t>Count:</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Performing loans (1)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1,244,813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1,397,702</w:t>
            </w: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Non-performing loans</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88,685</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126,165</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real estate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20,458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27,100</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68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8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1,353,956</w:t>
            </w:r>
          </w:p>
        </w:tc>
        <w:tc>
          <w:tcPr>
            <w:tcW w:w="60" w:type="dxa"/>
            <w:vAlign w:val="bottom"/>
            <w:tcBorders>
              <w:bottom w:val="single" w:sz="8" w:color="EAF9E8"/>
            </w:tcBorders>
            <w:shd w:val="clear" w:color="auto" w:fill="EAF9E8"/>
          </w:tcPr>
          <w:p>
            <w:pPr>
              <w:spacing w:after="0"/>
              <w:rPr>
                <w:sz w:val="22"/>
                <w:szCs w:val="22"/>
                <w:color w:val="auto"/>
              </w:rPr>
            </w:pPr>
          </w:p>
        </w:tc>
        <w:tc>
          <w:tcPr>
            <w:tcW w:w="4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auto"/>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spacing w:after="0"/>
              <w:rPr>
                <w:sz w:val="22"/>
                <w:szCs w:val="22"/>
                <w:color w:val="auto"/>
              </w:rPr>
            </w:pPr>
          </w:p>
        </w:tc>
        <w:tc>
          <w:tcPr>
            <w:tcW w:w="12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1,550,967</w:t>
            </w:r>
          </w:p>
        </w:tc>
        <w:tc>
          <w:tcPr>
            <w:tcW w:w="20" w:type="dxa"/>
            <w:vAlign w:val="bottom"/>
            <w:tcBorders>
              <w:bottom w:val="single" w:sz="8" w:color="auto"/>
            </w:tcBorders>
            <w:shd w:val="clear" w:color="auto" w:fill="EAF9E8"/>
          </w:tcPr>
          <w:p>
            <w:pPr>
              <w:spacing w:after="0"/>
              <w:rPr>
                <w:sz w:val="22"/>
                <w:szCs w:val="22"/>
                <w:color w:val="auto"/>
              </w:rPr>
            </w:pP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4"/>
        </w:trPr>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Conventional loans (3)</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344,293</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413,455</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Government-insured loans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166,585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181,030</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Non-Agency loans</w:t>
            </w:r>
          </w:p>
        </w:tc>
        <w:tc>
          <w:tcPr>
            <w:tcW w:w="16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843,078</w:t>
            </w:r>
          </w:p>
        </w:tc>
        <w:tc>
          <w:tcPr>
            <w:tcW w:w="6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956,482</w:t>
            </w:r>
          </w:p>
        </w:tc>
        <w:tc>
          <w:tcPr>
            <w:tcW w:w="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1,353,956</w:t>
            </w:r>
          </w:p>
        </w:tc>
        <w:tc>
          <w:tcPr>
            <w:tcW w:w="60" w:type="dxa"/>
            <w:vAlign w:val="bottom"/>
            <w:tcBorders>
              <w:bottom w:val="single" w:sz="8" w:color="EAF9E8"/>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1,550,967</w:t>
            </w:r>
          </w:p>
        </w:tc>
        <w:tc>
          <w:tcPr>
            <w:tcW w:w="2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68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i w:val="1"/>
                <w:iCs w:val="1"/>
                <w:color w:val="auto"/>
              </w:rPr>
              <w:t>Percent of total count: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NRZ (3)</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Non-performing assets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405"/>
        </w:trPr>
        <w:tc>
          <w:tcPr>
            <w:tcW w:w="6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84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 for the Three Months Ended March 31</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i w:val="1"/>
                <w:iCs w:val="1"/>
                <w:color w:val="auto"/>
              </w:rPr>
              <w:t>Average UPB:</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36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84,197,052</w:t>
            </w:r>
          </w:p>
        </w:tc>
        <w:tc>
          <w:tcPr>
            <w:tcW w:w="6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98,990,262</w:t>
            </w:r>
          </w:p>
        </w:tc>
        <w:tc>
          <w:tcPr>
            <w:tcW w:w="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4,237,038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10,049,109</w:t>
            </w:r>
          </w:p>
        </w:tc>
        <w:tc>
          <w:tcPr>
            <w:tcW w:w="20" w:type="dxa"/>
            <w:vAlign w:val="bottom"/>
          </w:tcPr>
          <w:p>
            <w:pPr>
              <w:spacing w:after="0"/>
              <w:rPr>
                <w:sz w:val="21"/>
                <w:szCs w:val="21"/>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NRZ (3)</w:t>
            </w:r>
          </w:p>
        </w:tc>
        <w:tc>
          <w:tcPr>
            <w:tcW w:w="16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116,848,651</w:t>
            </w:r>
          </w:p>
        </w:tc>
        <w:tc>
          <w:tcPr>
            <w:tcW w:w="6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134,958,899</w:t>
            </w:r>
          </w:p>
        </w:tc>
        <w:tc>
          <w:tcPr>
            <w:tcW w:w="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97"/>
        </w:trPr>
        <w:tc>
          <w:tcPr>
            <w:tcW w:w="684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205,282,741</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EAF9E8"/>
            </w:tcBorders>
          </w:tcPr>
          <w:p>
            <w:pPr>
              <w:spacing w:after="0"/>
              <w:rPr>
                <w:sz w:val="24"/>
                <w:szCs w:val="24"/>
                <w:color w:val="auto"/>
              </w:rPr>
            </w:pPr>
          </w:p>
        </w:tc>
        <w:tc>
          <w:tcPr>
            <w:tcW w:w="8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243,998,270</w:t>
            </w:r>
          </w:p>
        </w:tc>
        <w:tc>
          <w:tcPr>
            <w:tcW w:w="20" w:type="dxa"/>
            <w:vAlign w:val="bottom"/>
            <w:tcBorders>
              <w:bottom w:val="single" w:sz="8" w:color="EAF9E8"/>
            </w:tcBorders>
          </w:tcPr>
          <w:p>
            <w:pPr>
              <w:spacing w:after="0"/>
              <w:rPr>
                <w:sz w:val="24"/>
                <w:szCs w:val="24"/>
                <w:color w:val="auto"/>
              </w:rPr>
            </w:pP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(16)%</w:t>
            </w:r>
          </w:p>
        </w:tc>
      </w:tr>
      <w:tr>
        <w:trPr>
          <w:trHeight w:val="311"/>
        </w:trPr>
        <w:tc>
          <w:tcPr>
            <w:tcW w:w="684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692"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Prepayment speed (average CPR)</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 Voluntary</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 Involuntary</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 CPR due to principal modification</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i w:val="1"/>
                <w:iCs w:val="1"/>
                <w:color w:val="auto"/>
              </w:rPr>
              <w:t>Average count:</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535,788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620,460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30,679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62,103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NRZ (3)</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805,146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906,267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1,371,613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1,588,830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5"/>
              </w:rPr>
              <w:t>Residential Servicing and Subservicing Fees for the Three Months Ended March 31</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Loan servicing and subservicing fees: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66,405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75,470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7,239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147,311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162,129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217,236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244,838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20,971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22,622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16,708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18,525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6,308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7,119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2,754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270,551</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295,858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Interest Expense on NRZ/HLSS Financing Liability (4)</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Servicing fees collected on behalf of NRZ/HLSS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147,311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162,129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Less: Subservicing fee retained by Ocwen</w:t>
            </w: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79,154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84,370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Net servicing fees remitted to NRZ/HLSS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68,157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77,759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Less: Reduction in financing liability</w:t>
            </w: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16,999</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18,201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Interest expense on NRZ/HLSS financing 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51,158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59,558</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68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8,948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7,699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Non-HAMP</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8,905</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18,395</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16,604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20"/>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6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balance of advances and match funded advances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1,647,852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2,103,995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1,243,155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1,570,931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568,025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685,364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25,136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422,829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12,727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18,174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52,972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67,707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9,333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39.52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8.83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Facility costs included in 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8,675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Discount amortization included in interest expense</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0.43%</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5,583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6,167</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1,540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6,836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7,707</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9,280,536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9,653,475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420" w:hanging="492"/>
        <w:spacing w:after="0" w:line="255"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Conventional loans include 159,304 and 191,455 prime loans with a UPB of $29.1 billion and $36.9 billion at March 31, 2017 and March 31, 2016, respectively, that we service or subservice.</w:t>
      </w:r>
    </w:p>
    <w:p>
      <w:pPr>
        <w:ind w:left="500" w:right="180" w:hanging="492"/>
        <w:spacing w:after="0" w:line="24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Under the agreements associated with the NRZ/HLSS Transactions,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spacing w:after="0" w:line="1"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effective average interest rate on the financing liability that we recognized in connection with the sales of Rights to MSRs to NRZ is 43.64% and 49.31% for the three months ended March 31, 2017 and 2016, respectively. Interest expense on financing liabilities for the three months ended March 31, 2016 included $6.2 million of fees incurred in connection with our agreement to compensate NRZ through June 2016 for certain increased costs associated with its servicing advance financing facilities that were the direct result of a downgrade of our S&amp;P servicer rating in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Arial" w:cs="Arial" w:eastAsia="Arial" w:hAnsi="Arial"/>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209,092,130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250,966,112</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1,403,213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1,531,715</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7,969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(52,162)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(6,745,819)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(34,506)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(7,853,998)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(8,636,329)</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(44,972)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(47,132)</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202,369,014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237,081,036</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1,353,956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1,550,967</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2016</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key driver of our servicing segment operating results, as compared to the first quarter of 2016, was a $57.4 million, or 21% decline in total expenses, which more than offset the $25.3 million, or 9% decline in total residential servicing and subservicing fee revenue driven by a decline in the average UPB and average number of assets in our residential servicing and subservicing portfolio due to runoff of the portfolio.</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Total completed modifications increased 11% as compared to the first quarter of 2016. The increase in modification volume is primarily attributed to the streamlined HAMP program, which began in the second quarter of 2016. The portion of modifications completed under HAMP (including streamlined HAMP) as a percentage of total modifications increased to 49% in the first quarter of 2017 as compared to 46% for the first quarter of 2016 in spite of the expiration of the HAMP program on December 31, 2016. Borrowers who had requested assistance or to whom an offer of assistance had been extended as of that date have until September 30, 2017 to finalize their modification. We recognized revenue of $39.2 million and $42.0 million during the first quarter of 2017 and 2016, respectively, in connection with loan modifications. Modification related revenue declined, despite an increase in completed modifications, due to lower levels of delinquencies on completed modifications and lower incentive fees paid on previously modified loans that continue to perform (HAMP success fees). HAMP success fees can be earned for up to three years after a successful modification, but were only available through earlier HAMP programs for which there have been fewer new modifications to replace those where we no longer earn incentive payments despite the continued good standing of the loan.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Expenses were $57.4 million, or 21%, lower in the first quarter of 2017 as compared to the first quarter of 2016. A 19% reduction in average U.S.-based headcount and the migration of certain operations offshore, where we believe we realize cost efficiencies while maintaining operational effectiveness, enabled reductions in Compensation and benefits expense of $9.0 million, or 18%.</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Servicing and origination expense, excluding MSR valuation adjustments, increased only $0.8 million, or 2% in the first quarter of 2017 as compared to the first quarter of 2016.</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MSR amortization and valuation adjustments (including both fair value adjustments and impairment charges) decreased $31.6 million due to a decrease in impairment charges related to our government insured MSRs and the effects of portfolio runoff. Increasing interest rates typically result in decreased prepayment activity for MSRs, which generally increases the value of our MSRs as the underlying loans prepay slower. We recognized impairment charges of $1.4 million and $30.0 million on our government-insured MSRs during the first quarter of 2017 and 2016, respectively, reflecting higher interest rates as compared to the first quarter of 2016.</w:t>
      </w:r>
    </w:p>
    <w:p>
      <w:pPr>
        <w:spacing w:after="0" w:line="80"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Occupancy and equipment expense declined $8.2 million largely because of the effect of the decline in the average number of assets in our servicing portfolio and various cost improvement initiatives on various expenses, principally the cost of postage and other delivery services. Professional services expense declined $13.6 million largely due to a $10.4 million decline in legal expenses that was principally the result of expenses incurred during the first quarter of 2016 in connection with our defense of various legal proceedings, primarily the now-settled Fisher matter.</w:t>
      </w:r>
    </w:p>
    <w:p>
      <w:pPr>
        <w:spacing w:after="0" w:line="15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Technology and communication expense declined by $3.2 million. However, this decline was more than offset by an increase of $5.5 million in technology allocations, which are part of the costs charged through corporate overhead allocations. Excluding technology allocations, costs charged through corporate overhead allocations (which are included in Other expense) declined $1.2 million.</w:t>
      </w:r>
    </w:p>
    <w:p>
      <w:pPr>
        <w:spacing w:after="0" w:line="181"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Interest expense declined by $29.1 million, or 30%, in the first quarter of 2017 compared to the first quarter of 2016 primarily due to reductions in interest expense related to the NRZ financing liability, the December 2016 transfer of the SSTL from Servicing to Corporate Items and Other when we entered into an amended and restated SSTL facility agreement,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92" w:right="259" w:bottom="1440" w:gutter="0" w:footer="0" w:header="0"/>
        </w:sectPr>
      </w:pPr>
    </w:p>
    <w:bookmarkStart w:id="62" w:name="page63"/>
    <w:bookmarkEnd w:id="62"/>
    <w:p>
      <w:pPr>
        <w:ind w:right="40"/>
        <w:spacing w:after="0" w:line="293" w:lineRule="auto"/>
        <w:rPr>
          <w:sz w:val="20"/>
          <w:szCs w:val="20"/>
          <w:color w:val="auto"/>
        </w:rPr>
      </w:pPr>
      <w:r>
        <w:rPr>
          <w:rFonts w:ascii="Arial" w:cs="Arial" w:eastAsia="Arial" w:hAnsi="Arial"/>
          <w:sz w:val="16"/>
          <w:szCs w:val="16"/>
          <w:color w:val="auto"/>
        </w:rPr>
        <w:t>lower match funded liabilities and related commitment fees. The payment of servicing fees to NRZ less subservicing fees retained by us is recognized as interest expense on the NRZ financing liabilities. This interest expense decreased by $14.6 million, principally because of the decline in the average UPB of the NRZ servicing portfolio due to runoff and because of improvements in the ratio of advances to UPB, which impacts the amount of performance fees paid to Ocwen. In addition, interest expense for the first quarter of 2016 includes $6.2 million of fees in connection with our agreement to compensate NRZ/HLSS for certain increased costs associated with its servicing advance financing facilities that were the direct result of a previous downgrade of our S&amp;P servicer rating. The decline in match funded liabilities was consistent with the decline in servicing advances on our smaller servicing portfolio.</w:t>
      </w:r>
    </w:p>
    <w:p>
      <w:pPr>
        <w:spacing w:after="0" w:line="5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During the first quarter of 2017, we recognized net gains of $0.3 million in Other income on the sale of Agency and non-Agency MSRs relating to loans with a UPB of $52.2 million. Other income for the first quarter of 2016 includes net gains of $1.2 million recognized on the sale of Agency MSRs relating to loans with a UPB of $34.5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While we expect our loan origination volumes to decline until such time as we reach resolution with respect to the recent actions of state regulatory agencies, we are working to increase the scale and breadth of our Lending business. Although the slowing of the HARP program presents a challenge, we are focused on increasing conversion rates (i.e., recapture) on our existing servicing portfolio and expanding our geographic footprint through growing our wholesale origination businesses. Building the sales and operations capacity to meet this need is a goal for the business, as well as investment in the development of our Loan Operating System (LOS) and the continued use of process improvements to drive productivity.</w:t>
      </w:r>
    </w:p>
    <w:p>
      <w:pPr>
        <w:spacing w:after="0" w:line="1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lending business represents an organic source of new MSRs for our servicing business through the MSRs retained from originated and purchased loans that we sell into the secondary market. A portion of our servicing portfolio is susceptible to refinance activity during periods of declining interest rates. Our lending activity partially mitigates this risk. Origination volume and related gains have historically offset, to a degree, the economic impact of declining MSR values as interest rates decline.</w:t>
      </w:r>
    </w:p>
    <w:p>
      <w:pPr>
        <w:spacing w:after="0" w:line="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originate and purchase conventional and government-insured forward mortgage loans through our forward lending operations. Reverse mortgages are originated and purchased through our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HECM loans under which the borrowers have additional borrowing capacity of $1.3 billion at March 31, 2017.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Value draws. We recognize this Future Value over time as future draws are securitized or sold. At March 31, 2017, unrecognized Future Value is estimated to be $66.5 million. We use a third-party valuation expert to determine Future Value based on the net present value of the estimated future cash flows of the loans, utilizing a discount rate of 12% and projected performance assumptions in line with historical experience and industry benchmarks.</w:t>
      </w:r>
    </w:p>
    <w:p>
      <w:pPr>
        <w:spacing w:after="0" w:line="16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Loans are acquired through three primary channels: correspondent lender relationships, broker relationships (wholesale) and directly with mortgage customers (retail). Per-loan margins vary by channel, with correspondent typically being the lowest margin and retail the highest margin. Given this margin profile, we are emphasizing retail and wholesale channel origination in our forward lending business.</w:t>
      </w:r>
    </w:p>
    <w:p>
      <w:pPr>
        <w:spacing w:after="0" w:line="18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After origination, we generally package and sell the loans in the secondary mortgage market, through GSE securitizations and whole loan transactions. We typically retain the associated MSRs as we view this as a low cost means to acquire MSRs with solid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8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3" w:name="page64"/>
    <w:bookmarkEnd w:id="63"/>
    <w:p>
      <w:pPr>
        <w:ind w:firstLine="324"/>
        <w:spacing w:after="0" w:line="277" w:lineRule="auto"/>
        <w:rPr>
          <w:sz w:val="20"/>
          <w:szCs w:val="20"/>
          <w:color w:val="auto"/>
        </w:rPr>
      </w:pPr>
      <w:r>
        <w:rPr>
          <w:rFonts w:ascii="Arial" w:cs="Arial" w:eastAsia="Arial" w:hAnsi="Arial"/>
          <w:sz w:val="18"/>
          <w:szCs w:val="18"/>
          <w:color w:val="auto"/>
        </w:rPr>
        <w:t>The following table presents the results of operations of the Lending segment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29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11,361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13,059</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3,444</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EAF9E8"/>
            </w:tcBorders>
            <w:shd w:val="clear" w:color="auto" w:fill="EAF9E8"/>
          </w:tcPr>
          <w:p>
            <w:pPr>
              <w:spacing w:after="0"/>
              <w:rPr>
                <w:sz w:val="21"/>
                <w:szCs w:val="21"/>
                <w:color w:val="auto"/>
              </w:rPr>
            </w:pP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22,658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16,503</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6,782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5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30,746</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23,285</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16,684</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2,643</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2,374</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25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29,332</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24,378</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3,611</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5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2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(expense), net</w:t>
            </w:r>
          </w:p>
        </w:tc>
        <w:tc>
          <w:tcPr>
            <w:tcW w:w="25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4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9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3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420" w:type="dxa"/>
            <w:vAlign w:val="bottom"/>
            <w:tcBorders>
              <w:top w:val="single" w:sz="8" w:color="EAF9E8"/>
            </w:tcBorders>
          </w:tcPr>
          <w:p>
            <w:pPr>
              <w:spacing w:after="0" w:line="20" w:lineRule="exact"/>
              <w:rPr>
                <w:sz w:val="1"/>
                <w:szCs w:val="1"/>
                <w:color w:val="auto"/>
              </w:rPr>
            </w:pPr>
          </w:p>
        </w:tc>
        <w:tc>
          <w:tcPr>
            <w:tcW w:w="2580" w:type="dxa"/>
            <w:vAlign w:val="bottom"/>
            <w:tcBorders>
              <w:top w:val="single" w:sz="8" w:color="EAF9E8"/>
              <w:bottom w:val="single" w:sz="8" w:color="EAF9E8"/>
            </w:tcBorders>
            <w:vMerge w:val="restart"/>
          </w:tcPr>
          <w:p>
            <w:pPr>
              <w:jc w:val="right"/>
              <w:ind w:right="1110"/>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provides selected operating statistics for our Lending segment at or for the three months ended March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6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r>
      <w:tr>
        <w:trPr>
          <w:trHeight w:val="244"/>
        </w:trPr>
        <w:tc>
          <w:tcPr>
            <w:tcW w:w="67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297,245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352,473</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361,888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355,880</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181,400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79,779</w:t>
            </w:r>
          </w:p>
        </w:tc>
        <w:tc>
          <w:tcPr>
            <w:tcW w:w="138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97"/>
        </w:trPr>
        <w:tc>
          <w:tcPr>
            <w:tcW w:w="676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840,533</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788,132</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EAF9E8"/>
            </w:tcBorders>
          </w:tcPr>
          <w:p>
            <w:pPr>
              <w:spacing w:after="0"/>
              <w:rPr>
                <w:sz w:val="24"/>
                <w:szCs w:val="24"/>
                <w:color w:val="auto"/>
              </w:rPr>
            </w:pPr>
          </w:p>
        </w:tc>
      </w:tr>
      <w:tr>
        <w:trPr>
          <w:trHeight w:val="311"/>
        </w:trPr>
        <w:tc>
          <w:tcPr>
            <w:tcW w:w="676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Purchase production</w:t>
            </w: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w:t>
            </w:r>
          </w:p>
        </w:tc>
        <w:tc>
          <w:tcPr>
            <w:tcW w:w="138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6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1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2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163,549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91,784</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EAF9E8"/>
            </w:tcBorders>
            <w:shd w:val="clear" w:color="auto" w:fill="EAF9E8"/>
          </w:tcPr>
          <w:p>
            <w:pPr>
              <w:spacing w:after="0"/>
              <w:rPr>
                <w:sz w:val="21"/>
                <w:szCs w:val="2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67,701</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29,975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31,671</w:t>
            </w:r>
          </w:p>
        </w:tc>
        <w:tc>
          <w:tcPr>
            <w:tcW w:w="138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3"/>
                <w:szCs w:val="23"/>
                <w:color w:val="auto"/>
              </w:rPr>
            </w:pPr>
          </w:p>
        </w:tc>
      </w:tr>
      <w:tr>
        <w:trPr>
          <w:trHeight w:val="257"/>
        </w:trPr>
        <w:tc>
          <w:tcPr>
            <w:tcW w:w="67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273,077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191,156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2"/>
                <w:szCs w:val="2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2016</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Total revenue increased by $7.5 million or 32% in first quarter of 2017 as total loan production increased by $134.3 million, or 14%. The $6.2 million, or 37% increase in Gains on loans held for sale, net is largely attributed to improved margin rates in our reverse lending business. This was partially offset by lower gains in the forward lending business due to lower retail margin rates substantially offset by higher retail volume, and lower correspondent volume and lower correspondent margin rates.</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revenue increased $1.3 million, or 19%, in the first quarter of 2017 primarily as a result of an increase in the excess of changes in the fair value of our HECM loans held for investment over changes in the fair value of the HMBS financing liability.</w:t>
      </w:r>
    </w:p>
    <w:p>
      <w:pPr>
        <w:spacing w:after="0" w:line="6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Total expenses increased $5.0 million, or 20%, in the first quarter of 2017. Compensation and benefits expense increased $2.3 million, or 14%, primarily due to increased staffing for continued expansion of our retail channel, development of our proprietary LOS and transition of certain functions previously performed by third parties. Servicing and origination expenses generally are largely variable and fluctuate in line with our production volume. Direct acquisition costs are offset by origination fee income that is included in Other revenue. The increase in Other expenses in the first quarter of 2017 was driven primarily by a $2.7 million increase in the provision for indemnification obligations due to a $3.1 million reversal of the liability in the first quarter of 2016.</w:t>
      </w:r>
    </w:p>
    <w:p>
      <w:pPr>
        <w:spacing w:after="0" w:line="158"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Corporate Items and Other includes revenues and expenses of ACS, CRL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5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ACS provides short-term inventory-secured loans to independent used car dealers to finance their inventory. In addition, Ocwen formed CRL, our wholly-owned captive reinsurance subsidiary, and entered into a quota share re-insurance agreement effective in 2016 with a third-party insurer related to coverage on foreclosed real estate properties owned or serviced by us.</w:t>
      </w:r>
    </w:p>
    <w:p>
      <w:pPr>
        <w:spacing w:after="0" w:line="181"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5" w:name="page66"/>
    <w:bookmarkEnd w:id="65"/>
    <w:p>
      <w:pPr>
        <w:ind w:right="36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Corporate Items and Other for the three months ended March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318"/>
        </w:trPr>
        <w:tc>
          <w:tcPr>
            <w:tcW w:w="70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7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29,439</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37,249</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14,294</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10,452</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14,632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3,666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299</w:t>
            </w: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Total expenses before corporate overhead allocations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83,952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7000" w:type="dxa"/>
            <w:vAlign w:val="bottom"/>
          </w:tcPr>
          <w:p>
            <w:pPr>
              <w:ind w:left="280"/>
              <w:spacing w:after="0"/>
              <w:rPr>
                <w:sz w:val="20"/>
                <w:szCs w:val="20"/>
                <w:color w:val="auto"/>
              </w:rPr>
            </w:pPr>
            <w:r>
              <w:rPr>
                <w:rFonts w:ascii="Arial" w:cs="Arial" w:eastAsia="Arial" w:hAnsi="Arial"/>
                <w:sz w:val="18"/>
                <w:szCs w:val="18"/>
                <w:color w:val="auto"/>
              </w:rPr>
              <w:t>Servicing segment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(52,465)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Lending segment</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(1,525)</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37"/>
        </w:trPr>
        <w:tc>
          <w:tcPr>
            <w:tcW w:w="70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29,962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70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1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28</w:t>
            </w: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(6,167)</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118</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(509)</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(257)</w:t>
            </w:r>
          </w:p>
        </w:tc>
      </w:tr>
      <w:tr>
        <w:trPr>
          <w:trHeight w:val="237"/>
        </w:trPr>
        <w:tc>
          <w:tcPr>
            <w:tcW w:w="700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97</w:t>
            </w:r>
          </w:p>
        </w:tc>
      </w:tr>
      <w:tr>
        <w:trPr>
          <w:trHeight w:val="27"/>
        </w:trPr>
        <w:tc>
          <w:tcPr>
            <w:tcW w:w="70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23"/>
        </w:trPr>
        <w:tc>
          <w:tcPr>
            <w:tcW w:w="70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r>
        <w:trPr>
          <w:trHeight w:val="304"/>
        </w:trPr>
        <w:tc>
          <w:tcPr>
            <w:tcW w:w="70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(34,738)</w:t>
            </w:r>
          </w:p>
        </w:tc>
        <w:tc>
          <w:tcPr>
            <w:tcW w:w="1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(35,867)</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260" w:type="dxa"/>
            <w:vAlign w:val="bottom"/>
            <w:shd w:val="clear" w:color="auto" w:fill="EAF9E8"/>
          </w:tcPr>
          <w:p>
            <w:pPr>
              <w:spacing w:after="0"/>
              <w:rPr>
                <w:sz w:val="20"/>
                <w:szCs w:val="20"/>
                <w:color w:val="auto"/>
              </w:rPr>
            </w:pPr>
          </w:p>
        </w:tc>
      </w:tr>
      <w:tr>
        <w:trPr>
          <w:trHeight w:val="27"/>
        </w:trPr>
        <w:tc>
          <w:tcPr>
            <w:tcW w:w="700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versus 2016</w:t>
      </w:r>
    </w:p>
    <w:p>
      <w:pPr>
        <w:spacing w:after="0" w:line="11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$7.1 million increase in revenue is due to $6.4 million of premiums generated by CRL in the first quarter of 2017 under the quota share reinsurance agreement with a third-party insurer effective in the second quarter of 2016.</w:t>
      </w:r>
    </w:p>
    <w:p>
      <w:pPr>
        <w:spacing w:after="0" w:line="6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$4.0 million, or 5%, increase in expenses before allocations is primarily due to our in-sourcing of technology infrastructure and facilities functions and our investment in new business ventures, resulting in increases of $2.3 million in Compensation and benefits expense and $3.8 million in Technology and communications expense. Additionally, Servicing and origination expense increased due to $1.4 million of reinsurance commissions incurred in the first quarter of 2017 in connection with the reinsurance agreement executed by CRL. Other expense for the first quarter of 2017 includes the provision for losses on ACS automotive dealer financing notes of $6.1 million principally as a result of the deterioration in credit quality of notes due from certain dealers. At March 31, 2017, due to the increase in the age of these notes, we have assumed that the notes due from these dealers are fully collateral-dependent, with no recoveries beyond estimated liquidation value of the remaining unsold inventory.</w:t>
      </w:r>
    </w:p>
    <w:p>
      <w:pPr>
        <w:spacing w:after="0" w:line="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Offsetting these increases in expenses was a $15.6 million decline in Professional services expense, which resulted from a $25.7 million decrease in regulatory monitoring costs offset in part by an $8.6 million increase in legal fees and settlements.</w:t>
      </w:r>
    </w:p>
    <w:p>
      <w:pPr>
        <w:spacing w:after="0" w:line="62"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Interest expense in the first quarter of 2017 increased by $7.3 million, or 118%, primarily as a result of our transfer of the SSTL from Servicing to Corporate Items and Other when we entered into an amended and restated SSTL facility agreement in December 2016. In addition, also in December 2016, we exchanged $346.9 million of 6.625% Senior Unsecured Notes due 2019 for a like amount of 8.375% Senior Second Lien Notes due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March 31, 2017, our cash position was $268.3 million compared to $256.5 million at December 31, 2016. We invest cash that is in excess of our immediate operating needs primarily in money market deposit accounts. Our priorities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92"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deployment of excess cash are: (1) supporting our core servicing and lending businesses and investing in these core assets, (2) reducing corporate leverage,</w:t>
      </w:r>
    </w:p>
    <w:p>
      <w:pPr>
        <w:spacing w:after="0" w:line="46" w:lineRule="exact"/>
        <w:rPr>
          <w:sz w:val="20"/>
          <w:szCs w:val="20"/>
          <w:color w:val="auto"/>
        </w:rPr>
      </w:pPr>
    </w:p>
    <w:p>
      <w:pPr>
        <w:ind w:right="100" w:firstLine="8"/>
        <w:spacing w:after="0" w:line="261"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revolving lines of credit in order to reduce interest expense and (4) expanding into similar or complementary businesses that meet our return on capital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 The revolving periods for our variable funding notes with a total borrowing capacity of $655.0 million and term notes of $400.0 million end in 2017.</w:t>
      </w:r>
    </w:p>
    <w:p>
      <w:pPr>
        <w:spacing w:after="0" w:line="8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in connection with the Rights to MSRs, we make certain representations, warranties and covenants primarily related to the nature of the transferred advance receivables, our financial condition and our servicing practices.</w:t>
      </w:r>
    </w:p>
    <w:p>
      <w:pPr>
        <w:spacing w:after="0" w:line="50"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Advances and match funded advances comprised 20% of total assets at March 31, 2017. Our borrowings under our advance financing facilities are secured by pledges of servicing advances that are sold to the related SPE and by cash held in debt service accounts.</w:t>
      </w:r>
    </w:p>
    <w:p>
      <w:pPr>
        <w:spacing w:after="0" w:line="38"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Although there has been no change in the maximum borrowing capacity under our advance financing facilities since December 31, 2016, available borrowing capacity has increased by $84.8 million to $358.8 million at March 31, 2017 from $274.0 million at December 31, 2016. This increase occurred largely because of the decline in advances. Our ability to continue to pledge collateral under our advance financing facilities depends on the performance of the advances, among other factors. At March 31, 2017, none of the available borrowing capacity could be used based on the amount of available collateral.</w:t>
      </w:r>
    </w:p>
    <w:p>
      <w:pPr>
        <w:spacing w:after="0" w:line="4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all of our master repurchase and participation agreements have maximum terms of 364-days. The funds are typically repaid using the proceeds from the sale of the loans to the secondary market investors, usually within 30 days. At March 31, 2017, we had total borrowing capacity under our warehouse facilities of $760.0 million. Of the borrowing capacity extended on a committed basis, $144.3 million was available at March 31, 2017, and $0.8 million could be used based on the amount of eligible collateral that had been pledged. Uncommitted amounts ($197.3 million at March 31, 2017) are advanced solely at the discretion of the lender, and there can be no assurance that any uncommitted amounts will be available to us at any particular time.</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692" w:right="299" w:bottom="1440" w:gutter="0" w:footer="0" w:header="0"/>
        </w:sectPr>
      </w:pPr>
    </w:p>
    <w:bookmarkStart w:id="67" w:name="page68"/>
    <w:bookmarkEnd w:id="67"/>
    <w:p>
      <w:pPr>
        <w:ind w:right="60" w:firstLine="324"/>
        <w:spacing w:after="0" w:line="271"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continue to assess the impact of the recent regulatory actions taken against us by the CFPB, thirty state mortgage and banking regulatory agencies and two state attorneys general, including with respect to the potential of these actions to impact adversely our liquidity and capital resources. We have revised our operations, where necessary, so as to comply with the orders in the interim period while we attempt to negotiate resolutions. While we do not currently believe the limitations resulting from these regulatory actions on our loan origination or servicing activities will have a material impact on our financial results if we can resolve these agencies’ concerns on a timely basis, we do expect our loan origination volumes to decline, at least in the short term, and our legal expenses to increase. We have also adjusted aspects of our originations funding strategy to align with lower expected origination volumes and an indication from one reverse mortgage lender that it does not currently intend to fund its uncommitted amount of $110.0 million above $20.0 million. We do not consider these operational adjustments to be significant, as we believe we have appropriate workarounds and we continue to believe that we can continue to operate our lending business with the same basic strategy and objectives during this interim period without a material impact on our liquidity and capital resources. If we are unable to obtain timely resolutions, more serious consequences could result, which could result in material and adverse impacts on our strategy, liquidity and capital resources, including those outlined in Item 1A, Risk Factors.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future sales of MSRs and the reimbursement of related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as well as automobile dealer floor plan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recent regulatory actions, recurring and nonrecurring costs and sales of MSRs and other assets. We have analyzed our cash requirements and financial obligations. Based upon these evaluations and analyses, we believe that we have sufficient liquidity to meet our obligations and fund our operations for the next twelve months.</w:t>
      </w:r>
    </w:p>
    <w:p>
      <w:pPr>
        <w:spacing w:after="0" w:line="6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in the ordinary course, portions of our cash balances are held in our non-U.S. subsidiaries. This means that we would have to repatriate that cash, potentially with tax consequences and in compliance with applicable laws, should we wish to utilize that cash in the U.S.</w:t>
      </w:r>
    </w:p>
    <w:p>
      <w:pPr>
        <w:spacing w:after="0" w:line="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revolving periods of our advance financing facilities end during 2017 for variable funding notes with a total borrowing capacity of $655.0 million and $296.2 million of outstanding borrowings at March 31, 2017. In the event we are unable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8" w:name="page69"/>
    <w:bookmarkEnd w:id="68"/>
    <w:p>
      <w:pPr>
        <w:ind w:right="180"/>
        <w:spacing w:after="0" w:line="264" w:lineRule="auto"/>
        <w:rPr>
          <w:sz w:val="20"/>
          <w:szCs w:val="20"/>
          <w:color w:val="auto"/>
        </w:rPr>
      </w:pPr>
      <w:r>
        <w:rPr>
          <w:rFonts w:ascii="Arial" w:cs="Arial" w:eastAsia="Arial" w:hAnsi="Arial"/>
          <w:sz w:val="18"/>
          <w:szCs w:val="18"/>
          <w:color w:val="auto"/>
        </w:rPr>
        <w:t>renew, replace or extend the revolving period of one or more of these advance financing facilities, monthly amortization of the outstanding balance must generally begin at the end of the respective 364-day revolving period. In addition, we would be required to begin amortizing our two-year term notes with a borrowing capacity of $400.0 million if we do not renew, replace or extend these notes during 2017.</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Similarly, all of our master repurchase and participation agreements for financing new loan originations have 364-day terms. At March 31, 2017, we had $225.8 million outstanding under these financing arrangements that mature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we will be able to renew, replace or extend our debt agreements before or as they become due, consistent with our historical experience.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so far in 2017 include the following:</w:t>
      </w:r>
    </w:p>
    <w:p>
      <w:pPr>
        <w:spacing w:after="0" w:line="117" w:lineRule="exact"/>
        <w:rPr>
          <w:sz w:val="20"/>
          <w:szCs w:val="20"/>
          <w:color w:val="auto"/>
        </w:rPr>
      </w:pPr>
    </w:p>
    <w:p>
      <w:pPr>
        <w:ind w:left="660" w:right="40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February 24, 2017, we executed a $200.0 million warehouse facility to replace an existing facility of the same size and with the same lender maturing in February 2018.</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February 24, 2017 and on March 17, 2017, we executed two match funded lending agreements under which we can borrow up to $50.0 million each to finance the automotive dealer loans made by our ACS business. We may from time to time request increases in the maximum borrowing capacity under these agreements to a maximum of $100.0 million each.</w:t>
      </w:r>
    </w:p>
    <w:p>
      <w:pPr>
        <w:spacing w:after="0" w:line="1"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April 25, 2017, we extended to April 30, 2018 the maturity of two warehouse facilities with a combined uncommitted borrowing capacity of $250.0 million.</w:t>
      </w:r>
    </w:p>
    <w:p>
      <w:pPr>
        <w:spacing w:after="0" w:line="7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B3</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Review for Downgrade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Apr. 21, 2017</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Apr. 20, 2017</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5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Rating Watch Negative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Apr. 24, 2017</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Kroll Bond 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CCC</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Watch Downgrade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Apr. 20, 2017</w:t>
            </w:r>
          </w:p>
        </w:tc>
      </w:tr>
    </w:tbl>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April 20, 2017, S&amp;P downgraded our long-term corporate rating to “B-” and placed our ratings on CreditWatch with Negative implications. Kroll Bond Rating Agency downgraded our corporate ratings to CCC and placed our ratings on Watch Downgrade status. On April 21, 2017, Moody’s placed our corporate rating on Review for Downgrade. On April 24, 2017, Fitch placed our ratings on Rating Watch Negative. It is possible that additional actions by credit rating agencies could have a material adverse impact on our liquidity and funding position, including materially changing the terms on which we may be able to borrow money.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2017</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operating activities provided $85.7 million of cash largely due to $106.0 million of net collections of servicing advances. Net cash paid on loans held for sale was $63.6 million for the three months ended March 31, 2017.</w:t>
      </w:r>
    </w:p>
    <w:p>
      <w:pPr>
        <w:spacing w:after="0" w:line="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investing activities used $275.0 million of cash. The primary uses of cash in our investing activities include net cash outflows in connection with our HECM reverse mortgages of $266.8 million, net cash outflows of $2.0 million in connection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692" w:right="259" w:bottom="1440" w:gutter="0" w:footer="0" w:header="0"/>
        </w:sectPr>
      </w:pPr>
    </w:p>
    <w:bookmarkStart w:id="69" w:name="page70"/>
    <w:bookmarkEnd w:id="69"/>
    <w:p>
      <w:pPr>
        <w:ind w:right="320"/>
        <w:spacing w:after="0" w:line="277" w:lineRule="auto"/>
        <w:rPr>
          <w:sz w:val="20"/>
          <w:szCs w:val="20"/>
          <w:color w:val="auto"/>
        </w:rPr>
      </w:pPr>
      <w:r>
        <w:rPr>
          <w:rFonts w:ascii="Arial" w:cs="Arial" w:eastAsia="Arial" w:hAnsi="Arial"/>
          <w:sz w:val="18"/>
          <w:szCs w:val="18"/>
          <w:color w:val="auto"/>
        </w:rPr>
        <w:t>with our ACS business and additions to premises and equipment of $5.3 million. Cash inflows include the receipt of $1.8 million of net proceeds from the sale of MSRs and related advances.</w:t>
      </w:r>
    </w:p>
    <w:p>
      <w:pPr>
        <w:spacing w:after="0" w:line="6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financing activities provided $201.1 million of cash. Cash inflows include $306.7 million received in connection with our reverse mortgage securitizations, which are accounted for as secured financings, less repayments on the related financing liability of $75.1 million. In addition, we increased borrowings under our mortgage warehouse facilities used to fund loan originations by $63.3 million. Cash outflows include $65.8 million of net repayments on match funded liabilities as a result of advance recoveries, and $4.2 million of repayments on the SSTL.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2016</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$140.9 million of cash largely due to $109.1 million of net collections of servicing advances. Net cash paid on loans held for sale during the three months ended March 31, 2016 was $45.6 million.</w:t>
      </w:r>
    </w:p>
    <w:p>
      <w:pPr>
        <w:spacing w:after="0" w:line="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investing activities used $183.0 million of cash. The primary uses of cash in our investing activities include net cash outflows in connection with our HECM reverse mortgages of $216.8 million and additions to premises and equipment of $19.8 million. Cash inflows for the three months ended March 31, 2016 include the receipt of $56.3 million of net proceeds from the sale of MSRs and related advances.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financing activities provided $65.3 million of cash. Cash inflows include $233.2 million received in connection with our reverse mortgage securitizations, less repayment of the related financing liability of $39.7 million. Cash outflows are primarily comprised of $47.0 million of net repayments on match funded liabilities as a result of advance recoveries, $18.6 million of repayments on the SSTL, including $15.3 million of required prepayments, and a $17.4 million net reduction in borrowings under mortgage warehouse facilities used to fund loan originations. Cash outflows for the three months ended March 31, 2016 also include the repurchase of 991,985 shares of common stock under our share repurchase program for $5.9 million prior to its expiration on July 31, 2016.</w:t>
      </w:r>
    </w:p>
    <w:p>
      <w:pPr>
        <w:spacing w:after="0" w:line="81"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100" w:firstLine="324"/>
        <w:spacing w:after="0" w:line="291" w:lineRule="auto"/>
        <w:rPr>
          <w:sz w:val="20"/>
          <w:szCs w:val="20"/>
          <w:color w:val="auto"/>
        </w:rPr>
      </w:pPr>
      <w:r>
        <w:rPr>
          <w:rFonts w:ascii="Arial" w:cs="Arial" w:eastAsia="Arial" w:hAnsi="Arial"/>
          <w:sz w:val="16"/>
          <w:szCs w:val="16"/>
          <w:color w:val="auto"/>
        </w:rPr>
        <w:t>We have analyzed our unfunded commitments and other contractual obligations and have evaluated the appropriateness of the key assumptions in forecasting our ability to satisfy these obligations. Based upon these evaluations and analyses, we believe that we have adequate resources to fund all unfunded commitments to the extent required and meet all contractual obligations as they come due. At March 31, 2017, such contractual obligations were primarily comprised of secured and unsecured borrowings, interest payments, operating leases and commitments to originate or purchase loans, including equity draws on reverse mortgages. Other than the execution of two new match funded lending agreements to finance automotive dealer loans made by our ACS business and the renewal of certain mortgage loan warehouse facilities, there were no significant changes to our contractual obligations during the three months ended March 31, 2017. See Note 11 – Borrowings to the Unaudited Consolidated Financial Statements for additional information.</w:t>
      </w:r>
    </w:p>
    <w:p>
      <w:pPr>
        <w:spacing w:after="0" w:line="5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70" w:name="page71"/>
    <w:bookmarkEnd w:id="70"/>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12 – Other Liabilities and Note 19 – Contingencies to the Unaudited Consolidated Financial Statements for additional information.</w:t>
      </w:r>
    </w:p>
    <w:p>
      <w:pPr>
        <w:spacing w:after="0" w:line="19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We consolidate the servicing advance financing SPEs.</w:t>
      </w:r>
    </w:p>
    <w:p>
      <w:pPr>
        <w:spacing w:after="0" w:line="6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8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13 – Derivative Financial Instruments and Hedging Activities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on the basis of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Amendment No. 1 to our Annual Report on Form 10-K for the year ended December 31, 2016 in Note 1 to the Consolidated Financial Statements and in Management’s Discussion and Analysis of Financial Condition and Results of Operations under “Critical Accounting Policies and Estimates.”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2" w:right="239" w:bottom="1440" w:gutter="0" w:footer="0" w:header="0"/>
        </w:sectPr>
      </w:pPr>
    </w:p>
    <w:bookmarkStart w:id="71" w:name="page72"/>
    <w:bookmarkEnd w:id="71"/>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2017</w:t>
            </w: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82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339,153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314,006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3,916,387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3,565,716</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651,987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679,256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141,682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144,783</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10,027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9,279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8,342</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U.S. Treasury notes</w:t>
            </w:r>
          </w:p>
        </w:tc>
        <w:tc>
          <w:tcPr>
            <w:tcW w:w="16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2,078</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5,069,959</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4,723,460</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assets</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4,198,452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3,911,488</w:t>
            </w:r>
          </w:p>
        </w:tc>
      </w:tr>
      <w:tr>
        <w:trPr>
          <w:trHeight w:val="27"/>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EAF9E8"/>
            </w:tcBorders>
            <w:shd w:val="clear" w:color="auto" w:fill="EAF9E8"/>
          </w:tcPr>
          <w:p>
            <w:pPr>
              <w:spacing w:after="0"/>
              <w:rPr>
                <w:sz w:val="23"/>
                <w:szCs w:val="23"/>
                <w:color w:val="auto"/>
              </w:rPr>
            </w:pPr>
          </w:p>
        </w:tc>
        <w:tc>
          <w:tcPr>
            <w:tcW w:w="150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1,550</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4,198,452</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3,913,038</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4,746,571</w:t>
            </w:r>
          </w:p>
        </w:tc>
        <w:tc>
          <w:tcPr>
            <w:tcW w:w="10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4,429,307</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4,198,452</w:t>
            </w:r>
          </w:p>
        </w:tc>
        <w:tc>
          <w:tcPr>
            <w:tcW w:w="100" w:type="dxa"/>
            <w:vAlign w:val="bottom"/>
            <w:tcBorders>
              <w:bottom w:val="single" w:sz="8" w:color="EAF9E8"/>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3,911,488</w:t>
            </w:r>
          </w:p>
        </w:tc>
      </w:tr>
      <w:tr>
        <w:trPr>
          <w:trHeight w:val="230"/>
        </w:trPr>
        <w:tc>
          <w:tcPr>
            <w:tcW w:w="8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160" w:type="dxa"/>
            <w:vAlign w:val="bottom"/>
            <w:shd w:val="clear" w:color="auto" w:fill="EAF9E8"/>
          </w:tcPr>
          <w:p>
            <w:pPr>
              <w:spacing w:after="0"/>
              <w:rPr>
                <w:sz w:val="20"/>
                <w:szCs w:val="20"/>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20" w:hanging="492"/>
        <w:spacing w:after="0" w:line="310" w:lineRule="auto"/>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balance represents our impaired government-insured stratum of amortization method MSRs, which is measured at fair value on a nonrecurring basis. The carrying value of this stratum is net of a valuation allowance of $29.6 million and $28.2 million at March 31, 2017 and December 31, 2016, respectively.</w:t>
      </w:r>
    </w:p>
    <w:p>
      <w:pPr>
        <w:spacing w:after="0" w:line="14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Assets at fair value using Level 3 inputs increased during the three months ended March 31, 2017 primarily due to reverse mortgage originations.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We recognized $1.4 million of impairment charges on our government-insured MSRs during the three months ended March 31, 2017, as the fair value for this stratum declined to less than its carrying value. This impairment was primarily due to higher delinquency, offset in part by higher interest rates. The carrying value of this stratum at March 31, 2017 was $141.7 million, net of the valuation allowance of $29.6 million. We recognize MSR impairment charges in Servicing and origination expense in the consolidated statements of operations.</w:t>
      </w:r>
    </w:p>
    <w:p>
      <w:pPr>
        <w:spacing w:after="0" w:line="7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ind w:right="1420"/>
        <w:spacing w:after="0" w:line="360" w:lineRule="auto"/>
        <w:rPr>
          <w:sz w:val="20"/>
          <w:szCs w:val="20"/>
          <w:color w:val="auto"/>
        </w:rPr>
      </w:pPr>
      <w:r>
        <w:rPr>
          <w:rFonts w:ascii="Arial" w:cs="Arial" w:eastAsia="Arial" w:hAnsi="Arial"/>
          <w:sz w:val="18"/>
          <w:szCs w:val="18"/>
          <w:color w:val="auto"/>
        </w:rPr>
        <w:t xml:space="preserve">The key assumptions used in the valuation of these MSRs include prepayment speeds, loan delinquency, cost to service and discount rates. </w:t>
      </w:r>
      <w:r>
        <w:rPr>
          <w:rFonts w:ascii="Arial" w:cs="Arial" w:eastAsia="Arial" w:hAnsi="Arial"/>
          <w:sz w:val="18"/>
          <w:szCs w:val="18"/>
          <w:b w:val="1"/>
          <w:bCs w:val="1"/>
          <w:color w:val="auto"/>
        </w:rPr>
        <w:t>Income Taxes</w:t>
      </w:r>
    </w:p>
    <w:p>
      <w:pPr>
        <w:ind w:right="2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1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a result of these evaluations, as of December 31, 2016, we recognized a full valuation allowance for the $95.5 million of U.S. deferred tax assets and for the $36.2 million on our USVI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692" w:right="259" w:bottom="1440" w:gutter="0" w:footer="0" w:header="0"/>
        </w:sectPr>
      </w:pPr>
    </w:p>
    <w:bookmarkStart w:id="73" w:name="page74"/>
    <w:bookmarkEnd w:id="73"/>
    <w:p>
      <w:pPr>
        <w:ind w:left="660" w:right="220" w:hanging="328"/>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adopted each recent Accounting Standards Update (ASU) listed below on January 1, 2017. Our adoption of these standards did not have a material impact on our Unaudited Consolidated Financial Statements.</w:t>
      </w:r>
    </w:p>
    <w:p>
      <w:pPr>
        <w:spacing w:after="0" w:line="6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Taxes: Balance Sheet Classification of Deferred Taxes (ASU 2015-17)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Derivatives and Hedging: Effect of Derivative Contract Novations on Existing Hedge Accounting Relationships (ASU 2016-05)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Derivatives and Hedging: Contingent Put and Call Options in Debt Instruments (ASU 2016-06)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Investments - Equity Method and Joint Ventures: Simplifying the Transition to the Equity Method of Accounting (ASU 2016-07)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 Stock Compensation: Improvements to Employee Shared-Based Payment Accounting (ASU 2016-09)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Consolidation: Interests Held through Related Parties That Are under Common Control (ASU 2016-17)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Technical Corrections and Improvements (ASU 2016-19)</w:t>
      </w:r>
    </w:p>
    <w:p>
      <w:pPr>
        <w:spacing w:after="0" w:line="10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2018. While we do not anticipate that our adoption of most of these ASUs will have a material impact on our consolidated financial statements, we are currently evaluating the effect of adopting certain ASUs.</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acquired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accounted for at fair value was designated on January 1, 2015, when we elected fair value accounting for a newly created class of non-Agency MSRs that we previously accounted for using the amortization method.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2017</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110,908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110,908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146,698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313,558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313,558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29,374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3,916,387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3,916,387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3,565,716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Automotive dealer financing notes (including match funded)</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Treasury notes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Debt service accounts and interest-earning time deposits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49,537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49,276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49,276</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4,446,414</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4,446,294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4,110,998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4,110,921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76"/>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31, 2017</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1,215,212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1,208,789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1,280,997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1,275,059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3,739,265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3,739,265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3,433,781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738,447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678,543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682,703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 (2)</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346,929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360,371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346,789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355,303</w:t>
            </w:r>
          </w:p>
        </w:tc>
      </w:tr>
      <w:tr>
        <w:trPr>
          <w:trHeight w:val="250"/>
        </w:trPr>
        <w:tc>
          <w:tcPr>
            <w:tcW w:w="516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6,039,853</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6,060,448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5,740,110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5,746,846</w:t>
            </w:r>
          </w:p>
        </w:tc>
      </w:tr>
      <w:tr>
        <w:trPr>
          <w:trHeight w:val="122"/>
        </w:trPr>
        <w:tc>
          <w:tcPr>
            <w:tcW w:w="5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March 31, 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865,000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2,262</w:t>
            </w:r>
          </w:p>
        </w:tc>
        <w:tc>
          <w:tcPr>
            <w:tcW w:w="36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955,000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390,946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360,450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6,507</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600,809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609,177</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7,729</w:t>
            </w:r>
          </w:p>
        </w:tc>
      </w:tr>
      <w:tr>
        <w:trPr>
          <w:trHeight w:val="20"/>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March 31, 2017, given hypothetical instantaneous parallel shifts in the yield curve. We used March 31, 2017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3,481</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1,235</w:t>
            </w:r>
          </w:p>
        </w:tc>
      </w:tr>
      <w:tr>
        <w:trPr>
          <w:trHeight w:val="291"/>
        </w:trPr>
        <w:tc>
          <w:tcPr>
            <w:tcW w:w="834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1,349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120" w:hanging="492"/>
        <w:spacing w:after="0" w:line="253"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This change in fair value reflects the impact of market rate changes on projected prepayments on the Agency MSR portfolio carried at fair value. Additionally, non-Agency MSRs carried at fair value can exhibit cash flow sensitivity for advance financing costs and / or float earnings indexed to a market rate. However, we believe the pricing levels on aged non-Agency MSRs should remain stable despite the recent rise in LIBOR rates, given the lack of market transactions supporting any pricing change, and the general industry approach to conservatively valuing such assets. As such, we have assumed zero sensitivity to a 25 bps change in market rates for the non-Agency MSR portfolio.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42" w:right="239"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March 31, 2017 balances, if interest rates were to increase by 1% on our variable rate debt and interest earning cash and float balances, we estimate a net positive impact of approximately $10.1 million resulting from an increase of $23.2 million in annual interest income and an increase of $13.0 million in annual interest expense. The increase in interest expense reflects the effect of our hedging activities, which would offset $7.3 million of the increase in interest on our variable rate debt.</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March 31, 2017.</w:t>
      </w:r>
    </w:p>
    <w:p>
      <w:pPr>
        <w:spacing w:after="0" w:line="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Based on such evaluation, and solely because of the previously disclosed material weakness in internal control over financial reporting (see our Annual Report on Form 10-K/A for the year ended December 31, 2016) related to ineffective controls regarding the review and disclosure of regulatory matters, our Chief Executive Officer and Chief Financial Officer have concluded that our internal control over financial reporting was not effective as of March 31, 2017.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Ocwen is evaluating the necessary changes to its controls to remediate this weakness and expects to provide an update in its June 30, 2017 Form 10-Q.</w:t>
      </w:r>
    </w:p>
    <w:p>
      <w:pPr>
        <w:spacing w:after="0" w:line="5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March 31, 2017 that have materially affected, or are reasonably likely to materially affect, our internal control over financial reporting.</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92"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19 – Contingencies to the Unaudited Consolidated Financial Statements. That information is incorporated into this item by reference.</w:t>
      </w:r>
    </w:p>
    <w:p>
      <w:pPr>
        <w:spacing w:after="0" w:line="1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An investment in our common stock involves significant risk. We describe the most significant risks that management believes affect or could affect us under Part I of Amendment No. 1 to our Annual Report on Form 10-K for the year ended December 31, 2016.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of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risk factors are in addition to the risk factors described under Part I of Amendment No. 1 to our Annual Report on Form 10-K for the year ended December 31, 2016:</w:t>
      </w:r>
    </w:p>
    <w:p>
      <w:pPr>
        <w:spacing w:after="0" w:line="6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Recent actions taken by the CFPB, certain state regulators and state attorneys general, or other actions of the same or a similar nature, could have adverse impacts on our business, financial condition, liquidity, results of operations, ability to grow, and reputation.</w:t>
      </w:r>
    </w:p>
    <w:p>
      <w:pPr>
        <w:spacing w:after="0" w:line="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Since April 20, 2017, the CFPB, thirty state mortgage and banking regulatory agencies and two state attorneys general have taken regulatory action against us alleging breaches of various laws, regulations and licensing requirements. We believe we have factual and legal defenses to the CFPB’s and the state attorney general’s allegations and intend to vigorously defend ourselves. With respect to the state regulatory agencies, we intend to vigorously defend against unfounded claims while continuing to work with the state regulatory agencies to resolve their concerns. To the extent that Ocwen is unsuccessful in defending itself against any or all of these regulatory actions or in negotiating satisfactory consensual resolutions, or should the number or scope of the regulatory actions against us increase or expand, this could lead to (i) loss of our licenses and approvals to engage in our servicing and lending businesses, (ii) fines and penalties, (iii) civil liability, (iv) breaches of covenants or representations under our servicing, debt or other agreements, (v) damage to our reputation, (vi) inability to raise capital or otherwise fund our operations and (vii) inability to execute on our business strategy. Any of these occurrences could increase our operating expenses, reduce our revenues, hamper our ability to grow or otherwise materially and adversely affect our business, reputation, financial condition, liquidity and results of operations.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Public allegations regarding our business practices by regulators and other third parties and settlements with regulators may adversely affect perceptions of us by other regulators, rating agencies and counterparties, which could adversely impact our business, liquidity, financial condition and results of operations.</w:t>
      </w:r>
    </w:p>
    <w:p>
      <w:pPr>
        <w:spacing w:after="0" w:line="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Public allegations regarding our business practices by regulators (including the CFPB, state mortgage and banking regulatory agencies and state attorneys general) and other third parties and settlements with regulators may adversely affect perceptions of us by other regulators, rating agencies and counterparties. As a result, our interactions with other regulators, rating agencies, vendors, lenders and other key counterparties may be materially and adversely affected, which could adversely impact our business, liquidity, financial condition and results of operations. We may incur additional compliance costs and management time may be diverted from other aspects of our business to address such issues. It is possible that we may incur fines or penalties or even that we could lose the licenses and approvals necessary to engage in our servicing and lending businesses. Our access to financing may also be materially and adversely affected, including with respect to the cost and other terms of our financing, and it is possible that one or more lenders could cease lending to us. In addition, vendors and other counterparties, including surety bond providers, could attempt to alter or terminate their business arrangements with us in ways that materially and adversely affect us. For example, vendors could require advance payments for servicers or surety bond providers could require that surety bonds be collateralized by cash. Any of these occurrences could materially and adversely affect our business, reputation,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taxation and the ability to quantify such changes could adversely affect Ocwen’s financial results.</w:t>
      </w:r>
    </w:p>
    <w:p>
      <w:pPr>
        <w:spacing w:after="0" w:line="117"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Ocwen is subject to taxation by the various taxing authorities at the Federal, state and local levels where it does business, both in the U.S. and outside the U.S. Legislation or regulation, which could affect Ocwen’s tax burden, could be enacted by any of these governmental authorities. In the U.S., there are several proposals under consideration to reform tax law, including proposals that may reduce or eliminate the deferral of U.S. income tax on our unrepatriated earnings, penalize certain transfer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796" w:right="259" w:bottom="1440" w:gutter="0" w:footer="0" w:header="0"/>
        </w:sectPr>
      </w:pPr>
    </w:p>
    <w:bookmarkStart w:id="78" w:name="page79"/>
    <w:bookmarkEnd w:id="78"/>
    <w:p>
      <w:pPr>
        <w:ind w:right="100"/>
        <w:spacing w:after="0" w:line="277" w:lineRule="auto"/>
        <w:rPr>
          <w:sz w:val="20"/>
          <w:szCs w:val="20"/>
          <w:color w:val="auto"/>
        </w:rPr>
      </w:pPr>
      <w:r>
        <w:rPr>
          <w:rFonts w:ascii="Arial" w:cs="Arial" w:eastAsia="Arial" w:hAnsi="Arial"/>
          <w:sz w:val="18"/>
          <w:szCs w:val="18"/>
          <w:color w:val="auto"/>
        </w:rPr>
        <w:t>pricing structures and reduce or eliminate certain foreign or domestic tax credits or deductions. Ocwen cannot predict the timing or extent of such tax-related developments, which could have a negative impact on the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in future enacted tax rates could have material impact to the value of our deferred tax assets.</w:t>
      </w:r>
    </w:p>
    <w:p>
      <w:pPr>
        <w:spacing w:after="0" w:line="117"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Our net deferred tax assets are measured using the tax rates under the current enacted tax law expected to apply to taxable income in future years. The effects of future changes in tax laws or rates are not anticipated in the determination of the value of our deferred tax assets and liabilities. Under GAAP, the effects of a change in tax rates and laws on deferred tax balances are recognized in the period the new legislation is enacted.</w:t>
      </w:r>
    </w:p>
    <w:p>
      <w:pPr>
        <w:spacing w:after="0" w:line="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Articles of Incorporation (1)</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(2)</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Amendment to Articles of Incorporation (3)</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9660" w:type="dxa"/>
            <w:vAlign w:val="bottom"/>
          </w:tcPr>
          <w:p>
            <w:pPr>
              <w:ind w:left="220"/>
              <w:spacing w:after="0"/>
              <w:rPr>
                <w:sz w:val="20"/>
                <w:szCs w:val="20"/>
                <w:color w:val="auto"/>
              </w:rPr>
            </w:pPr>
            <w:r>
              <w:rPr>
                <w:rFonts w:ascii="Arial" w:cs="Arial" w:eastAsia="Arial" w:hAnsi="Arial"/>
                <w:sz w:val="18"/>
                <w:szCs w:val="18"/>
                <w:color w:val="auto"/>
              </w:rPr>
              <w:t>Articles of Correction (3)</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Articles of Amendment to Articles of Incorporation, Articles of Designation, Preferences and Rights of Series A Perpetual</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Convertible Preferred Stock (4)</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9660" w:type="dxa"/>
            <w:vAlign w:val="bottom"/>
          </w:tcPr>
          <w:p>
            <w:pPr>
              <w:ind w:left="220"/>
              <w:spacing w:after="0"/>
              <w:rPr>
                <w:sz w:val="20"/>
                <w:szCs w:val="20"/>
                <w:color w:val="auto"/>
              </w:rPr>
            </w:pPr>
            <w:r>
              <w:rPr>
                <w:rFonts w:ascii="Arial" w:cs="Arial" w:eastAsia="Arial" w:hAnsi="Arial"/>
                <w:sz w:val="18"/>
                <w:szCs w:val="18"/>
                <w:color w:val="auto"/>
              </w:rPr>
              <w:t>Amended and Restated Bylaws of Ocwen Financial Corporation (5)</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11.1</w:t>
            </w:r>
          </w:p>
        </w:tc>
        <w:tc>
          <w:tcPr>
            <w:tcW w:w="9660" w:type="dxa"/>
            <w:vAlign w:val="bottom"/>
          </w:tcPr>
          <w:p>
            <w:pPr>
              <w:ind w:left="220"/>
              <w:spacing w:after="0"/>
              <w:rPr>
                <w:sz w:val="20"/>
                <w:szCs w:val="20"/>
                <w:color w:val="auto"/>
              </w:rPr>
            </w:pPr>
            <w:r>
              <w:rPr>
                <w:rFonts w:ascii="Arial" w:cs="Arial" w:eastAsia="Arial" w:hAnsi="Arial"/>
                <w:sz w:val="18"/>
                <w:szCs w:val="18"/>
                <w:color w:val="auto"/>
              </w:rPr>
              <w:t>Computation of earnings per share (6)</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31.1</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176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500" w:right="360" w:hanging="492"/>
        <w:spacing w:after="0" w:line="255"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filed in connection with the Registrant’s Registration Statement on Form S-1 (File No. 333-5153) as amended, declared effective by the SEC on September 25, 1996.</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from the similarly described exhibit included with the Registrant’s Annual Report on Form 10-K for the year ended December 31, 2013.</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Incorporated by reference from the similarly described exhibit included with the Registrant’s Annual Report on Form 10-K for the year ended December 31, 2010.</w:t>
      </w:r>
    </w:p>
    <w:p>
      <w:pPr>
        <w:spacing w:after="0" w:line="16" w:lineRule="exact"/>
        <w:rPr>
          <w:rFonts w:ascii="Arial" w:cs="Arial" w:eastAsia="Arial" w:hAnsi="Arial"/>
          <w:sz w:val="15"/>
          <w:szCs w:val="15"/>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28, 2012.</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included with the Registrant’s Form 8-K filed with the SEC on February 19, 2016.</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Incorporated by reference from “Note 15 – Basic and Diluted Earnings (Loss) per Share” to the Unaudited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688"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2017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2017</w:t>
            </w:r>
          </w:p>
        </w:tc>
      </w:tr>
    </w:tbl>
    <w:p>
      <w:pPr>
        <w:sectPr>
          <w:pgSz w:w="11900" w:h="16838" w:orient="portrait"/>
          <w:cols w:equalWidth="0" w:num="1">
            <w:col w:w="11420"/>
          </w:cols>
          <w:pgMar w:left="240" w:top="86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2017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15, 2017</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7"/>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5"/>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3"/>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
      <w:numFmt w:val="bullet"/>
      <w:start w:val="1"/>
    </w:lvl>
  </w:abstractNum>
  <w:abstractNum w:abstractNumId="52">
    <w:nsid w:val="70C6A5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2019-12-29T06:03:57Z</dcterms:created>
  <dcterms:modified xsi:type="dcterms:W3CDTF">2019-12-29T06:03:57Z</dcterms:modified>
</cp:coreProperties>
</file>