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719455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June 30, 2018</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West Palm Beach, Florida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3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20" w:type="dxa"/>
            <w:vAlign w:val="bottom"/>
          </w:tcPr>
          <w:p>
            <w:pPr>
              <w:ind w:left="540"/>
              <w:spacing w:after="0"/>
              <w:rPr>
                <w:sz w:val="20"/>
                <w:szCs w:val="20"/>
                <w:color w:val="auto"/>
              </w:rPr>
            </w:pPr>
            <w:r>
              <w:rPr>
                <w:rFonts w:ascii="Arial" w:cs="Arial" w:eastAsia="Arial" w:hAnsi="Arial"/>
                <w:sz w:val="18"/>
                <w:szCs w:val="18"/>
                <w:color w:val="auto"/>
              </w:rPr>
              <w:t>o</w:t>
            </w:r>
          </w:p>
        </w:tc>
        <w:tc>
          <w:tcPr>
            <w:tcW w:w="4200" w:type="dxa"/>
            <w:vAlign w:val="bottom"/>
          </w:tcPr>
          <w:p>
            <w:pPr>
              <w:spacing w:after="0"/>
              <w:rPr>
                <w:sz w:val="20"/>
                <w:szCs w:val="20"/>
                <w:color w:val="auto"/>
              </w:rPr>
            </w:pPr>
          </w:p>
        </w:tc>
        <w:tc>
          <w:tcPr>
            <w:tcW w:w="302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80"/>
              <w:spacing w:after="0"/>
              <w:rPr>
                <w:sz w:val="20"/>
                <w:szCs w:val="20"/>
                <w:color w:val="auto"/>
              </w:rPr>
            </w:pPr>
            <w:r>
              <w:rPr>
                <w:rFonts w:ascii="Arial" w:cs="Arial" w:eastAsia="Arial" w:hAnsi="Arial"/>
                <w:sz w:val="18"/>
                <w:szCs w:val="18"/>
                <w:color w:val="auto"/>
                <w:w w:val="88"/>
              </w:rPr>
              <w:t>x</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820" w:type="dxa"/>
            <w:vAlign w:val="bottom"/>
          </w:tcPr>
          <w:p>
            <w:pPr>
              <w:ind w:left="540"/>
              <w:spacing w:after="0"/>
              <w:rPr>
                <w:sz w:val="20"/>
                <w:szCs w:val="20"/>
                <w:color w:val="auto"/>
              </w:rPr>
            </w:pPr>
            <w:r>
              <w:rPr>
                <w:rFonts w:ascii="Arial" w:cs="Arial" w:eastAsia="Arial" w:hAnsi="Arial"/>
                <w:sz w:val="18"/>
                <w:szCs w:val="18"/>
                <w:color w:val="auto"/>
              </w:rPr>
              <w:t>o</w:t>
            </w:r>
          </w:p>
        </w:tc>
        <w:tc>
          <w:tcPr>
            <w:tcW w:w="4200" w:type="dxa"/>
            <w:vAlign w:val="bottom"/>
          </w:tcPr>
          <w:p>
            <w:pPr>
              <w:ind w:left="180"/>
              <w:spacing w:after="0"/>
              <w:rPr>
                <w:sz w:val="20"/>
                <w:szCs w:val="20"/>
                <w:color w:val="auto"/>
              </w:rPr>
            </w:pPr>
            <w:r>
              <w:rPr>
                <w:rFonts w:ascii="Arial" w:cs="Arial" w:eastAsia="Arial" w:hAnsi="Arial"/>
                <w:sz w:val="18"/>
                <w:szCs w:val="18"/>
                <w:color w:val="auto"/>
              </w:rPr>
              <w:t>(Do not check if a smaller reporting company)</w:t>
            </w:r>
          </w:p>
        </w:tc>
        <w:tc>
          <w:tcPr>
            <w:tcW w:w="302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o</w:t>
            </w:r>
          </w:p>
        </w:tc>
      </w:tr>
      <w:tr>
        <w:trPr>
          <w:trHeight w:val="270"/>
        </w:trPr>
        <w:tc>
          <w:tcPr>
            <w:tcW w:w="2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302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o</w:t>
            </w:r>
          </w:p>
        </w:tc>
      </w:tr>
    </w:tbl>
    <w:p>
      <w:pPr>
        <w:spacing w:after="0" w:line="6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ind w:right="320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Number of shares of common stock outstanding as of July 23, 2018: 133,912,425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64"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68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Unaudited Consolidated Financial Statements</w:t>
              </w:r>
            </w:hyperlink>
          </w:p>
        </w:tc>
        <w:tc>
          <w:tcPr>
            <w:tcW w:w="8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Consolidated Balance Sheets at June 30, 2018 and December 31, 2017</w:t>
              </w:r>
            </w:hyperlink>
          </w:p>
        </w:tc>
        <w:tc>
          <w:tcPr>
            <w:tcW w:w="8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Operations for the Three and Six Months Ended June 30, 2018 and 2017</w:t>
              </w:r>
            </w:hyperlink>
          </w:p>
        </w:tc>
        <w:tc>
          <w:tcPr>
            <w:tcW w:w="8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7">
              <w:r>
                <w:rPr>
                  <w:rFonts w:ascii="Arial" w:cs="Arial" w:eastAsia="Arial" w:hAnsi="Arial"/>
                  <w:sz w:val="18"/>
                  <w:szCs w:val="18"/>
                  <w:color w:val="auto"/>
                </w:rPr>
                <w:t>Consolidated Statements of Comprehensive Loss for the Three and Six Months Ended June 30, 2018 and 2017</w:t>
              </w:r>
            </w:hyperlink>
          </w:p>
        </w:tc>
        <w:tc>
          <w:tcPr>
            <w:tcW w:w="8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8">
              <w:r>
                <w:rPr>
                  <w:rFonts w:ascii="Arial" w:cs="Arial" w:eastAsia="Arial" w:hAnsi="Arial"/>
                  <w:sz w:val="18"/>
                  <w:szCs w:val="18"/>
                  <w:color w:val="auto"/>
                </w:rPr>
                <w:t>Consolidated Statements of Changes in Equity for the Six Months Ended June 30, 2018 and 2017</w:t>
              </w:r>
            </w:hyperlink>
          </w:p>
        </w:tc>
        <w:tc>
          <w:tcPr>
            <w:tcW w:w="8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9">
              <w:r>
                <w:rPr>
                  <w:rFonts w:ascii="Arial" w:cs="Arial" w:eastAsia="Arial" w:hAnsi="Arial"/>
                  <w:sz w:val="18"/>
                  <w:szCs w:val="18"/>
                  <w:color w:val="auto"/>
                </w:rPr>
                <w:t>Consolidated Statements of Cash Flows for the Six Months Ended June 30, 2018 and 2017</w:t>
              </w:r>
            </w:hyperlink>
          </w:p>
        </w:tc>
        <w:tc>
          <w:tcPr>
            <w:tcW w:w="80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11">
              <w:r>
                <w:rPr>
                  <w:rFonts w:ascii="Arial" w:cs="Arial" w:eastAsia="Arial" w:hAnsi="Arial"/>
                  <w:sz w:val="18"/>
                  <w:szCs w:val="18"/>
                  <w:color w:val="auto"/>
                </w:rPr>
                <w:t>Notes to Unaudited Consolidated Financial Statements</w:t>
              </w:r>
            </w:hyperlink>
          </w:p>
        </w:tc>
        <w:tc>
          <w:tcPr>
            <w:tcW w:w="80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2.</w:t>
              </w:r>
            </w:hyperlink>
          </w:p>
        </w:tc>
        <w:tc>
          <w:tcPr>
            <w:tcW w:w="9680" w:type="dxa"/>
            <w:vAlign w:val="bottom"/>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81">
              <w:r>
                <w:rPr>
                  <w:rFonts w:ascii="Arial" w:cs="Arial" w:eastAsia="Arial" w:hAnsi="Arial"/>
                  <w:sz w:val="18"/>
                  <w:szCs w:val="18"/>
                  <w:color w:val="auto"/>
                </w:rPr>
                <w:t>Item 3.</w:t>
              </w:r>
            </w:hyperlink>
          </w:p>
        </w:tc>
        <w:tc>
          <w:tcPr>
            <w:tcW w:w="9680" w:type="dxa"/>
            <w:vAlign w:val="bottom"/>
          </w:tcPr>
          <w:p>
            <w:pPr>
              <w:ind w:left="140"/>
              <w:spacing w:after="0"/>
              <w:rPr>
                <w:rFonts w:ascii="Arial" w:cs="Arial" w:eastAsia="Arial" w:hAnsi="Arial"/>
                <w:sz w:val="18"/>
                <w:szCs w:val="18"/>
                <w:color w:val="auto"/>
              </w:rPr>
            </w:pPr>
            <w:hyperlink w:anchor="page81">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84">
              <w:r>
                <w:rPr>
                  <w:rFonts w:ascii="Arial" w:cs="Arial" w:eastAsia="Arial" w:hAnsi="Arial"/>
                  <w:sz w:val="18"/>
                  <w:szCs w:val="18"/>
                  <w:color w:val="auto"/>
                </w:rPr>
                <w:t>Item 4.</w:t>
              </w:r>
            </w:hyperlink>
          </w:p>
        </w:tc>
        <w:tc>
          <w:tcPr>
            <w:tcW w:w="9680" w:type="dxa"/>
            <w:vAlign w:val="bottom"/>
          </w:tcPr>
          <w:p>
            <w:pPr>
              <w:ind w:left="140"/>
              <w:spacing w:after="0"/>
              <w:rPr>
                <w:rFonts w:ascii="Arial" w:cs="Arial" w:eastAsia="Arial" w:hAnsi="Arial"/>
                <w:sz w:val="18"/>
                <w:szCs w:val="18"/>
                <w:color w:val="auto"/>
              </w:rPr>
            </w:pPr>
            <w:hyperlink w:anchor="page84">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rFonts w:ascii="Arial" w:cs="Arial" w:eastAsia="Arial" w:hAnsi="Arial"/>
                <w:sz w:val="18"/>
                <w:szCs w:val="18"/>
                <w:b w:val="1"/>
                <w:bCs w:val="1"/>
                <w:color w:val="auto"/>
              </w:rPr>
            </w:pPr>
            <w:hyperlink w:anchor="page85">
              <w:r>
                <w:rPr>
                  <w:rFonts w:ascii="Arial" w:cs="Arial" w:eastAsia="Arial" w:hAnsi="Arial"/>
                  <w:sz w:val="18"/>
                  <w:szCs w:val="18"/>
                  <w:b w:val="1"/>
                  <w:bCs w:val="1"/>
                  <w:color w:val="auto"/>
                </w:rPr>
                <w:t>PART II -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85">
              <w:r>
                <w:rPr>
                  <w:rFonts w:ascii="Arial" w:cs="Arial" w:eastAsia="Arial" w:hAnsi="Arial"/>
                  <w:sz w:val="18"/>
                  <w:szCs w:val="18"/>
                  <w:color w:val="auto"/>
                </w:rPr>
                <w:t>Item 1.</w:t>
              </w:r>
            </w:hyperlink>
          </w:p>
        </w:tc>
        <w:tc>
          <w:tcPr>
            <w:tcW w:w="9680" w:type="dxa"/>
            <w:vAlign w:val="bottom"/>
          </w:tcPr>
          <w:p>
            <w:pPr>
              <w:ind w:left="140"/>
              <w:spacing w:after="0"/>
              <w:rPr>
                <w:rFonts w:ascii="Arial" w:cs="Arial" w:eastAsia="Arial" w:hAnsi="Arial"/>
                <w:sz w:val="18"/>
                <w:szCs w:val="18"/>
                <w:color w:val="auto"/>
              </w:rPr>
            </w:pPr>
            <w:hyperlink w:anchor="page85">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85">
              <w:r>
                <w:rPr>
                  <w:rFonts w:ascii="Arial" w:cs="Arial" w:eastAsia="Arial" w:hAnsi="Arial"/>
                  <w:sz w:val="18"/>
                  <w:szCs w:val="18"/>
                  <w:color w:val="auto"/>
                </w:rPr>
                <w:t>Item 1A.</w:t>
              </w:r>
            </w:hyperlink>
          </w:p>
        </w:tc>
        <w:tc>
          <w:tcPr>
            <w:tcW w:w="9680" w:type="dxa"/>
            <w:vAlign w:val="bottom"/>
          </w:tcPr>
          <w:p>
            <w:pPr>
              <w:ind w:left="140"/>
              <w:spacing w:after="0"/>
              <w:rPr>
                <w:rFonts w:ascii="Arial" w:cs="Arial" w:eastAsia="Arial" w:hAnsi="Arial"/>
                <w:sz w:val="18"/>
                <w:szCs w:val="18"/>
                <w:color w:val="auto"/>
              </w:rPr>
            </w:pPr>
            <w:hyperlink w:anchor="page85">
              <w:r>
                <w:rPr>
                  <w:rFonts w:ascii="Arial" w:cs="Arial" w:eastAsia="Arial" w:hAnsi="Arial"/>
                  <w:sz w:val="18"/>
                  <w:szCs w:val="18"/>
                  <w:color w:val="auto"/>
                </w:rPr>
                <w:t>Risk Factors</w:t>
              </w:r>
            </w:hyperlink>
          </w:p>
        </w:tc>
        <w:tc>
          <w:tcPr>
            <w:tcW w:w="80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85">
              <w:r>
                <w:rPr>
                  <w:rFonts w:ascii="Arial" w:cs="Arial" w:eastAsia="Arial" w:hAnsi="Arial"/>
                  <w:sz w:val="18"/>
                  <w:szCs w:val="18"/>
                  <w:color w:val="auto"/>
                </w:rPr>
                <w:t>Item 2.</w:t>
              </w:r>
            </w:hyperlink>
          </w:p>
        </w:tc>
        <w:tc>
          <w:tcPr>
            <w:tcW w:w="9680" w:type="dxa"/>
            <w:vAlign w:val="bottom"/>
          </w:tcPr>
          <w:p>
            <w:pPr>
              <w:ind w:left="140"/>
              <w:spacing w:after="0"/>
              <w:rPr>
                <w:rFonts w:ascii="Arial" w:cs="Arial" w:eastAsia="Arial" w:hAnsi="Arial"/>
                <w:sz w:val="18"/>
                <w:szCs w:val="18"/>
                <w:color w:val="auto"/>
              </w:rPr>
            </w:pPr>
            <w:hyperlink w:anchor="page85">
              <w:r>
                <w:rPr>
                  <w:rFonts w:ascii="Arial" w:cs="Arial" w:eastAsia="Arial" w:hAnsi="Arial"/>
                  <w:sz w:val="18"/>
                  <w:szCs w:val="18"/>
                  <w:color w:val="auto"/>
                </w:rPr>
                <w:t>Unregistered Sales of Equity Securities and Use of Proceeds</w:t>
              </w:r>
            </w:hyperlink>
          </w:p>
        </w:tc>
        <w:tc>
          <w:tcPr>
            <w:tcW w:w="80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auto"/>
              </w:rPr>
            </w:pPr>
            <w:hyperlink w:anchor="page86">
              <w:r>
                <w:rPr>
                  <w:rFonts w:ascii="Arial" w:cs="Arial" w:eastAsia="Arial" w:hAnsi="Arial"/>
                  <w:sz w:val="18"/>
                  <w:szCs w:val="18"/>
                  <w:color w:val="auto"/>
                </w:rPr>
                <w:t>Item 6.</w:t>
              </w:r>
            </w:hyperlink>
          </w:p>
        </w:tc>
        <w:tc>
          <w:tcPr>
            <w:tcW w:w="9680" w:type="dxa"/>
            <w:vAlign w:val="bottom"/>
          </w:tcPr>
          <w:p>
            <w:pPr>
              <w:ind w:left="140"/>
              <w:spacing w:after="0"/>
              <w:rPr>
                <w:rFonts w:ascii="Arial" w:cs="Arial" w:eastAsia="Arial" w:hAnsi="Arial"/>
                <w:sz w:val="18"/>
                <w:szCs w:val="18"/>
                <w:color w:val="auto"/>
              </w:rPr>
            </w:pPr>
            <w:hyperlink w:anchor="page86">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87">
              <w:r>
                <w:rPr>
                  <w:rFonts w:ascii="Arial" w:cs="Arial" w:eastAsia="Arial" w:hAnsi="Arial"/>
                  <w:sz w:val="18"/>
                  <w:szCs w:val="18"/>
                  <w:color w:val="auto"/>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85</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Item 1A, Risk Factors and the following:</w:t>
      </w:r>
    </w:p>
    <w:p>
      <w:pPr>
        <w:spacing w:after="0" w:line="58" w:lineRule="exact"/>
        <w:rPr>
          <w:sz w:val="20"/>
          <w:szCs w:val="20"/>
          <w:color w:val="auto"/>
        </w:rPr>
      </w:pPr>
    </w:p>
    <w:p>
      <w:pPr>
        <w:ind w:left="660" w:right="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because of regulatory investigations, litigation, cease and desist orders or settlements;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litigation, cease and desist orders or settlements by key counterparties or others, including lenders, the Federal National Mortgage Association (Fannie Mae), the Federal Home Loan Mortgage Corporation (Freddie Mac, and together with Fannie Mae, the GSEs) and the Government National Mortgage Association (Ginnie Mae);</w:t>
      </w:r>
    </w:p>
    <w:p>
      <w:pPr>
        <w:spacing w:after="0" w:line="1"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reach settlements with regulatory agencies and state attorneys general on reasonable terms and to comply with the terms of our settlements;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agreements with, and the requirements of, Fannie Mae, Freddie Mac and Ginnie Mae and maintain our seller/servicer and other statuses with them;</w:t>
      </w: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invest excess liquidity at adequate risk-adjusted returns;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limits on our ability to repurchase our own stock as a result of regulatory settlements and other conditions;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information technology and other security measures or breach of our privacy protections, including any failure to protect customers’ data;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5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business on New Residential Investment Corp. (NRZ), our largest client and the source for a substantial portion of our advance funding for non-agency mortgage servicing rights;</w:t>
      </w: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transfer mortgage servicing rights under our agreements with NRZ and our ability to maintain our long-term relationship with NRZ;</w:t>
      </w:r>
    </w:p>
    <w:p>
      <w:pPr>
        <w:ind w:left="660" w:right="5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the proposed acquisition of PHH, to successfully integrate its business, and to realize the strategic objectives and other benefits of the acquisition at the time anticipated or at all, including our ability to</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688" w:right="27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integrate, maintain and enhance PHH’s servicing, subservicing and other business relationships, including its relationship with NRZ;</w:t>
      </w:r>
    </w:p>
    <w:p>
      <w:pPr>
        <w:spacing w:after="0" w:line="23"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transition to a new servicing technology platform within the time and cost parameters anticipated and without significant disruptions to our customers and operations;</w:t>
      </w: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the services of our senior managers, including potential impacts from the recent retirement of our former chief executive officer and the recent resignation of our former chief financial officer;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effective chief executive and chief financial officer leadership transitions;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3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GSEs, Ginnie Mae and trustees regarding loan put-backs, penalties and legal actions;</w:t>
      </w:r>
    </w:p>
    <w:p>
      <w:pPr>
        <w:ind w:left="660" w:right="2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 or the Federal Housing Administration (FHA) of the Department of Housing and Urban Development (HUD) or Department of Veterans Affairs (VA) ceasing to provide insurance;</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manage and maintain real estate owned (REO) properties and vacant properties collateralizing loans that we service;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reserves, valuations, provisions and anticipated realization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anticipated future gains from future draws on existing loans in our reverse mortgage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 including our new business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capital requirements established by, or agreed with, regulators or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technology systems and our ability to adapt such systems for future operating environments;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 including our Annual Report on Form 10-K for the year ended December 31, 2017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611"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228,412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259,655</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($1,043,995 and $671,962 carried at fair value)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1,043,995</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1,008,844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Advances,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173,787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211,793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assets (related to variable interest entities (VIEs))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993,926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1,177,357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Loans held for sale ($153,906 and $214,262 carried at fair value)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209,453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238,358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at fair value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5,143,758</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178,678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199,529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Premises and equipment, net</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30,619</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37,006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w w:val="95"/>
              </w:rPr>
              <w:t>Other assets ($8,816 and $8,900 carried at fair value)(amounts related to VIEs of $20,021 and $27,359)</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417,568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554,791</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8,420,196</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HMBS-related borrowings, at fair value</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5,040,983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Match funded liabilities (related to VIEs)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750,694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998,618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financing liabilities ($672,619 and $508,291 carried at fair value)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747,503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593,518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secured borrowings,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340,418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545,850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notes, net</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347,612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347,338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liabilities ($2,448 and $635 carried at fair value)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591,803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769,410</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7,819,013</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7,856,290</w:t>
            </w:r>
          </w:p>
        </w:tc>
      </w:tr>
      <w:tr>
        <w:trPr>
          <w:trHeight w:val="264"/>
        </w:trPr>
        <w:tc>
          <w:tcPr>
            <w:tcW w:w="8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Commitments and Contingencies (Notes 19 and 20)</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70"/>
        </w:trPr>
        <w:tc>
          <w:tcPr>
            <w:tcW w:w="8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Equity</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Ocwen Financial Corporation (Ocwen) stockholders’ equity</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120" w:type="dxa"/>
            <w:vAlign w:val="bottom"/>
            <w:shd w:val="clear" w:color="auto" w:fill="EAF9E8"/>
          </w:tcPr>
          <w:p>
            <w:pPr>
              <w:ind w:left="380"/>
              <w:spacing w:after="0"/>
              <w:rPr>
                <w:sz w:val="20"/>
                <w:szCs w:val="20"/>
                <w:color w:val="auto"/>
              </w:rPr>
            </w:pPr>
            <w:r>
              <w:rPr>
                <w:rFonts w:ascii="Arial" w:cs="Arial" w:eastAsia="Arial" w:hAnsi="Arial"/>
                <w:sz w:val="18"/>
                <w:szCs w:val="18"/>
                <w:color w:val="auto"/>
                <w:w w:val="95"/>
              </w:rPr>
              <w:t>Common stock, $.01 par value; 200,000,000 shares authorized; 133,912,425 and 131,484,058 shares</w:t>
            </w:r>
          </w:p>
        </w:tc>
        <w:tc>
          <w:tcPr>
            <w:tcW w:w="20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r>
      <w:tr>
        <w:trPr>
          <w:trHeight w:val="237"/>
        </w:trPr>
        <w:tc>
          <w:tcPr>
            <w:tcW w:w="8120" w:type="dxa"/>
            <w:vAlign w:val="bottom"/>
            <w:tcBorders>
              <w:bottom w:val="single" w:sz="8" w:color="EAF9E8"/>
            </w:tcBorders>
            <w:shd w:val="clear" w:color="auto" w:fill="EAF9E8"/>
          </w:tcPr>
          <w:p>
            <w:pPr>
              <w:ind w:left="540"/>
              <w:spacing w:after="0"/>
              <w:rPr>
                <w:sz w:val="20"/>
                <w:szCs w:val="20"/>
                <w:color w:val="auto"/>
              </w:rPr>
            </w:pPr>
            <w:r>
              <w:rPr>
                <w:rFonts w:ascii="Arial" w:cs="Arial" w:eastAsia="Arial" w:hAnsi="Arial"/>
                <w:sz w:val="18"/>
                <w:szCs w:val="18"/>
                <w:color w:val="auto"/>
              </w:rPr>
              <w:t>issued and outstanding at June 30, 2018, and December 31, 2017, respectively</w:t>
            </w:r>
          </w:p>
        </w:tc>
        <w:tc>
          <w:tcPr>
            <w:tcW w:w="20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552,800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547,057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47,056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 of income taxes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Ocwen stockholders’ equity</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600,024</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545,040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Non-controlling interest in subsidiaries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1,834</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601,183</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546,874</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8,420,196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8,403,164</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For the Three Months Ended June 30,</w:t>
            </w:r>
          </w:p>
        </w:tc>
        <w:tc>
          <w:tcPr>
            <w:tcW w:w="220" w:type="dxa"/>
            <w:vAlign w:val="bottom"/>
          </w:tcPr>
          <w:p>
            <w:pPr>
              <w:spacing w:after="0"/>
              <w:rPr>
                <w:sz w:val="20"/>
                <w:szCs w:val="20"/>
                <w:color w:val="auto"/>
              </w:rPr>
            </w:pPr>
          </w:p>
        </w:tc>
        <w:tc>
          <w:tcPr>
            <w:tcW w:w="30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222,227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255,801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444,365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528,303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24,393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28,255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44,193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51,199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53,662</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253,581</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311,300</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513,838</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633,164</w:t>
            </w:r>
          </w:p>
        </w:tc>
      </w:tr>
      <w:tr>
        <w:trPr>
          <w:trHeight w:val="264"/>
        </w:trPr>
        <w:tc>
          <w:tcPr>
            <w:tcW w:w="47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69,838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147,913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182,212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32,389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65,405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70,159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107,234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28,276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35,645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59,694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75,815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23,906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24,254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46,709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51,601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MSR valuation adjustments,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33,118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82,020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12,859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16,480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25,473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34,229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23,752</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205,650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280,480</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412,151</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556,863</w:t>
            </w:r>
          </w:p>
        </w:tc>
      </w:tr>
      <w:tr>
        <w:trPr>
          <w:trHeight w:val="264"/>
        </w:trPr>
        <w:tc>
          <w:tcPr>
            <w:tcW w:w="47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8,002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(77,503)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(81,128)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(128,313)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(165,190)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 on sale of mortgage servicing rights,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7,461</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(148,407)</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4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3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(72,106)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3,696</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4,953</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(77,059)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b w:val="1"/>
                <w:bCs w:val="1"/>
                <w:color w:val="auto"/>
              </w:rPr>
              <w:t>Net loss attributable to Ocwen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(29,831)</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(44,507)</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(27,283)</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(77,231)</w:t>
            </w:r>
          </w:p>
        </w:tc>
      </w:tr>
      <w:tr>
        <w:trPr>
          <w:trHeight w:val="257"/>
        </w:trPr>
        <w:tc>
          <w:tcPr>
            <w:tcW w:w="470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4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13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Loss per share attributable to Ocwen stockholders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(0.62)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14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60" w:type="dxa"/>
            <w:vAlign w:val="bottom"/>
            <w:shd w:val="clear" w:color="auto" w:fill="EAF9E8"/>
          </w:tcPr>
          <w:p>
            <w:pPr>
              <w:spacing w:after="0"/>
              <w:rPr>
                <w:sz w:val="23"/>
                <w:szCs w:val="23"/>
                <w:color w:val="auto"/>
              </w:rPr>
            </w:pPr>
          </w:p>
        </w:tc>
        <w:tc>
          <w:tcPr>
            <w:tcW w:w="12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138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60" w:type="dxa"/>
            <w:vAlign w:val="bottom"/>
            <w:shd w:val="clear" w:color="auto" w:fill="EAF9E8"/>
          </w:tcPr>
          <w:p>
            <w:pPr>
              <w:spacing w:after="0"/>
              <w:rPr>
                <w:sz w:val="23"/>
                <w:szCs w:val="23"/>
                <w:color w:val="auto"/>
              </w:rPr>
            </w:pPr>
          </w:p>
        </w:tc>
        <w:tc>
          <w:tcPr>
            <w:tcW w:w="1240" w:type="dxa"/>
            <w:vAlign w:val="bottom"/>
            <w:shd w:val="clear" w:color="auto" w:fill="EAF9E8"/>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133,856,132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124,582,280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133,490,828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124,300,171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133,856,132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124,582,280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133,490,828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124,300,171</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6" w:name="page7"/>
    <w:bookmarkEnd w:id="6"/>
    <w:p>
      <w:pPr>
        <w:jc w:val="center"/>
        <w:ind w:left="260" w:right="2560"/>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LOSS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For the Three Months Ended June 30,</w:t>
            </w:r>
          </w:p>
        </w:tc>
        <w:tc>
          <w:tcPr>
            <w:tcW w:w="220" w:type="dxa"/>
            <w:vAlign w:val="bottom"/>
          </w:tcPr>
          <w:p>
            <w:pPr>
              <w:spacing w:after="0"/>
              <w:rPr>
                <w:sz w:val="20"/>
                <w:szCs w:val="20"/>
                <w:color w:val="auto"/>
              </w:rPr>
            </w:pPr>
          </w:p>
        </w:tc>
        <w:tc>
          <w:tcPr>
            <w:tcW w:w="30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(44,436)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(27,136)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(77,059)</w:t>
            </w:r>
          </w:p>
        </w:tc>
      </w:tr>
      <w:tr>
        <w:trPr>
          <w:trHeight w:val="230"/>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5"/>
              </w:rPr>
              <w:t>Reclassification adjustment for losses on cash flow hedges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included in net income (1)</w:t>
            </w:r>
          </w:p>
        </w:tc>
        <w:tc>
          <w:tcPr>
            <w:tcW w:w="16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9"/>
              </w:rPr>
              <w:t>Total other comprehensive income, net of income taxes</w:t>
            </w:r>
          </w:p>
        </w:tc>
        <w:tc>
          <w:tcPr>
            <w:tcW w:w="16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w:t>
            </w: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(29,716)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(44,391)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(27,058)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(76,947)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2"/>
              </w:rPr>
              <w:t>Comprehensive income attributable to non-controlling interests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loss attributable to Ocwen stockholders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(29,794)</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(44,462)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(27,205)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(77,119)</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SIX MONTHS ENDED JUNE 30, 2018 AND 2017 (Dollars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ind w:left="40"/>
              <w:spacing w:after="0"/>
              <w:rPr>
                <w:sz w:val="20"/>
                <w:szCs w:val="20"/>
                <w:color w:val="auto"/>
              </w:rPr>
            </w:pPr>
            <w:r>
              <w:rPr>
                <w:rFonts w:ascii="Arial" w:cs="Arial" w:eastAsia="Arial" w:hAnsi="Arial"/>
                <w:sz w:val="16"/>
                <w:szCs w:val="16"/>
                <w:b w:val="1"/>
                <w:bCs w:val="1"/>
                <w:color w:val="auto"/>
                <w:w w:val="89"/>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380" w:type="dxa"/>
            <w:vAlign w:val="bottom"/>
            <w:gridSpan w:val="4"/>
            <w:vMerge w:val="restart"/>
          </w:tcPr>
          <w:p>
            <w:pPr>
              <w:jc w:val="right"/>
              <w:ind w:right="519"/>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740" w:type="dxa"/>
            <w:vAlign w:val="bottom"/>
          </w:tcPr>
          <w:p>
            <w:pPr>
              <w:spacing w:after="0"/>
              <w:rPr>
                <w:sz w:val="6"/>
                <w:szCs w:val="6"/>
                <w:color w:val="auto"/>
              </w:rPr>
            </w:pPr>
          </w:p>
        </w:tc>
        <w:tc>
          <w:tcPr>
            <w:tcW w:w="238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0"/>
              </w:rPr>
              <w:t>Earnings</w:t>
            </w: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Paid-in</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Deficit)</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Net of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131,484,058</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1,315</w:t>
            </w:r>
          </w:p>
        </w:tc>
        <w:tc>
          <w:tcPr>
            <w:tcW w:w="36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547,057</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1,834</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546,874</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(27,136)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Issuance of common stock</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1,875,000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5,719</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3"/>
              </w:rPr>
              <w:t>Cumulative effect of fair value election</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40"/>
              <w:spacing w:after="0"/>
              <w:rPr>
                <w:sz w:val="20"/>
                <w:szCs w:val="20"/>
                <w:color w:val="auto"/>
              </w:rPr>
            </w:pPr>
            <w:r>
              <w:rPr>
                <w:rFonts w:ascii="Arial" w:cs="Arial" w:eastAsia="Arial" w:hAnsi="Arial"/>
                <w:sz w:val="16"/>
                <w:szCs w:val="16"/>
                <w:color w:val="auto"/>
              </w:rPr>
              <w:t>- Mortgage servicing rights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82,043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82,043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rPr>
              <w:t>Cumulative effect of adoption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Arial" w:cs="Arial" w:eastAsia="Arial" w:hAnsi="Arial"/>
                <w:sz w:val="16"/>
                <w:szCs w:val="16"/>
                <w:color w:val="auto"/>
                <w:w w:val="91"/>
              </w:rPr>
              <w:t>FASB Accounting Standards Update</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No. 2016-16</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(5,621)</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Capital distribution to non-controlling</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interest</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553,367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118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rPr>
              <w:t>133,912,425</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1,339</w:t>
            </w:r>
          </w:p>
        </w:tc>
        <w:tc>
          <w:tcPr>
            <w:tcW w:w="360" w:type="dxa"/>
            <w:vAlign w:val="bottom"/>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552,800</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47,056</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(1,171)</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601,183</w:t>
            </w:r>
          </w:p>
        </w:tc>
        <w:tc>
          <w:tcPr>
            <w:tcW w:w="0" w:type="dxa"/>
            <w:vAlign w:val="bottom"/>
          </w:tcPr>
          <w:p>
            <w:pPr>
              <w:spacing w:after="0"/>
              <w:rPr>
                <w:sz w:val="1"/>
                <w:szCs w:val="1"/>
                <w:color w:val="auto"/>
              </w:rPr>
            </w:pPr>
          </w:p>
        </w:tc>
      </w:tr>
      <w:tr>
        <w:trPr>
          <w:trHeight w:val="20"/>
        </w:trPr>
        <w:tc>
          <w:tcPr>
            <w:tcW w:w="274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123,988,160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1,240</w:t>
            </w:r>
          </w:p>
        </w:tc>
        <w:tc>
          <w:tcPr>
            <w:tcW w:w="36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527,001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126,167</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655,283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(77,231)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(77,059)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rPr>
              <w:t>Cumulative effect of adoption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Arial" w:cs="Arial" w:eastAsia="Arial" w:hAnsi="Arial"/>
                <w:sz w:val="16"/>
                <w:szCs w:val="16"/>
                <w:color w:val="auto"/>
                <w:w w:val="91"/>
              </w:rPr>
              <w:t>FASB Accounting Standards Update</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No. 2016-09</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790,388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44"/>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2017</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124,778,548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1,248</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529,188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48,652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2,497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580,247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3"/>
              </w:rPr>
              <w:t>For the Six Months Ended June 30,</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(27,136)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(77,059)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MSR valuation adjustments,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50,247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82,020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(1,320)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25,879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31,918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12,640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13,439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Equity-based compensation expense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3,263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Gain on valuation of financing liability</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gain on valuation of mortgage loans held for investment and HMBS-related borrowings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(11,381)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(29,512)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(838,581)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(2,243,475)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800,982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2,217,259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Decrease in advances and match funded assets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182,481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226,742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receivables and other assets, net</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86,606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89,437</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Decrease in other liabilities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(68,556)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(28,053)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8,013</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196,570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282,625</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4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80" w:type="dxa"/>
            <w:vAlign w:val="bottom"/>
            <w:shd w:val="clear" w:color="auto" w:fill="EAF9E8"/>
          </w:tcPr>
          <w:p>
            <w:pPr>
              <w:spacing w:after="0"/>
              <w:rPr>
                <w:sz w:val="22"/>
                <w:szCs w:val="22"/>
                <w:color w:val="auto"/>
              </w:rPr>
            </w:pPr>
          </w:p>
        </w:tc>
        <w:tc>
          <w:tcPr>
            <w:tcW w:w="1220" w:type="dxa"/>
            <w:vAlign w:val="bottom"/>
            <w:shd w:val="clear" w:color="auto" w:fill="EAF9E8"/>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Origination of loans held for investment</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(487,472)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(698,473)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Principal payments received on loans held for investment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186,216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192,569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Purchase of mortgage servicing rights</w:t>
            </w:r>
          </w:p>
        </w:tc>
        <w:tc>
          <w:tcPr>
            <w:tcW w:w="20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sale of mortgage servicing rights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1,464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advances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4,726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3,719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Issuance of automotive dealer financing notes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(85,076)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automotive dealer financing notes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52,581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76,264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(7,243)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2,277</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(266,188)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(516,156)</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1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EAF9E8"/>
            </w:tcBorders>
            <w:shd w:val="clear" w:color="auto" w:fill="EAF9E8"/>
          </w:tcPr>
          <w:p>
            <w:pPr>
              <w:spacing w:after="0"/>
              <w:rPr>
                <w:sz w:val="24"/>
                <w:szCs w:val="24"/>
                <w:color w:val="auto"/>
              </w:rPr>
            </w:pPr>
          </w:p>
        </w:tc>
        <w:tc>
          <w:tcPr>
            <w:tcW w:w="1400" w:type="dxa"/>
            <w:vAlign w:val="bottom"/>
            <w:tcBorders>
              <w:bottom w:val="single" w:sz="8" w:color="EAF9E8"/>
            </w:tcBorders>
            <w:shd w:val="clear" w:color="auto" w:fill="EAF9E8"/>
          </w:tcPr>
          <w:p>
            <w:pPr>
              <w:spacing w:after="0"/>
              <w:rPr>
                <w:sz w:val="24"/>
                <w:szCs w:val="24"/>
                <w:color w:val="auto"/>
              </w:rPr>
            </w:pPr>
          </w:p>
        </w:tc>
        <w:tc>
          <w:tcPr>
            <w:tcW w:w="100" w:type="dxa"/>
            <w:vAlign w:val="bottom"/>
            <w:tcBorders>
              <w:bottom w:val="single" w:sz="8" w:color="EAF9E8"/>
            </w:tcBorders>
            <w:shd w:val="clear" w:color="auto" w:fill="EAF9E8"/>
          </w:tcPr>
          <w:p>
            <w:pPr>
              <w:spacing w:after="0"/>
              <w:rPr>
                <w:sz w:val="24"/>
                <w:szCs w:val="24"/>
                <w:color w:val="auto"/>
              </w:rPr>
            </w:pPr>
          </w:p>
        </w:tc>
        <w:tc>
          <w:tcPr>
            <w:tcW w:w="380" w:type="dxa"/>
            <w:vAlign w:val="bottom"/>
            <w:tcBorders>
              <w:bottom w:val="single" w:sz="8" w:color="EAF9E8"/>
            </w:tcBorders>
            <w:shd w:val="clear" w:color="auto" w:fill="EAF9E8"/>
          </w:tcPr>
          <w:p>
            <w:pPr>
              <w:spacing w:after="0"/>
              <w:rPr>
                <w:sz w:val="24"/>
                <w:szCs w:val="24"/>
                <w:color w:val="auto"/>
              </w:rPr>
            </w:pPr>
          </w:p>
        </w:tc>
        <w:tc>
          <w:tcPr>
            <w:tcW w:w="1220" w:type="dxa"/>
            <w:vAlign w:val="bottom"/>
            <w:tcBorders>
              <w:bottom w:val="single" w:sz="8" w:color="EAF9E8"/>
            </w:tcBorders>
            <w:shd w:val="clear" w:color="auto" w:fill="EAF9E8"/>
          </w:tcPr>
          <w:p>
            <w:pPr>
              <w:spacing w:after="0"/>
              <w:rPr>
                <w:sz w:val="24"/>
                <w:szCs w:val="24"/>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match funded liabilities, net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(247,924)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(172,620)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mortgage loan warehouse facilities and other secured borrowings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1,546,226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4,216,466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Repayments of mortgage loan warehouse facilities and other secured borrowings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(1,870,943)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(4,299,411)</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279,586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98"/>
              </w:rPr>
              <w:t>Proceeds from sale of reverse mortgages (HECM loans) accounted for as a financing (HMBS-related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20" w:type="dxa"/>
            <w:vAlign w:val="bottom"/>
          </w:tcPr>
          <w:p>
            <w:pPr>
              <w:ind w:left="340"/>
              <w:spacing w:after="0"/>
              <w:rPr>
                <w:sz w:val="20"/>
                <w:szCs w:val="20"/>
                <w:color w:val="auto"/>
              </w:rPr>
            </w:pPr>
            <w:r>
              <w:rPr>
                <w:rFonts w:ascii="Arial" w:cs="Arial" w:eastAsia="Arial" w:hAnsi="Arial"/>
                <w:sz w:val="18"/>
                <w:szCs w:val="18"/>
                <w:color w:val="auto"/>
              </w:rPr>
              <w:t>borrowings)</w:t>
            </w: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499,576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664,453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Repayment of HMBS-related borrowings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(181,548)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(176,231)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Capital distribution to non-controlling interest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(2,314)</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230,343</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14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80" w:type="dxa"/>
            <w:vAlign w:val="bottom"/>
            <w:shd w:val="clear" w:color="auto" w:fill="EAF9E8"/>
          </w:tcPr>
          <w:p>
            <w:pPr>
              <w:spacing w:after="0"/>
              <w:rPr>
                <w:sz w:val="22"/>
                <w:szCs w:val="22"/>
                <w:color w:val="auto"/>
              </w:rPr>
            </w:pPr>
          </w:p>
        </w:tc>
        <w:tc>
          <w:tcPr>
            <w:tcW w:w="1220" w:type="dxa"/>
            <w:vAlign w:val="bottom"/>
            <w:shd w:val="clear" w:color="auto" w:fill="EAF9E8"/>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decrease in cash and restricted cash</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(46,458)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and restricted cash at beginning of year</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302,560</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302,398</w:t>
            </w:r>
          </w:p>
        </w:tc>
      </w:tr>
      <w:tr>
        <w:trPr>
          <w:trHeight w:val="297"/>
        </w:trPr>
        <w:tc>
          <w:tcPr>
            <w:tcW w:w="812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Cash and restricted cash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256,102</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299,210</w:t>
            </w:r>
          </w:p>
        </w:tc>
      </w:tr>
      <w:tr>
        <w:trPr>
          <w:trHeight w:val="311"/>
        </w:trPr>
        <w:tc>
          <w:tcPr>
            <w:tcW w:w="8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1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Issuance of common stock in connection with litigation settlement</w:t>
            </w: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5,719</w:t>
            </w:r>
          </w:p>
        </w:tc>
        <w:tc>
          <w:tcPr>
            <w:tcW w:w="100" w:type="dxa"/>
            <w:vAlign w:val="bottom"/>
            <w:shd w:val="clear" w:color="auto" w:fill="EAF9E8"/>
          </w:tcPr>
          <w:p>
            <w:pPr>
              <w:spacing w:after="0"/>
              <w:rPr>
                <w:sz w:val="21"/>
                <w:szCs w:val="21"/>
                <w:color w:val="auto"/>
              </w:rPr>
            </w:pP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r>
    </w:tbl>
    <w:p>
      <w:pPr>
        <w:spacing w:after="0" w:line="14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following table provides a reconciliation of cash and restricted cash reported within the consolidated balance sheets that sums to the total of the same such amounts reported in the unaudited consolidated statements of cash flows:</w:t>
      </w:r>
    </w:p>
    <w:p>
      <w:pPr>
        <w:sectPr>
          <w:pgSz w:w="11900" w:h="16838" w:orient="portrait"/>
          <w:cols w:equalWidth="0" w:num="1">
            <w:col w:w="11420"/>
          </w:cols>
          <w:pgMar w:left="240" w:top="337"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June 30, 2017</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228,412</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251,472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 and equivalents included in Other assets: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Debt service accounts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24,278</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40,968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restricted cash</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6,770</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cash and restricted cash reported in the statements of cash flows</w:t>
            </w: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256,102</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299,210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5"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Business Environment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with operations located in India and the Philippines. Ocwen is a Florida corporation organized in February 1988.</w:t>
      </w:r>
    </w:p>
    <w:p>
      <w:pPr>
        <w:spacing w:after="0" w:line="14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(OFSPL), Homeward Residential, Inc. (Homeward) and Liberty Home Equity Solutions, Inc. (Liberty).</w:t>
      </w:r>
    </w:p>
    <w:p>
      <w:pPr>
        <w:spacing w:after="0" w:line="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perform servicing activities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59"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originate, sell and securitize conventional (conforming to the underwriting standards of Fannie Mae or Freddie Mac; collectively referred to as Agency loans) and government-insured (Federal Housing Administration (FHA) or Department of Veterans Affairs (VA)) forward mortgages. The GSEs or Ginnie Mae guarantee these mortgage securitizations. We originate Home Equity Conversion Mortgages (HECM, or reverse mortgages) that are insured by the FHA and are an approved issuer of Home Equity Conversion Mortgage-Backed Securities (HMBS) that are guaranteed by Ginnie Mae.</w:t>
      </w:r>
    </w:p>
    <w:p>
      <w:pPr>
        <w:spacing w:after="0" w:line="46"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We had a total of approximately 6,600 employees at June 30, 2018 of which approximately 4,500 were located in India and approximately 500 were based in the Philippines. Our operations in India and the Philippines primarily provide internal support services, principally to our loan servicing business and our corporate functions. Of our foreign-based employees, more than 80% were engaged in supporting our loan servicing operations as of June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operate our business successfully.</w:t>
      </w:r>
    </w:p>
    <w:p>
      <w:pPr>
        <w:spacing w:after="0" w:line="7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Losses in prior years have significantly eroded stockholders’ equity and weakened our financial condition. In order to drive stronger financial performance, we are focusing our operations on mortgage servicing, on retail forward lending, primarily servicing portfolio recapture, and on our reverse mortgage business. In addition, we have significantly strengthened our cash position through the receipt of a lump-sum fee payment of $279.6 million from NRZ in January 2018 in connection with our rights to mortgage servicing rights agreements. See Note 8 — Rights to MSRs for further information.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27, 2018, we entered into a Merger Agreement pursuant to which PHH Corporation (PHH) will become a wholly owned subsidiary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Ocwen. We believe our acquisition of PHH will enable us to obtain the following key strategic and financial benefits:</w:t>
      </w:r>
    </w:p>
    <w:p>
      <w:pPr>
        <w:spacing w:after="0" w:line="2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our transition to the Black Knight Financial Services, Inc. LoanSphere MSP® servicing platform;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servicing and origination margin through better economies of scale;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 fixed costs (on a combined basis) through reductions of redundant corporate overhead and other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 foundation to enable the combined servicing platform to resume new business and growth activities to offset portfolio runoff.</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88" w:right="259" w:bottom="1440" w:gutter="0" w:footer="0" w:header="0"/>
        </w:sectPr>
      </w:pPr>
    </w:p>
    <w:bookmarkStart w:id="11" w:name="page12"/>
    <w:bookmarkEnd w:id="11"/>
    <w:p>
      <w:pPr>
        <w:ind w:right="480" w:firstLine="324"/>
        <w:spacing w:after="0" w:line="257" w:lineRule="auto"/>
        <w:rPr>
          <w:sz w:val="20"/>
          <w:szCs w:val="20"/>
          <w:color w:val="auto"/>
        </w:rPr>
      </w:pPr>
      <w:r>
        <w:rPr>
          <w:rFonts w:ascii="Arial" w:cs="Arial" w:eastAsia="Arial" w:hAnsi="Arial"/>
          <w:sz w:val="18"/>
          <w:szCs w:val="18"/>
          <w:color w:val="auto"/>
        </w:rPr>
        <w:t>Our business, operating results and financial condition have been significantly impacted in recent periods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drive stronger financial performance. See Note 18 – Regulatory Requirements and Note 20 – Contingencies for further information.</w:t>
      </w:r>
    </w:p>
    <w:p>
      <w:pPr>
        <w:spacing w:after="0" w:line="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Regarding the current maturities of our borrowings, as of June 30, 2018 we have approximately $642.2 million of debt outstanding under facilities coming due in the next 12 months. Portions of our match funded facilities and all of our mortgage loan warehouse facilities have 364-day terms consistent with market practice. We have historically renewed these facilities on or before their expiration in the ordinary course of financing our business. We expect to renew, replace or extend all such borrowings to the extent necessary to finance our business on or prior to their respective maturities consistent with our historical experience.</w:t>
      </w:r>
    </w:p>
    <w:p>
      <w:pPr>
        <w:spacing w:after="0" w:line="8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debt agreements contain various qualitative and quantitative events of default provisions that include, among other things, noncompliance with covenants, breach of representations, or the occurrence of a material adverse change. If a lender were to allege an event of default and we are unable to avoid, remedy or secure a waiver, we could be subject to adverse actions by our lenders that could have a material adverse impact on us. In addition, OLS, Homeward and Liberty are parties to seller/servicer agreements and/or subject to guidelines and regulations (collectively, seller/servicer obligations) with one or more of the GSEs, the Department of Housing and Urban Development (HUD), FHA, VA and Ginnie Mae. To the extent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See Note 11 – Borrowings, Note 18 – Regulatory Requirements and Note 20 – Contingencies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six months ended June 30, 2018 are not necessarily indicative of the results that may be expected for any other interim period or for the year ending December 31, 2018. The unaudited consolidated financial statements presented herein should be read in conjunction with the audited consolidated financial statements and related notes thereto included in our Annual Report on Form 10-K for the year ended December 31, 2017.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the provision for potential losses that may arise from litigation proceedings, and our going concern evaluation. In developing estimates and assumptions, management uses all available information; however, actual results could materially differ from those estimates and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Within the expenses section of the unaudited statement of operations for the three and six months ended June 30, 2017, we reclassified impairment charges and fair value gains and losses on mortgage servicing rights (MSRs), both previously included in the Servicing and origination line item, and Amortization of MSRs to a new line item titled MSR valuation adjustments, net.</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As a result of our adoption on January 1, 2018 of FASB Accounting Standards Update (ASU) 2016-18, </w:t>
      </w:r>
      <w:r>
        <w:rPr>
          <w:rFonts w:ascii="Arial" w:cs="Arial" w:eastAsia="Arial" w:hAnsi="Arial"/>
          <w:sz w:val="18"/>
          <w:szCs w:val="18"/>
          <w:i w:val="1"/>
          <w:iCs w:val="1"/>
          <w:color w:val="auto"/>
        </w:rPr>
        <w:t>Statement of Cash Flows (Topic 230) -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Cash</w:t>
      </w:r>
      <w:r>
        <w:rPr>
          <w:rFonts w:ascii="Arial" w:cs="Arial" w:eastAsia="Arial" w:hAnsi="Arial"/>
          <w:sz w:val="18"/>
          <w:szCs w:val="18"/>
          <w:color w:val="auto"/>
        </w:rPr>
        <w:t>, debt service accounts and other restricted cash which are included in Other assets on the consolidated balance sheets have been classified as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in our consolidated statements of cash flows. Our revision of the unaudited consolidated statement of cash flows for the six months ended June 30, 2017 to conform to the new standard resulted in an increase in net cash provided by operating activities of $1.9 million (reduction in the Decrease in receivables and other assets, net line item).</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692" w:right="279" w:bottom="1440" w:gutter="0" w:footer="0" w:header="0"/>
        </w:sectPr>
      </w:pPr>
    </w:p>
    <w:bookmarkStart w:id="12" w:name="page13"/>
    <w:bookmarkEnd w:id="12"/>
    <w:p>
      <w:pPr>
        <w:ind w:right="160" w:firstLine="324"/>
        <w:spacing w:after="0" w:line="277" w:lineRule="auto"/>
        <w:rPr>
          <w:sz w:val="20"/>
          <w:szCs w:val="20"/>
          <w:color w:val="auto"/>
        </w:rPr>
      </w:pPr>
      <w:r>
        <w:rPr>
          <w:rFonts w:ascii="Arial" w:cs="Arial" w:eastAsia="Arial" w:hAnsi="Arial"/>
          <w:sz w:val="18"/>
          <w:szCs w:val="18"/>
          <w:color w:val="auto"/>
        </w:rPr>
        <w:t>Certain amounts in the unaudited consolidated statement of cash flows for the six months ended June 30, 2017 have been reclassified to conform to the current year presentation as follows:</w:t>
      </w:r>
    </w:p>
    <w:p>
      <w:pPr>
        <w:spacing w:after="0" w:line="62" w:lineRule="exact"/>
        <w:rPr>
          <w:sz w:val="20"/>
          <w:szCs w:val="20"/>
          <w:color w:val="auto"/>
        </w:rPr>
      </w:pPr>
    </w:p>
    <w:p>
      <w:pPr>
        <w:ind w:left="660" w:right="2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the operating activities section, we reclassified Amortization of MSRs, Loss on valuation of MSRs, at fair value, and Impairment of MSRs to a new line item. In addition, we reclassified Realized and unrealized gains on derivative financial instruments to Other, net.</w:t>
      </w:r>
    </w:p>
    <w:p>
      <w:pPr>
        <w:spacing w:after="0" w:line="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Within the financing activities section, we reclassified Repayments of HMBS-related borrowings from Repayments of mortgage loan warehouse facilities and other secured borrowings to a separate line item. We also reclassified Payment of debt issuance costs to Other, net. These reclassifications had no impact on our consolidated cash flows from operating, investing or financing activities.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(Accounting Standards Update (ASU) 2014-09)</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This ASU clarifies the principles for recognizing revenue and creates a common revenue standard. Under this ASU, an entity will recognize revenue to depict the transfer of promised goods or services to customers in an amount that reflects the consideration to which the entity expects to be entitled in exchange for those goods or services. An entity will recognize revenue through a five-step process. The guidance in this standard does not apply to financial instruments and other contractual rights or obligations within the scope of Financial Accounting Standards Board (FASB) Accounting Standards Codification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among other ASC topics</w:t>
      </w:r>
      <w:r>
        <w:rPr>
          <w:rFonts w:ascii="Arial" w:cs="Arial" w:eastAsia="Arial" w:hAnsi="Arial"/>
          <w:sz w:val="17"/>
          <w:szCs w:val="17"/>
          <w:i w:val="1"/>
          <w:iCs w:val="1"/>
          <w:color w:val="auto"/>
        </w:rPr>
        <w:t>.</w:t>
      </w:r>
      <w:r>
        <w:rPr>
          <w:rFonts w:ascii="Arial" w:cs="Arial" w:eastAsia="Arial" w:hAnsi="Arial"/>
          <w:sz w:val="17"/>
          <w:szCs w:val="17"/>
          <w:color w:val="auto"/>
        </w:rPr>
        <w:t xml:space="preserve"> As a result, our adoption of this standard on a modified retrospective basis on January 1, 2018 did not have a material impact on our consolidated financial statements.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Recognition and Measurement of Financial Assets and Financial Liabilities (ASU 2016-01)</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This ASU provides users with more useful information regarding the recognition, measurement, presentation, and disclosure of financial instruments and also improves the accounting model to better meet the requirements of today’s complex economic environment. Most changes in this ASU require the same information, but some changes will revise the geography of that information on the financial statements. Our adoption of this standard on January 1, 2018 did not have a material impact on our consolidated financial statements.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Classification of Certain Cash Receipts and Cash Payments (ASU 2016-15)</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 xml:space="preserve">This ASU clarifies how certain cash receipts and cash payments are presented and classified in the statement of cash flows under FASB ASC Topic 230, </w:t>
      </w: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(ASC 230). Our adoption of this standard on January 1, 2018 did not have a material impact on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Intra-Entity Transfers of Assets Other Than Inventory (ASU 2016-16)</w:t>
      </w:r>
    </w:p>
    <w:p>
      <w:pPr>
        <w:spacing w:after="0" w:line="121"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This ASU requires an entity to recognize the income tax consequences of intra-entity transfers of assets other than inventory when the transfer occurs. Previously, recognition of current and deferred income taxes for an intra-entity transfer was prohibited until the asset had been sold to an outside party. We adopted this standard on a modified retrospective basis on January 1, 2018 by recording a cumulative-effect reduction of $5.6 million to retained earnings.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Restricted Cash (ASU 2016-18)</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This ASU clarifies how changes in restricted cash are classified and presented in the statement of cash flows under ASC 230. This standard requires that a statement of cash flows explain the change during the period in the total of cash, cash equivalents, and amounts generally described as restricted cash or restricted cash equivalents. Our adoption of this standard on January 1, 2018 did not have a material impact on our consolidated financial statements. The amendments in this update have been applied using a retrospective transition method to each period presented. We have revised the unaudited consolidated statement of cash flows for the six months ended June 30, 2017 to conform to the new standard.</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Combinations: Clarifying the Definition of a Business (ASU 2017-01)</w:t>
      </w:r>
    </w:p>
    <w:p>
      <w:pPr>
        <w:spacing w:after="0" w:line="121"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This ASU clarifies the definition of a business with the objective of adding guidance to assist entities with evaluating whether transactions should be accounted for as acquisitions or disposals of assets or businesses. Our adoption of this standard on January 1, 2018 did not have a material impact on our consolidated financial statements.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Stock Compensation (ASU 2017-09)</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 xml:space="preserve">This ASU reduces both diversity in practice as well as cost and complexity when applying the modification accounting guidance in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to a change to the terms or conditions of a share-based payment award. Our adoption of this standard on January 1, 2018 did not have a material impact on our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692" w:right="279" w:bottom="1440" w:gutter="0" w:footer="0" w:header="0"/>
        </w:sectPr>
      </w:pPr>
    </w:p>
    <w:bookmarkStart w:id="13" w:name="page14"/>
    <w:bookmarkEnd w:id="13"/>
    <w:p>
      <w:pPr>
        <w:ind w:left="340"/>
        <w:spacing w:after="0"/>
        <w:rPr>
          <w:sz w:val="20"/>
          <w:szCs w:val="20"/>
          <w:color w:val="auto"/>
        </w:rPr>
      </w:pPr>
      <w:r>
        <w:rPr>
          <w:rFonts w:ascii="Arial" w:cs="Arial" w:eastAsia="Arial" w:hAnsi="Arial"/>
          <w:sz w:val="17"/>
          <w:szCs w:val="17"/>
          <w:b w:val="1"/>
          <w:bCs w:val="1"/>
          <w:color w:val="auto"/>
        </w:rPr>
        <w:t>Financial Instruments: Technical Corrections and Improvements to Financial Instruments - Overall (Subtopic 825-10) (ASU 2018-03)</w:t>
      </w:r>
    </w:p>
    <w:p>
      <w:pPr>
        <w:spacing w:after="0" w:line="13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This ASU provides clarification of areas in ASU 2016-01 by improving the measurement and reporting of certain financial assets and liabilities. Our adoption of this standard on July 1, 2018 will not have a material impact on our consolidated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Amendments to SEC Paragraphs Pursuant to SEC Staff Accounting Bulletin No. 118 (ASU 2018-05)</w:t>
      </w:r>
    </w:p>
    <w:p>
      <w:pPr>
        <w:spacing w:after="0" w:line="121" w:lineRule="exact"/>
        <w:rPr>
          <w:sz w:val="20"/>
          <w:szCs w:val="20"/>
          <w:color w:val="auto"/>
        </w:rPr>
      </w:pPr>
    </w:p>
    <w:p>
      <w:pPr>
        <w:jc w:val="both"/>
        <w:ind w:right="340" w:firstLine="324"/>
        <w:spacing w:after="0" w:line="312" w:lineRule="auto"/>
        <w:rPr>
          <w:sz w:val="20"/>
          <w:szCs w:val="20"/>
          <w:color w:val="auto"/>
        </w:rPr>
      </w:pPr>
      <w:r>
        <w:rPr>
          <w:rFonts w:ascii="Arial" w:cs="Arial" w:eastAsia="Arial" w:hAnsi="Arial"/>
          <w:sz w:val="16"/>
          <w:szCs w:val="16"/>
          <w:color w:val="auto"/>
        </w:rPr>
        <w:t>This ASU adds various SEC paragraphs pursuant to the issuance of SEC Staff Accounting Bulletin No. 118 (SAB 118), which provides guidance for companies that are not able to complete their accounting for the income tax effects of the Tax Cuts and Jobs Act (Tax Act) in the period of enactment. We adopted the now codified guidance in SAB 118 as of December 31, 2017 and continue to rely on the guidance in these interim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 (ASU 2016-02)</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This ASU will require a lessee to recognize assets and liabilities for leases with lease terms of more than 12 months, regardless of whether the lease is classified as a finance or operating lease. Additional disclosures of the amount, timing and uncertainty of cash flows arising from leases will be required. This standard will be effective for us on January 1, 2019, with early application permitted. We do not anticipate that our adoption of this standard will have a material impact on our consolidated financial statements.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 Credit Losses: Measurement of Credit Losses on Financial Instruments (ASU 2016-13)</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This ASU will require timelier recording of credit losses on loans and other financial instruments. This standard aligns the accounting with the economics of lending by requiring banks and other lending institutions to immediately record the full amount of credit losses that are expected in their loan portfolios. The new guidance requires an organization to measure all expected credit losses for financial assets held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 This standard will be effective for us on January 1, 2020, with early application permitted. We are currently evaluating the effect of adopting this standard.</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Receivables: Nonrefundable Fees and Other Costs (ASU 2017-08)</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This ASU amends the amortization period for certain purchased callable debt securities held at a premium. This standard shortens the amortization period for the premium to the earliest call date, rather than generally amortizing the premium as an adjustment of yield over the contractual life of the instrument. This standard will be effective for us on January 1, 2019. We do not anticipate that our adoption of this standard will have a material impact on our consolidated financial statements.</w:t>
      </w:r>
    </w:p>
    <w:p>
      <w:pPr>
        <w:spacing w:after="0" w:line="75" w:lineRule="exact"/>
        <w:rPr>
          <w:sz w:val="20"/>
          <w:szCs w:val="20"/>
          <w:color w:val="auto"/>
        </w:rPr>
      </w:pPr>
    </w:p>
    <w:p>
      <w:pPr>
        <w:ind w:left="340" w:right="20"/>
        <w:spacing w:after="0" w:line="282" w:lineRule="auto"/>
        <w:rPr>
          <w:sz w:val="20"/>
          <w:szCs w:val="20"/>
          <w:color w:val="auto"/>
        </w:rPr>
      </w:pPr>
      <w:r>
        <w:rPr>
          <w:rFonts w:ascii="Arial" w:cs="Arial" w:eastAsia="Arial" w:hAnsi="Arial"/>
          <w:sz w:val="18"/>
          <w:szCs w:val="18"/>
          <w:b w:val="1"/>
          <w:bCs w:val="1"/>
          <w:color w:val="auto"/>
        </w:rPr>
        <w:t>Income Statement - Reporting Comprehensive Income: Reclassification of Certain Tax Effects from Accumulated Other Comprehensive Income (ASU 2018-02)</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ASU provides entities with an option to reclassify stranded tax effects within accumulated other comprehensive income to retained earnings in each period in which the effect of the change in the U.S. federal corporate income tax rate in the Tax Cuts and Jobs Act (or portion thereof) is recorded. This standard will be effective for us on January 1, 2019. We do not anticipate that our adoption of this standard will have a material impact on our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three groups: (1) securitizations of residential mortgage loans, (2) financings of advances and (3) financings of automotive dealer financing notes.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securitize forward and reverse residential mortgage loans involving the GSEs and loans insured by the FHA or VA through Ginnie Mae. To the extent we retain the right to service these loans, we receive servicing fees based upon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t>securitized loan balances and certain ancillary fees, all of which are reported in Servicing and subservicing fees in the unaudited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Forward Loans</w:t>
      </w:r>
    </w:p>
    <w:p>
      <w:pPr>
        <w:spacing w:after="0" w:line="11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sell or securitize forward loans that we originate or purchased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7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4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9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received from securitizations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338,199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1,022,152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715,698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2,024,149</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Servicing fees collected</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10,077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19,950</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9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Purchases of previously transferred assets, net of claims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57"/>
        </w:trPr>
        <w:tc>
          <w:tcPr>
            <w:tcW w:w="49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reimbursed</w:t>
            </w:r>
          </w:p>
        </w:tc>
        <w:tc>
          <w:tcPr>
            <w:tcW w:w="32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(2,724)</w:t>
            </w:r>
          </w:p>
        </w:tc>
      </w:tr>
      <w:tr>
        <w:trPr>
          <w:trHeight w:val="237"/>
        </w:trPr>
        <w:tc>
          <w:tcPr>
            <w:tcW w:w="49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347,617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1,030,258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733,294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2,041,375</w:t>
            </w:r>
          </w:p>
        </w:tc>
      </w:tr>
      <w:tr>
        <w:trPr>
          <w:trHeight w:val="27"/>
        </w:trPr>
        <w:tc>
          <w:tcPr>
            <w:tcW w:w="4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00" w:firstLine="324"/>
        <w:spacing w:after="0" w:line="312" w:lineRule="auto"/>
        <w:rPr>
          <w:sz w:val="20"/>
          <w:szCs w:val="20"/>
          <w:color w:val="auto"/>
        </w:rPr>
      </w:pPr>
      <w:r>
        <w:rPr>
          <w:rFonts w:ascii="Arial" w:cs="Arial" w:eastAsia="Arial" w:hAnsi="Arial"/>
          <w:sz w:val="16"/>
          <w:szCs w:val="16"/>
          <w:color w:val="auto"/>
        </w:rPr>
        <w:t>In connection with these transfers, we retained MSRs of $2.1 million and $4.5 million, and $6.9 million and $15.0 million, during the three and six months ended June 30, 2018 and 2017, respectively, which are reported in Gain on loans held for sale, net in the unaudited consolidated statements of operations. See Note 4 – Loans Held for Sale for additional information regarding gains or losses on the transfer of loans held for sale.</w:t>
      </w:r>
    </w:p>
    <w:p>
      <w:pPr>
        <w:spacing w:after="0" w:line="3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following table presents the carrying amounts of our assets that relate to our continuing involvement with forward loans that we have transferred with servicing rights retained as well as our maximum exposure to loss including the unpaid principal balance (UPB) of the transferred loans: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MSRs, at fair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113,329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MSRs, at amortized cost</w:t>
            </w:r>
          </w:p>
        </w:tc>
        <w:tc>
          <w:tcPr>
            <w:tcW w:w="20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97,832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60,350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57,636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11,288,337</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12,077,635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11,462,016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12,233,330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 June 30, 2018 and December 31, 2017, 7.4% and 8.9%, respectively, of the transferred residential loans that we service were 60 days or more past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Reverse Mortgages</w:t>
      </w:r>
    </w:p>
    <w:p>
      <w:pPr>
        <w:spacing w:after="0" w:line="11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At June 30, 2018 and December 31, 2017, Loans held for investment included $81.2 million and $83.8 million, respectively, of originated loans which had not yet been pledged as collateral. See Note 3 – Fair Value and Note 11 – Borrowings for additional information on HMBS-related borrowings and Loans held for investment.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Financings of Advances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match funded debt until the payment dates specified in the indenture are classified as debt service accounts within Other assets in our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facilities are held in the name of the SPE created in connection with the facility.</w:t>
      </w:r>
    </w:p>
    <w:p>
      <w:pPr>
        <w:spacing w:after="0" w:line="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classify the transferred advances on our unaudited consolidated balance sheets as a component of Match funded assets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Automotive Dealer Financing Notes</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Match funded automotive dealer financing notes resulted from our transfers of short-term, inventory-secured loans to car dealers to an SPE in exchange for cash. We consolidated this SPE because we determined that Ocwen is the primary beneficiary of the SPE. In January 2018, we decided to exit the independent used car dealer floor plan lending business conducted through Automotive Capital Services, Inc. (ACS). We made transfers to the SPE in accordance with the terms of the automotive capital asset receivables financing facility agreement, which we terminated in January 2018 in connection with our decision to exit the business. We classified the transferred loans on our consolidated balance sheets as a component of Match funded assets and the related liabilities as Match funded liabilities. Holders of the debt issued by the SPE had recourse only to the assets of the SPE for satisfaction of the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ind w:left="460"/>
              <w:spacing w:after="0"/>
              <w:rPr>
                <w:sz w:val="20"/>
                <w:szCs w:val="20"/>
                <w:color w:val="auto"/>
              </w:rPr>
            </w:pPr>
            <w:r>
              <w:rPr>
                <w:rFonts w:ascii="Arial" w:cs="Arial" w:eastAsia="Arial" w:hAnsi="Arial"/>
                <w:sz w:val="18"/>
                <w:szCs w:val="18"/>
                <w:b w:val="1"/>
                <w:bCs w:val="1"/>
                <w:color w:val="auto"/>
              </w:rPr>
              <w:t>June 30, 2018</w:t>
            </w:r>
          </w:p>
        </w:tc>
        <w:tc>
          <w:tcPr>
            <w:tcW w:w="340" w:type="dxa"/>
            <w:vAlign w:val="bottom"/>
          </w:tcPr>
          <w:p>
            <w:pPr>
              <w:spacing w:after="0"/>
              <w:rPr>
                <w:sz w:val="20"/>
                <w:szCs w:val="20"/>
                <w:color w:val="auto"/>
              </w:rPr>
            </w:pPr>
          </w:p>
        </w:tc>
        <w:tc>
          <w:tcPr>
            <w:tcW w:w="2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153,906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153,906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214,262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55,547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24,096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5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June 30, 2018</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Loans held for sale</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209,453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209,453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238,358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238,358</w:t>
            </w: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5,143,758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5,143,758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4,715,831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Advances (including match funded)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1,167,713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1,167,713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1,356,393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1,356,393</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9"/>
              </w:rPr>
              <w:t>Automotive dealer financing notes (including match funded)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32,757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32,590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Receivables, net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178,678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199,529</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Mortgage-backed securities,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U.S. Treasury notes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1,567</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16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750,694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745,539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998,618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992,698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Financing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HMBS-related borrowings,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5,040,983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5,040,983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4,601,556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Financing liability - MSRs pledged, at fair value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672,619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672,619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508,291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508,291</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74,884</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59,608</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85,227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65,202</w:t>
            </w:r>
          </w:p>
        </w:tc>
      </w:tr>
      <w:tr>
        <w:trPr>
          <w:trHeight w:val="297"/>
        </w:trPr>
        <w:tc>
          <w:tcPr>
            <w:tcW w:w="516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Financing liabilities</w:t>
            </w:r>
          </w:p>
        </w:tc>
        <w:tc>
          <w:tcPr>
            <w:tcW w:w="8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5,788,486</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5,773,210</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5,195,074</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5,175,049</w:t>
            </w:r>
          </w:p>
        </w:tc>
      </w:tr>
      <w:tr>
        <w:trPr>
          <w:trHeight w:val="237"/>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secured borrowings:</w:t>
            </w:r>
          </w:p>
        </w:tc>
        <w:tc>
          <w:tcPr>
            <w:tcW w:w="8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Senior secured term loan (c) (d)</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233,786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240,475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290,068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299,741</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106,632</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106,632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255,782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255,782</w:t>
            </w:r>
          </w:p>
        </w:tc>
      </w:tr>
      <w:tr>
        <w:trPr>
          <w:trHeight w:val="297"/>
        </w:trPr>
        <w:tc>
          <w:tcPr>
            <w:tcW w:w="516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Other secured borrowings</w:t>
            </w:r>
          </w:p>
        </w:tc>
        <w:tc>
          <w:tcPr>
            <w:tcW w:w="8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340,418</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347,107</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545,850</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555,523</w:t>
            </w:r>
          </w:p>
        </w:tc>
      </w:tr>
      <w:tr>
        <w:trPr>
          <w:trHeight w:val="217"/>
        </w:trPr>
        <w:tc>
          <w:tcPr>
            <w:tcW w:w="5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unsecured notes (c) (d)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2,872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Senior secured notes (c) (d)</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344,490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356,987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344,216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355,550</w:t>
            </w: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Senior notes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347,612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360,125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347,338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358,422</w:t>
            </w: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Derivative financial instrument assets (liabilities), at fair value (a)</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3,283</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Forward mortgage-backed securities</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2,056</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16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1,043,995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1,043,995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671,962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671,962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 (c) (e)</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336,882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418,745</w:t>
            </w: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Mortgage servicing rights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1,043,995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1,043,995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1,008,844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1,090,707</w:t>
            </w: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Disclosed, but not carried, at fair value.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11 – Borrowings for additional information</w:t>
      </w:r>
      <w:r>
        <w:rPr>
          <w:rFonts w:ascii="Arial" w:cs="Arial" w:eastAsia="Arial" w:hAnsi="Arial"/>
          <w:sz w:val="16"/>
          <w:szCs w:val="16"/>
          <w:b w:val="1"/>
          <w:bCs w:val="1"/>
          <w:color w:val="auto"/>
        </w:rPr>
        <w:t>.</w:t>
      </w:r>
    </w:p>
    <w:p>
      <w:pPr>
        <w:spacing w:after="0" w:line="5" w:lineRule="exact"/>
        <w:rPr>
          <w:rFonts w:ascii="Arial" w:cs="Arial" w:eastAsia="Arial" w:hAnsi="Arial"/>
          <w:sz w:val="16"/>
          <w:szCs w:val="16"/>
          <w:color w:val="auto"/>
        </w:rPr>
      </w:pPr>
    </w:p>
    <w:p>
      <w:pPr>
        <w:ind w:left="500" w:right="80" w:hanging="492"/>
        <w:spacing w:after="0" w:line="250"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Effective January 1, 2018, we elected fair value accounting for our MSRs previously accounted for using the amortization method, which included Agency MSRs and government-insured MSRs. The balance at December 31, 2017 includes the impaired government-insured stratum of amortization method MSRs, which was measured at fair value on a non-recurring basis and reported net of the valuation allowance. At December 31, 2017, the carrying value of this stratum was $158.0 million before applying the valuation allowance of $24.8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17" w:name="page18"/>
    <w:bookmarkEnd w:id="17"/>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5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8"/>
        </w:trPr>
        <w:tc>
          <w:tcPr>
            <w:tcW w:w="3820" w:type="dxa"/>
            <w:vAlign w:val="bottom"/>
            <w:gridSpan w:val="3"/>
          </w:tcPr>
          <w:p>
            <w:pPr>
              <w:ind w:left="40"/>
              <w:spacing w:after="0"/>
              <w:rPr>
                <w:sz w:val="20"/>
                <w:szCs w:val="20"/>
                <w:color w:val="auto"/>
              </w:rPr>
            </w:pPr>
            <w:r>
              <w:rPr>
                <w:rFonts w:ascii="Arial" w:cs="Arial" w:eastAsia="Arial" w:hAnsi="Arial"/>
                <w:sz w:val="18"/>
                <w:szCs w:val="18"/>
                <w:b w:val="1"/>
                <w:bCs w:val="1"/>
                <w:color w:val="auto"/>
              </w:rPr>
              <w:t>Three months ended June 30, 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4,988,151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(4,838,193)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(715,924)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1,866</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1,074,247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511,826</w:t>
            </w: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w w:val="88"/>
              </w:rPr>
              <w:t>Purchases, issuances, sales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3,602</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236,386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(276,751)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(40,982)</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100,737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47,202</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Transfers (to) from:</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r>
      <w:tr>
        <w:trPr>
          <w:trHeight w:val="229"/>
        </w:trPr>
        <w:tc>
          <w:tcPr>
            <w:tcW w:w="2520" w:type="dxa"/>
            <w:vAlign w:val="bottom"/>
          </w:tcPr>
          <w:p>
            <w:pPr>
              <w:ind w:left="380"/>
              <w:spacing w:after="0"/>
              <w:rPr>
                <w:sz w:val="20"/>
                <w:szCs w:val="20"/>
                <w:color w:val="auto"/>
              </w:rPr>
            </w:pPr>
            <w:r>
              <w:rPr>
                <w:rFonts w:ascii="Arial" w:cs="Arial" w:eastAsia="Arial" w:hAnsi="Arial"/>
                <w:sz w:val="18"/>
                <w:szCs w:val="18"/>
                <w:color w:val="auto"/>
              </w:rPr>
              <w:t>Loans held for sale, at fair</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520" w:type="dxa"/>
            <w:vAlign w:val="bottom"/>
          </w:tcPr>
          <w:p>
            <w:pPr>
              <w:ind w:left="54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25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25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132,577</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(176,014)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49,962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2,866</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9,486</w:t>
            </w:r>
          </w:p>
        </w:tc>
      </w:tr>
      <w:tr>
        <w:trPr>
          <w:trHeight w:val="209"/>
        </w:trPr>
        <w:tc>
          <w:tcPr>
            <w:tcW w:w="2520" w:type="dxa"/>
            <w:vAlign w:val="bottom"/>
          </w:tcPr>
          <w:p>
            <w:pPr>
              <w:ind w:left="18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16"/>
        </w:trPr>
        <w:tc>
          <w:tcPr>
            <w:tcW w:w="2520" w:type="dxa"/>
            <w:vAlign w:val="bottom"/>
          </w:tcPr>
          <w:p>
            <w:pPr>
              <w:ind w:left="340"/>
              <w:spacing w:after="0"/>
              <w:rPr>
                <w:sz w:val="20"/>
                <w:szCs w:val="20"/>
                <w:color w:val="auto"/>
              </w:rPr>
            </w:pPr>
            <w:r>
              <w:rPr>
                <w:rFonts w:ascii="Arial" w:cs="Arial" w:eastAsia="Arial" w:hAnsi="Arial"/>
                <w:sz w:val="18"/>
                <w:szCs w:val="18"/>
                <w:color w:val="auto"/>
              </w:rPr>
              <w:t>gains (losses) included in</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23,030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(26,776)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(33,118)</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(45,184)</w:t>
            </w:r>
          </w:p>
        </w:tc>
      </w:tr>
      <w:tr>
        <w:trPr>
          <w:trHeight w:val="243"/>
        </w:trPr>
        <w:tc>
          <w:tcPr>
            <w:tcW w:w="2520" w:type="dxa"/>
            <w:vAlign w:val="bottom"/>
          </w:tcPr>
          <w:p>
            <w:pPr>
              <w:ind w:left="380"/>
              <w:spacing w:after="0"/>
              <w:rPr>
                <w:sz w:val="20"/>
                <w:szCs w:val="20"/>
                <w:color w:val="auto"/>
              </w:rPr>
            </w:pPr>
            <w:r>
              <w:rPr>
                <w:rFonts w:ascii="Arial" w:cs="Arial" w:eastAsia="Arial" w:hAnsi="Arial"/>
                <w:sz w:val="18"/>
                <w:szCs w:val="18"/>
                <w:color w:val="auto"/>
              </w:rPr>
              <w:t>Calls and other</w:t>
            </w:r>
          </w:p>
        </w:tc>
        <w:tc>
          <w:tcPr>
            <w:tcW w:w="1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1,412</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25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23,030</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(26,776)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(33,118)</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(43,772)</w:t>
            </w:r>
          </w:p>
        </w:tc>
      </w:tr>
      <w:tr>
        <w:trPr>
          <w:trHeight w:val="209"/>
        </w:trPr>
        <w:tc>
          <w:tcPr>
            <w:tcW w:w="2520" w:type="dxa"/>
            <w:vAlign w:val="bottom"/>
          </w:tcPr>
          <w:p>
            <w:pPr>
              <w:ind w:left="180"/>
              <w:spacing w:after="0"/>
              <w:rPr>
                <w:sz w:val="20"/>
                <w:szCs w:val="20"/>
                <w:color w:val="auto"/>
              </w:rPr>
            </w:pPr>
            <w:r>
              <w:rPr>
                <w:rFonts w:ascii="Arial" w:cs="Arial" w:eastAsia="Arial" w:hAnsi="Arial"/>
                <w:sz w:val="18"/>
                <w:szCs w:val="18"/>
                <w:color w:val="auto"/>
              </w:rPr>
              <w:t>Transfers in and / or out of</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5,143,758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(5,040,983)</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(672,619)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1,043,995</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477,540</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46"/>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MSRs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5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8"/>
        </w:trPr>
        <w:tc>
          <w:tcPr>
            <w:tcW w:w="3820" w:type="dxa"/>
            <w:vAlign w:val="bottom"/>
            <w:gridSpan w:val="3"/>
          </w:tcPr>
          <w:p>
            <w:pPr>
              <w:ind w:left="40"/>
              <w:spacing w:after="0"/>
              <w:rPr>
                <w:sz w:val="20"/>
                <w:szCs w:val="20"/>
                <w:color w:val="auto"/>
              </w:rPr>
            </w:pPr>
            <w:r>
              <w:rPr>
                <w:rFonts w:ascii="Arial" w:cs="Arial" w:eastAsia="Arial" w:hAnsi="Arial"/>
                <w:sz w:val="18"/>
                <w:szCs w:val="18"/>
                <w:b w:val="1"/>
                <w:bCs w:val="1"/>
                <w:color w:val="auto"/>
              </w:rPr>
              <w:t>Three months ended June 30, 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3,916,387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(3,739,265)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8,658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(459,187)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651,987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380,842</w:t>
            </w: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w w:val="88"/>
              </w:rPr>
              <w:t>Purchases, issuances, sales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351,392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(7,023)</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(112,279)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101,132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5,005</w:t>
            </w: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Transfers (to) from:</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r>
      <w:tr>
        <w:trPr>
          <w:trHeight w:val="243"/>
        </w:trPr>
        <w:tc>
          <w:tcPr>
            <w:tcW w:w="25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(1,423)</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25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237,690</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(256,572)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16,194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(3,443)</w:t>
            </w:r>
          </w:p>
        </w:tc>
      </w:tr>
      <w:tr>
        <w:trPr>
          <w:trHeight w:val="209"/>
        </w:trPr>
        <w:tc>
          <w:tcPr>
            <w:tcW w:w="2520" w:type="dxa"/>
            <w:vAlign w:val="bottom"/>
          </w:tcPr>
          <w:p>
            <w:pPr>
              <w:ind w:left="18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16"/>
        </w:trPr>
        <w:tc>
          <w:tcPr>
            <w:tcW w:w="2520" w:type="dxa"/>
            <w:vAlign w:val="bottom"/>
          </w:tcPr>
          <w:p>
            <w:pPr>
              <w:ind w:left="340"/>
              <w:spacing w:after="0"/>
              <w:rPr>
                <w:sz w:val="20"/>
                <w:szCs w:val="20"/>
                <w:color w:val="auto"/>
              </w:rPr>
            </w:pPr>
            <w:r>
              <w:rPr>
                <w:rFonts w:ascii="Arial" w:cs="Arial" w:eastAsia="Arial" w:hAnsi="Arial"/>
                <w:sz w:val="18"/>
                <w:szCs w:val="18"/>
                <w:color w:val="auto"/>
              </w:rPr>
              <w:t>gains (losses) included in</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69,699</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(65,789)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(25,624)</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(19,683)</w:t>
            </w: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rPr>
              <w:t>Transfers in and / or out of</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4,223,776</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(4,061,626)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8,986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(441,007)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1,937</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625,650</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357,716</w:t>
            </w: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46"/>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Mortgage-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Reverse</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backed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Securities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Pledged</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w w:val="85"/>
              </w:rPr>
              <w:t>Six months ended June 30, 2018</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4,715,831</w:t>
            </w:r>
          </w:p>
        </w:tc>
        <w:tc>
          <w:tcPr>
            <w:tcW w:w="1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(4,601,556)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(508,291)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671,962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281,594</w:t>
            </w: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w w:val="97"/>
              </w:rPr>
              <w:t>Purchases, issuances, sales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and settlements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5,885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5,980</w:t>
            </w: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487,472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(499,576)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(294,065)</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(186,216)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181,548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99,470</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4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Transfers (to) from:</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r>
      <w:tr>
        <w:trPr>
          <w:trHeight w:val="229"/>
        </w:trPr>
        <w:tc>
          <w:tcPr>
            <w:tcW w:w="2420" w:type="dxa"/>
            <w:vAlign w:val="bottom"/>
          </w:tcPr>
          <w:p>
            <w:pPr>
              <w:ind w:left="380"/>
              <w:spacing w:after="0"/>
              <w:rPr>
                <w:sz w:val="20"/>
                <w:szCs w:val="20"/>
                <w:color w:val="auto"/>
              </w:rPr>
            </w:pPr>
            <w:r>
              <w:rPr>
                <w:rFonts w:ascii="Arial" w:cs="Arial" w:eastAsia="Arial" w:hAnsi="Arial"/>
                <w:sz w:val="18"/>
                <w:szCs w:val="18"/>
                <w:color w:val="auto"/>
                <w:w w:val="94"/>
              </w:rPr>
              <w:t>MSRs carried at amortized</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2420" w:type="dxa"/>
            <w:vAlign w:val="bottom"/>
          </w:tcPr>
          <w:p>
            <w:pPr>
              <w:ind w:left="380"/>
              <w:spacing w:after="0"/>
              <w:rPr>
                <w:sz w:val="20"/>
                <w:szCs w:val="20"/>
                <w:color w:val="auto"/>
              </w:rPr>
            </w:pPr>
            <w:r>
              <w:rPr>
                <w:rFonts w:ascii="Arial" w:cs="Arial" w:eastAsia="Arial" w:hAnsi="Arial"/>
                <w:sz w:val="18"/>
                <w:szCs w:val="18"/>
                <w:color w:val="auto"/>
              </w:rPr>
              <w:t>cost, net of valuation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420" w:type="dxa"/>
            <w:vAlign w:val="bottom"/>
          </w:tcPr>
          <w:p>
            <w:pPr>
              <w:ind w:left="380"/>
              <w:spacing w:after="0"/>
              <w:rPr>
                <w:sz w:val="20"/>
                <w:szCs w:val="20"/>
                <w:color w:val="auto"/>
              </w:rPr>
            </w:pPr>
            <w:r>
              <w:rPr>
                <w:rFonts w:ascii="Arial" w:cs="Arial" w:eastAsia="Arial" w:hAnsi="Arial"/>
                <w:sz w:val="18"/>
                <w:szCs w:val="18"/>
                <w:color w:val="auto"/>
              </w:rPr>
              <w:t>allowance</w:t>
            </w: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418,925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418,925</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420" w:type="dxa"/>
            <w:vAlign w:val="bottom"/>
            <w:shd w:val="clear" w:color="auto" w:fill="EAF9E8"/>
          </w:tcPr>
          <w:p>
            <w:pPr>
              <w:ind w:left="380"/>
              <w:spacing w:after="0"/>
              <w:rPr>
                <w:sz w:val="20"/>
                <w:szCs w:val="20"/>
                <w:color w:val="auto"/>
              </w:rPr>
            </w:pPr>
            <w:r>
              <w:rPr>
                <w:rFonts w:ascii="Arial" w:cs="Arial" w:eastAsia="Arial" w:hAnsi="Arial"/>
                <w:sz w:val="18"/>
                <w:szCs w:val="18"/>
                <w:color w:val="auto"/>
                <w:w w:val="97"/>
              </w:rPr>
              <w:t>Loans held for sale, at fair</w:t>
            </w:r>
          </w:p>
        </w:tc>
        <w:tc>
          <w:tcPr>
            <w:tcW w:w="1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37"/>
        </w:trPr>
        <w:tc>
          <w:tcPr>
            <w:tcW w:w="2420" w:type="dxa"/>
            <w:vAlign w:val="bottom"/>
            <w:tcBorders>
              <w:bottom w:val="single" w:sz="8" w:color="EAF9E8"/>
            </w:tcBorders>
            <w:shd w:val="clear" w:color="auto" w:fill="EAF9E8"/>
          </w:tcPr>
          <w:p>
            <w:pPr>
              <w:ind w:left="54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(441)</w:t>
            </w: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Receivables, net</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2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300,606</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422,280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229,505</w:t>
            </w:r>
          </w:p>
        </w:tc>
      </w:tr>
      <w:tr>
        <w:trPr>
          <w:trHeight w:val="27"/>
        </w:trPr>
        <w:tc>
          <w:tcPr>
            <w:tcW w:w="24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42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6"/>
              </w:rPr>
              <w:t>Total realized and unrealized</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16"/>
        </w:trPr>
        <w:tc>
          <w:tcPr>
            <w:tcW w:w="2420" w:type="dxa"/>
            <w:vAlign w:val="bottom"/>
            <w:shd w:val="clear" w:color="auto" w:fill="EAF9E8"/>
          </w:tcPr>
          <w:p>
            <w:pPr>
              <w:ind w:left="340"/>
              <w:spacing w:after="0"/>
              <w:rPr>
                <w:sz w:val="20"/>
                <w:szCs w:val="20"/>
                <w:color w:val="auto"/>
              </w:rPr>
            </w:pPr>
            <w:r>
              <w:rPr>
                <w:rFonts w:ascii="Arial" w:cs="Arial" w:eastAsia="Arial" w:hAnsi="Arial"/>
                <w:sz w:val="18"/>
                <w:szCs w:val="18"/>
                <w:color w:val="auto"/>
              </w:rPr>
              <w:t>gains (losses) included in</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2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Change in fair value</w:t>
            </w:r>
          </w:p>
        </w:tc>
        <w:tc>
          <w:tcPr>
            <w:tcW w:w="1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127,321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(121,399)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(35,666)</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4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Calls and other</w:t>
            </w:r>
          </w:p>
        </w:tc>
        <w:tc>
          <w:tcPr>
            <w:tcW w:w="14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2,107</w:t>
            </w:r>
          </w:p>
        </w:tc>
      </w:tr>
      <w:tr>
        <w:trPr>
          <w:trHeight w:val="237"/>
        </w:trPr>
        <w:tc>
          <w:tcPr>
            <w:tcW w:w="2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127,321</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(33,559)</w:t>
            </w:r>
          </w:p>
        </w:tc>
      </w:tr>
      <w:tr>
        <w:trPr>
          <w:trHeight w:val="27"/>
        </w:trPr>
        <w:tc>
          <w:tcPr>
            <w:tcW w:w="24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4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Transfers in and / or out of</w:t>
            </w:r>
          </w:p>
        </w:tc>
        <w:tc>
          <w:tcPr>
            <w:tcW w:w="1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57"/>
        </w:trPr>
        <w:tc>
          <w:tcPr>
            <w:tcW w:w="24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5,143,758</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(5,040,983)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(672,619)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1,043,995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477,540</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6"/>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2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88"/>
              </w:rPr>
              <w:t>Six months ended June 30, 2017</w:t>
            </w: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3,565,716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(3,433,781)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8,342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(477,707)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679,256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343,662</w:t>
            </w:r>
          </w:p>
        </w:tc>
        <w:tc>
          <w:tcPr>
            <w:tcW w:w="0" w:type="dxa"/>
            <w:vAlign w:val="bottom"/>
          </w:tcPr>
          <w:p>
            <w:pPr>
              <w:spacing w:after="0"/>
              <w:rPr>
                <w:sz w:val="1"/>
                <w:szCs w:val="1"/>
                <w:color w:val="auto"/>
              </w:rPr>
            </w:pP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w w:val="88"/>
              </w:rPr>
              <w:t>Purchases, issuances, sales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698,473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32,603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(192,569)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16,813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Transfers (to) from:</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504,481</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(488,222)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33,193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47,763</w:t>
            </w:r>
          </w:p>
        </w:tc>
        <w:tc>
          <w:tcPr>
            <w:tcW w:w="0" w:type="dxa"/>
            <w:vAlign w:val="bottom"/>
          </w:tcPr>
          <w:p>
            <w:pPr>
              <w:spacing w:after="0"/>
              <w:rPr>
                <w:sz w:val="1"/>
                <w:szCs w:val="1"/>
                <w:color w:val="auto"/>
              </w:rPr>
            </w:pPr>
          </w:p>
        </w:tc>
      </w:tr>
      <w:tr>
        <w:trPr>
          <w:trHeight w:val="209"/>
        </w:trPr>
        <w:tc>
          <w:tcPr>
            <w:tcW w:w="2520" w:type="dxa"/>
            <w:vAlign w:val="bottom"/>
          </w:tcPr>
          <w:p>
            <w:pPr>
              <w:ind w:left="180"/>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340"/>
              <w:spacing w:after="0"/>
              <w:rPr>
                <w:sz w:val="20"/>
                <w:szCs w:val="20"/>
                <w:color w:val="auto"/>
              </w:rPr>
            </w:pPr>
            <w:r>
              <w:rPr>
                <w:rFonts w:ascii="Arial" w:cs="Arial" w:eastAsia="Arial" w:hAnsi="Arial"/>
                <w:sz w:val="18"/>
                <w:szCs w:val="18"/>
                <w:color w:val="auto"/>
              </w:rPr>
              <w:t>gains (losses) included in</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153,579</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(139,623)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(51,959)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(33,709)</w:t>
            </w:r>
          </w:p>
        </w:tc>
        <w:tc>
          <w:tcPr>
            <w:tcW w:w="0" w:type="dxa"/>
            <w:vAlign w:val="bottom"/>
          </w:tcPr>
          <w:p>
            <w:pPr>
              <w:spacing w:after="0"/>
              <w:rPr>
                <w:sz w:val="1"/>
                <w:szCs w:val="1"/>
                <w:color w:val="auto"/>
              </w:rPr>
            </w:pP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rPr>
              <w:t>Transfers in and / or out of</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4,223,776</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(4,061,626)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8,986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(441,007)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1,937</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625,650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357,716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8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loans for which we have no agreement to sell on the expected future cash flows discounted at a rate commensurate with the risk of the estimated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measure these loans at fair value based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780" w:type="dxa"/>
            <w:vAlign w:val="bottom"/>
            <w:gridSpan w:val="2"/>
          </w:tcPr>
          <w:p>
            <w:pPr>
              <w:ind w:left="500"/>
              <w:spacing w:after="0"/>
              <w:rPr>
                <w:sz w:val="20"/>
                <w:szCs w:val="20"/>
                <w:color w:val="auto"/>
              </w:rPr>
            </w:pPr>
            <w:r>
              <w:rPr>
                <w:rFonts w:ascii="Arial" w:cs="Arial" w:eastAsia="Arial" w:hAnsi="Arial"/>
                <w:sz w:val="18"/>
                <w:szCs w:val="18"/>
                <w:b w:val="1"/>
                <w:bCs w:val="1"/>
                <w:color w:val="auto"/>
              </w:rPr>
              <w:t>June 30,</w:t>
            </w:r>
          </w:p>
        </w:tc>
        <w:tc>
          <w:tcPr>
            <w:tcW w:w="1660" w:type="dxa"/>
            <w:vAlign w:val="bottom"/>
          </w:tcPr>
          <w:p>
            <w:pPr>
              <w:spacing w:after="0"/>
              <w:rPr>
                <w:sz w:val="18"/>
                <w:szCs w:val="18"/>
                <w:color w:val="auto"/>
              </w:rPr>
            </w:pPr>
          </w:p>
        </w:tc>
      </w:tr>
      <w:tr>
        <w:trPr>
          <w:trHeight w:val="234"/>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7980" w:type="dxa"/>
            <w:vAlign w:val="bottom"/>
            <w:tcBorders>
              <w:bottom w:val="single" w:sz="8" w:color="EAF9E8"/>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Life in years</w:t>
            </w:r>
          </w:p>
        </w:tc>
        <w:tc>
          <w:tcPr>
            <w:tcW w:w="1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3.3 to 9.0</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4.4 to 8.1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6.1% to 45.8%</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 to 51.9%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Discount rate</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9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understand the processes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Mortgage prepayment speeds</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Delinquency rates</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Cost of servicing</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w w:val="96"/>
              </w:rPr>
              <w:t>Interest rate used for computing the cost of financing servicing</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240" w:type="dxa"/>
            <w:vAlign w:val="bottom"/>
          </w:tcPr>
          <w:p>
            <w:pPr>
              <w:spacing w:after="0"/>
              <w:rPr>
                <w:sz w:val="20"/>
                <w:szCs w:val="20"/>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advances</w:t>
            </w:r>
          </w:p>
        </w:tc>
        <w:tc>
          <w:tcPr>
            <w:tcW w:w="5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sale, including transactions where we have executed letters of intent, in which case the fair value of the MSRs is disclosed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24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5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5"/>
          </w:tcPr>
          <w:p>
            <w:pPr>
              <w:ind w:left="920"/>
              <w:spacing w:after="0"/>
              <w:rPr>
                <w:sz w:val="20"/>
                <w:szCs w:val="20"/>
                <w:color w:val="auto"/>
              </w:rPr>
            </w:pPr>
            <w:r>
              <w:rPr>
                <w:rFonts w:ascii="Arial" w:cs="Arial" w:eastAsia="Arial" w:hAnsi="Arial"/>
                <w:sz w:val="18"/>
                <w:szCs w:val="18"/>
                <w:b w:val="1"/>
                <w:bCs w:val="1"/>
                <w:color w:val="auto"/>
              </w:rPr>
              <w:t>June 30, 2018</w:t>
            </w:r>
          </w:p>
        </w:tc>
        <w:tc>
          <w:tcPr>
            <w:tcW w:w="32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 (1)</w:t>
            </w:r>
          </w:p>
        </w:tc>
        <w:tc>
          <w:tcPr>
            <w:tcW w:w="18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Non-Agency</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Agency</w:t>
            </w:r>
          </w:p>
        </w:tc>
        <w:tc>
          <w:tcPr>
            <w:tcW w:w="1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Non-Agency</w:t>
            </w:r>
          </w:p>
        </w:tc>
      </w:tr>
      <w:tr>
        <w:trPr>
          <w:trHeight w:val="27"/>
        </w:trPr>
        <w:tc>
          <w:tcPr>
            <w:tcW w:w="45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26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5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5-yr swap plus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5-yr swap plus</w:t>
            </w:r>
          </w:p>
        </w:tc>
      </w:tr>
      <w:tr>
        <w:trPr>
          <w:trHeight w:val="237"/>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26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gridSpan w:val="2"/>
            <w:shd w:val="clear" w:color="auto" w:fill="EAF9E8"/>
          </w:tcPr>
          <w:p>
            <w:pPr>
              <w:ind w:left="300"/>
              <w:spacing w:after="0"/>
              <w:rPr>
                <w:sz w:val="20"/>
                <w:szCs w:val="20"/>
                <w:color w:val="auto"/>
              </w:rPr>
            </w:pPr>
            <w:r>
              <w:rPr>
                <w:rFonts w:ascii="Arial" w:cs="Arial" w:eastAsia="Arial" w:hAnsi="Arial"/>
                <w:sz w:val="18"/>
                <w:szCs w:val="18"/>
                <w:color w:val="auto"/>
              </w:rPr>
              <w:t>5-year swap</w:t>
            </w:r>
          </w:p>
        </w:tc>
        <w:tc>
          <w:tcPr>
            <w:tcW w:w="18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gridSpan w:val="2"/>
            <w:shd w:val="clear" w:color="auto" w:fill="EAF9E8"/>
          </w:tcPr>
          <w:p>
            <w:pPr>
              <w:ind w:left="260"/>
              <w:spacing w:after="0"/>
              <w:rPr>
                <w:sz w:val="20"/>
                <w:szCs w:val="20"/>
                <w:color w:val="auto"/>
              </w:rPr>
            </w:pPr>
            <w:r>
              <w:rPr>
                <w:rFonts w:ascii="Arial" w:cs="Arial" w:eastAsia="Arial" w:hAnsi="Arial"/>
                <w:sz w:val="18"/>
                <w:szCs w:val="18"/>
                <w:color w:val="auto"/>
              </w:rPr>
              <w:t>5-year swap</w:t>
            </w:r>
          </w:p>
        </w:tc>
        <w:tc>
          <w:tcPr>
            <w:tcW w:w="18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2.75%</w:t>
            </w:r>
          </w:p>
        </w:tc>
      </w:tr>
      <w:tr>
        <w:trPr>
          <w:trHeight w:val="229"/>
        </w:trPr>
        <w:tc>
          <w:tcPr>
            <w:tcW w:w="4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5-yr swap minus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w w:val="96"/>
              </w:rPr>
              <w:t>5-yr swap minus</w:t>
            </w: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260" w:type="dxa"/>
            <w:vAlign w:val="bottom"/>
          </w:tcPr>
          <w:p>
            <w:pPr>
              <w:spacing w:after="0"/>
              <w:rPr>
                <w:sz w:val="20"/>
                <w:szCs w:val="20"/>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0.50%</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305</w:t>
            </w:r>
          </w:p>
        </w:tc>
      </w:tr>
    </w:tbl>
    <w:p>
      <w:pPr>
        <w:spacing w:after="0" w:line="125" w:lineRule="exact"/>
        <w:rPr>
          <w:sz w:val="20"/>
          <w:szCs w:val="20"/>
          <w:color w:val="auto"/>
        </w:rPr>
      </w:pPr>
    </w:p>
    <w:p>
      <w:pPr>
        <w:ind w:left="500" w:right="380" w:hanging="492"/>
        <w:spacing w:after="0" w:line="27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Valuation assumptions for Agency MSRs at June 30, 2018 include assumptions for MSRs we carried at amortized cost at December 31, 2017. Effective January 1, 2018, we elected fair value accounting for our remaining MSRs that we had previously carried at amortized cost.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Prior to our fair value election on January 1, 2018 for our remaining portfolio of MSRs carried at amortized cost, we estimated the fair value using a process that involved either actual sale prices obtained or the use of independent third-party valuation experts, supported by commercially available discounted cash flow models and analysis of current market data. To provide greater price transparency to investors, we disclosed actual Ocwen sale prices for orderly transactions where available in lieu of third-party valuations.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December 31, 2017</w:t>
            </w:r>
          </w:p>
        </w:tc>
      </w:tr>
      <w:tr>
        <w:trPr>
          <w:trHeight w:val="27"/>
        </w:trPr>
        <w:tc>
          <w:tcPr>
            <w:tcW w:w="9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9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5-year swap</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3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5-year swap</w:t>
            </w:r>
          </w:p>
        </w:tc>
      </w:tr>
      <w:tr>
        <w:trPr>
          <w:trHeight w:val="27"/>
        </w:trPr>
        <w:tc>
          <w:tcPr>
            <w:tcW w:w="9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108</w:t>
            </w:r>
          </w:p>
        </w:tc>
      </w:tr>
    </w:tbl>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performed an impairment analysis based on the difference between the carrying amount and fair value after grouping the underlying loans into the applicable strata, which we defined as conventional and government-insured.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Notes</w:t>
      </w:r>
    </w:p>
    <w:p>
      <w:pPr>
        <w:spacing w:after="0" w:line="121"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classify U.S. Treasury notes as trading securities and account for them at fair value on a recurring basis. We base the fair value on quoted prices in active markets to which we have access. Changes in the fair value of our investment in U.S. Treasury notes are recognized in Other, net in the consolidated statements of operations.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5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jc w:val="both"/>
        <w:ind w:right="540" w:firstLine="324"/>
        <w:spacing w:after="0" w:line="257" w:lineRule="auto"/>
        <w:rPr>
          <w:sz w:val="20"/>
          <w:szCs w:val="20"/>
          <w:color w:val="auto"/>
        </w:rPr>
      </w:pPr>
      <w:r>
        <w:rPr>
          <w:rFonts w:ascii="Arial" w:cs="Arial" w:eastAsia="Arial" w:hAnsi="Arial"/>
          <w:sz w:val="18"/>
          <w:szCs w:val="18"/>
          <w:color w:val="auto"/>
        </w:rPr>
        <w:t>We have elected to measure these borrowings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The discount rate assumption for these liabilities is based on an assessment of current market yields for newly issued HMBS, expected duration and current market interest rates.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780" w:type="dxa"/>
            <w:vAlign w:val="bottom"/>
            <w:gridSpan w:val="2"/>
          </w:tcPr>
          <w:p>
            <w:pPr>
              <w:ind w:left="500"/>
              <w:spacing w:after="0"/>
              <w:rPr>
                <w:sz w:val="20"/>
                <w:szCs w:val="20"/>
                <w:color w:val="auto"/>
              </w:rPr>
            </w:pPr>
            <w:r>
              <w:rPr>
                <w:rFonts w:ascii="Arial" w:cs="Arial" w:eastAsia="Arial" w:hAnsi="Arial"/>
                <w:sz w:val="18"/>
                <w:szCs w:val="18"/>
                <w:b w:val="1"/>
                <w:bCs w:val="1"/>
                <w:color w:val="auto"/>
              </w:rPr>
              <w:t>June 30,</w:t>
            </w:r>
          </w:p>
        </w:tc>
        <w:tc>
          <w:tcPr>
            <w:tcW w:w="1660" w:type="dxa"/>
            <w:vAlign w:val="bottom"/>
          </w:tcPr>
          <w:p>
            <w:pPr>
              <w:spacing w:after="0"/>
              <w:rPr>
                <w:sz w:val="18"/>
                <w:szCs w:val="18"/>
                <w:color w:val="auto"/>
              </w:rPr>
            </w:pPr>
          </w:p>
        </w:tc>
      </w:tr>
      <w:tr>
        <w:trPr>
          <w:trHeight w:val="234"/>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7980" w:type="dxa"/>
            <w:vAlign w:val="bottom"/>
            <w:tcBorders>
              <w:bottom w:val="single" w:sz="8" w:color="EAF9E8"/>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Life in years</w:t>
            </w:r>
          </w:p>
        </w:tc>
        <w:tc>
          <w:tcPr>
            <w:tcW w:w="1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3.3 to 9.0</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4.4 to 8.1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6.1% to 45.8%</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 to 51.9%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Discount rate</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9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66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 (Rights to MSRs)</w:t>
      </w:r>
    </w:p>
    <w:p>
      <w:pPr>
        <w:spacing w:after="0" w:line="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have elected to measure these borrowings at fair value. We recognize the proceeds received in connection with Rights to MSRs transactions as a secured borrowing that we account for at fair value.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 Because we have elected fair value for our portfolio of non-Agency MSRs, fair value changes in the Financing Liability - MSRs Pledged are partially offset by changes in the fair value of the related MSRs. See Note 8 — Rights to MSRs for additional information.</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December 31, 2017</w:t>
            </w:r>
          </w:p>
        </w:tc>
      </w:tr>
      <w:tr>
        <w:trPr>
          <w:trHeight w:val="27"/>
        </w:trPr>
        <w:tc>
          <w:tcPr>
            <w:tcW w:w="4500" w:type="dxa"/>
            <w:vAlign w:val="bottom"/>
            <w:tcBorders>
              <w:bottom w:val="single" w:sz="8" w:color="EAF9E8"/>
            </w:tcBorders>
          </w:tcPr>
          <w:p>
            <w:pPr>
              <w:spacing w:after="0"/>
              <w:rPr>
                <w:sz w:val="2"/>
                <w:szCs w:val="2"/>
                <w:color w:val="auto"/>
              </w:rPr>
            </w:pPr>
          </w:p>
        </w:tc>
        <w:tc>
          <w:tcPr>
            <w:tcW w:w="348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348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4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500" w:type="dxa"/>
            <w:vAlign w:val="bottom"/>
            <w:shd w:val="clear" w:color="auto" w:fill="EAF9E8"/>
          </w:tcPr>
          <w:p>
            <w:pPr>
              <w:spacing w:after="0"/>
              <w:rPr>
                <w:sz w:val="19"/>
                <w:szCs w:val="19"/>
                <w:color w:val="auto"/>
              </w:rPr>
            </w:pPr>
          </w:p>
        </w:tc>
        <w:tc>
          <w:tcPr>
            <w:tcW w:w="34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56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5-yr swap plus</w:t>
            </w:r>
          </w:p>
        </w:tc>
        <w:tc>
          <w:tcPr>
            <w:tcW w:w="120" w:type="dxa"/>
            <w:vAlign w:val="bottom"/>
            <w:shd w:val="clear" w:color="auto" w:fill="EAF9E8"/>
          </w:tcPr>
          <w:p>
            <w:pPr>
              <w:spacing w:after="0"/>
              <w:rPr>
                <w:sz w:val="19"/>
                <w:szCs w:val="19"/>
                <w:color w:val="auto"/>
              </w:rPr>
            </w:pPr>
          </w:p>
        </w:tc>
        <w:tc>
          <w:tcPr>
            <w:tcW w:w="15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5-year swap plus</w:t>
            </w:r>
          </w:p>
        </w:tc>
      </w:tr>
      <w:tr>
        <w:trPr>
          <w:trHeight w:val="237"/>
        </w:trPr>
        <w:tc>
          <w:tcPr>
            <w:tcW w:w="45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348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5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2.75%</w:t>
            </w:r>
          </w:p>
        </w:tc>
      </w:tr>
      <w:tr>
        <w:trPr>
          <w:trHeight w:val="229"/>
        </w:trPr>
        <w:tc>
          <w:tcPr>
            <w:tcW w:w="45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5-yr swap minus</w:t>
            </w:r>
          </w:p>
        </w:tc>
        <w:tc>
          <w:tcPr>
            <w:tcW w:w="1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w w:val="90"/>
              </w:rPr>
              <w:t>5-year swap minus</w:t>
            </w: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0.50%</w:t>
            </w:r>
          </w:p>
        </w:tc>
      </w:tr>
      <w:tr>
        <w:trPr>
          <w:trHeight w:val="27"/>
        </w:trPr>
        <w:tc>
          <w:tcPr>
            <w:tcW w:w="45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348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3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311</w:t>
            </w:r>
          </w:p>
        </w:tc>
      </w:tr>
      <w:tr>
        <w:trPr>
          <w:trHeight w:val="351"/>
        </w:trPr>
        <w:tc>
          <w:tcPr>
            <w:tcW w:w="9740" w:type="dxa"/>
            <w:vAlign w:val="bottom"/>
            <w:gridSpan w:val="5"/>
          </w:tcPr>
          <w:p>
            <w:pPr>
              <w:ind w:left="340"/>
              <w:spacing w:after="0"/>
              <w:rPr>
                <w:sz w:val="20"/>
                <w:szCs w:val="20"/>
                <w:color w:val="auto"/>
              </w:rPr>
            </w:pPr>
            <w:r>
              <w:rPr>
                <w:rFonts w:ascii="Arial" w:cs="Arial" w:eastAsia="Arial" w:hAnsi="Arial"/>
                <w:sz w:val="18"/>
                <w:szCs w:val="18"/>
                <w:color w:val="auto"/>
                <w:w w:val="95"/>
              </w:rPr>
              <w:t>Significant increases or decreases in these assumptions in isolation would result in a significantly higher or lower fair value.</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59"/>
        </w:trPr>
        <w:tc>
          <w:tcPr>
            <w:tcW w:w="4500" w:type="dxa"/>
            <w:vAlign w:val="bottom"/>
          </w:tcPr>
          <w:p>
            <w:pPr>
              <w:spacing w:after="0"/>
              <w:rPr>
                <w:sz w:val="24"/>
                <w:szCs w:val="24"/>
                <w:color w:val="auto"/>
              </w:rPr>
            </w:pPr>
          </w:p>
        </w:tc>
        <w:tc>
          <w:tcPr>
            <w:tcW w:w="3480" w:type="dxa"/>
            <w:vAlign w:val="bottom"/>
          </w:tcPr>
          <w:p>
            <w:pPr>
              <w:jc w:val="right"/>
              <w:ind w:right="209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Secured Notes</w:t>
      </w:r>
    </w:p>
    <w:p>
      <w:pPr>
        <w:spacing w:after="0" w:line="11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Senior Secured Term Loan (SSTL), we based the fair value on quoted prices in a market with limited trading activity.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or three-month Eurodollar rate (1ML or 3 ML, respectively) interest rates. The fair value for interest rate caps is based on counterparty market prices and adjusted for counterparty credit risk.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4 – Loans Held for Sale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Fair Value</w:t>
            </w: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284,632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497,980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1,547,169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(559,042)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(1,603,889)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Loans held for investment, at fair value</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21,030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9,396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(decrease) in fair value of loans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(10,872)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3,838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 (1)</w:t>
            </w:r>
          </w:p>
        </w:tc>
        <w:tc>
          <w:tcPr>
            <w:tcW w:w="36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153,906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239,490</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June 30, 2018 and 2017, the balances include $(5.9) million and $8.7 million, respectively, of fair value adjustments.</w:t>
      </w:r>
    </w:p>
    <w:p>
      <w:pPr>
        <w:spacing w:after="0" w:line="10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At June 30, 2018, loans held for sale, at fair value with a UPB of $59.0 million were pledged as collateral to warehouse lines of credit in our Lending segment.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Lower of Cost or Fair Value</w:t>
            </w: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29,374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340,601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696,306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(227,041)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(607,181)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(4,127)</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from:</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(78,514)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(96,918)</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Gain (loss) on sale of loans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(2,434)</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decrease in valuation allowance</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3,573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3,311</w:t>
            </w: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 (1)</w:t>
            </w:r>
          </w:p>
        </w:tc>
        <w:tc>
          <w:tcPr>
            <w:tcW w:w="36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55,547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21,469</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5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June 30, 2018 and 2017, the balances include $48.6 million and $16.0 million, respectively, of loans that we repurchased from Ginnie Mae guaranteed securitizations pursuant to Ginnie Mae servicing guidelines.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1"/>
              </w:rPr>
              <w:t>Valuation Allowance - Loans Held for Sale at Lower of Cost</w:t>
            </w: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or Fair Value</w:t>
            </w: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8,503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5,635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7,318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10,064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5"/>
              </w:rPr>
              <w:t>Transfer from Liability for indemnification obligations (Other</w:t>
            </w:r>
          </w:p>
        </w:tc>
        <w:tc>
          <w:tcPr>
            <w:tcW w:w="30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Gain on Loans Held for Sale, Net</w:t>
            </w: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 net</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MSRs retained on transfers of forward 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15,032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89"/>
              </w:rPr>
              <w:t>Fair value gains related to transfers of reverse mortgage loans,</w:t>
            </w:r>
          </w:p>
        </w:tc>
        <w:tc>
          <w:tcPr>
            <w:tcW w:w="30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net</w:t>
            </w:r>
          </w:p>
        </w:tc>
        <w:tc>
          <w:tcPr>
            <w:tcW w:w="30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16,481</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14,049</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27,449</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21,687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 on sale of repurchased Ginnie Mae loans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3,756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13,554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10,759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19,569</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12,904</w:t>
            </w: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32,375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52,428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53,379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IRLCs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5,813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(loss) on economic hedge instruments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24,393</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28,255</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44,193</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51,199</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5 – Advances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14,598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20,207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113,946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144,454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and other</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61,728</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63,597</w:t>
            </w:r>
          </w:p>
        </w:tc>
      </w:tr>
      <w:tr>
        <w:trPr>
          <w:trHeight w:val="237"/>
        </w:trPr>
        <w:tc>
          <w:tcPr>
            <w:tcW w:w="8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190,272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228,258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(16,485)</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(16,465)</w:t>
            </w:r>
          </w:p>
        </w:tc>
      </w:tr>
      <w:tr>
        <w:trPr>
          <w:trHeight w:val="237"/>
        </w:trPr>
        <w:tc>
          <w:tcPr>
            <w:tcW w:w="8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173,787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211,793</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Advances at June 30, 2018 and December 31, 2017 include $9.5 million and $18.1 million, respectively, of advances relating to sales of loans that did not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qualify for sale accounting.</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4700" w:type="dxa"/>
            <w:vAlign w:val="bottom"/>
            <w:gridSpan w:val="2"/>
          </w:tcPr>
          <w:p>
            <w:pPr>
              <w:ind w:left="320"/>
              <w:spacing w:after="0"/>
              <w:rPr>
                <w:sz w:val="20"/>
                <w:szCs w:val="20"/>
                <w:color w:val="auto"/>
              </w:rPr>
            </w:pPr>
            <w:r>
              <w:rPr>
                <w:rFonts w:ascii="Arial" w:cs="Arial" w:eastAsia="Arial" w:hAnsi="Arial"/>
                <w:sz w:val="18"/>
                <w:szCs w:val="18"/>
                <w:color w:val="auto"/>
                <w:w w:val="91"/>
              </w:rPr>
              <w:t>The following table summarizes the activity in net advances: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7"/>
          </w:tcPr>
          <w:p>
            <w:pPr>
              <w:ind w:left="40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ind w:left="42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7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211,793</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54"/>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257,882</w:t>
            </w:r>
          </w:p>
        </w:tc>
        <w:tc>
          <w:tcPr>
            <w:tcW w:w="20" w:type="dxa"/>
            <w:vAlign w:val="bottom"/>
            <w:tcBorders>
              <w:bottom w:val="single" w:sz="8" w:color="EAF9E8"/>
            </w:tcBorders>
            <w:shd w:val="clear" w:color="auto" w:fill="EAF9E8"/>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Sales of advances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Collections of advances, charge-offs and other, net</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(37,109)</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(56,218)</w:t>
            </w:r>
          </w:p>
        </w:tc>
        <w:tc>
          <w:tcPr>
            <w:tcW w:w="20" w:type="dxa"/>
            <w:vAlign w:val="bottom"/>
            <w:tcBorders>
              <w:bottom w:val="single" w:sz="8" w:color="EAF9E8"/>
            </w:tcBorders>
            <w:shd w:val="clear" w:color="auto" w:fill="EAF9E8"/>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(Increase) decrease in allowance for losses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17,624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7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173,787</w:t>
            </w:r>
          </w:p>
        </w:tc>
        <w:tc>
          <w:tcPr>
            <w:tcW w:w="20" w:type="dxa"/>
            <w:vAlign w:val="bottom"/>
            <w:tcBorders>
              <w:bottom w:val="single" w:sz="8" w:color="auto"/>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54"/>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219,214</w:t>
            </w:r>
          </w:p>
        </w:tc>
        <w:tc>
          <w:tcPr>
            <w:tcW w:w="20" w:type="dxa"/>
            <w:vAlign w:val="bottom"/>
            <w:tcBorders>
              <w:bottom w:val="single" w:sz="8" w:color="auto"/>
            </w:tcBorders>
            <w:shd w:val="clear" w:color="auto" w:fill="EAF9E8"/>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Allowance for Losses</w:t>
            </w:r>
          </w:p>
        </w:tc>
        <w:tc>
          <w:tcPr>
            <w:tcW w:w="28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4"/>
                <w:szCs w:val="24"/>
                <w:color w:val="auto"/>
              </w:rPr>
            </w:pPr>
          </w:p>
        </w:tc>
        <w:tc>
          <w:tcPr>
            <w:tcW w:w="3100" w:type="dxa"/>
            <w:vAlign w:val="bottom"/>
            <w:gridSpan w:val="7"/>
          </w:tcPr>
          <w:p>
            <w:pPr>
              <w:ind w:left="40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ind w:left="40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EAF9E8"/>
            </w:tcBorders>
          </w:tcPr>
          <w:p>
            <w:pPr>
              <w:spacing w:after="0"/>
              <w:rPr>
                <w:sz w:val="2"/>
                <w:szCs w:val="2"/>
                <w:color w:val="auto"/>
              </w:rPr>
            </w:pPr>
          </w:p>
        </w:tc>
        <w:tc>
          <w:tcPr>
            <w:tcW w:w="46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Borders>
              <w:bottom w:val="single" w:sz="8" w:color="EAF9E8"/>
            </w:tcBorders>
            <w:shd w:val="clear" w:color="auto" w:fill="EAF9E8"/>
          </w:tcPr>
          <w:p>
            <w:pPr>
              <w:spacing w:after="0"/>
              <w:rPr>
                <w:sz w:val="21"/>
                <w:szCs w:val="21"/>
                <w:color w:val="auto"/>
              </w:rPr>
            </w:pPr>
          </w:p>
        </w:tc>
        <w:tc>
          <w:tcPr>
            <w:tcW w:w="47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16,980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35,844</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16,465</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7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37,952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Provision</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EAF9E8"/>
            </w:tcBorders>
            <w:shd w:val="clear" w:color="auto" w:fill="EAF9E8"/>
          </w:tcPr>
          <w:p>
            <w:pPr>
              <w:spacing w:after="0"/>
              <w:rPr>
                <w:sz w:val="23"/>
                <w:szCs w:val="23"/>
                <w:color w:val="auto"/>
              </w:rPr>
            </w:pPr>
          </w:p>
        </w:tc>
        <w:tc>
          <w:tcPr>
            <w:tcW w:w="46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Net charge-offs and other</w:t>
            </w:r>
          </w:p>
        </w:tc>
        <w:tc>
          <w:tcPr>
            <w:tcW w:w="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(15,393)</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(3,481)</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(20,922)</w:t>
            </w:r>
          </w:p>
        </w:tc>
        <w:tc>
          <w:tcPr>
            <w:tcW w:w="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16,485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20,328</w:t>
            </w:r>
          </w:p>
        </w:tc>
        <w:tc>
          <w:tcPr>
            <w:tcW w:w="20" w:type="dxa"/>
            <w:vAlign w:val="bottom"/>
          </w:tcPr>
          <w:p>
            <w:pPr>
              <w:spacing w:after="0"/>
              <w:rPr>
                <w:sz w:val="22"/>
                <w:szCs w:val="22"/>
                <w:color w:val="auto"/>
              </w:rPr>
            </w:pPr>
          </w:p>
        </w:tc>
      </w:tr>
      <w:tr>
        <w:trPr>
          <w:trHeight w:val="20"/>
        </w:trPr>
        <w:tc>
          <w:tcPr>
            <w:tcW w:w="47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Note 6 – Match Funded Assets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20" w:type="dxa"/>
            <w:vAlign w:val="bottom"/>
            <w:tcBorders>
              <w:bottom w:val="single" w:sz="8" w:color="EAF9E8"/>
            </w:tcBorders>
          </w:tcPr>
          <w:p>
            <w:pPr>
              <w:spacing w:after="0"/>
              <w:rPr>
                <w:sz w:val="2"/>
                <w:szCs w:val="2"/>
                <w:color w:val="auto"/>
              </w:rPr>
            </w:pPr>
          </w:p>
        </w:tc>
        <w:tc>
          <w:tcPr>
            <w:tcW w:w="4700" w:type="dxa"/>
            <w:vAlign w:val="bottom"/>
            <w:tcBorders>
              <w:bottom w:val="single" w:sz="8" w:color="EAF9E8"/>
            </w:tcBorders>
            <w:gridSpan w:val="2"/>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EAF9E8"/>
            </w:tcBorders>
            <w:shd w:val="clear" w:color="auto" w:fill="EAF9E8"/>
          </w:tcPr>
          <w:p>
            <w:pPr>
              <w:spacing w:after="0"/>
              <w:rPr>
                <w:sz w:val="21"/>
                <w:szCs w:val="21"/>
                <w:color w:val="auto"/>
              </w:rPr>
            </w:pPr>
          </w:p>
        </w:tc>
        <w:tc>
          <w:tcPr>
            <w:tcW w:w="47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Advances</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Principal and interest</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447,781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523,248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EAF9E8"/>
            </w:tcBorders>
            <w:shd w:val="clear" w:color="auto" w:fill="EAF9E8"/>
          </w:tcPr>
          <w:p>
            <w:pPr>
              <w:spacing w:after="0"/>
              <w:rPr>
                <w:sz w:val="21"/>
                <w:szCs w:val="21"/>
                <w:color w:val="auto"/>
              </w:rPr>
            </w:pPr>
          </w:p>
        </w:tc>
        <w:tc>
          <w:tcPr>
            <w:tcW w:w="470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Taxes and insurance</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380,733</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439,857</w:t>
            </w:r>
          </w:p>
        </w:tc>
        <w:tc>
          <w:tcPr>
            <w:tcW w:w="20" w:type="dxa"/>
            <w:vAlign w:val="bottom"/>
            <w:tcBorders>
              <w:bottom w:val="single" w:sz="8" w:color="EAF9E8"/>
            </w:tcBorders>
            <w:shd w:val="clear" w:color="auto" w:fill="EAF9E8"/>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Foreclosures, bankruptcy, real estate and other</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165,412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181,495</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EAF9E8"/>
            </w:tcBorders>
          </w:tcPr>
          <w:p>
            <w:pPr>
              <w:spacing w:after="0"/>
              <w:rPr>
                <w:sz w:val="2"/>
                <w:szCs w:val="2"/>
                <w:color w:val="auto"/>
              </w:rPr>
            </w:pPr>
          </w:p>
        </w:tc>
        <w:tc>
          <w:tcPr>
            <w:tcW w:w="46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EAF9E8"/>
            </w:tcBorders>
            <w:shd w:val="clear" w:color="auto" w:fill="EAF9E8"/>
          </w:tcPr>
          <w:p>
            <w:pPr>
              <w:spacing w:after="0"/>
              <w:rPr>
                <w:sz w:val="22"/>
                <w:szCs w:val="22"/>
                <w:color w:val="auto"/>
              </w:rPr>
            </w:pPr>
          </w:p>
        </w:tc>
        <w:tc>
          <w:tcPr>
            <w:tcW w:w="46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993,926</w:t>
            </w: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1,144,600</w:t>
            </w:r>
          </w:p>
        </w:tc>
        <w:tc>
          <w:tcPr>
            <w:tcW w:w="20" w:type="dxa"/>
            <w:vAlign w:val="bottom"/>
            <w:tcBorders>
              <w:bottom w:val="single" w:sz="8" w:color="EAF9E8"/>
            </w:tcBorders>
            <w:shd w:val="clear" w:color="auto" w:fill="EAF9E8"/>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50"/>
        </w:trPr>
        <w:tc>
          <w:tcPr>
            <w:tcW w:w="20" w:type="dxa"/>
            <w:vAlign w:val="bottom"/>
            <w:tcBorders>
              <w:bottom w:val="single" w:sz="8" w:color="EAF9E8"/>
            </w:tcBorders>
            <w:shd w:val="clear" w:color="auto" w:fill="EAF9E8"/>
          </w:tcPr>
          <w:p>
            <w:pPr>
              <w:spacing w:after="0"/>
              <w:rPr>
                <w:sz w:val="21"/>
                <w:szCs w:val="21"/>
                <w:color w:val="auto"/>
              </w:rPr>
            </w:pPr>
          </w:p>
        </w:tc>
        <w:tc>
          <w:tcPr>
            <w:tcW w:w="47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Automotive dealer financing notes (1)</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4"/>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35,392</w:t>
            </w:r>
          </w:p>
        </w:tc>
        <w:tc>
          <w:tcPr>
            <w:tcW w:w="20" w:type="dxa"/>
            <w:vAlign w:val="bottom"/>
            <w:tcBorders>
              <w:bottom w:val="single" w:sz="8" w:color="EAF9E8"/>
            </w:tcBorders>
            <w:shd w:val="clear" w:color="auto" w:fill="EAF9E8"/>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Allowance for losses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(2,635)</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EAF9E8"/>
            </w:tcBorders>
          </w:tcPr>
          <w:p>
            <w:pPr>
              <w:spacing w:after="0"/>
              <w:rPr>
                <w:sz w:val="2"/>
                <w:szCs w:val="2"/>
                <w:color w:val="auto"/>
              </w:rPr>
            </w:pPr>
          </w:p>
        </w:tc>
        <w:tc>
          <w:tcPr>
            <w:tcW w:w="46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EAF9E8"/>
            </w:tcBorders>
            <w:shd w:val="clear" w:color="auto" w:fill="EAF9E8"/>
          </w:tcPr>
          <w:p>
            <w:pPr>
              <w:spacing w:after="0"/>
              <w:rPr>
                <w:sz w:val="22"/>
                <w:szCs w:val="22"/>
                <w:color w:val="auto"/>
              </w:rPr>
            </w:pPr>
          </w:p>
        </w:tc>
        <w:tc>
          <w:tcPr>
            <w:tcW w:w="46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520" w:type="dxa"/>
            <w:vAlign w:val="bottom"/>
            <w:tcBorders>
              <w:bottom w:val="single" w:sz="8" w:color="EAF9E8"/>
            </w:tcBorders>
            <w:gridSpan w:val="4"/>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32,757</w:t>
            </w:r>
          </w:p>
        </w:tc>
        <w:tc>
          <w:tcPr>
            <w:tcW w:w="20" w:type="dxa"/>
            <w:vAlign w:val="bottom"/>
            <w:tcBorders>
              <w:bottom w:val="single" w:sz="8" w:color="EAF9E8"/>
            </w:tcBorders>
            <w:shd w:val="clear" w:color="auto" w:fill="EAF9E8"/>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5"/>
        </w:trPr>
        <w:tc>
          <w:tcPr>
            <w:tcW w:w="20" w:type="dxa"/>
            <w:vAlign w:val="bottom"/>
            <w:tcBorders>
              <w:bottom w:val="single" w:sz="8" w:color="EAF9E8"/>
            </w:tcBorders>
            <w:shd w:val="clear" w:color="auto" w:fill="EAF9E8"/>
          </w:tcPr>
          <w:p>
            <w:pPr>
              <w:spacing w:after="0"/>
              <w:rPr>
                <w:sz w:val="23"/>
                <w:szCs w:val="23"/>
                <w:color w:val="auto"/>
              </w:rPr>
            </w:pPr>
          </w:p>
        </w:tc>
        <w:tc>
          <w:tcPr>
            <w:tcW w:w="46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993,926</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jc w:val="right"/>
              <w:ind w:right="154"/>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1,177,357</w:t>
            </w:r>
          </w:p>
        </w:tc>
        <w:tc>
          <w:tcPr>
            <w:tcW w:w="20" w:type="dxa"/>
            <w:vAlign w:val="bottom"/>
            <w:tcBorders>
              <w:bottom w:val="single" w:sz="8" w:color="EAF9E8"/>
            </w:tcBorders>
            <w:shd w:val="clear" w:color="auto" w:fill="EAF9E8"/>
          </w:tcPr>
          <w:p>
            <w:pPr>
              <w:spacing w:after="0"/>
              <w:rPr>
                <w:sz w:val="23"/>
                <w:szCs w:val="23"/>
                <w:color w:val="auto"/>
              </w:rPr>
            </w:pPr>
          </w:p>
        </w:tc>
      </w:tr>
      <w:tr>
        <w:trPr>
          <w:trHeight w:val="20"/>
        </w:trPr>
        <w:tc>
          <w:tcPr>
            <w:tcW w:w="20" w:type="dxa"/>
            <w:vAlign w:val="bottom"/>
            <w:tcBorders>
              <w:top w:val="single" w:sz="8" w:color="EAF9E8"/>
            </w:tcBorders>
          </w:tcPr>
          <w:p>
            <w:pPr>
              <w:spacing w:after="0" w:line="20" w:lineRule="exact"/>
              <w:rPr>
                <w:sz w:val="1"/>
                <w:szCs w:val="1"/>
                <w:color w:val="auto"/>
              </w:rPr>
            </w:pPr>
          </w:p>
        </w:tc>
        <w:tc>
          <w:tcPr>
            <w:tcW w:w="468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EAF9E8"/>
            </w:tcBorders>
          </w:tcPr>
          <w:p>
            <w:pPr>
              <w:spacing w:after="0" w:line="20" w:lineRule="exact"/>
              <w:rPr>
                <w:sz w:val="1"/>
                <w:szCs w:val="1"/>
                <w:color w:val="auto"/>
              </w:rPr>
            </w:pPr>
          </w:p>
        </w:tc>
        <w:tc>
          <w:tcPr>
            <w:tcW w:w="13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EAF9E8"/>
            </w:tcBorders>
          </w:tcPr>
          <w:p>
            <w:pPr>
              <w:spacing w:after="0" w:line="20" w:lineRule="exact"/>
              <w:rPr>
                <w:sz w:val="1"/>
                <w:szCs w:val="1"/>
                <w:color w:val="auto"/>
              </w:rPr>
            </w:pPr>
          </w:p>
        </w:tc>
        <w:tc>
          <w:tcPr>
            <w:tcW w:w="12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January 2018, we terminated our automotive dealer loan financing facility.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96"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The following table summarizes the activity in match funded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440"/>
              <w:spacing w:after="0"/>
              <w:rPr>
                <w:sz w:val="20"/>
                <w:szCs w:val="20"/>
                <w:color w:val="auto"/>
              </w:rPr>
            </w:pPr>
            <w:r>
              <w:rPr>
                <w:rFonts w:ascii="Arial" w:cs="Arial" w:eastAsia="Arial" w:hAnsi="Arial"/>
                <w:sz w:val="18"/>
                <w:szCs w:val="18"/>
                <w:b w:val="1"/>
                <w:bCs w:val="1"/>
                <w:color w:val="auto"/>
              </w:rPr>
              <w:t>Six Months Ended June 30,</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Automotive Dealer</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Automotive Dealer</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Advances</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Financing Notes</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Advances</w:t>
            </w:r>
          </w:p>
        </w:tc>
        <w:tc>
          <w:tcPr>
            <w:tcW w:w="1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Financing Notes</w:t>
            </w: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1,144,600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32,757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1,451,964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Transfer (to) from Other assets</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25,180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5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New advances (collections), net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(150,674)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8,687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Decrease in allowance for losses (1)</w:t>
            </w:r>
          </w:p>
        </w:tc>
        <w:tc>
          <w:tcPr>
            <w:tcW w:w="2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993,926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1,259,041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33,867</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remaining allowance was charged off in connection with the exit from the ACS business.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7 – Mortgage Servicing</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Mortgage Servicing Rights – Amortization Method</w:t>
            </w: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8120" w:type="dxa"/>
            <w:vAlign w:val="bottom"/>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95"/>
        </w:trPr>
        <w:tc>
          <w:tcPr>
            <w:tcW w:w="8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336,882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363,722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Fair value election - transfer of MSRs carried at fair value (1)</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(361,670)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3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15,032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and other transfers</w:t>
            </w:r>
          </w:p>
        </w:tc>
        <w:tc>
          <w:tcPr>
            <w:tcW w:w="3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Servicing transfers and adjustments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(24,788)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379,597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 (1)</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decrease in impairment valuation allowance (1) (2)</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24,788</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349,535</w:t>
            </w:r>
          </w:p>
        </w:tc>
        <w:tc>
          <w:tcPr>
            <w:tcW w:w="0" w:type="dxa"/>
            <w:vAlign w:val="bottom"/>
          </w:tcPr>
          <w:p>
            <w:pPr>
              <w:spacing w:after="0"/>
              <w:rPr>
                <w:sz w:val="1"/>
                <w:szCs w:val="1"/>
                <w:color w:val="auto"/>
              </w:rPr>
            </w:pPr>
          </w:p>
        </w:tc>
      </w:tr>
      <w:tr>
        <w:trPr>
          <w:trHeight w:val="217"/>
        </w:trPr>
        <w:tc>
          <w:tcPr>
            <w:tcW w:w="81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Estimated fair value at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440,311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60" w:hanging="492"/>
        <w:spacing w:after="0" w:line="285"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Effective January 1, 2018, we elected fair value accounting for our MSRs previously accounted for using the amortization method, which included Agency MSRs and government-insured MSRs. This irrevocable election applies to all subsequently acquired or originated servicing assets and liabilities that have characteristics consistent with each of these classes. We recorded a cumulative-effect adjustment of $82.0 million to retained earnings as of January 1, 2018 to reflect the excess of the fair value of the Agency MSRs over their carrying amount. We also recognized the tax effect of this adjustment through an increase in retained earnings of $6.8 million and a deferred tax asset for the same amount. However, we established a full valuation allowance on the resulting deferred tax asset through a reduction in retained earnings. The government-insured MSRs were impaired by $24.8 million at December 31, 2017; therefore, these MSRs were already effectively carried at fair value.</w:t>
      </w:r>
    </w:p>
    <w:p>
      <w:pPr>
        <w:spacing w:after="0" w:line="1" w:lineRule="exact"/>
        <w:rPr>
          <w:rFonts w:ascii="Arial" w:cs="Arial" w:eastAsia="Arial" w:hAnsi="Arial"/>
          <w:sz w:val="14"/>
          <w:szCs w:val="14"/>
          <w:color w:val="auto"/>
        </w:rPr>
      </w:pPr>
    </w:p>
    <w:p>
      <w:pPr>
        <w:jc w:val="both"/>
        <w:ind w:left="500" w:right="160" w:hanging="492"/>
        <w:spacing w:after="0" w:line="252" w:lineRule="auto"/>
        <w:tabs>
          <w:tab w:leader="none" w:pos="500" w:val="left"/>
        </w:tabs>
        <w:numPr>
          <w:ilvl w:val="0"/>
          <w:numId w:val="14"/>
        </w:numPr>
        <w:rPr>
          <w:rFonts w:ascii="Arial" w:cs="Arial" w:eastAsia="Arial" w:hAnsi="Arial"/>
          <w:sz w:val="16"/>
          <w:szCs w:val="16"/>
          <w:color w:val="003300"/>
        </w:rPr>
      </w:pPr>
      <w:r>
        <w:rPr>
          <w:rFonts w:ascii="Arial" w:cs="Arial" w:eastAsia="Arial" w:hAnsi="Arial"/>
          <w:sz w:val="16"/>
          <w:szCs w:val="16"/>
          <w:color w:val="auto"/>
        </w:rPr>
        <w:t>Impairment of MSRs is recognized in MSR valuation adjustments, net in the unaudited consolidated statements of operations for the six months ended June 30, 2017. Impairment valuation allowance balance of $24.8 million was reclassified to reduce the carrying value of the related MSRs on January 1, 2018 in connection with our fair value election. See Note 3 – Fair Value for additional information regarding impairment and the valuation allowance.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61"/>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w w:val="91"/>
              </w:rPr>
              <w:t>Mortgage Servicing Rights – Fair</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640" w:type="dxa"/>
            <w:vAlign w:val="bottom"/>
          </w:tcPr>
          <w:p>
            <w:pPr>
              <w:ind w:left="200"/>
              <w:spacing w:after="0"/>
              <w:rPr>
                <w:sz w:val="20"/>
                <w:szCs w:val="20"/>
                <w:color w:val="auto"/>
              </w:rPr>
            </w:pPr>
            <w:r>
              <w:rPr>
                <w:rFonts w:ascii="Arial" w:cs="Arial" w:eastAsia="Arial" w:hAnsi="Arial"/>
                <w:sz w:val="18"/>
                <w:szCs w:val="18"/>
                <w:b w:val="1"/>
                <w:bCs w:val="1"/>
                <w:color w:val="auto"/>
              </w:rPr>
              <w:t>Value Measurement Method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2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11,960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660,002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671,962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13,357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665,899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679,256</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Fair value election - transfer of</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w w:val="94"/>
              </w:rPr>
              <w:t>MSRs carried at amortized cost,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net of valuation allowance</w:t>
            </w:r>
          </w:p>
        </w:tc>
        <w:tc>
          <w:tcPr>
            <w:tcW w:w="2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336,882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336,882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Cumulative effect of fair value</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election</w:t>
            </w:r>
          </w:p>
        </w:tc>
        <w:tc>
          <w:tcPr>
            <w:tcW w:w="26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82,043</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82,043</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Sales and other transfers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Additions</w:t>
            </w:r>
          </w:p>
        </w:tc>
        <w:tc>
          <w:tcPr>
            <w:tcW w:w="2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5,885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5,885</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0"/>
              </w:rPr>
              <w:t>Servicing transfers and adjustments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Changes in fair value (1):</w:t>
            </w:r>
          </w:p>
        </w:tc>
        <w:tc>
          <w:tcPr>
            <w:tcW w:w="2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Changes in valuation inputs 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40"/>
              <w:spacing w:after="0"/>
              <w:rPr>
                <w:sz w:val="20"/>
                <w:szCs w:val="20"/>
                <w:color w:val="auto"/>
              </w:rPr>
            </w:pPr>
            <w:r>
              <w:rPr>
                <w:rFonts w:ascii="Arial" w:cs="Arial" w:eastAsia="Arial" w:hAnsi="Arial"/>
                <w:sz w:val="18"/>
                <w:szCs w:val="18"/>
                <w:color w:val="auto"/>
              </w:rPr>
              <w:t>other assumptions</w:t>
            </w:r>
          </w:p>
        </w:tc>
        <w:tc>
          <w:tcPr>
            <w:tcW w:w="2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20,460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25,449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Realization of expected future</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w w:val="95"/>
              </w:rPr>
              <w:t>cash flows and other changes</w:t>
            </w:r>
          </w:p>
        </w:tc>
        <w:tc>
          <w:tcPr>
            <w:tcW w:w="26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(29,633)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(46,063)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(75,696)</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(51,045)</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427,597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616,398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1,043,995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12,443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613,207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625,650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fair value are recognized in MSR valuation adjustments, net in the unaudited consolidated statements of operations.</w:t>
      </w:r>
    </w:p>
    <w:p>
      <w:pPr>
        <w:spacing w:after="0" w:line="10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that we carry at fair value as of June 30, 2018 given hypothetical shifts in lifetime prepayments and yield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(94,457)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(182,012)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(57,859)</w:t>
            </w:r>
          </w:p>
        </w:tc>
      </w:tr>
    </w:tbl>
    <w:p>
      <w:pPr>
        <w:spacing w:after="0" w:line="3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June 30, 2018 are increased prepayment speeds and a decrease in the yield assumption.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servicing rights while subservicing represents all other loans. The UPB of assets serviced for others are not included on our unaudited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Residential (1)</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 (2)</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June 30, 2018</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70,796,834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70,796,834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1,600,289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5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1,600,289</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NRZ (3)</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94,729,891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94,729,891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167,127,014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167,127,014</w:t>
            </w:r>
          </w:p>
        </w:tc>
        <w:tc>
          <w:tcPr>
            <w:tcW w:w="0" w:type="dxa"/>
            <w:vAlign w:val="bottom"/>
          </w:tcPr>
          <w:p>
            <w:pPr>
              <w:spacing w:after="0"/>
              <w:rPr>
                <w:sz w:val="1"/>
                <w:szCs w:val="1"/>
                <w:color w:val="auto"/>
              </w:rPr>
            </w:pPr>
          </w:p>
        </w:tc>
      </w:tr>
      <w:tr>
        <w:trPr>
          <w:trHeight w:val="20"/>
        </w:trPr>
        <w:tc>
          <w:tcPr>
            <w:tcW w:w="640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b w:val="1"/>
                <w:bCs w:val="1"/>
                <w:color w:val="auto"/>
              </w:rPr>
              <w:t>UPB at December 31, 2017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75,469,327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75,469,327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Subservicing</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2,063,669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2,063,669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NRZ (3)</w:t>
            </w:r>
          </w:p>
        </w:tc>
        <w:tc>
          <w:tcPr>
            <w:tcW w:w="20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101,819,557</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5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101,819,557</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179,352,553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179,352,553</w:t>
            </w:r>
          </w:p>
        </w:tc>
        <w:tc>
          <w:tcPr>
            <w:tcW w:w="0" w:type="dxa"/>
            <w:vAlign w:val="bottom"/>
          </w:tcPr>
          <w:p>
            <w:pPr>
              <w:spacing w:after="0"/>
              <w:rPr>
                <w:sz w:val="1"/>
                <w:szCs w:val="1"/>
                <w:color w:val="auto"/>
              </w:rPr>
            </w:pPr>
          </w:p>
        </w:tc>
      </w:tr>
      <w:tr>
        <w:trPr>
          <w:trHeight w:val="67"/>
        </w:trPr>
        <w:tc>
          <w:tcPr>
            <w:tcW w:w="64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June 30, 2017</w:t>
            </w:r>
          </w:p>
        </w:tc>
        <w:tc>
          <w:tcPr>
            <w:tcW w:w="200" w:type="dxa"/>
            <w:vAlign w:val="bottom"/>
            <w:tcBorders>
              <w:bottom w:val="single" w:sz="8" w:color="EAF9E8"/>
            </w:tcBorders>
            <w:shd w:val="clear" w:color="auto" w:fill="EAF9E8"/>
          </w:tcPr>
          <w:p>
            <w:pPr>
              <w:spacing w:after="0"/>
              <w:rPr>
                <w:sz w:val="20"/>
                <w:szCs w:val="20"/>
                <w:color w:val="auto"/>
              </w:rPr>
            </w:pPr>
          </w:p>
        </w:tc>
        <w:tc>
          <w:tcPr>
            <w:tcW w:w="14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81,319,908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81,319,908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3,869,084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53,127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3,922,211</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NRZ (3)</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109,609,432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109,609,432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194,798,424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53,127</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194,851,551</w:t>
            </w:r>
          </w:p>
        </w:tc>
        <w:tc>
          <w:tcPr>
            <w:tcW w:w="0" w:type="dxa"/>
            <w:vAlign w:val="bottom"/>
          </w:tcPr>
          <w:p>
            <w:pPr>
              <w:spacing w:after="0"/>
              <w:rPr>
                <w:sz w:val="1"/>
                <w:szCs w:val="1"/>
                <w:color w:val="auto"/>
              </w:rPr>
            </w:pPr>
          </w:p>
        </w:tc>
      </w:tr>
      <w:tr>
        <w:trPr>
          <w:trHeight w:val="20"/>
        </w:trPr>
        <w:tc>
          <w:tcPr>
            <w:tcW w:w="64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foreclosed real estate and small-balance commercial assets.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large-balance foreclosed real estate. During 2017, we sold or transferred servicing on the remaining managed assets.</w:t>
      </w:r>
    </w:p>
    <w:p>
      <w:pPr>
        <w:spacing w:after="0" w:line="5" w:lineRule="exact"/>
        <w:rPr>
          <w:rFonts w:ascii="Arial" w:cs="Arial" w:eastAsia="Arial" w:hAnsi="Arial"/>
          <w:sz w:val="16"/>
          <w:szCs w:val="16"/>
          <w:color w:val="auto"/>
        </w:rPr>
      </w:pPr>
    </w:p>
    <w:p>
      <w:pPr>
        <w:ind w:left="500" w:right="280" w:hanging="492"/>
        <w:spacing w:after="0" w:line="257"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UPB of loans serviced for which the Rights to MSRs have been sold to NRZ, including those subserviced for which third-party consents have been received and the MSRs have been transferred to NRZ.</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six months ended June 30, 2018 and 2017, we sold MSRs with a UPB of $10.5 million and $134.7 million, respectively.</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2007 - 2008, the portfolio delinquency and/or cumulative loss threshold provisions have been breached in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At June 30, 2018, S&amp;P Global Ratings’ (S&amp;P) servicer ratings outlook for Ocwen is stable. Fitch Ratings, Inc.’s (Fitch) servicer ratings outlook is Stable and Moody’s Investors Service, Inc.’s (Moody’s) servicer ratings are on Watch for Downgrade. Downgrades in servicer ratings could adversely affect our ability to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8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Certain of our servicing agreements require that we maintain specified servicer ratings from rating agencies such as Moody’s and S&amp;P. At June 30, 2018, non-Agency servicing agreements with a UPB of $27.9 billion have minimum servicer ratings criteria. As a result of our current servicer ratings, termination rights have been triggered in non-Agency servicing agreements with a UPB of $8.7 billion, or approximately 9% of our total non-Agency servicing portfolio. To date, terminations as servicer as a result of a breach of any of these provisions have been minimal.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Servicing Revenue</w:t>
            </w: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servicing and subservicing fees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55,783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66,018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114,779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134,640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4,118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NRZ</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126,712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143,612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253,729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290,923</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183,366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211,594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370,294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429,681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29,904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32,394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Custodial accounts (float earnings)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8,461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15,724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10,833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12,255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 (1)</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10,506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8,256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31,489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11,651</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222,227</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255,801</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444,365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528,303</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60" w:hanging="492"/>
        <w:spacing w:after="0" w:line="275"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HAMP program expired on December 31, 2016. Borrowers who had requested assistance or to whom an offer of assistance had been extended as of that date had until September 30, 2017 to finalize their modification.</w:t>
      </w:r>
    </w:p>
    <w:p>
      <w:pPr>
        <w:spacing w:after="0" w:line="16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sheets. Float balances amounted to $1.7 billion and $2.2 billion at June 30, 2018 and June 30,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Rights to MSRs</w:t>
      </w:r>
    </w:p>
    <w:p>
      <w:pPr>
        <w:spacing w:after="0" w:line="121"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In 2012 and 2013, we sold Rights to MSRs with respect to certain non-Agency MSRs and the related servicing advances to Home Loan Servicing Solutions, Ltd. (HLSS), an indirect wholly-owned subsidiary of NRZ. While certain underlying economics of the MSRs were transferred, legal title was retained by Ocwen, causing the Rights to MSRs transactions to be accounted for as secured financings. We continue to recognize the MSRs and related financing liability on our consolidated balance sheet as well as the full amount of servicing revenue and changes in the fair value of the MSRs and related financing liability in our consolidated statements of operations.</w:t>
      </w:r>
    </w:p>
    <w:p>
      <w:pPr>
        <w:spacing w:after="0" w:line="18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July 23, 2017 and January 18, 2018, we entered into a series of agreements with NRZ that collectively modify, supplement and supersede the arrangements among the parties as set forth in (i) the Master Servicing Rights Purchase Agreement dated as of October 1, 2012, as amended, and (ii) certain Sale Supplements, as amended (collectively, the Original Rights to MSRs Agreements). The July 23, 2017 agreements, as amended, include a Master Agreement, Transfer Agreement and Subservicing Agreement (collectively, the 2017 Agreements) pursuant to which the parties agreed, among other things, to undertake certain actions to facilitate the transfer of the MSRs underlying the Rights to MSRs to NRZ and under which Ocwen will subservice mortgage loans underlying the MSRs for an initial term of five years (the Initial Term). While we continue the process of obtaining the third-party consents necessary to transfer the MSRs to NRZ, on January 18, 2018, the parties entered into new agreements regarding the Rights to MSRs that remained subject to the Original Rights to MSRs Agreements (including a Servicing Addendum) and amended the Transfer Agreement (collectively, New RMSR Agreements) to accelerate the implementation of certain parts of our arrangements in order to achieve the intent of the 2017 Agreements sooner. Ocwen will continue to service the related mortgage loans until the necessary third-party consents are obtained in order to transfer the applicable MSRs in accordance with the New RMSR Agreements. Upon receiving the required consents and transferring the MSRs, Ocwen will subservice the mortgage loans underlying the MSRs pursuant to the 2017 Agreements.</w:t>
      </w:r>
    </w:p>
    <w:p>
      <w:pPr>
        <w:spacing w:after="0" w:line="18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2017 Agreements and New RMSR Agreements provide for the conversion of the economics of the Original Rights to MSRs Agreements into a more traditional subservicing arrangement and involve upfront payments to Ocwen. Prior to the execution of the New RMSR Agreements, we received these payments upon obtaining the required third-party consents and the transfer of the MSRs. Upon execution of the New RMSR Agreements, we received the balance of these upfront payments. These upfront payments generally represent the net present value of the difference between the future revenue stream Ocwen would have received under the Original Rights to MSRs Agreements and the future revenue stream Ocwen expects to receive under the 2017 Agreements and the New RMSR Agreements. On September 1, 2017, pursuant to the 2017 Agreements, Ocwen successfully transferred MSRs with UPB of $15.9 billion to NRZ and received a lump-sum payment of $54.6 million. On January 18, 2018, Ocwen received a lump-sum payment of $279.6 million in accordance with the terms of the New RMSR Agreements.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50" w:right="239" w:bottom="1440" w:gutter="0" w:footer="0" w:header="0"/>
        </w:sectPr>
      </w:pPr>
    </w:p>
    <w:bookmarkStart w:id="31" w:name="page32"/>
    <w:bookmarkEnd w:id="31"/>
    <w:p>
      <w:pPr>
        <w:ind w:right="80" w:firstLine="324"/>
        <w:spacing w:after="0" w:line="279" w:lineRule="auto"/>
        <w:rPr>
          <w:sz w:val="20"/>
          <w:szCs w:val="20"/>
          <w:color w:val="auto"/>
        </w:rPr>
      </w:pPr>
      <w:r>
        <w:rPr>
          <w:rFonts w:ascii="Arial" w:cs="Arial" w:eastAsia="Arial" w:hAnsi="Arial"/>
          <w:sz w:val="17"/>
          <w:szCs w:val="17"/>
          <w:color w:val="auto"/>
        </w:rPr>
        <w:t>Due to the length of the Initial Term of the Subservicing Agreement, the transactions in which MSRs are transferred as described above do not qualify as a sale and are accounted for as secured financings. A new liability is recognized in an amount equal to the fair value of any lump sum payments received in connection with the 2017 Agreements and New RMSR Agreements. Due diligence and consent-related costs are recorded in Professional services expense as incurred. Changes in the fair value of the financing liability are recognized in Interest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the required third-party consents are not obtained with respect to any dates specified in, and in accordance with the process set forth in, the New RMSR Agreements, such MSRs will either: (i) remain subject to the New RMSR Agreements at the option of NRZ, (ii) be acquired by Ocwen at a price determined in accordance with the terms of the New RMSR Agreements, or (iii) be sold to a third party in accordance with the terms of the New RMSR Agreements.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any time during the Initial Term, NRZ may terminate the Subservicing Agreement and Servicing Addendum for convenience, subject to Ocwen’s right to receive a termination fee and proper notice. Following the Initial Term, NRZ may extend the term of the Subservicing Agreement and Servicing Addendum for additional three-month periods by providing proper notice. Following the Initial Term, the Subservicing Agreement and Servicing Addendum can be cancelled by Ocwen on an annual basis. NRZ and Ocwen have the ability to terminate the Subservicing Agreement and Servicing Addendum for cause if certain specified conditions occur.</w:t>
      </w:r>
    </w:p>
    <w:p>
      <w:pPr>
        <w:spacing w:after="0" w:line="188"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Under the terms of the Subservicing Agreement and Servicing Addendum, in addition to a base servicing fee, Ocwen will continue to receive ancillary income, which primarily includes late fees, loan modification fees and Speedpay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fees. NRZ will receive all float earnings and deferred servicing fees related to delinquent borrower payments, as well as be entitled to receive certain real estate owned (REO) related income including REO referral commissions.</w:t>
      </w:r>
    </w:p>
    <w:p>
      <w:pPr>
        <w:spacing w:after="0" w:line="174"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Prior to January 18, 2018, MSRs as to which necessary transfer consents had not yet been obtained continued to be subject to the terms of the agreements entered into in 2012 and 2013. Under the 2012 and 2013 agreements, the servicing fees payable under the servicing agreements underlying the Rights to MSRs were apportioned between NRZ and us. NRZ retained a fee based on the UPB of the loans serviced, and OLS received certain fees, including a performance fee based on servicing fees paid less an amount calculated based on the amount of servicing advances and the cost of financing those advances.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related to financing liabilities recorded in connection with the NRZ transactions is indicated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fees collected on behalf of NRZ</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126,712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143,612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253,729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290,923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Subservicing fee retained by Ocwen</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78,794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68,661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157,947</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servicing fees remitted to NRZ</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92,268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64,818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185,068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132,976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Reduction (increase) in financing liability</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fair value</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17,424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Runoff, settlement and other</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101,887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33,193</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51,490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48,624</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74,539</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99,783</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In April 2015, Ocwen sold all economic beneficial rights to the “clean-up call rights” to which we were entitled pursuant to servicing agreements that underlie the Rights to MSRs to NRZ for a payment upon exercise of 0.50% of the UPB of all performing mortgage loans (mortgage loans that are current or 30 days or less delinquent) associated with such clean-up call. As a result of the 2017 Agreements and the New RMSR Agreements, Ocwen is no longer entitled to the 0.50% purchase price but will continue to be reimbursed for costs incurred with respect to such efforts and receives administrative fees. We received $2.3 million and $4.7 million during the three and six months ended June 30, 2017, respectively, from NRZ in connection with such clean-up calls.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receivables: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Government-insured loan claims,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112,296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114,971</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Reimbursable expenses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32,704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31,709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Due from custodial accounts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25,751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36,122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NRZ</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15,411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14,924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11,959</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193,824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209,685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34,738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36,831</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15,347</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19,600</w:t>
            </w:r>
          </w:p>
        </w:tc>
      </w:tr>
      <w:tr>
        <w:trPr>
          <w:trHeight w:val="237"/>
        </w:trPr>
        <w:tc>
          <w:tcPr>
            <w:tcW w:w="8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243,909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266,116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(65,231)</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(66,587)</w:t>
            </w:r>
          </w:p>
        </w:tc>
      </w:tr>
      <w:tr>
        <w:trPr>
          <w:trHeight w:val="237"/>
        </w:trPr>
        <w:tc>
          <w:tcPr>
            <w:tcW w:w="8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178,678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199,529</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right="460" w:firstLine="324"/>
        <w:spacing w:after="0" w:line="264" w:lineRule="auto"/>
        <w:rPr>
          <w:sz w:val="20"/>
          <w:szCs w:val="20"/>
          <w:color w:val="auto"/>
        </w:rPr>
      </w:pPr>
      <w:r>
        <w:rPr>
          <w:rFonts w:ascii="Arial" w:cs="Arial" w:eastAsia="Arial" w:hAnsi="Arial"/>
          <w:sz w:val="18"/>
          <w:szCs w:val="18"/>
          <w:color w:val="auto"/>
        </w:rPr>
        <w:t>At June 30, 2018 and December 31, 2017, the allowance for losses related to receivables of our Servicing business. Allowance for losses related to defaulted FHA or VA insured loans repurchased from Ginnie Mae guaranteed securitizations (government-insured loan claims) at June 30, 2018 and December 31, 2017 were $53.2 million and $53.3 million,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Three Months Ended June 30,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6"/>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b w:val="1"/>
                <w:bCs w:val="1"/>
                <w:color w:val="auto"/>
                <w:w w:val="94"/>
              </w:rPr>
              <w:t>Allowance for Losses - Government-Insured Loan Claims</w:t>
            </w: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6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57,593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41,438</w:t>
            </w:r>
          </w:p>
        </w:tc>
        <w:tc>
          <w:tcPr>
            <w:tcW w:w="30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53,340</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53,258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8,658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9,467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19,034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6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Net charge-offs and other</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(13,096)</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(4,328)</w:t>
            </w:r>
          </w:p>
        </w:tc>
        <w:tc>
          <w:tcPr>
            <w:tcW w:w="8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(19,219)</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(26,588)</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53,155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46,577</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53,155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46,577</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 Other Assets</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ind w:left="60"/>
              <w:spacing w:after="0"/>
              <w:rPr>
                <w:sz w:val="20"/>
                <w:szCs w:val="20"/>
                <w:color w:val="auto"/>
              </w:rPr>
            </w:pPr>
            <w:r>
              <w:rPr>
                <w:rFonts w:ascii="Arial" w:cs="Arial" w:eastAsia="Arial" w:hAnsi="Arial"/>
                <w:sz w:val="18"/>
                <w:szCs w:val="18"/>
                <w:b w:val="1"/>
                <w:bCs w:val="1"/>
                <w:color w:val="auto"/>
              </w:rPr>
              <w:t>June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EAF9E8"/>
            </w:tcBorders>
            <w:gridSpan w:val="2"/>
          </w:tcPr>
          <w:p>
            <w:pPr>
              <w:spacing w:after="0"/>
              <w:rPr>
                <w:sz w:val="2"/>
                <w:szCs w:val="2"/>
                <w:color w:val="auto"/>
              </w:rPr>
            </w:pPr>
          </w:p>
        </w:tc>
        <w:tc>
          <w:tcPr>
            <w:tcW w:w="32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gridSpan w:val="3"/>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331,158</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431,492</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Debt service accounts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24,278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33,726</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15,603</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22,559</w:t>
            </w:r>
          </w:p>
        </w:tc>
        <w:tc>
          <w:tcPr>
            <w:tcW w:w="0" w:type="dxa"/>
            <w:vAlign w:val="bottom"/>
          </w:tcPr>
          <w:p>
            <w:pPr>
              <w:spacing w:after="0"/>
              <w:rPr>
                <w:sz w:val="1"/>
                <w:szCs w:val="1"/>
                <w:color w:val="auto"/>
              </w:rPr>
            </w:pPr>
          </w:p>
        </w:tc>
      </w:tr>
      <w:tr>
        <w:trPr>
          <w:trHeight w:val="243"/>
        </w:trPr>
        <w:tc>
          <w:tcPr>
            <w:tcW w:w="6460" w:type="dxa"/>
            <w:vAlign w:val="bottom"/>
            <w:gridSpan w:val="5"/>
          </w:tcPr>
          <w:p>
            <w:pPr>
              <w:ind w:left="40"/>
              <w:spacing w:after="0"/>
              <w:rPr>
                <w:sz w:val="20"/>
                <w:szCs w:val="20"/>
                <w:color w:val="auto"/>
              </w:rPr>
            </w:pPr>
            <w:r>
              <w:rPr>
                <w:rFonts w:ascii="Arial" w:cs="Arial" w:eastAsia="Arial" w:hAnsi="Arial"/>
                <w:sz w:val="18"/>
                <w:szCs w:val="18"/>
                <w:color w:val="auto"/>
              </w:rPr>
              <w:t>Prepaid representation, warranty and indemnification claims - Agency MSR sale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15,173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5,724</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Prepaid lender fees, net</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4,998</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Other restricted cash</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9,179</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Mortgage backed securities, at fair value</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1,732</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Interest-earning time deposits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Automotive dealer financing notes, net</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Prepaid income taxes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8,604</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417,568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554,791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vMerge w:val="restart"/>
          </w:tcPr>
          <w:p>
            <w:pPr>
              <w:jc w:val="right"/>
              <w:ind w:right="4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3" w:name="page34"/>
    <w:bookmarkEnd w:id="33"/>
    <w:p>
      <w:pPr>
        <w:ind w:left="60" w:right="480" w:firstLine="324"/>
        <w:spacing w:after="0" w:line="277" w:lineRule="auto"/>
        <w:rPr>
          <w:sz w:val="20"/>
          <w:szCs w:val="20"/>
          <w:color w:val="auto"/>
        </w:rPr>
      </w:pPr>
      <w:r>
        <w:rPr>
          <w:rFonts w:ascii="Arial" w:cs="Arial" w:eastAsia="Arial" w:hAnsi="Arial"/>
          <w:sz w:val="18"/>
          <w:szCs w:val="18"/>
          <w:color w:val="auto"/>
        </w:rPr>
        <w:t>Automotive dealer financing notes represent short-term inventory-secured floor plan loans. At December 31, 2017, the notes are reported net of an allowance of $7.7 million. Changes in the allowance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20" w:type="dxa"/>
            <w:vAlign w:val="bottom"/>
            <w:gridSpan w:val="8"/>
          </w:tcPr>
          <w:p>
            <w:pPr>
              <w:ind w:left="100"/>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8"/>
          </w:tcPr>
          <w:p>
            <w:pPr>
              <w:jc w:val="right"/>
              <w:ind w:right="476"/>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3"/>
          </w:tcPr>
          <w:p>
            <w:pPr>
              <w:jc w:val="right"/>
              <w:ind w:right="537"/>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ind w:left="42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4"/>
          </w:tcPr>
          <w:p>
            <w:pPr>
              <w:jc w:val="right"/>
              <w:ind w:right="535"/>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16"/>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5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2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27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center"/>
              <w:ind w:left="358"/>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7"/>
              <w:spacing w:after="0"/>
              <w:rPr>
                <w:sz w:val="20"/>
                <w:szCs w:val="20"/>
                <w:color w:val="auto"/>
              </w:rPr>
            </w:pPr>
            <w:r>
              <w:rPr>
                <w:rFonts w:ascii="Arial" w:cs="Arial" w:eastAsia="Arial" w:hAnsi="Arial"/>
                <w:sz w:val="18"/>
                <w:szCs w:val="18"/>
                <w:color w:val="auto"/>
              </w:rPr>
              <w:t>2,767</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AF9E8"/>
            </w:tcBorders>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10,516</w:t>
            </w:r>
          </w:p>
        </w:tc>
        <w:tc>
          <w:tcPr>
            <w:tcW w:w="860" w:type="dxa"/>
            <w:vAlign w:val="bottom"/>
            <w:tcBorders>
              <w:bottom w:val="single" w:sz="8" w:color="EAF9E8"/>
            </w:tcBorders>
            <w:gridSpan w:val="2"/>
            <w:shd w:val="clear" w:color="auto" w:fill="EAF9E8"/>
          </w:tcPr>
          <w:p>
            <w:pPr>
              <w:jc w:val="right"/>
              <w:ind w:right="55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EAF9E8"/>
            </w:tcBorders>
            <w:gridSpan w:val="2"/>
            <w:shd w:val="clear" w:color="auto" w:fill="EAF9E8"/>
          </w:tcPr>
          <w:p>
            <w:pPr>
              <w:jc w:val="right"/>
              <w:ind w:right="35"/>
              <w:spacing w:after="0"/>
              <w:rPr>
                <w:sz w:val="20"/>
                <w:szCs w:val="20"/>
                <w:color w:val="auto"/>
              </w:rPr>
            </w:pPr>
            <w:r>
              <w:rPr>
                <w:rFonts w:ascii="Arial" w:cs="Arial" w:eastAsia="Arial" w:hAnsi="Arial"/>
                <w:sz w:val="18"/>
                <w:szCs w:val="18"/>
                <w:color w:val="auto"/>
              </w:rPr>
              <w:t>7,664</w:t>
            </w:r>
          </w:p>
        </w:tc>
        <w:tc>
          <w:tcPr>
            <w:tcW w:w="460" w:type="dxa"/>
            <w:vAlign w:val="bottom"/>
            <w:tcBorders>
              <w:bottom w:val="single" w:sz="8" w:color="EAF9E8"/>
            </w:tcBorders>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Provision</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270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Net charge-offs and other</w:t>
            </w: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72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(2,255)</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74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(7,399)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Ending balance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2"/>
                <w:szCs w:val="22"/>
                <w:color w:val="auto"/>
              </w:rPr>
            </w:pPr>
          </w:p>
        </w:tc>
        <w:tc>
          <w:tcPr>
            <w:tcW w:w="2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9,586</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9,586</w:t>
            </w:r>
          </w:p>
        </w:tc>
        <w:tc>
          <w:tcPr>
            <w:tcW w:w="0" w:type="dxa"/>
            <w:vAlign w:val="bottom"/>
          </w:tcPr>
          <w:p>
            <w:pPr>
              <w:spacing w:after="0"/>
              <w:rPr>
                <w:sz w:val="1"/>
                <w:szCs w:val="1"/>
                <w:color w:val="auto"/>
              </w:rPr>
            </w:pPr>
          </w:p>
        </w:tc>
      </w:tr>
      <w:tr>
        <w:trPr>
          <w:trHeight w:val="20"/>
        </w:trPr>
        <w:tc>
          <w:tcPr>
            <w:tcW w:w="2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11 – Borrowings</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76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760" w:type="dxa"/>
            <w:vAlign w:val="bottom"/>
            <w:gridSpan w:val="3"/>
          </w:tcPr>
          <w:p>
            <w:pPr>
              <w:ind w:left="40"/>
              <w:spacing w:after="0"/>
              <w:rPr>
                <w:sz w:val="20"/>
                <w:szCs w:val="20"/>
                <w:color w:val="auto"/>
              </w:rPr>
            </w:pPr>
            <w:r>
              <w:rPr>
                <w:rFonts w:ascii="Arial" w:cs="Arial" w:eastAsia="Arial" w:hAnsi="Arial"/>
                <w:sz w:val="18"/>
                <w:szCs w:val="18"/>
                <w:b w:val="1"/>
                <w:bCs w:val="1"/>
                <w:color w:val="auto"/>
              </w:rPr>
              <w:t>Match Funded Liabilities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vMerge w:val="restart"/>
          </w:tcPr>
          <w:p>
            <w:pPr>
              <w:jc w:val="right"/>
              <w:ind w:right="593"/>
              <w:spacing w:after="0"/>
              <w:rPr>
                <w:sz w:val="20"/>
                <w:szCs w:val="20"/>
                <w:color w:val="auto"/>
              </w:rPr>
            </w:pPr>
            <w:r>
              <w:rPr>
                <w:rFonts w:ascii="Arial" w:cs="Arial" w:eastAsia="Arial" w:hAnsi="Arial"/>
                <w:sz w:val="18"/>
                <w:szCs w:val="18"/>
                <w:b w:val="1"/>
                <w:bCs w:val="1"/>
                <w:color w:val="auto"/>
              </w:rPr>
              <w:t>June 30, 2018</w:t>
            </w:r>
          </w:p>
        </w:tc>
        <w:tc>
          <w:tcPr>
            <w:tcW w:w="100" w:type="dxa"/>
            <w:vAlign w:val="bottom"/>
          </w:tcPr>
          <w:p>
            <w:pPr>
              <w:spacing w:after="0"/>
              <w:rPr>
                <w:sz w:val="24"/>
                <w:szCs w:val="24"/>
                <w:color w:val="auto"/>
              </w:rPr>
            </w:pPr>
          </w:p>
        </w:tc>
        <w:tc>
          <w:tcPr>
            <w:tcW w:w="2420" w:type="dxa"/>
            <w:vAlign w:val="bottom"/>
            <w:gridSpan w:val="6"/>
            <w:vMerge w:val="restart"/>
          </w:tcPr>
          <w:p>
            <w:pPr>
              <w:jc w:val="right"/>
              <w:ind w:right="376"/>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Available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Amorti- zation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Borrowing</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700" w:type="dxa"/>
            <w:vAlign w:val="bottom"/>
            <w:gridSpan w:val="2"/>
          </w:tcPr>
          <w:p>
            <w:pPr>
              <w:ind w:left="780"/>
              <w:spacing w:after="0"/>
              <w:rPr>
                <w:sz w:val="20"/>
                <w:szCs w:val="20"/>
                <w:color w:val="auto"/>
              </w:rPr>
            </w:pPr>
            <w:r>
              <w:rPr>
                <w:rFonts w:ascii="Arial" w:cs="Arial" w:eastAsia="Arial" w:hAnsi="Arial"/>
                <w:sz w:val="16"/>
                <w:szCs w:val="16"/>
                <w:b w:val="1"/>
                <w:bCs w:val="1"/>
                <w:color w:val="auto"/>
              </w:rPr>
              <w:t>Borrowing Type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 (1)</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Date (1)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Capacity (2)</w:t>
            </w:r>
          </w:p>
        </w:tc>
        <w:tc>
          <w:tcPr>
            <w:tcW w:w="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Interest Rate (3)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13"/>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Pr>
          <w:p>
            <w:pPr>
              <w:spacing w:after="0"/>
              <w:rPr>
                <w:sz w:val="18"/>
                <w:szCs w:val="18"/>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2"/>
              </w:rPr>
              <w:t>Interest Rate (3)</w:t>
            </w:r>
          </w:p>
        </w:tc>
        <w:tc>
          <w:tcPr>
            <w:tcW w:w="120" w:type="dxa"/>
            <w:vAlign w:val="bottom"/>
          </w:tcPr>
          <w:p>
            <w:pPr>
              <w:spacing w:after="0"/>
              <w:rPr>
                <w:sz w:val="18"/>
                <w:szCs w:val="18"/>
                <w:color w:val="auto"/>
              </w:rPr>
            </w:pPr>
          </w:p>
        </w:tc>
        <w:tc>
          <w:tcPr>
            <w:tcW w:w="1000" w:type="dxa"/>
            <w:vAlign w:val="bottom"/>
          </w:tcPr>
          <w:p>
            <w:pPr>
              <w:jc w:val="right"/>
              <w:ind w:right="196"/>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6"/>
                <w:szCs w:val="16"/>
                <w:b w:val="1"/>
                <w:bCs w:val="1"/>
                <w:color w:val="auto"/>
              </w:rPr>
              <w:t>Advance Financing Facilities:</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2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2700" w:type="dxa"/>
            <w:vAlign w:val="bottom"/>
            <w:gridSpan w:val="2"/>
          </w:tcPr>
          <w:p>
            <w:pPr>
              <w:ind w:left="280"/>
              <w:spacing w:after="0"/>
              <w:rPr>
                <w:sz w:val="20"/>
                <w:szCs w:val="20"/>
                <w:color w:val="auto"/>
              </w:rPr>
            </w:pPr>
            <w:r>
              <w:rPr>
                <w:rFonts w:ascii="Arial" w:cs="Arial" w:eastAsia="Arial" w:hAnsi="Arial"/>
                <w:sz w:val="16"/>
                <w:szCs w:val="16"/>
                <w:color w:val="auto"/>
              </w:rPr>
              <w:t>Series 2014-VF4 (4)</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2048</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3"/>
              </w:rPr>
              <w:t>Aug. 2018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69,990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560"/>
              <w:spacing w:after="0"/>
              <w:rPr>
                <w:sz w:val="20"/>
                <w:szCs w:val="20"/>
                <w:color w:val="auto"/>
              </w:rPr>
            </w:pPr>
            <w:r>
              <w:rPr>
                <w:rFonts w:ascii="Arial" w:cs="Arial" w:eastAsia="Arial" w:hAnsi="Arial"/>
                <w:sz w:val="16"/>
                <w:szCs w:val="16"/>
                <w:color w:val="auto"/>
                <w:w w:val="92"/>
              </w:rPr>
              <w:t>4.25%</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3"/>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w w:val="96"/>
              </w:rPr>
              <w:t>4.29%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6"/>
              <w:spacing w:after="0"/>
              <w:rPr>
                <w:sz w:val="20"/>
                <w:szCs w:val="20"/>
                <w:color w:val="auto"/>
              </w:rPr>
            </w:pPr>
            <w:r>
              <w:rPr>
                <w:rFonts w:ascii="Arial" w:cs="Arial" w:eastAsia="Arial" w:hAnsi="Arial"/>
                <w:sz w:val="16"/>
                <w:szCs w:val="16"/>
                <w:color w:val="auto"/>
              </w:rPr>
              <w:t>67,095</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shd w:val="clear" w:color="auto" w:fill="EAF9E8"/>
          </w:tcPr>
          <w:p>
            <w:pPr>
              <w:spacing w:after="0"/>
              <w:rPr>
                <w:sz w:val="19"/>
                <w:szCs w:val="19"/>
                <w:color w:val="auto"/>
              </w:rPr>
            </w:pPr>
          </w:p>
        </w:tc>
        <w:tc>
          <w:tcPr>
            <w:tcW w:w="2700" w:type="dxa"/>
            <w:vAlign w:val="bottom"/>
            <w:gridSpan w:val="2"/>
            <w:shd w:val="clear" w:color="auto" w:fill="EAF9E8"/>
          </w:tcPr>
          <w:p>
            <w:pPr>
              <w:ind w:left="12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Borders>
              <w:bottom w:val="single" w:sz="8" w:color="EAF9E8"/>
            </w:tcBorders>
            <w:shd w:val="clear" w:color="auto" w:fill="EAF9E8"/>
          </w:tcPr>
          <w:p>
            <w:pPr>
              <w:spacing w:after="0"/>
              <w:rPr>
                <w:sz w:val="19"/>
                <w:szCs w:val="19"/>
                <w:color w:val="auto"/>
              </w:rPr>
            </w:pPr>
          </w:p>
        </w:tc>
        <w:tc>
          <w:tcPr>
            <w:tcW w:w="27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6"/>
                <w:szCs w:val="16"/>
                <w:color w:val="auto"/>
              </w:rPr>
              <w:t>Series 2015-VF5 (4)</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5"/>
              </w:rPr>
              <w:t>Aug. 2048</w:t>
            </w:r>
          </w:p>
        </w:tc>
        <w:tc>
          <w:tcPr>
            <w:tcW w:w="1140" w:type="dxa"/>
            <w:vAlign w:val="bottom"/>
            <w:tcBorders>
              <w:bottom w:val="single" w:sz="8" w:color="EAF9E8"/>
            </w:tcBorders>
            <w:gridSpan w:val="2"/>
            <w:shd w:val="clear" w:color="auto" w:fill="EAF9E8"/>
          </w:tcPr>
          <w:p>
            <w:pPr>
              <w:jc w:val="center"/>
              <w:spacing w:after="0"/>
              <w:rPr>
                <w:sz w:val="20"/>
                <w:szCs w:val="20"/>
                <w:color w:val="auto"/>
              </w:rPr>
            </w:pPr>
            <w:r>
              <w:rPr>
                <w:rFonts w:ascii="Arial" w:cs="Arial" w:eastAsia="Arial" w:hAnsi="Arial"/>
                <w:sz w:val="16"/>
                <w:szCs w:val="16"/>
                <w:color w:val="auto"/>
                <w:w w:val="93"/>
              </w:rPr>
              <w:t>Aug. 2018</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69,990</w:t>
            </w:r>
          </w:p>
        </w:tc>
        <w:tc>
          <w:tcPr>
            <w:tcW w:w="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ind w:left="560"/>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gridSpan w:val="2"/>
            <w:shd w:val="clear" w:color="auto" w:fill="EAF9E8"/>
          </w:tcPr>
          <w:p>
            <w:pPr>
              <w:jc w:val="right"/>
              <w:ind w:right="33"/>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EAF9E8"/>
            </w:tcBorders>
            <w:shd w:val="clear" w:color="auto" w:fill="EAF9E8"/>
          </w:tcPr>
          <w:p>
            <w:pPr>
              <w:spacing w:after="0"/>
              <w:rPr>
                <w:sz w:val="19"/>
                <w:szCs w:val="19"/>
                <w:color w:val="auto"/>
              </w:rPr>
            </w:pPr>
          </w:p>
        </w:tc>
        <w:tc>
          <w:tcPr>
            <w:tcW w:w="740" w:type="dxa"/>
            <w:vAlign w:val="bottom"/>
            <w:tcBorders>
              <w:bottom w:val="single" w:sz="8" w:color="EAF9E8"/>
            </w:tcBorders>
            <w:shd w:val="clear" w:color="auto" w:fill="EAF9E8"/>
          </w:tcPr>
          <w:p>
            <w:pPr>
              <w:spacing w:after="0"/>
              <w:rPr>
                <w:sz w:val="19"/>
                <w:szCs w:val="19"/>
                <w:color w:val="auto"/>
              </w:rPr>
            </w:pPr>
          </w:p>
        </w:tc>
        <w:tc>
          <w:tcPr>
            <w:tcW w:w="46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67,095</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2700" w:type="dxa"/>
            <w:vAlign w:val="bottom"/>
            <w:gridSpan w:val="2"/>
          </w:tcPr>
          <w:p>
            <w:pPr>
              <w:ind w:left="280"/>
              <w:spacing w:after="0"/>
              <w:rPr>
                <w:sz w:val="20"/>
                <w:szCs w:val="20"/>
                <w:color w:val="auto"/>
              </w:rPr>
            </w:pPr>
            <w:r>
              <w:rPr>
                <w:rFonts w:ascii="Arial" w:cs="Arial" w:eastAsia="Arial" w:hAnsi="Arial"/>
                <w:sz w:val="16"/>
                <w:szCs w:val="16"/>
                <w:color w:val="auto"/>
              </w:rPr>
              <w:t>Series 2016-T1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2048</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3"/>
              </w:rPr>
              <w:t>Aug. 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560"/>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33"/>
              <w:spacing w:after="0"/>
              <w:rPr>
                <w:sz w:val="20"/>
                <w:szCs w:val="20"/>
                <w:color w:val="auto"/>
              </w:rPr>
            </w:pPr>
            <w:r>
              <w:rPr>
                <w:rFonts w:ascii="Arial" w:cs="Arial" w:eastAsia="Arial" w:hAnsi="Arial"/>
                <w:sz w:val="16"/>
                <w:szCs w:val="16"/>
                <w:color w:val="auto"/>
              </w:rPr>
              <w:t>265,000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6"/>
                <w:szCs w:val="16"/>
                <w:color w:val="auto"/>
              </w:rPr>
              <w:t>265,000</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shd w:val="clear" w:color="auto" w:fill="EAF9E8"/>
          </w:tcPr>
          <w:p>
            <w:pPr>
              <w:spacing w:after="0"/>
              <w:rPr>
                <w:sz w:val="19"/>
                <w:szCs w:val="19"/>
                <w:color w:val="auto"/>
              </w:rPr>
            </w:pPr>
          </w:p>
        </w:tc>
        <w:tc>
          <w:tcPr>
            <w:tcW w:w="2700" w:type="dxa"/>
            <w:vAlign w:val="bottom"/>
            <w:gridSpan w:val="2"/>
            <w:shd w:val="clear" w:color="auto" w:fill="EAF9E8"/>
          </w:tcPr>
          <w:p>
            <w:pPr>
              <w:ind w:left="12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Borders>
              <w:bottom w:val="single" w:sz="8" w:color="EAF9E8"/>
            </w:tcBorders>
            <w:shd w:val="clear" w:color="auto" w:fill="EAF9E8"/>
          </w:tcPr>
          <w:p>
            <w:pPr>
              <w:spacing w:after="0"/>
              <w:rPr>
                <w:sz w:val="19"/>
                <w:szCs w:val="19"/>
                <w:color w:val="auto"/>
              </w:rPr>
            </w:pPr>
          </w:p>
        </w:tc>
        <w:tc>
          <w:tcPr>
            <w:tcW w:w="27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6"/>
                <w:szCs w:val="16"/>
                <w:color w:val="auto"/>
              </w:rPr>
              <w:t>Series 2016-T2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5"/>
              </w:rPr>
              <w:t>Aug. 2049</w:t>
            </w:r>
          </w:p>
        </w:tc>
        <w:tc>
          <w:tcPr>
            <w:tcW w:w="1140" w:type="dxa"/>
            <w:vAlign w:val="bottom"/>
            <w:tcBorders>
              <w:bottom w:val="single" w:sz="8" w:color="EAF9E8"/>
            </w:tcBorders>
            <w:gridSpan w:val="2"/>
            <w:shd w:val="clear" w:color="auto" w:fill="EAF9E8"/>
          </w:tcPr>
          <w:p>
            <w:pPr>
              <w:jc w:val="center"/>
              <w:spacing w:after="0"/>
              <w:rPr>
                <w:sz w:val="20"/>
                <w:szCs w:val="20"/>
                <w:color w:val="auto"/>
              </w:rPr>
            </w:pPr>
            <w:r>
              <w:rPr>
                <w:rFonts w:ascii="Arial" w:cs="Arial" w:eastAsia="Arial" w:hAnsi="Arial"/>
                <w:sz w:val="16"/>
                <w:szCs w:val="16"/>
                <w:color w:val="auto"/>
                <w:w w:val="93"/>
              </w:rPr>
              <w:t>Aug. 2019</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ind w:left="560"/>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gridSpan w:val="2"/>
            <w:shd w:val="clear" w:color="auto" w:fill="EAF9E8"/>
          </w:tcPr>
          <w:p>
            <w:pPr>
              <w:jc w:val="right"/>
              <w:ind w:right="33"/>
              <w:spacing w:after="0"/>
              <w:rPr>
                <w:sz w:val="20"/>
                <w:szCs w:val="20"/>
                <w:color w:val="auto"/>
              </w:rPr>
            </w:pPr>
            <w:r>
              <w:rPr>
                <w:rFonts w:ascii="Arial" w:cs="Arial" w:eastAsia="Arial" w:hAnsi="Arial"/>
                <w:sz w:val="16"/>
                <w:szCs w:val="16"/>
                <w:color w:val="auto"/>
              </w:rPr>
              <w:t>235,000</w:t>
            </w:r>
          </w:p>
        </w:tc>
        <w:tc>
          <w:tcPr>
            <w:tcW w:w="100" w:type="dxa"/>
            <w:vAlign w:val="bottom"/>
            <w:tcBorders>
              <w:bottom w:val="single" w:sz="8" w:color="EAF9E8"/>
            </w:tcBorders>
            <w:shd w:val="clear" w:color="auto" w:fill="EAF9E8"/>
          </w:tcPr>
          <w:p>
            <w:pPr>
              <w:spacing w:after="0"/>
              <w:rPr>
                <w:sz w:val="19"/>
                <w:szCs w:val="19"/>
                <w:color w:val="auto"/>
              </w:rPr>
            </w:pPr>
          </w:p>
        </w:tc>
        <w:tc>
          <w:tcPr>
            <w:tcW w:w="740" w:type="dxa"/>
            <w:vAlign w:val="bottom"/>
            <w:tcBorders>
              <w:bottom w:val="single" w:sz="8" w:color="EAF9E8"/>
            </w:tcBorders>
            <w:shd w:val="clear" w:color="auto" w:fill="EAF9E8"/>
          </w:tcPr>
          <w:p>
            <w:pPr>
              <w:spacing w:after="0"/>
              <w:rPr>
                <w:sz w:val="19"/>
                <w:szCs w:val="19"/>
                <w:color w:val="auto"/>
              </w:rPr>
            </w:pPr>
          </w:p>
        </w:tc>
        <w:tc>
          <w:tcPr>
            <w:tcW w:w="46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235,000</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2700" w:type="dxa"/>
            <w:vAlign w:val="bottom"/>
            <w:gridSpan w:val="2"/>
          </w:tcPr>
          <w:p>
            <w:pPr>
              <w:ind w:left="280"/>
              <w:spacing w:after="0"/>
              <w:rPr>
                <w:sz w:val="20"/>
                <w:szCs w:val="20"/>
                <w:color w:val="auto"/>
              </w:rPr>
            </w:pPr>
            <w:r>
              <w:rPr>
                <w:rFonts w:ascii="Arial" w:cs="Arial" w:eastAsia="Arial" w:hAnsi="Arial"/>
                <w:sz w:val="16"/>
                <w:szCs w:val="16"/>
                <w:color w:val="auto"/>
              </w:rPr>
              <w:t>Series 2017-T1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Sep. 2048</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0"/>
              </w:rPr>
              <w:t>Sep. 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560"/>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33"/>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33"/>
        </w:trPr>
        <w:tc>
          <w:tcPr>
            <w:tcW w:w="60" w:type="dxa"/>
            <w:vAlign w:val="bottom"/>
            <w:tcBorders>
              <w:bottom w:val="single" w:sz="8" w:color="EAF9E8"/>
            </w:tcBorders>
          </w:tcPr>
          <w:p>
            <w:pPr>
              <w:spacing w:after="0"/>
              <w:rPr>
                <w:sz w:val="2"/>
                <w:szCs w:val="2"/>
                <w:color w:val="auto"/>
              </w:rPr>
            </w:pPr>
          </w:p>
        </w:tc>
        <w:tc>
          <w:tcPr>
            <w:tcW w:w="25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20" w:type="dxa"/>
            <w:vAlign w:val="bottom"/>
            <w:tcBorders>
              <w:bottom w:val="single" w:sz="8" w:color="EAF9E8"/>
            </w:tcBorders>
          </w:tcPr>
          <w:p>
            <w:pPr>
              <w:spacing w:after="0"/>
              <w:rPr>
                <w:sz w:val="2"/>
                <w:szCs w:val="2"/>
                <w:color w:val="auto"/>
              </w:rPr>
            </w:pPr>
          </w:p>
        </w:tc>
        <w:tc>
          <w:tcPr>
            <w:tcW w:w="4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0" w:type="dxa"/>
            <w:vAlign w:val="bottom"/>
            <w:shd w:val="clear" w:color="auto" w:fill="EAF9E8"/>
          </w:tcPr>
          <w:p>
            <w:pPr>
              <w:spacing w:after="0"/>
              <w:rPr>
                <w:sz w:val="17"/>
                <w:szCs w:val="17"/>
                <w:color w:val="auto"/>
              </w:rPr>
            </w:pPr>
          </w:p>
        </w:tc>
        <w:tc>
          <w:tcPr>
            <w:tcW w:w="2700" w:type="dxa"/>
            <w:vAlign w:val="bottom"/>
            <w:gridSpan w:val="2"/>
            <w:shd w:val="clear" w:color="auto" w:fill="EAF9E8"/>
          </w:tcPr>
          <w:p>
            <w:pPr>
              <w:ind w:left="220"/>
              <w:spacing w:after="0"/>
              <w:rPr>
                <w:sz w:val="20"/>
                <w:szCs w:val="20"/>
                <w:color w:val="auto"/>
              </w:rPr>
            </w:pPr>
            <w:r>
              <w:rPr>
                <w:rFonts w:ascii="Arial" w:cs="Arial" w:eastAsia="Arial" w:hAnsi="Arial"/>
                <w:sz w:val="16"/>
                <w:szCs w:val="16"/>
                <w:b w:val="1"/>
                <w:bCs w:val="1"/>
                <w:color w:val="auto"/>
              </w:rPr>
              <w:t>Total Ocwen Master Advance</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EAF9E8"/>
            </w:tcBorders>
            <w:shd w:val="clear" w:color="auto" w:fill="EAF9E8"/>
          </w:tcPr>
          <w:p>
            <w:pPr>
              <w:spacing w:after="0"/>
              <w:rPr>
                <w:sz w:val="19"/>
                <w:szCs w:val="19"/>
                <w:color w:val="auto"/>
              </w:rPr>
            </w:pPr>
          </w:p>
        </w:tc>
        <w:tc>
          <w:tcPr>
            <w:tcW w:w="270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6"/>
                <w:szCs w:val="16"/>
                <w:b w:val="1"/>
                <w:bCs w:val="1"/>
                <w:color w:val="auto"/>
              </w:rPr>
              <w:t>Receivables Trust (OMART)</w:t>
            </w:r>
          </w:p>
        </w:tc>
        <w:tc>
          <w:tcPr>
            <w:tcW w:w="11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72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139,980</w:t>
            </w:r>
          </w:p>
        </w:tc>
        <w:tc>
          <w:tcPr>
            <w:tcW w:w="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ind w:left="560"/>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spacing w:after="0"/>
              <w:rPr>
                <w:sz w:val="19"/>
                <w:szCs w:val="19"/>
                <w:color w:val="auto"/>
              </w:rPr>
            </w:pPr>
          </w:p>
        </w:tc>
        <w:tc>
          <w:tcPr>
            <w:tcW w:w="860" w:type="dxa"/>
            <w:vAlign w:val="bottom"/>
            <w:tcBorders>
              <w:bottom w:val="single" w:sz="8" w:color="EAF9E8"/>
            </w:tcBorders>
            <w:gridSpan w:val="2"/>
            <w:shd w:val="clear" w:color="auto" w:fill="EAF9E8"/>
          </w:tcPr>
          <w:p>
            <w:pPr>
              <w:jc w:val="right"/>
              <w:ind w:right="33"/>
              <w:spacing w:after="0"/>
              <w:rPr>
                <w:sz w:val="20"/>
                <w:szCs w:val="20"/>
                <w:color w:val="auto"/>
              </w:rPr>
            </w:pPr>
            <w:r>
              <w:rPr>
                <w:rFonts w:ascii="Arial" w:cs="Arial" w:eastAsia="Arial" w:hAnsi="Arial"/>
                <w:sz w:val="16"/>
                <w:szCs w:val="16"/>
                <w:color w:val="auto"/>
              </w:rPr>
              <w:t>750,020</w:t>
            </w:r>
          </w:p>
        </w:tc>
        <w:tc>
          <w:tcPr>
            <w:tcW w:w="100" w:type="dxa"/>
            <w:vAlign w:val="bottom"/>
            <w:tcBorders>
              <w:bottom w:val="single" w:sz="8" w:color="EAF9E8"/>
            </w:tcBorders>
            <w:shd w:val="clear" w:color="auto" w:fill="EAF9E8"/>
          </w:tcPr>
          <w:p>
            <w:pPr>
              <w:spacing w:after="0"/>
              <w:rPr>
                <w:sz w:val="19"/>
                <w:szCs w:val="19"/>
                <w:color w:val="auto"/>
              </w:rPr>
            </w:pPr>
          </w:p>
        </w:tc>
        <w:tc>
          <w:tcPr>
            <w:tcW w:w="740" w:type="dxa"/>
            <w:vAlign w:val="bottom"/>
            <w:tcBorders>
              <w:bottom w:val="single" w:sz="8" w:color="EAF9E8"/>
            </w:tcBorders>
            <w:shd w:val="clear" w:color="auto" w:fill="EAF9E8"/>
          </w:tcPr>
          <w:p>
            <w:pPr>
              <w:spacing w:after="0"/>
              <w:rPr>
                <w:sz w:val="19"/>
                <w:szCs w:val="19"/>
                <w:color w:val="auto"/>
              </w:rPr>
            </w:pPr>
          </w:p>
        </w:tc>
        <w:tc>
          <w:tcPr>
            <w:tcW w:w="46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884,190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00" w:type="dxa"/>
            <w:vAlign w:val="bottom"/>
            <w:gridSpan w:val="2"/>
          </w:tcPr>
          <w:p>
            <w:pPr>
              <w:ind w:left="120"/>
              <w:spacing w:after="0"/>
              <w:rPr>
                <w:sz w:val="20"/>
                <w:szCs w:val="20"/>
                <w:color w:val="auto"/>
              </w:rPr>
            </w:pPr>
            <w:r>
              <w:rPr>
                <w:rFonts w:ascii="Arial" w:cs="Arial" w:eastAsia="Arial" w:hAnsi="Arial"/>
                <w:sz w:val="16"/>
                <w:szCs w:val="16"/>
                <w:b w:val="1"/>
                <w:bCs w:val="1"/>
                <w:color w:val="auto"/>
              </w:rPr>
              <w:t>Ocwen Servicer Advance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700" w:type="dxa"/>
            <w:vAlign w:val="bottom"/>
            <w:gridSpan w:val="2"/>
          </w:tcPr>
          <w:p>
            <w:pPr>
              <w:ind w:left="280"/>
              <w:spacing w:after="0"/>
              <w:rPr>
                <w:sz w:val="20"/>
                <w:szCs w:val="20"/>
                <w:color w:val="auto"/>
              </w:rPr>
            </w:pPr>
            <w:r>
              <w:rPr>
                <w:rFonts w:ascii="Arial" w:cs="Arial" w:eastAsia="Arial" w:hAnsi="Arial"/>
                <w:sz w:val="16"/>
                <w:szCs w:val="16"/>
                <w:b w:val="1"/>
                <w:bCs w:val="1"/>
                <w:color w:val="auto"/>
              </w:rPr>
              <w:t>Receivables Trust III (OSART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700" w:type="dxa"/>
            <w:vAlign w:val="bottom"/>
            <w:gridSpan w:val="2"/>
          </w:tcPr>
          <w:p>
            <w:pPr>
              <w:ind w:left="280"/>
              <w:spacing w:after="0"/>
              <w:rPr>
                <w:sz w:val="20"/>
                <w:szCs w:val="20"/>
                <w:color w:val="auto"/>
              </w:rPr>
            </w:pPr>
            <w:r>
              <w:rPr>
                <w:rFonts w:ascii="Arial" w:cs="Arial" w:eastAsia="Arial" w:hAnsi="Arial"/>
                <w:sz w:val="16"/>
                <w:szCs w:val="16"/>
                <w:b w:val="1"/>
                <w:bCs w:val="1"/>
                <w:color w:val="auto"/>
              </w:rPr>
              <w:t xml:space="preserve">III) - </w:t>
            </w:r>
            <w:r>
              <w:rPr>
                <w:rFonts w:ascii="Arial" w:cs="Arial" w:eastAsia="Arial" w:hAnsi="Arial"/>
                <w:sz w:val="16"/>
                <w:szCs w:val="16"/>
                <w:color w:val="auto"/>
              </w:rPr>
              <w:t>Advance Receivables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700" w:type="dxa"/>
            <w:vAlign w:val="bottom"/>
            <w:gridSpan w:val="2"/>
          </w:tcPr>
          <w:p>
            <w:pPr>
              <w:ind w:left="280"/>
              <w:spacing w:after="0"/>
              <w:rPr>
                <w:sz w:val="20"/>
                <w:szCs w:val="20"/>
                <w:color w:val="auto"/>
              </w:rPr>
            </w:pPr>
            <w:r>
              <w:rPr>
                <w:rFonts w:ascii="Arial" w:cs="Arial" w:eastAsia="Arial" w:hAnsi="Arial"/>
                <w:sz w:val="16"/>
                <w:szCs w:val="16"/>
                <w:color w:val="auto"/>
              </w:rPr>
              <w:t>Backed Notes, Series 2014-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2700" w:type="dxa"/>
            <w:vAlign w:val="bottom"/>
            <w:gridSpan w:val="2"/>
          </w:tcPr>
          <w:p>
            <w:pPr>
              <w:ind w:left="280"/>
              <w:spacing w:after="0"/>
              <w:rPr>
                <w:sz w:val="20"/>
                <w:szCs w:val="20"/>
                <w:color w:val="auto"/>
              </w:rPr>
            </w:pPr>
            <w:r>
              <w:rPr>
                <w:rFonts w:ascii="Arial" w:cs="Arial" w:eastAsia="Arial" w:hAnsi="Arial"/>
                <w:sz w:val="16"/>
                <w:szCs w:val="16"/>
                <w:color w:val="auto"/>
              </w:rPr>
              <w:t>VF1 (6)</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Dec. 2048</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0"/>
              </w:rPr>
              <w:t>Dec. 2018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54,399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560"/>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33"/>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6"/>
                <w:szCs w:val="16"/>
                <w:color w:val="auto"/>
              </w:rPr>
              <w:t>33,768</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shd w:val="clear" w:color="auto" w:fill="EAF9E8"/>
          </w:tcPr>
          <w:p>
            <w:pPr>
              <w:spacing w:after="0"/>
              <w:rPr>
                <w:sz w:val="18"/>
                <w:szCs w:val="18"/>
                <w:color w:val="auto"/>
              </w:rPr>
            </w:pPr>
          </w:p>
        </w:tc>
        <w:tc>
          <w:tcPr>
            <w:tcW w:w="2700" w:type="dxa"/>
            <w:vAlign w:val="bottom"/>
            <w:gridSpan w:val="2"/>
            <w:shd w:val="clear" w:color="auto" w:fill="EAF9E8"/>
          </w:tcPr>
          <w:p>
            <w:pPr>
              <w:ind w:left="120"/>
              <w:spacing w:after="0"/>
              <w:rPr>
                <w:sz w:val="20"/>
                <w:szCs w:val="20"/>
                <w:color w:val="auto"/>
              </w:rPr>
            </w:pPr>
            <w:r>
              <w:rPr>
                <w:rFonts w:ascii="Arial" w:cs="Arial" w:eastAsia="Arial" w:hAnsi="Arial"/>
                <w:sz w:val="16"/>
                <w:szCs w:val="16"/>
                <w:b w:val="1"/>
                <w:bCs w:val="1"/>
                <w:color w:val="auto"/>
              </w:rPr>
              <w:t>Ocwen Freddie Advance Funding</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EAF9E8"/>
          </w:tcPr>
          <w:p>
            <w:pPr>
              <w:spacing w:after="0"/>
              <w:rPr>
                <w:sz w:val="17"/>
                <w:szCs w:val="17"/>
                <w:color w:val="auto"/>
              </w:rPr>
            </w:pPr>
          </w:p>
        </w:tc>
        <w:tc>
          <w:tcPr>
            <w:tcW w:w="2700" w:type="dxa"/>
            <w:vAlign w:val="bottom"/>
            <w:gridSpan w:val="2"/>
            <w:shd w:val="clear" w:color="auto" w:fill="EAF9E8"/>
          </w:tcPr>
          <w:p>
            <w:pPr>
              <w:ind w:left="280"/>
              <w:spacing w:after="0"/>
              <w:rPr>
                <w:sz w:val="20"/>
                <w:szCs w:val="20"/>
                <w:color w:val="auto"/>
              </w:rPr>
            </w:pPr>
            <w:r>
              <w:rPr>
                <w:rFonts w:ascii="Arial" w:cs="Arial" w:eastAsia="Arial" w:hAnsi="Arial"/>
                <w:sz w:val="16"/>
                <w:szCs w:val="16"/>
                <w:b w:val="1"/>
                <w:bCs w:val="1"/>
                <w:color w:val="auto"/>
              </w:rPr>
              <w:t xml:space="preserve">(OFAF) - </w:t>
            </w:r>
            <w:r>
              <w:rPr>
                <w:rFonts w:ascii="Arial" w:cs="Arial" w:eastAsia="Arial" w:hAnsi="Arial"/>
                <w:sz w:val="16"/>
                <w:szCs w:val="16"/>
                <w:color w:val="auto"/>
              </w:rPr>
              <w:t>Advance Receivables</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EAF9E8"/>
          </w:tcPr>
          <w:p>
            <w:pPr>
              <w:spacing w:after="0"/>
              <w:rPr>
                <w:sz w:val="17"/>
                <w:szCs w:val="17"/>
                <w:color w:val="auto"/>
              </w:rPr>
            </w:pPr>
          </w:p>
        </w:tc>
        <w:tc>
          <w:tcPr>
            <w:tcW w:w="2700" w:type="dxa"/>
            <w:vAlign w:val="bottom"/>
            <w:gridSpan w:val="2"/>
            <w:shd w:val="clear" w:color="auto" w:fill="EAF9E8"/>
          </w:tcPr>
          <w:p>
            <w:pPr>
              <w:ind w:left="280"/>
              <w:spacing w:after="0"/>
              <w:rPr>
                <w:sz w:val="20"/>
                <w:szCs w:val="20"/>
                <w:color w:val="auto"/>
              </w:rPr>
            </w:pPr>
            <w:r>
              <w:rPr>
                <w:rFonts w:ascii="Arial" w:cs="Arial" w:eastAsia="Arial" w:hAnsi="Arial"/>
                <w:sz w:val="16"/>
                <w:szCs w:val="16"/>
                <w:color w:val="auto"/>
              </w:rPr>
              <w:t>Backed Notes, Series 2015-</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 w:type="dxa"/>
            <w:vAlign w:val="bottom"/>
            <w:tcBorders>
              <w:bottom w:val="single" w:sz="8" w:color="EAF9E8"/>
            </w:tcBorders>
            <w:shd w:val="clear" w:color="auto" w:fill="EAF9E8"/>
          </w:tcPr>
          <w:p>
            <w:pPr>
              <w:spacing w:after="0"/>
              <w:rPr>
                <w:sz w:val="20"/>
                <w:szCs w:val="20"/>
                <w:color w:val="auto"/>
              </w:rPr>
            </w:pPr>
          </w:p>
        </w:tc>
        <w:tc>
          <w:tcPr>
            <w:tcW w:w="27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6"/>
                <w:szCs w:val="16"/>
                <w:color w:val="auto"/>
              </w:rPr>
              <w:t>VF1 (7)</w:t>
            </w:r>
          </w:p>
        </w:tc>
        <w:tc>
          <w:tcPr>
            <w:tcW w:w="1240" w:type="dxa"/>
            <w:vAlign w:val="bottom"/>
            <w:tcBorders>
              <w:bottom w:val="single" w:sz="8" w:color="EAF9E8"/>
            </w:tcBorders>
            <w:gridSpan w:val="2"/>
            <w:shd w:val="clear" w:color="auto" w:fill="EAF9E8"/>
          </w:tcPr>
          <w:p>
            <w:pPr>
              <w:ind w:left="480"/>
              <w:spacing w:after="0"/>
              <w:rPr>
                <w:sz w:val="20"/>
                <w:szCs w:val="20"/>
                <w:color w:val="auto"/>
              </w:rPr>
            </w:pPr>
            <w:r>
              <w:rPr>
                <w:rFonts w:ascii="Arial" w:cs="Arial" w:eastAsia="Arial" w:hAnsi="Arial"/>
                <w:sz w:val="16"/>
                <w:szCs w:val="16"/>
                <w:color w:val="auto"/>
              </w:rPr>
              <w:t>Jun. 2049</w:t>
            </w:r>
          </w:p>
        </w:tc>
        <w:tc>
          <w:tcPr>
            <w:tcW w:w="1140" w:type="dxa"/>
            <w:vAlign w:val="bottom"/>
            <w:tcBorders>
              <w:bottom w:val="single" w:sz="8" w:color="EAF9E8"/>
            </w:tcBorders>
            <w:gridSpan w:val="2"/>
            <w:shd w:val="clear" w:color="auto" w:fill="EAF9E8"/>
          </w:tcPr>
          <w:p>
            <w:pPr>
              <w:jc w:val="center"/>
              <w:ind w:left="378"/>
              <w:spacing w:after="0"/>
              <w:rPr>
                <w:sz w:val="20"/>
                <w:szCs w:val="20"/>
                <w:color w:val="auto"/>
              </w:rPr>
            </w:pPr>
            <w:r>
              <w:rPr>
                <w:rFonts w:ascii="Arial" w:cs="Arial" w:eastAsia="Arial" w:hAnsi="Arial"/>
                <w:sz w:val="16"/>
                <w:szCs w:val="16"/>
                <w:color w:val="auto"/>
                <w:w w:val="91"/>
              </w:rPr>
              <w:t>Jun. 2019</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64,927</w:t>
            </w:r>
          </w:p>
        </w:tc>
        <w:tc>
          <w:tcPr>
            <w:tcW w:w="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ind w:left="560"/>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860" w:type="dxa"/>
            <w:vAlign w:val="bottom"/>
            <w:tcBorders>
              <w:bottom w:val="single" w:sz="8" w:color="EAF9E8"/>
            </w:tcBorders>
            <w:gridSpan w:val="2"/>
            <w:shd w:val="clear" w:color="auto" w:fill="EAF9E8"/>
          </w:tcPr>
          <w:p>
            <w:pPr>
              <w:jc w:val="right"/>
              <w:ind w:right="33"/>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EAF9E8"/>
            </w:tcBorders>
            <w:shd w:val="clear" w:color="auto" w:fill="EAF9E8"/>
          </w:tcPr>
          <w:p>
            <w:pPr>
              <w:spacing w:after="0"/>
              <w:rPr>
                <w:sz w:val="20"/>
                <w:szCs w:val="20"/>
                <w:color w:val="auto"/>
              </w:rPr>
            </w:pPr>
          </w:p>
        </w:tc>
        <w:tc>
          <w:tcPr>
            <w:tcW w:w="74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6"/>
                <w:szCs w:val="16"/>
                <w:color w:val="auto"/>
              </w:rPr>
              <w:t>56,078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7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Servicing Advance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700" w:type="dxa"/>
            <w:vAlign w:val="bottom"/>
            <w:gridSpan w:val="2"/>
          </w:tcPr>
          <w:p>
            <w:pPr>
              <w:ind w:left="380"/>
              <w:spacing w:after="0"/>
              <w:rPr>
                <w:sz w:val="20"/>
                <w:szCs w:val="20"/>
                <w:color w:val="auto"/>
              </w:rPr>
            </w:pPr>
            <w:r>
              <w:rPr>
                <w:rFonts w:ascii="Arial" w:cs="Arial" w:eastAsia="Arial" w:hAnsi="Arial"/>
                <w:sz w:val="16"/>
                <w:szCs w:val="16"/>
                <w:b w:val="1"/>
                <w:bCs w:val="1"/>
                <w:color w:val="auto"/>
              </w:rPr>
              <w:t>Financing Facilities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259,306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6"/>
                <w:szCs w:val="16"/>
                <w:color w:val="auto"/>
                <w:w w:val="92"/>
              </w:rPr>
              <w:t>2.80%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33"/>
              <w:spacing w:after="0"/>
              <w:rPr>
                <w:sz w:val="20"/>
                <w:szCs w:val="20"/>
                <w:color w:val="auto"/>
              </w:rPr>
            </w:pPr>
            <w:r>
              <w:rPr>
                <w:rFonts w:ascii="Arial" w:cs="Arial" w:eastAsia="Arial" w:hAnsi="Arial"/>
                <w:sz w:val="16"/>
                <w:szCs w:val="16"/>
                <w:color w:val="auto"/>
              </w:rPr>
              <w:t>750,694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w w:val="96"/>
              </w:rPr>
              <w:t>3.16%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Arial" w:cs="Arial" w:eastAsia="Arial" w:hAnsi="Arial"/>
                <w:sz w:val="16"/>
                <w:szCs w:val="16"/>
                <w:color w:val="auto"/>
              </w:rPr>
              <w:t>974,036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EAF9E8"/>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20" w:type="dxa"/>
            <w:vAlign w:val="bottom"/>
            <w:tcBorders>
              <w:bottom w:val="single" w:sz="8" w:color="EAF9E8"/>
            </w:tcBorders>
          </w:tcPr>
          <w:p>
            <w:pPr>
              <w:spacing w:after="0"/>
              <w:rPr>
                <w:sz w:val="2"/>
                <w:szCs w:val="2"/>
                <w:color w:val="auto"/>
              </w:rPr>
            </w:pPr>
          </w:p>
        </w:tc>
        <w:tc>
          <w:tcPr>
            <w:tcW w:w="4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EAF9E8"/>
          </w:tcPr>
          <w:p>
            <w:pPr>
              <w:spacing w:after="0"/>
              <w:rPr>
                <w:sz w:val="19"/>
                <w:szCs w:val="19"/>
                <w:color w:val="auto"/>
              </w:rPr>
            </w:pPr>
          </w:p>
        </w:tc>
        <w:tc>
          <w:tcPr>
            <w:tcW w:w="25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3"/>
          </w:tcPr>
          <w:p>
            <w:pPr>
              <w:ind w:left="40"/>
              <w:spacing w:after="0"/>
              <w:rPr>
                <w:sz w:val="20"/>
                <w:szCs w:val="20"/>
                <w:color w:val="auto"/>
              </w:rPr>
            </w:pPr>
            <w:r>
              <w:rPr>
                <w:rFonts w:ascii="Arial" w:cs="Arial" w:eastAsia="Arial" w:hAnsi="Arial"/>
                <w:sz w:val="16"/>
                <w:szCs w:val="16"/>
                <w:b w:val="1"/>
                <w:bCs w:val="1"/>
                <w:color w:val="auto"/>
              </w:rPr>
              <w:t>Automotive Capital Asset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700" w:type="dxa"/>
            <w:vAlign w:val="bottom"/>
            <w:gridSpan w:val="2"/>
          </w:tcPr>
          <w:p>
            <w:pPr>
              <w:ind w:left="140"/>
              <w:spacing w:after="0"/>
              <w:rPr>
                <w:sz w:val="20"/>
                <w:szCs w:val="20"/>
                <w:color w:val="auto"/>
              </w:rPr>
            </w:pPr>
            <w:r>
              <w:rPr>
                <w:rFonts w:ascii="Arial" w:cs="Arial" w:eastAsia="Arial" w:hAnsi="Arial"/>
                <w:sz w:val="16"/>
                <w:szCs w:val="16"/>
                <w:b w:val="1"/>
                <w:bCs w:val="1"/>
                <w:color w:val="auto"/>
                <w:w w:val="98"/>
              </w:rPr>
              <w:t xml:space="preserve">Receivables Trust (ACART) - </w:t>
            </w:r>
            <w:r>
              <w:rPr>
                <w:rFonts w:ascii="Arial" w:cs="Arial" w:eastAsia="Arial" w:hAnsi="Arial"/>
                <w:sz w:val="16"/>
                <w:szCs w:val="16"/>
                <w:color w:val="auto"/>
                <w:w w:val="98"/>
              </w:rPr>
              <w:t>Loan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2700" w:type="dxa"/>
            <w:vAlign w:val="bottom"/>
            <w:gridSpan w:val="2"/>
          </w:tcPr>
          <w:p>
            <w:pPr>
              <w:ind w:left="140"/>
              <w:spacing w:after="0"/>
              <w:rPr>
                <w:sz w:val="20"/>
                <w:szCs w:val="20"/>
                <w:color w:val="auto"/>
              </w:rPr>
            </w:pPr>
            <w:r>
              <w:rPr>
                <w:rFonts w:ascii="Arial" w:cs="Arial" w:eastAsia="Arial" w:hAnsi="Arial"/>
                <w:sz w:val="16"/>
                <w:szCs w:val="16"/>
                <w:color w:val="auto"/>
              </w:rPr>
              <w:t>Series 2017-1 (8)</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2021</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1"/>
              </w:rPr>
              <w:t>Feb. 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w w:val="96"/>
              </w:rPr>
              <w:t>6.77%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6"/>
                <w:szCs w:val="16"/>
                <w:color w:val="auto"/>
              </w:rPr>
              <w:t>24,582</w:t>
            </w:r>
          </w:p>
        </w:tc>
        <w:tc>
          <w:tcPr>
            <w:tcW w:w="0" w:type="dxa"/>
            <w:vAlign w:val="bottom"/>
          </w:tcPr>
          <w:p>
            <w:pPr>
              <w:spacing w:after="0"/>
              <w:rPr>
                <w:sz w:val="1"/>
                <w:szCs w:val="1"/>
                <w:color w:val="auto"/>
              </w:rPr>
            </w:pPr>
          </w:p>
        </w:tc>
      </w:tr>
      <w:tr>
        <w:trPr>
          <w:trHeight w:val="33"/>
        </w:trPr>
        <w:tc>
          <w:tcPr>
            <w:tcW w:w="60" w:type="dxa"/>
            <w:vAlign w:val="bottom"/>
            <w:tcBorders>
              <w:bottom w:val="single" w:sz="8" w:color="EAF9E8"/>
            </w:tcBorders>
          </w:tcPr>
          <w:p>
            <w:pPr>
              <w:spacing w:after="0"/>
              <w:rPr>
                <w:sz w:val="2"/>
                <w:szCs w:val="2"/>
                <w:color w:val="auto"/>
              </w:rPr>
            </w:pPr>
          </w:p>
        </w:tc>
        <w:tc>
          <w:tcPr>
            <w:tcW w:w="25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20" w:type="dxa"/>
            <w:vAlign w:val="bottom"/>
            <w:tcBorders>
              <w:bottom w:val="single" w:sz="8" w:color="EAF9E8"/>
            </w:tcBorders>
          </w:tcPr>
          <w:p>
            <w:pPr>
              <w:spacing w:after="0"/>
              <w:rPr>
                <w:sz w:val="2"/>
                <w:szCs w:val="2"/>
                <w:color w:val="auto"/>
              </w:rPr>
            </w:pPr>
          </w:p>
        </w:tc>
        <w:tc>
          <w:tcPr>
            <w:tcW w:w="4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40" w:type="dxa"/>
            <w:vAlign w:val="bottom"/>
            <w:tcBorders>
              <w:bottom w:val="single" w:sz="8" w:color="EAF9E8"/>
            </w:tcBorders>
          </w:tcPr>
          <w:p>
            <w:pPr>
              <w:spacing w:after="0"/>
              <w:rPr>
                <w:sz w:val="2"/>
                <w:szCs w:val="2"/>
                <w:color w:val="auto"/>
              </w:rPr>
            </w:pPr>
          </w:p>
        </w:tc>
        <w:tc>
          <w:tcPr>
            <w:tcW w:w="460" w:type="dxa"/>
            <w:vAlign w:val="bottom"/>
            <w:tcBorders>
              <w:bottom w:val="single" w:sz="8" w:color="EAF9E8"/>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EAF9E8"/>
          </w:tcPr>
          <w:p>
            <w:pPr>
              <w:spacing w:after="0"/>
              <w:rPr>
                <w:sz w:val="19"/>
                <w:szCs w:val="19"/>
                <w:color w:val="auto"/>
              </w:rPr>
            </w:pPr>
          </w:p>
        </w:tc>
        <w:tc>
          <w:tcPr>
            <w:tcW w:w="25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259,306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ind w:left="560"/>
              <w:spacing w:after="0"/>
              <w:rPr>
                <w:sz w:val="20"/>
                <w:szCs w:val="20"/>
                <w:color w:val="auto"/>
              </w:rPr>
            </w:pPr>
            <w:r>
              <w:rPr>
                <w:rFonts w:ascii="Arial" w:cs="Arial" w:eastAsia="Arial" w:hAnsi="Arial"/>
                <w:sz w:val="16"/>
                <w:szCs w:val="16"/>
                <w:color w:val="auto"/>
                <w:w w:val="92"/>
              </w:rPr>
              <w:t>2.80%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3"/>
              <w:spacing w:after="0"/>
              <w:rPr>
                <w:sz w:val="20"/>
                <w:szCs w:val="20"/>
                <w:color w:val="auto"/>
              </w:rPr>
            </w:pPr>
            <w:r>
              <w:rPr>
                <w:rFonts w:ascii="Arial" w:cs="Arial" w:eastAsia="Arial" w:hAnsi="Arial"/>
                <w:sz w:val="16"/>
                <w:szCs w:val="16"/>
                <w:color w:val="auto"/>
              </w:rPr>
              <w:t>750,694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gridSpan w:val="2"/>
          </w:tcPr>
          <w:p>
            <w:pPr>
              <w:spacing w:after="0"/>
              <w:rPr>
                <w:sz w:val="20"/>
                <w:szCs w:val="20"/>
                <w:color w:val="auto"/>
              </w:rPr>
            </w:pPr>
            <w:r>
              <w:rPr>
                <w:rFonts w:ascii="Arial" w:cs="Arial" w:eastAsia="Arial" w:hAnsi="Arial"/>
                <w:sz w:val="16"/>
                <w:szCs w:val="16"/>
                <w:color w:val="auto"/>
                <w:w w:val="96"/>
              </w:rPr>
              <w:t>3.25%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6"/>
              <w:spacing w:after="0"/>
              <w:rPr>
                <w:sz w:val="20"/>
                <w:szCs w:val="20"/>
                <w:color w:val="auto"/>
              </w:rPr>
            </w:pPr>
            <w:r>
              <w:rPr>
                <w:rFonts w:ascii="Arial" w:cs="Arial" w:eastAsia="Arial" w:hAnsi="Arial"/>
                <w:sz w:val="16"/>
                <w:szCs w:val="16"/>
                <w:color w:val="auto"/>
              </w:rPr>
              <w:t>998,618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1"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ind w:left="500" w:right="40" w:hanging="492"/>
        <w:spacing w:after="0" w:line="263" w:lineRule="auto"/>
        <w:tabs>
          <w:tab w:leader="none" w:pos="5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Borrowing capacity is available to us provided that we have eligible collateral to pledge. Collateral may only be pledged to one facility. At June 30, 2018, $97.4 million of the available borrowing capacity of our advance financing notes could be used based on the amount of eligible collateral that had been pledged.</w:t>
      </w: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1ML was 2.09% and 1.56% at June 30, 2018 and December 31, 2017, respectively.</w:t>
      </w:r>
    </w:p>
    <w:p>
      <w:pPr>
        <w:spacing w:after="0" w:line="8" w:lineRule="exact"/>
        <w:rPr>
          <w:rFonts w:ascii="Arial" w:cs="Arial" w:eastAsia="Arial" w:hAnsi="Arial"/>
          <w:sz w:val="16"/>
          <w:szCs w:val="16"/>
          <w:color w:val="auto"/>
        </w:rPr>
      </w:pPr>
    </w:p>
    <w:p>
      <w:pPr>
        <w:ind w:left="500" w:right="80" w:hanging="492"/>
        <w:spacing w:after="0" w:line="278"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Effective January 1, 2018, the borrowing capacity of the Series 2014-VF4 and the Series 2015-VF5 variable rate notes were each reduced from $105.0 million to $70.0 million. The interest rate was based on 1ML, with a ceiling of 125 basis points (bps), plus a margin of 235 </w:t>
      </w:r>
      <w:r>
        <w:rPr>
          <w:rFonts w:ascii="Arial" w:cs="Arial" w:eastAsia="Arial" w:hAnsi="Arial"/>
          <w:sz w:val="18"/>
          <w:szCs w:val="18"/>
          <w:color w:val="auto"/>
        </w:rPr>
        <w:t>to</w:t>
      </w:r>
      <w:r>
        <w:rPr>
          <w:rFonts w:ascii="Arial" w:cs="Arial" w:eastAsia="Arial" w:hAnsi="Arial"/>
          <w:sz w:val="16"/>
          <w:szCs w:val="16"/>
          <w:color w:val="auto"/>
        </w:rPr>
        <w:t xml:space="preserve"> 635 bps. On July 13, 2018, we increased the borrowing capacity of the Series 2015-VF5 variable notes to $225.0 million and extended the amortization date to December 15, 2019, with interest computed based on the lender’s cost of funds plus a</w:t>
      </w:r>
    </w:p>
    <w:p>
      <w:pPr>
        <w:sectPr>
          <w:pgSz w:w="11900" w:h="16838" w:orient="portrait"/>
          <w:cols w:equalWidth="0" w:num="1">
            <w:col w:w="11420"/>
          </w:cols>
          <w:pgMar w:left="240" w:top="692"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692" w:right="239" w:bottom="1440" w:gutter="0" w:footer="0" w:header="0"/>
          <w:type w:val="continuous"/>
        </w:sectPr>
      </w:pPr>
    </w:p>
    <w:bookmarkStart w:id="34" w:name="page35"/>
    <w:bookmarkEnd w:id="34"/>
    <w:p>
      <w:pPr>
        <w:ind w:left="500"/>
        <w:spacing w:after="0" w:line="317" w:lineRule="auto"/>
        <w:rPr>
          <w:sz w:val="20"/>
          <w:szCs w:val="20"/>
          <w:color w:val="auto"/>
        </w:rPr>
      </w:pPr>
      <w:r>
        <w:rPr>
          <w:rFonts w:ascii="Arial" w:cs="Arial" w:eastAsia="Arial" w:hAnsi="Arial"/>
          <w:sz w:val="16"/>
          <w:szCs w:val="16"/>
          <w:color w:val="auto"/>
        </w:rPr>
        <w:t>margin of 105 to 250 bps. The increased capacity was used on July 16, 2018 to redeem the Series 2016-T1 term notes with an outstanding balance of $265.0 million and an amortization date of August 15, 2018. We also voluntarily terminated the Series 2014-VF4 variable notes on such date.</w:t>
      </w:r>
    </w:p>
    <w:p>
      <w:pPr>
        <w:ind w:left="500" w:right="40" w:hanging="492"/>
        <w:spacing w:after="0" w:line="250"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Under the terms of the agreement, we must continue to borrow the full amount of the Series 2016-T1, Series 2016-T2 and 2017-T1 fixed-rate term notes until the amortization date. If there is insufficient eligible collateral to support the level of borrowing, the excess cash proceeds in an amount necessary to make up the deficit are not distributed to Ocwen but are held by the trustee, and interest expense continues to be based on the full amount of the outstanding notes. The Series 2016-T1, Series 2016-T2 and Series 2017-T1 term notes have a total combined borrowing capacity of $750.0 million. Rates on the individual classes of notes range from 2.50% to 4.45%. The Series 2016-T1 term notes were redeemed on July 16, 2018.</w:t>
      </w:r>
    </w:p>
    <w:p>
      <w:pPr>
        <w:spacing w:after="0" w:line="1" w:lineRule="exact"/>
        <w:rPr>
          <w:rFonts w:ascii="Arial" w:cs="Arial" w:eastAsia="Arial" w:hAnsi="Arial"/>
          <w:sz w:val="16"/>
          <w:szCs w:val="16"/>
          <w:color w:val="auto"/>
        </w:rPr>
      </w:pPr>
    </w:p>
    <w:p>
      <w:pPr>
        <w:ind w:left="500" w:right="200" w:hanging="492"/>
        <w:spacing w:after="0" w:line="246"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maximum borrowing capacity under this facility is $55.0 million. There is a ceiling of 300 bps for the 3ML in determining the interest rate for these variable rate notes. Rates on the individual notes are based on the lender’s cost of funds plus a margin of 235 to 475 bps.</w:t>
      </w:r>
    </w:p>
    <w:p>
      <w:pPr>
        <w:ind w:left="500" w:right="100" w:hanging="492"/>
        <w:spacing w:after="0" w:line="246"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June 7, 2018, the borrowing capacity of the notes was reduced from $110.0 million to $65.0 million with interest computed based on the lender’s cost of funds plus a margin of 180 to 450 bps. There is a ceiling of 300 bps for 3ML in determining the interest rate for these variable rate notes.</w:t>
      </w:r>
    </w:p>
    <w:p>
      <w:pPr>
        <w:ind w:left="500" w:hanging="492"/>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January 23, 2018, we voluntarily terminated the Loan Series 2017-1 Notes.</w:t>
      </w:r>
    </w:p>
    <w:p>
      <w:pPr>
        <w:spacing w:after="0" w:line="9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Pursuant to the 2017 Agreements and New RMSR Agreements, NRZ is obligated to fund new servicing advances with respect to the MSRs underlying the Rights to MSRs. We are dependent upon NRZ for funding the servicing advance obligations for Rights to MSRs where we are the servicer. NRZ currently uses advance financing facilities in order to fund a substantial portion of the servicing advances that they are contractually obligated to purchase pursuant to our agreements with them. As of June 30, 2018, we were the servicer of Rights to MSRs sold to NRZ pertaining to approximately $94.7 billion in UPB and the associated outstanding servicing advances as of such date were approximately $2.4 billion. Should NRZ’s advance financing facilities fail to perform as envisaged or should NRZ otherwise be unable to meet its advance funding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 See Note 8 — Rights to MSRs for additional information.</w:t>
      </w:r>
    </w:p>
    <w:p>
      <w:pPr>
        <w:spacing w:after="0" w:line="5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advances subsequently sold to, or reimbursed by, NRZ.</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b w:val="1"/>
                <w:bCs w:val="1"/>
                <w:color w:val="auto"/>
              </w:rPr>
              <w:t>Outstanding Balance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60" w:type="dxa"/>
            <w:vAlign w:val="bottom"/>
            <w:gridSpan w:val="2"/>
          </w:tcPr>
          <w:p>
            <w:pPr>
              <w:ind w:left="1500"/>
              <w:spacing w:after="0"/>
              <w:rPr>
                <w:sz w:val="20"/>
                <w:szCs w:val="20"/>
                <w:color w:val="auto"/>
              </w:rPr>
            </w:pPr>
            <w:r>
              <w:rPr>
                <w:rFonts w:ascii="Arial" w:cs="Arial" w:eastAsia="Arial" w:hAnsi="Arial"/>
                <w:sz w:val="18"/>
                <w:szCs w:val="18"/>
                <w:b w:val="1"/>
                <w:bCs w:val="1"/>
                <w:color w:val="auto"/>
              </w:rPr>
              <w:t>Borrowing Type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Collateral</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00" w:type="dxa"/>
            <w:vAlign w:val="bottom"/>
          </w:tcPr>
          <w:p>
            <w:pPr>
              <w:spacing w:after="0"/>
              <w:rPr>
                <w:sz w:val="23"/>
                <w:szCs w:val="23"/>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60" w:type="dxa"/>
            <w:vAlign w:val="bottom"/>
            <w:gridSpan w:val="2"/>
            <w:vMerge w:val="restart"/>
            <w:shd w:val="clear" w:color="auto" w:fill="EAF9E8"/>
          </w:tcPr>
          <w:p>
            <w:pPr>
              <w:ind w:left="40"/>
              <w:spacing w:after="0"/>
              <w:rPr>
                <w:sz w:val="20"/>
                <w:szCs w:val="20"/>
                <w:color w:val="auto"/>
              </w:rPr>
            </w:pPr>
            <w:r>
              <w:rPr>
                <w:rFonts w:ascii="Arial" w:cs="Arial" w:eastAsia="Arial" w:hAnsi="Arial"/>
                <w:sz w:val="18"/>
                <w:szCs w:val="18"/>
                <w:b w:val="1"/>
                <w:bCs w:val="1"/>
                <w:color w:val="auto"/>
              </w:rPr>
              <w:t>HMBS-Related Borrowings, at fair value (1)</w:t>
            </w: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Loans held for</w:t>
            </w:r>
          </w:p>
        </w:tc>
        <w:tc>
          <w:tcPr>
            <w:tcW w:w="126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8"/>
              </w:rPr>
              <w:t>1ML + 260</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EAF9E8"/>
            </w:tcBorders>
            <w:gridSpan w:val="2"/>
            <w:vMerge w:val="continue"/>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investment</w:t>
            </w:r>
          </w:p>
        </w:tc>
        <w:tc>
          <w:tcPr>
            <w:tcW w:w="12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2"/>
              </w:rPr>
              <w:t>bps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5,040,983</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ind w:right="5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7"/>
              </w:rPr>
              <w:t>4,601,556</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MSRs pledged, at fair value</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Original Rights to MSRs Agreements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MSRs</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471,662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499,042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MSRs</w:t>
            </w:r>
          </w:p>
        </w:tc>
        <w:tc>
          <w:tcPr>
            <w:tcW w:w="11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200,957</w:t>
            </w:r>
          </w:p>
        </w:tc>
        <w:tc>
          <w:tcPr>
            <w:tcW w:w="10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672,619</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508,291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4"/>
              </w:rPr>
              <w:t>Secured Notes, Ocwen Asset Servicing Income Series,</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4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Series 2014-1 (4)</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MSRs</w:t>
            </w:r>
          </w:p>
        </w:tc>
        <w:tc>
          <w:tcPr>
            <w:tcW w:w="11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Feb. 2028</w:t>
            </w:r>
          </w:p>
        </w:tc>
        <w:tc>
          <w:tcPr>
            <w:tcW w:w="20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68,830</w:t>
            </w:r>
          </w:p>
        </w:tc>
        <w:tc>
          <w:tcPr>
            <w:tcW w:w="10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72,575</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Advances on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Advances pledged (5)</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loans</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12,652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747,503</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593,518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24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5,788,486</w:t>
            </w:r>
          </w:p>
        </w:tc>
        <w:tc>
          <w:tcPr>
            <w:tcW w:w="10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jc w:val="right"/>
              <w:ind w:right="5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7"/>
              </w:rPr>
              <w:t>5,195,074</w:t>
            </w:r>
          </w:p>
        </w:tc>
        <w:tc>
          <w:tcPr>
            <w:tcW w:w="0" w:type="dxa"/>
            <w:vAlign w:val="bottom"/>
          </w:tcPr>
          <w:p>
            <w:pPr>
              <w:spacing w:after="0"/>
              <w:rPr>
                <w:sz w:val="1"/>
                <w:szCs w:val="1"/>
                <w:color w:val="auto"/>
              </w:rPr>
            </w:pPr>
          </w:p>
        </w:tc>
      </w:tr>
      <w:tr>
        <w:trPr>
          <w:trHeight w:val="20"/>
        </w:trPr>
        <w:tc>
          <w:tcPr>
            <w:tcW w:w="42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320" w:hanging="492"/>
        <w:spacing w:after="0" w:line="255"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The beneficial interests have no maturity dates, and the borrowings mature as the related loans are repaid.</w:t>
      </w:r>
    </w:p>
    <w:p>
      <w:pPr>
        <w:spacing w:after="0" w:line="1" w:lineRule="exact"/>
        <w:rPr>
          <w:rFonts w:ascii="Arial" w:cs="Arial" w:eastAsia="Arial" w:hAnsi="Arial"/>
          <w:sz w:val="16"/>
          <w:szCs w:val="16"/>
          <w:color w:val="auto"/>
        </w:rPr>
      </w:pPr>
    </w:p>
    <w:p>
      <w:pPr>
        <w:ind w:left="500" w:right="280" w:hanging="492"/>
        <w:spacing w:after="0" w:line="246"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financing liability has no contractual maturity or repayment schedule. The balance of the liability is adjusted each reporting period to its fair value based on the present value of the estimated future cash flows underlying the related MSRs.</w:t>
      </w:r>
    </w:p>
    <w:p>
      <w:pPr>
        <w:ind w:left="500" w:right="240" w:hanging="492"/>
        <w:spacing w:after="0" w:line="250"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financing liability arose in connection with lump sum payments received upon transfer of legal title of the MSRs related to the Rights to MSRs transactions to NRZ in September 2017. In connection with the execution of the New RMSR Agreements in January 2018, we received a lump sum payment of $279.6 million as compensation for foregoing certain payments under the Original Rights to MSRs Agreements. The balance of the liability is adjusted each reporting period to its fair value based on the present value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16" w:right="239" w:bottom="1440" w:gutter="0" w:footer="0" w:header="0"/>
        </w:sectPr>
      </w:pPr>
    </w:p>
    <w:bookmarkStart w:id="35" w:name="page36"/>
    <w:bookmarkEnd w:id="35"/>
    <w:p>
      <w:pPr>
        <w:ind w:left="500" w:right="180"/>
        <w:spacing w:after="0" w:line="317" w:lineRule="auto"/>
        <w:rPr>
          <w:sz w:val="20"/>
          <w:szCs w:val="20"/>
          <w:color w:val="auto"/>
        </w:rPr>
      </w:pPr>
      <w:r>
        <w:rPr>
          <w:rFonts w:ascii="Arial" w:cs="Arial" w:eastAsia="Arial" w:hAnsi="Arial"/>
          <w:sz w:val="16"/>
          <w:szCs w:val="16"/>
          <w:color w:val="auto"/>
        </w:rPr>
        <w:t>estimated future cash flows. The expected maturity of the liability is April 30, 2020, the date through which we were scheduled to be the servicer on loans underlying the Rights to MSRs per the Original Rights to MSRs Agreements.</w:t>
      </w:r>
    </w:p>
    <w:p>
      <w:pPr>
        <w:jc w:val="both"/>
        <w:ind w:left="500" w:right="160" w:hanging="492"/>
        <w:spacing w:after="0" w:line="251"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ind w:left="500" w:right="100" w:hanging="492"/>
        <w:spacing w:after="0" w:line="257"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Certain sales of advances did not qualify for sales accounting treatment and were accounted for as a financing. This financing liability has no contractual maturity. The effective interest rate is based on 1ML plus a margin of 450 bps.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Secured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Outstanding Balance</w:t>
            </w:r>
          </w:p>
        </w:tc>
        <w:tc>
          <w:tcPr>
            <w:tcW w:w="0" w:type="dxa"/>
            <w:vAlign w:val="bottom"/>
          </w:tcPr>
          <w:p>
            <w:pPr>
              <w:spacing w:after="0"/>
              <w:rPr>
                <w:sz w:val="1"/>
                <w:szCs w:val="1"/>
                <w:color w:val="auto"/>
              </w:rPr>
            </w:pPr>
          </w:p>
        </w:tc>
      </w:tr>
      <w:tr>
        <w:trPr>
          <w:trHeight w:val="252"/>
        </w:trPr>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Available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Termination /</w:t>
            </w:r>
          </w:p>
        </w:tc>
        <w:tc>
          <w:tcPr>
            <w:tcW w:w="140" w:type="dxa"/>
            <w:vAlign w:val="bottom"/>
          </w:tcPr>
          <w:p>
            <w:pPr>
              <w:spacing w:after="0"/>
              <w:rPr>
                <w:sz w:val="18"/>
                <w:szCs w:val="18"/>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Borrowing</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780" w:type="dxa"/>
            <w:vAlign w:val="bottom"/>
            <w:gridSpan w:val="2"/>
          </w:tcPr>
          <w:p>
            <w:pPr>
              <w:ind w:left="720"/>
              <w:spacing w:after="0"/>
              <w:rPr>
                <w:sz w:val="20"/>
                <w:szCs w:val="20"/>
                <w:color w:val="auto"/>
              </w:rPr>
            </w:pPr>
            <w:r>
              <w:rPr>
                <w:rFonts w:ascii="Arial" w:cs="Arial" w:eastAsia="Arial" w:hAnsi="Arial"/>
                <w:sz w:val="18"/>
                <w:szCs w:val="18"/>
                <w:b w:val="1"/>
                <w:bCs w:val="1"/>
                <w:color w:val="auto"/>
              </w:rPr>
              <w:t>Borrowing Type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4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Capacity (1)</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2018</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4"/>
              </w:rPr>
              <w:t>1-Month Euro-dollar</w:t>
            </w: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rate + 500 bps with a</w:t>
            </w: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vMerge w:val="restart"/>
            <w:shd w:val="clear" w:color="auto" w:fill="EAF9E8"/>
          </w:tcPr>
          <w:p>
            <w:pPr>
              <w:ind w:left="40"/>
              <w:spacing w:after="0"/>
              <w:rPr>
                <w:sz w:val="20"/>
                <w:szCs w:val="20"/>
                <w:color w:val="auto"/>
              </w:rPr>
            </w:pPr>
            <w:r>
              <w:rPr>
                <w:rFonts w:ascii="Arial" w:cs="Arial" w:eastAsia="Arial" w:hAnsi="Arial"/>
                <w:sz w:val="18"/>
                <w:szCs w:val="18"/>
                <w:b w:val="1"/>
                <w:bCs w:val="1"/>
                <w:color w:val="auto"/>
              </w:rPr>
              <w:t>SSTL (2)</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Eurodollar floor of</w:t>
            </w: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EAF9E8"/>
            </w:tcBorders>
            <w:gridSpan w:val="2"/>
            <w:vMerge w:val="continue"/>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EAF9E8"/>
            </w:tcBorders>
            <w:shd w:val="clear" w:color="auto" w:fill="EAF9E8"/>
          </w:tcPr>
          <w:p>
            <w:pPr>
              <w:spacing w:after="0"/>
              <w:rPr>
                <w:sz w:val="22"/>
                <w:szCs w:val="22"/>
                <w:color w:val="auto"/>
              </w:rPr>
            </w:pPr>
          </w:p>
        </w:tc>
        <w:tc>
          <w:tcPr>
            <w:tcW w:w="16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100 bps (2)</w:t>
            </w:r>
          </w:p>
        </w:tc>
        <w:tc>
          <w:tcPr>
            <w:tcW w:w="14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2020</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   $</w:t>
            </w: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239,875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298,251</w:t>
            </w:r>
          </w:p>
        </w:tc>
        <w:tc>
          <w:tcPr>
            <w:tcW w:w="0" w:type="dxa"/>
            <w:vAlign w:val="bottom"/>
          </w:tcPr>
          <w:p>
            <w:pPr>
              <w:spacing w:after="0"/>
              <w:rPr>
                <w:sz w:val="1"/>
                <w:szCs w:val="1"/>
                <w:color w:val="auto"/>
              </w:rPr>
            </w:pPr>
          </w:p>
        </w:tc>
      </w:tr>
      <w:tr>
        <w:trPr>
          <w:trHeight w:val="205"/>
        </w:trPr>
        <w:tc>
          <w:tcPr>
            <w:tcW w:w="278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Mortgage loan warehouse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ind w:left="200"/>
              <w:spacing w:after="0"/>
              <w:rPr>
                <w:sz w:val="20"/>
                <w:szCs w:val="20"/>
                <w:color w:val="auto"/>
              </w:rPr>
            </w:pPr>
            <w:r>
              <w:rPr>
                <w:rFonts w:ascii="Arial" w:cs="Arial" w:eastAsia="Arial" w:hAnsi="Arial"/>
                <w:sz w:val="18"/>
                <w:szCs w:val="18"/>
                <w:b w:val="1"/>
                <w:bCs w:val="1"/>
                <w:color w:val="auto"/>
              </w:rPr>
              <w:t>facilities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Loans held for</w:t>
            </w: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1ML + 200 - 345</w:t>
            </w: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Repurchase agreement (3)</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sale (LHFS)</w:t>
            </w:r>
          </w:p>
        </w:tc>
        <w:tc>
          <w:tcPr>
            <w:tcW w:w="16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bps</w:t>
            </w:r>
          </w:p>
        </w:tc>
        <w:tc>
          <w:tcPr>
            <w:tcW w:w="14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2018</w:t>
            </w: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87,500</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40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243"/>
        </w:trPr>
        <w:tc>
          <w:tcPr>
            <w:tcW w:w="2780" w:type="dxa"/>
            <w:vAlign w:val="bottom"/>
            <w:gridSpan w:val="2"/>
          </w:tcPr>
          <w:p>
            <w:pPr>
              <w:ind w:left="180"/>
              <w:spacing w:after="0"/>
              <w:rPr>
                <w:sz w:val="20"/>
                <w:szCs w:val="20"/>
                <w:color w:val="auto"/>
              </w:rPr>
            </w:pPr>
            <w:r>
              <w:rPr>
                <w:rFonts w:ascii="Arial" w:cs="Arial" w:eastAsia="Arial" w:hAnsi="Arial"/>
                <w:sz w:val="18"/>
                <w:szCs w:val="18"/>
                <w:color w:val="auto"/>
              </w:rPr>
              <w:t>Participation agreements (4)</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30,811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161,433</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4"/>
              </w:rPr>
              <w:t>1ML + 275 bps;</w:t>
            </w: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Mortgage warehouse agreement</w:t>
            </w:r>
          </w:p>
        </w:tc>
        <w:tc>
          <w:tcPr>
            <w:tcW w:w="12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LHFS (reverse</w:t>
            </w: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6"/>
              </w:rPr>
              <w:t>1ML floor of 350</w:t>
            </w: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mortgages)</w:t>
            </w:r>
          </w:p>
        </w:tc>
        <w:tc>
          <w:tcPr>
            <w:tcW w:w="16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bps</w:t>
            </w:r>
          </w:p>
        </w:tc>
        <w:tc>
          <w:tcPr>
            <w:tcW w:w="14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Oct. 2018</w:t>
            </w:r>
          </w:p>
        </w:tc>
        <w:tc>
          <w:tcPr>
            <w:tcW w:w="14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3"/>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9,506</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(forward and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1ML + 225 bps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reverse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forward; 1ML + 275</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180"/>
              <w:spacing w:after="0"/>
              <w:rPr>
                <w:sz w:val="20"/>
                <w:szCs w:val="20"/>
                <w:color w:val="auto"/>
              </w:rPr>
            </w:pPr>
            <w:r>
              <w:rPr>
                <w:rFonts w:ascii="Arial" w:cs="Arial" w:eastAsia="Arial" w:hAnsi="Arial"/>
                <w:sz w:val="18"/>
                <w:szCs w:val="18"/>
                <w:color w:val="auto"/>
                <w:w w:val="96"/>
              </w:rPr>
              <w:t>Master repurchase agreement (6)</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mortgages)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bps reverse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2018</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84,286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65,714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54,086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LHFS (reverse</w:t>
            </w: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Prime + 0.0% (4.0%</w:t>
            </w: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6"/>
              </w:rPr>
              <w:t>Master repurchase agreement (7)</w:t>
            </w:r>
          </w:p>
        </w:tc>
        <w:tc>
          <w:tcPr>
            <w:tcW w:w="12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mortgages)</w:t>
            </w:r>
          </w:p>
        </w:tc>
        <w:tc>
          <w:tcPr>
            <w:tcW w:w="16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rPr>
              <w:t>floor)</w:t>
            </w:r>
          </w:p>
        </w:tc>
        <w:tc>
          <w:tcPr>
            <w:tcW w:w="14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2018</w:t>
            </w: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171,786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106,632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255,782</w:t>
            </w:r>
          </w:p>
        </w:tc>
        <w:tc>
          <w:tcPr>
            <w:tcW w:w="0" w:type="dxa"/>
            <w:vAlign w:val="bottom"/>
          </w:tcPr>
          <w:p>
            <w:pPr>
              <w:spacing w:after="0"/>
              <w:rPr>
                <w:sz w:val="1"/>
                <w:szCs w:val="1"/>
                <w:color w:val="auto"/>
              </w:rPr>
            </w:pPr>
          </w:p>
        </w:tc>
      </w:tr>
      <w:tr>
        <w:trPr>
          <w:trHeight w:val="27"/>
        </w:trPr>
        <w:tc>
          <w:tcPr>
            <w:tcW w:w="26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66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1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58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38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171,786</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EAF9E8"/>
            </w:tcBorders>
          </w:tcPr>
          <w:p>
            <w:pPr>
              <w:spacing w:after="0"/>
              <w:rPr>
                <w:sz w:val="24"/>
                <w:szCs w:val="24"/>
                <w:color w:val="auto"/>
              </w:rPr>
            </w:pPr>
          </w:p>
        </w:tc>
        <w:tc>
          <w:tcPr>
            <w:tcW w:w="128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346,507</w:t>
            </w:r>
          </w:p>
        </w:tc>
        <w:tc>
          <w:tcPr>
            <w:tcW w:w="120" w:type="dxa"/>
            <w:vAlign w:val="bottom"/>
            <w:tcBorders>
              <w:bottom w:val="single" w:sz="8" w:color="EAF9E8"/>
            </w:tcBorders>
          </w:tcPr>
          <w:p>
            <w:pPr>
              <w:spacing w:after="0"/>
              <w:rPr>
                <w:sz w:val="24"/>
                <w:szCs w:val="24"/>
                <w:color w:val="auto"/>
              </w:rPr>
            </w:pPr>
          </w:p>
        </w:tc>
        <w:tc>
          <w:tcPr>
            <w:tcW w:w="160" w:type="dxa"/>
            <w:vAlign w:val="bottom"/>
            <w:tcBorders>
              <w:bottom w:val="single" w:sz="8" w:color="EAF9E8"/>
            </w:tcBorders>
          </w:tcPr>
          <w:p>
            <w:pPr>
              <w:spacing w:after="0"/>
              <w:rPr>
                <w:sz w:val="24"/>
                <w:szCs w:val="24"/>
                <w:color w:val="auto"/>
              </w:rPr>
            </w:pPr>
          </w:p>
        </w:tc>
        <w:tc>
          <w:tcPr>
            <w:tcW w:w="128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554,033</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b w:val="1"/>
                <w:bCs w:val="1"/>
                <w:color w:val="auto"/>
              </w:rPr>
              <w:t>Unamortized debt issuance costs - SSTL</w:t>
            </w:r>
          </w:p>
        </w:tc>
        <w:tc>
          <w:tcPr>
            <w:tcW w:w="15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43"/>
        </w:trPr>
        <w:tc>
          <w:tcPr>
            <w:tcW w:w="2780" w:type="dxa"/>
            <w:vAlign w:val="bottom"/>
            <w:gridSpan w:val="2"/>
          </w:tcPr>
          <w:p>
            <w:pPr>
              <w:ind w:left="40"/>
              <w:spacing w:after="0"/>
              <w:rPr>
                <w:sz w:val="20"/>
                <w:szCs w:val="20"/>
                <w:color w:val="auto"/>
              </w:rPr>
            </w:pPr>
            <w:r>
              <w:rPr>
                <w:rFonts w:ascii="Arial" w:cs="Arial" w:eastAsia="Arial" w:hAnsi="Arial"/>
                <w:sz w:val="18"/>
                <w:szCs w:val="18"/>
                <w:b w:val="1"/>
                <w:bCs w:val="1"/>
                <w:color w:val="auto"/>
              </w:rPr>
              <w:t>Discount - SSTL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7"/>
        </w:trPr>
        <w:tc>
          <w:tcPr>
            <w:tcW w:w="26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340,418</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545,850</w:t>
            </w:r>
          </w:p>
        </w:tc>
        <w:tc>
          <w:tcPr>
            <w:tcW w:w="0" w:type="dxa"/>
            <w:vAlign w:val="bottom"/>
          </w:tcPr>
          <w:p>
            <w:pPr>
              <w:spacing w:after="0"/>
              <w:rPr>
                <w:sz w:val="1"/>
                <w:szCs w:val="1"/>
                <w:color w:val="auto"/>
              </w:rPr>
            </w:pPr>
          </w:p>
        </w:tc>
      </w:tr>
      <w:tr>
        <w:trPr>
          <w:trHeight w:val="20"/>
        </w:trPr>
        <w:tc>
          <w:tcPr>
            <w:tcW w:w="26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3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10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8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interest rate</w:t>
            </w:r>
          </w:p>
        </w:tc>
        <w:tc>
          <w:tcPr>
            <w:tcW w:w="1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5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3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26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5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3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500" w:right="180" w:hanging="492"/>
        <w:spacing w:after="0" w:line="252"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Available borrowing capacity for our mortgage loan warehouse facilities does not consider the amount of the facility that the lender has extended on an uncommitted basis. Of the borrowing capacity extended on a committed basis, $57.8 million could be used at June 30, 2018 based on the amount of eligible collateral that could be pledged.</w:t>
      </w:r>
    </w:p>
    <w:p>
      <w:pPr>
        <w:spacing w:after="0" w:line="1" w:lineRule="exact"/>
        <w:rPr>
          <w:rFonts w:ascii="Arial" w:cs="Arial" w:eastAsia="Arial" w:hAnsi="Arial"/>
          <w:sz w:val="16"/>
          <w:szCs w:val="16"/>
          <w:color w:val="auto"/>
        </w:rPr>
      </w:pPr>
    </w:p>
    <w:p>
      <w:pPr>
        <w:jc w:val="both"/>
        <w:ind w:left="500" w:right="220" w:hanging="492"/>
        <w:spacing w:after="0" w:line="252"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 the terms of the Amended and Restated Senior Secured Term Loan Facility Agreement with an original borrowing capacity of $335.0 million, we may request increases to the loan amount of up to $100.0 million, with additional increases subject to certain limitations. We are required to make quarterly principal payments of $4.2 million on the SSTL, the first of which was paid on March 31, 2017.</w:t>
      </w:r>
    </w:p>
    <w:p>
      <w:pPr>
        <w:spacing w:after="0" w:line="81" w:lineRule="exact"/>
        <w:rPr>
          <w:rFonts w:ascii="Arial" w:cs="Arial" w:eastAsia="Arial" w:hAnsi="Arial"/>
          <w:sz w:val="16"/>
          <w:szCs w:val="16"/>
          <w:color w:val="auto"/>
        </w:rPr>
      </w:pPr>
    </w:p>
    <w:p>
      <w:pPr>
        <w:ind w:left="500" w:right="180"/>
        <w:spacing w:after="0" w:line="256" w:lineRule="auto"/>
        <w:rPr>
          <w:rFonts w:ascii="Arial" w:cs="Arial" w:eastAsia="Arial" w:hAnsi="Arial"/>
          <w:sz w:val="16"/>
          <w:szCs w:val="16"/>
          <w:color w:val="auto"/>
        </w:rPr>
      </w:pPr>
      <w:r>
        <w:rPr>
          <w:rFonts w:ascii="Arial" w:cs="Arial" w:eastAsia="Arial" w:hAnsi="Arial"/>
          <w:sz w:val="16"/>
          <w:szCs w:val="16"/>
          <w:color w:val="auto"/>
        </w:rPr>
        <w:t>The borrowings under the SSTL are secured by a first priority security interest in substantially all of the assets of Ocwen, OLS and the other guarantors thereunder, excluding among other things, 35% of the capital stock of foreign subsidiaries, securitization assets and equity interests of securitization entities, assets securing permitted funding indebtedness and non-recourse indebtedness, REO assets, servicing agreements where an acknowledgment from the GSE has not been obtained, as well as other customary carve-outs.</w:t>
      </w:r>
    </w:p>
    <w:p>
      <w:pPr>
        <w:spacing w:after="0" w:line="187" w:lineRule="exact"/>
        <w:rPr>
          <w:rFonts w:ascii="Arial" w:cs="Arial" w:eastAsia="Arial" w:hAnsi="Arial"/>
          <w:sz w:val="16"/>
          <w:szCs w:val="16"/>
          <w:color w:val="auto"/>
        </w:rPr>
      </w:pPr>
    </w:p>
    <w:p>
      <w:pPr>
        <w:ind w:left="500" w:right="260"/>
        <w:spacing w:after="0" w:line="275" w:lineRule="auto"/>
        <w:rPr>
          <w:rFonts w:ascii="Arial" w:cs="Arial" w:eastAsia="Arial" w:hAnsi="Arial"/>
          <w:sz w:val="16"/>
          <w:szCs w:val="16"/>
          <w:color w:val="auto"/>
        </w:rPr>
      </w:pPr>
      <w:r>
        <w:rPr>
          <w:rFonts w:ascii="Arial" w:cs="Arial" w:eastAsia="Arial" w:hAnsi="Arial"/>
          <w:sz w:val="16"/>
          <w:szCs w:val="16"/>
          <w:color w:val="auto"/>
        </w:rPr>
        <w:t>Borrowings bear interest, at the election of Ocwen, at a rate per annum equal to either (a) the base rate (the greatest of (i) the prime rate in effect on such day, (ii) the federal funds rate in effect on such day plus 0.50% and (iii) 1ML), plus a margin of 4.00%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16" w:right="239" w:bottom="1440" w:gutter="0" w:footer="0" w:header="0"/>
        </w:sectPr>
      </w:pPr>
    </w:p>
    <w:bookmarkStart w:id="36" w:name="page37"/>
    <w:bookmarkEnd w:id="36"/>
    <w:p>
      <w:pPr>
        <w:ind w:left="500" w:right="360"/>
        <w:spacing w:after="0" w:line="255" w:lineRule="auto"/>
        <w:rPr>
          <w:sz w:val="20"/>
          <w:szCs w:val="20"/>
          <w:color w:val="auto"/>
        </w:rPr>
      </w:pPr>
      <w:r>
        <w:rPr>
          <w:rFonts w:ascii="Arial" w:cs="Arial" w:eastAsia="Arial" w:hAnsi="Arial"/>
          <w:sz w:val="16"/>
          <w:szCs w:val="16"/>
          <w:color w:val="auto"/>
        </w:rPr>
        <w:t>subject to a base rate floor of 2.00% or (b) 1ML, plus a margin of 5.00% and subject to a 1ML floor of 1.00%. To date, we have elected option (b) to determine the interest rate.</w:t>
      </w:r>
    </w:p>
    <w:p>
      <w:pPr>
        <w:spacing w:after="0" w:line="1" w:lineRule="exact"/>
        <w:rPr>
          <w:sz w:val="20"/>
          <w:szCs w:val="20"/>
          <w:color w:val="auto"/>
        </w:rPr>
      </w:pPr>
    </w:p>
    <w:p>
      <w:pPr>
        <w:jc w:val="both"/>
        <w:ind w:left="500" w:right="100" w:hanging="492"/>
        <w:spacing w:after="0" w:line="246"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$87.5 million of the maximum borrowing amount of $137.5 million is available on a committed basis and the remainder is available at the discretion of the lender. We primarily use this facility to fund the repurchase of certain loans from Ginnie Mae guaranteed securitizations in connection with loan modifications and loan resolution activity as part of our contractual obligations as the servicer of the loans.</w:t>
      </w:r>
    </w:p>
    <w:p>
      <w:pPr>
        <w:spacing w:after="0" w:line="1" w:lineRule="exact"/>
        <w:rPr>
          <w:rFonts w:ascii="Arial" w:cs="Arial" w:eastAsia="Arial" w:hAnsi="Arial"/>
          <w:sz w:val="16"/>
          <w:szCs w:val="16"/>
          <w:color w:val="auto"/>
        </w:rPr>
      </w:pPr>
    </w:p>
    <w:p>
      <w:pPr>
        <w:jc w:val="both"/>
        <w:ind w:left="500" w:right="20" w:hanging="492"/>
        <w:spacing w:after="0" w:line="263" w:lineRule="auto"/>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Under these participation agreements, the lender provides financing for a combined total of $250.0 million at the discretion of the lender. The participation agreements allow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May 31, 2018, we renewed these facilities through April 30, 2019 ($175.0 million) and May 31, 2019 ($75.0 million).</w:t>
      </w:r>
    </w:p>
    <w:p>
      <w:pPr>
        <w:jc w:val="both"/>
        <w:ind w:left="500" w:right="260" w:hanging="492"/>
        <w:spacing w:after="0" w:line="246"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 this participation agreement, the lender provides financing for $100.0 million at the discretion of the lender. The participation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Arial" w:cs="Arial" w:eastAsia="Arial" w:hAnsi="Arial"/>
          <w:sz w:val="16"/>
          <w:szCs w:val="16"/>
          <w:color w:val="auto"/>
        </w:rPr>
      </w:pPr>
    </w:p>
    <w:p>
      <w:pPr>
        <w:ind w:left="500" w:right="460" w:hanging="492"/>
        <w:spacing w:after="0" w:line="281"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Under this agreement, the lender provides financing on a committed basis for up to $150.0 million. The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 this agreement, the lender provides financing for up to $50.0 million at the discretion of the lender.</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b w:val="1"/>
                <w:bCs w:val="1"/>
                <w:color w:val="auto"/>
              </w:rPr>
              <w:t>Outstanding Balance</w:t>
            </w:r>
          </w:p>
        </w:tc>
        <w:tc>
          <w:tcPr>
            <w:tcW w:w="7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Senior Notes</w:t>
            </w:r>
          </w:p>
        </w:tc>
        <w:tc>
          <w:tcPr>
            <w:tcW w:w="172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Interest Rate</w:t>
            </w:r>
          </w:p>
        </w:tc>
        <w:tc>
          <w:tcPr>
            <w:tcW w:w="1700" w:type="dxa"/>
            <w:vAlign w:val="bottom"/>
            <w:gridSpan w:val="2"/>
          </w:tcPr>
          <w:p>
            <w:pPr>
              <w:ind w:left="520"/>
              <w:spacing w:after="0"/>
              <w:rPr>
                <w:sz w:val="20"/>
                <w:szCs w:val="20"/>
                <w:color w:val="auto"/>
              </w:rPr>
            </w:pPr>
            <w:r>
              <w:rPr>
                <w:rFonts w:ascii="Arial" w:cs="Arial" w:eastAsia="Arial" w:hAnsi="Arial"/>
                <w:sz w:val="18"/>
                <w:szCs w:val="18"/>
                <w:b w:val="1"/>
                <w:bCs w:val="1"/>
                <w:color w:val="auto"/>
              </w:rPr>
              <w:t>Maturity</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470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unsecured notes (1)</w:t>
            </w:r>
          </w:p>
        </w:tc>
        <w:tc>
          <w:tcPr>
            <w:tcW w:w="1600" w:type="dxa"/>
            <w:vAlign w:val="bottom"/>
            <w:tcBorders>
              <w:bottom w:val="single" w:sz="8" w:color="EAF9E8"/>
            </w:tcBorders>
            <w:shd w:val="clear" w:color="auto" w:fill="EAF9E8"/>
          </w:tcPr>
          <w:p>
            <w:pPr>
              <w:jc w:val="right"/>
              <w:ind w:right="430"/>
              <w:spacing w:after="0"/>
              <w:rPr>
                <w:sz w:val="20"/>
                <w:szCs w:val="20"/>
                <w:color w:val="auto"/>
              </w:rPr>
            </w:pPr>
            <w:r>
              <w:rPr>
                <w:rFonts w:ascii="Arial" w:cs="Arial" w:eastAsia="Arial" w:hAnsi="Arial"/>
                <w:sz w:val="18"/>
                <w:szCs w:val="18"/>
                <w:color w:val="auto"/>
              </w:rPr>
              <w:t>6.625%</w:t>
            </w: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May 2019</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6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Senior secured notes (2)</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21"/>
                <w:szCs w:val="21"/>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Nov. 2022</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346,878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346,878</w:t>
            </w:r>
          </w:p>
        </w:tc>
      </w:tr>
      <w:tr>
        <w:trPr>
          <w:trHeight w:val="27"/>
        </w:trPr>
        <w:tc>
          <w:tcPr>
            <w:tcW w:w="470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8"/>
              </w:rPr>
              <w:t>350,000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Unamortized debt issuance costs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(2,662)</w:t>
            </w:r>
          </w:p>
        </w:tc>
      </w:tr>
      <w:tr>
        <w:trPr>
          <w:trHeight w:val="27"/>
        </w:trPr>
        <w:tc>
          <w:tcPr>
            <w:tcW w:w="470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16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6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347,612</w:t>
            </w:r>
          </w:p>
        </w:tc>
        <w:tc>
          <w:tcPr>
            <w:tcW w:w="10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ind w:right="6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8"/>
              </w:rPr>
              <w:t>347,338</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16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360" w:hanging="332"/>
        <w:spacing w:after="0" w:line="25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Ocwen may redeem all or a part of the remaining Senior Unsecured Notes, upon not less than 30 nor more than 60 days’ notice, at a redemption price (expressed as a percentage of principal amount) of 100.000% beginning May 15, 2018 plus accrued and unpaid interest and additional interest, if any.</w:t>
      </w:r>
    </w:p>
    <w:p>
      <w:pPr>
        <w:spacing w:after="0" w:line="1" w:lineRule="exact"/>
        <w:rPr>
          <w:rFonts w:ascii="Arial" w:cs="Arial" w:eastAsia="Arial" w:hAnsi="Arial"/>
          <w:sz w:val="16"/>
          <w:szCs w:val="16"/>
          <w:color w:val="auto"/>
        </w:rPr>
      </w:pPr>
    </w:p>
    <w:p>
      <w:pPr>
        <w:ind w:left="340" w:right="80" w:hanging="332"/>
        <w:spacing w:after="0" w:line="32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Senior Secured Notes are guaranteed by Ocwen, OMS, Homeward Residential Holdings, Inc., Homeward and ACS (the Guarantors). The Senior Secured Notes are secured by second priority liens on the assets and properties of OLS and the Guarantors that secure the first priority obligations under the SSTL, excluding certain MSRs.</w:t>
      </w:r>
    </w:p>
    <w:p>
      <w:pPr>
        <w:spacing w:after="0" w:line="136" w:lineRule="exact"/>
        <w:rPr>
          <w:sz w:val="20"/>
          <w:szCs w:val="20"/>
          <w:color w:val="auto"/>
        </w:rPr>
      </w:pPr>
    </w:p>
    <w:p>
      <w:pPr>
        <w:ind w:right="120" w:firstLine="324"/>
        <w:spacing w:after="0" w:line="300" w:lineRule="auto"/>
        <w:rPr>
          <w:sz w:val="20"/>
          <w:szCs w:val="20"/>
          <w:color w:val="auto"/>
        </w:rPr>
      </w:pPr>
      <w:r>
        <w:rPr>
          <w:rFonts w:ascii="Arial" w:cs="Arial" w:eastAsia="Arial" w:hAnsi="Arial"/>
          <w:sz w:val="16"/>
          <w:szCs w:val="16"/>
          <w:color w:val="auto"/>
        </w:rPr>
        <w:t>At any time, OLS may redeem all or a part of the Senior Secured Notes, upon not less than 30 nor more than 60 days’ notice at a specified redemption price, plus accrued and unpaid interest to the date of redemption. Prior to November 15, 2018, the Senior Secured Notes may be redeemed at a redemption price equal to 100.0% of the principal amount of the Senior Secured Notes redeemed, plus the applicable make whole premium (as defined in the Indenture). On or after November 15, 2018, OLS may redeem all or a part of the Senior Secured Notes at the redemption prices (expressed as percentages of principal amount) specified in the Indenture. The redemption prices during the twelve-month periods beginning on November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each year are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Redemption Price</w:t>
            </w:r>
          </w:p>
        </w:tc>
      </w:tr>
      <w:tr>
        <w:trPr>
          <w:trHeight w:val="27"/>
        </w:trPr>
        <w:tc>
          <w:tcPr>
            <w:tcW w:w="8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106.281%</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104.188%</w:t>
            </w:r>
          </w:p>
        </w:tc>
      </w:tr>
      <w:tr>
        <w:trPr>
          <w:trHeight w:val="27"/>
        </w:trPr>
        <w:tc>
          <w:tcPr>
            <w:tcW w:w="8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9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102.094%</w:t>
            </w:r>
          </w:p>
        </w:tc>
      </w:tr>
      <w:tr>
        <w:trPr>
          <w:trHeight w:val="243"/>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2021 and thereafter</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100.000%</w:t>
            </w:r>
          </w:p>
        </w:tc>
      </w:tr>
    </w:tbl>
    <w:p>
      <w:pPr>
        <w:spacing w:after="0" w:line="1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At any time, on or prior to November 15, 2018, OLS may, at its option, use the net cash proceeds of one or more equity offerings (as defined in the Indenture) to redeem up to 35.0% of the principal amount of all Senior Secured Notes issued at a redemption price equal to 108.375% of the principal amount of the Senior Secured Notes redeemed plus accrued and unpaid interest to the date of redemption, provided that: (i) at least 65.0% of the principal amount of all Senior Secured Notes issued under the Indenture (including any additional Senior Secured Notes) remains outstanding immediately after any such redemption; and (ii) OLS makes such redemption not more than 120 days after the consummation of any such equity offering.</w:t>
      </w:r>
    </w:p>
    <w:p>
      <w:pPr>
        <w:spacing w:after="0" w:line="5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Upon a change of control (as defined in the Indenture), OLS is required to make an offer to the holders of the Senior Secured Notes to repurchase all or a portion of each holder’s Senior Secured Notes at a purchase price equal to 101.0% of the principal amount of the Senior Secured Notes purchased plus accrued and unpaid interest to the date of purchase.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Credit ratings are intended to be an indicator of the creditworthiness of a particular company, security or obligation. As of June 30, 2018, the S&amp;P long-term corporate rating was “B-”. Moody’s long-term corporate rating was “Caa1” and Fitch’s long-term issuer default rating was “B-”. On June 25, 2018, Ocwen announced its decision not to renew its corporate rating by Fitch as part of our ongoing efforts to reduce costs. It is possible that additional actions by credit rating agencies could have a material adverse impact on our liquidity and funding position, including materially changing the terms on which we may be able to borrow money.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300" w:hanging="328"/>
        <w:spacing w:after="0" w:line="26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our ability to engage in various activities, including but not limited to incurring additional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OLS or any Guarantor and entering into transactions with affiliates;</w:t>
      </w:r>
    </w:p>
    <w:p>
      <w:pPr>
        <w:spacing w:after="0" w:line="1"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8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7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certain of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40% loan to collateral value ratio, as defined under our SSTL, as of the last date of any fiscal quarter;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OLS level.</w:t>
      </w:r>
    </w:p>
    <w:p>
      <w:pPr>
        <w:spacing w:after="0" w:line="103"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color w:val="auto"/>
        </w:rPr>
        <w:t>As of June 30, 2018, the most restrictive consolidated tangible net worth requirements contained in our debt agreements were for a minimum of $1.1 billion in consolidated tangible net worth, as defined, at OLS under our match funded debt and certain of our other debt agreements.</w:t>
      </w:r>
    </w:p>
    <w:p>
      <w:pPr>
        <w:spacing w:after="0" w:line="1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4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5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88"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12 – Other Liabilities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331,158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431,492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57,083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75,088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Accrued legal fees and settlements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54,295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NRZ</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34,921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98,493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obligations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31,106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21,541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23,117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20,112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5,172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mortgage insurance contingency</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3,463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uncertain tax positions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Amounts due in connection with MSR sales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8,291</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7,985</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591,803</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769,410</w:t>
            </w:r>
          </w:p>
        </w:tc>
      </w:tr>
      <w:tr>
        <w:trPr>
          <w:trHeight w:val="20"/>
        </w:trPr>
        <w:tc>
          <w:tcPr>
            <w:tcW w:w="8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establish a liability for legal settlements, including fines and penalties, judgments on appeal and filed and/or threatened claims for which we believe it is probable that a loss has been or will be incurred and the amount can be reasonably estimated. See Note 20 – Contingencies for additional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Accrued Legal Fees and Settlements</w:t>
            </w:r>
          </w:p>
        </w:tc>
        <w:tc>
          <w:tcPr>
            <w:tcW w:w="342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vMerge w:val="continue"/>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700" w:type="dxa"/>
            <w:vAlign w:val="bottom"/>
            <w:vMerge w:val="continue"/>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000" w:type="dxa"/>
            <w:vAlign w:val="bottom"/>
            <w:tcBorders>
              <w:bottom w:val="single" w:sz="8" w:color="EAF9E8"/>
            </w:tcBorders>
            <w:shd w:val="clear" w:color="auto" w:fill="EAF9E8"/>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87"/>
              </w:rPr>
              <w:t>46,305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82,037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51,057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93,797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Accrual for probable losses (1)</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67,565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78,315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Payments (2)</w:t>
            </w:r>
          </w:p>
        </w:tc>
        <w:tc>
          <w:tcPr>
            <w:tcW w:w="1000" w:type="dxa"/>
            <w:vAlign w:val="bottom"/>
            <w:tcBorders>
              <w:bottom w:val="single" w:sz="8" w:color="EAF9E8"/>
            </w:tcBorders>
            <w:shd w:val="clear" w:color="auto" w:fill="EAF9E8"/>
          </w:tcPr>
          <w:p>
            <w:pPr>
              <w:spacing w:after="0"/>
              <w:rPr>
                <w:sz w:val="21"/>
                <w:szCs w:val="21"/>
                <w:color w:val="auto"/>
              </w:rPr>
            </w:pPr>
          </w:p>
        </w:tc>
        <w:tc>
          <w:tcPr>
            <w:tcW w:w="6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4"/>
              </w:rPr>
              <w:t>(1,607)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(39,393)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(65,253)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Issuance of common stock in settlement of litigation (3)</w:t>
            </w: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increase in accrued legal fees</w:t>
            </w:r>
          </w:p>
        </w:tc>
        <w:tc>
          <w:tcPr>
            <w:tcW w:w="1000" w:type="dxa"/>
            <w:vAlign w:val="bottom"/>
            <w:tcBorders>
              <w:bottom w:val="single" w:sz="8" w:color="EAF9E8"/>
            </w:tcBorders>
            <w:shd w:val="clear" w:color="auto" w:fill="EAF9E8"/>
          </w:tcPr>
          <w:p>
            <w:pPr>
              <w:spacing w:after="0"/>
              <w:rPr>
                <w:sz w:val="21"/>
                <w:szCs w:val="21"/>
                <w:color w:val="auto"/>
              </w:rPr>
            </w:pPr>
          </w:p>
        </w:tc>
        <w:tc>
          <w:tcPr>
            <w:tcW w:w="6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6,811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4,732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000" w:type="dxa"/>
            <w:vAlign w:val="bottom"/>
            <w:tcBorders>
              <w:bottom w:val="single" w:sz="8" w:color="auto"/>
            </w:tcBorders>
            <w:shd w:val="clear" w:color="auto" w:fill="EAF9E8"/>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87"/>
              </w:rPr>
              <w:t>54,295</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117,020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54,295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117,020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980" w:right="80" w:hanging="972"/>
        <w:spacing w:after="0" w:line="255" w:lineRule="auto"/>
        <w:tabs>
          <w:tab w:leader="none" w:pos="494"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amounts accrued for probable losses in connection with legal and regulatory settlements and judgments. Such amounts are reported in Professional services expense in the unaudited consolidated statements of operations.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cash payments made in connection with resolved legal and regulatory matters.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January 2018, Ocwen issued 1,875,000 shares of common stock in connection with a previously approved securities litigation settlement.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13 – Derivative Financial Instruments and Hedging Activities</w:t>
      </w:r>
    </w:p>
    <w:p>
      <w:pPr>
        <w:spacing w:after="0" w:line="229"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following table summarizes derivative activity, including the derivatives used in each of our identified hedging programs. The notional amount of our contracts does not represent our exposure to credit loss. None of the derivatives was designated as a hedge for accounting purposes at June 30, 2018:</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Interest Rate Risk</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IRLCs and Loans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Held for Sale</w:t>
            </w:r>
          </w:p>
        </w:tc>
        <w:tc>
          <w:tcPr>
            <w:tcW w:w="16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Borrowings</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Forward MBS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IRLCs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Trades</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Interest Rate Caps</w:t>
            </w:r>
          </w:p>
        </w:tc>
        <w:tc>
          <w:tcPr>
            <w:tcW w:w="0" w:type="dxa"/>
            <w:vAlign w:val="bottom"/>
          </w:tcPr>
          <w:p>
            <w:pPr>
              <w:spacing w:after="0"/>
              <w:rPr>
                <w:sz w:val="1"/>
                <w:szCs w:val="1"/>
                <w:color w:val="auto"/>
              </w:rPr>
            </w:pPr>
          </w:p>
        </w:tc>
      </w:tr>
      <w:tr>
        <w:trPr>
          <w:trHeight w:val="27"/>
        </w:trPr>
        <w:tc>
          <w:tcPr>
            <w:tcW w:w="64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Notional balance at December 31, 2017</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96,339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240,823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630,919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295,512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EAF9E8"/>
            </w:tcBorders>
            <w:shd w:val="clear" w:color="auto" w:fill="EAF9E8"/>
          </w:tcPr>
          <w:p>
            <w:pPr>
              <w:spacing w:after="0"/>
              <w:rPr>
                <w:sz w:val="21"/>
                <w:szCs w:val="21"/>
                <w:color w:val="auto"/>
              </w:rPr>
            </w:pPr>
          </w:p>
        </w:tc>
        <w:tc>
          <w:tcPr>
            <w:tcW w:w="15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(514,924)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(337,902)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1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(105,916)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5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40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Notional balance at June 30,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106,418</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198,433</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84"/>
        </w:trPr>
        <w:tc>
          <w:tcPr>
            <w:tcW w:w="64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Maturity</w:t>
            </w: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June 2018 - July</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2"/>
              </w:rPr>
              <w:t>July 2018 - May</w:t>
            </w:r>
          </w:p>
        </w:tc>
        <w:tc>
          <w:tcPr>
            <w:tcW w:w="0" w:type="dxa"/>
            <w:vAlign w:val="bottom"/>
          </w:tcPr>
          <w:p>
            <w:pPr>
              <w:spacing w:after="0"/>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Sept. 2018</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(1) at:</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June 30, 2018</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3,315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December 31, 2017</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4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1700" w:type="dxa"/>
            <w:vAlign w:val="bottom"/>
            <w:gridSpan w:val="3"/>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Gains (losses) on derivatives during the six months ended:</w:t>
            </w:r>
          </w:p>
        </w:tc>
        <w:tc>
          <w:tcPr>
            <w:tcW w:w="180" w:type="dxa"/>
            <w:vAlign w:val="bottom"/>
          </w:tcPr>
          <w:p>
            <w:pPr>
              <w:spacing w:after="0"/>
              <w:rPr>
                <w:sz w:val="21"/>
                <w:szCs w:val="21"/>
                <w:color w:val="auto"/>
              </w:rPr>
            </w:pPr>
          </w:p>
        </w:tc>
        <w:tc>
          <w:tcPr>
            <w:tcW w:w="3240" w:type="dxa"/>
            <w:vAlign w:val="bottom"/>
            <w:gridSpan w:val="5"/>
          </w:tcPr>
          <w:p>
            <w:pPr>
              <w:ind w:left="220"/>
              <w:spacing w:after="0"/>
              <w:rPr>
                <w:sz w:val="20"/>
                <w:szCs w:val="20"/>
                <w:color w:val="auto"/>
              </w:rPr>
            </w:pPr>
            <w:r>
              <w:rPr>
                <w:rFonts w:ascii="Arial" w:cs="Arial" w:eastAsia="Arial" w:hAnsi="Arial"/>
                <w:sz w:val="18"/>
                <w:szCs w:val="18"/>
                <w:b w:val="1"/>
                <w:bCs w:val="1"/>
                <w:color w:val="auto"/>
              </w:rPr>
              <w:t>Gain on Loans Held for Sale, Net</w:t>
            </w:r>
          </w:p>
        </w:tc>
        <w:tc>
          <w:tcPr>
            <w:tcW w:w="160" w:type="dxa"/>
            <w:vAlign w:val="bottom"/>
          </w:tcPr>
          <w:p>
            <w:pPr>
              <w:spacing w:after="0"/>
              <w:rPr>
                <w:sz w:val="21"/>
                <w:szCs w:val="21"/>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Other, Net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June 30, 2018</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June 30, 2017</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Derivatives are reported at fair value in Other assets or in Other liabilities on our unaudited consolidated balance sheets.</w:t>
      </w:r>
    </w:p>
    <w:p>
      <w:pPr>
        <w:spacing w:after="0" w:line="10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operations in India and the Philippines expose us to insignificant foreign currency exchange rate risk.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which is used in determining the interest rate on the debt. We currently do not hedge our fixed rate debt.</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Accumulated Other Comprehensive Loss (AOCL)</w:t>
      </w:r>
    </w:p>
    <w:p>
      <w:pPr>
        <w:spacing w:after="0" w:line="229" w:lineRule="exact"/>
        <w:rPr>
          <w:sz w:val="20"/>
          <w:szCs w:val="20"/>
          <w:color w:val="auto"/>
        </w:rPr>
      </w:pPr>
    </w:p>
    <w:p>
      <w:pPr>
        <w:ind w:left="60" w:right="300" w:firstLine="324"/>
        <w:spacing w:after="0" w:line="277" w:lineRule="auto"/>
        <w:rPr>
          <w:sz w:val="20"/>
          <w:szCs w:val="20"/>
          <w:color w:val="auto"/>
        </w:rPr>
      </w:pPr>
      <w:r>
        <w:rPr>
          <w:rFonts w:ascii="Arial" w:cs="Arial" w:eastAsia="Arial" w:hAnsi="Arial"/>
          <w:sz w:val="18"/>
          <w:szCs w:val="18"/>
          <w:color w:val="auto"/>
        </w:rPr>
        <w:t>Included in AOCL at June 30, 2018 and 2017, were $1.1 million and $1.3 million of deferred unrealized losses, before taxes of $0.1 million and $0.1 million, respectively, on interest rate swaps that we had designated as cash flow hedges.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Note 14 – Interest Expense</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NRZ</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51,490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48,624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74,539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99,783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financing liabilities</w:t>
            </w:r>
          </w:p>
        </w:tc>
        <w:tc>
          <w:tcPr>
            <w:tcW w:w="30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3,479</w:t>
            </w:r>
          </w:p>
        </w:tc>
      </w:tr>
      <w:tr>
        <w:trPr>
          <w:trHeight w:val="237"/>
        </w:trPr>
        <w:tc>
          <w:tcPr>
            <w:tcW w:w="47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50,293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77,083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103,262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7,714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12,669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17,262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8,044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19,184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notes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7,452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7,447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14,903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2,323</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77,503</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81,128</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128,313</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165,190</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effective tax rate for the six months ended June 30, 2018 and 2017 was (15.8)% and (6.9)%, respectively, on loss before income taxes of $23.4 million and $72.1 million, respectively. The change in the effective tax rate for the six months ended June 30, 2018, compared with the same period in 2017, was primarily due to the mix of earnings among different tax jurisdictions with different statutory tax rates, which impacts the amount of the tax benefit or expense recorded. The most significant potential benefit of the Tax Act, the reduction in the U.S. federal corporate income tax rate from 35% to 21% effective January 1, 2018, did not have an impact on our effective tax rate as we are currently generating losses in the U.S. for which a tax benefit has not been recorded as we have recognized a full valuation allowance on our U.S. deferred tax assets. We recognized incremental income tax expense of $1.7 million for the Base Erosion and Anti-Abuse Tax (BEAT) provision of the Tax Act in the six months ended June 30, 2018. This increase in income tax expense related to implementing provisions of the Tax Act that were effective January 1, 2018 was offset by a reduction in income tax expense as a result of our adoption of ASU 2016-16 on January 1, 2018, as the deferred tax effects of intra-entity transfers of assets recognized as prepaid income taxes are no longer amortized to income tax expense over the life of the asset. Income tax expense related to uncertain tax positions declined in the six months ended June 30, 2018 as compared to the same period of 2017.</w:t>
      </w:r>
    </w:p>
    <w:p>
      <w:pPr>
        <w:spacing w:after="0" w:line="18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reduction in the statutory U.S. federal rate is expected to positively impact our future U.S. after-tax earnings. However, the ultimate impact is subject to the effect of other complex provisions in the Tax Act (including BEAT, Global Intangible Low-Taxed Income (GILTI) and revised interest deductibility limitations) which we are currently reviewing. It is possible that any impact of these provisions could significantly reduce the benefit of the reduction in the statutory U.S. federal rate. Due to the uncertain practical and technical application of many of these provisions in the Tax Act, at this time, we are unable to make a final determination of the precise impact on our future earnings, and our accounting for the Tax Act remains incomplete.</w:t>
      </w:r>
    </w:p>
    <w:p>
      <w:pPr>
        <w:spacing w:after="0" w:line="17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However, as previously disclosed, at December 31, 2017 we were able to reasonably estimate certain effects and, therefore, recorded provisional adjustments associated with the deemed repatriation transition tax and the reduction in the statutory U.S. federal tax rate. We have not recorded any additional measurement-period adjustments related to the transition tax or the reduction in the U.S. federal tax rate during the six months ended June 30, 2018. We are continuing to gather additional information and expect to complete our accounting for the transition tax within the prescribed measurement period.</w:t>
      </w:r>
    </w:p>
    <w:p>
      <w:pPr>
        <w:spacing w:after="0" w:line="15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Also, as previously disclosed, at December 31, 2017 we were not yet able to reasonably estimate the effects of certain elements of the Tax Act, such as BEAT, GILTI and revised interest deductibility limitations. Therefore, no provisional adjustments were recorded.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41" w:name="page42"/>
    <w:bookmarkEnd w:id="41"/>
    <w:p>
      <w:pPr>
        <w:ind w:right="40" w:firstLine="324"/>
        <w:spacing w:after="0" w:line="269" w:lineRule="auto"/>
        <w:rPr>
          <w:sz w:val="20"/>
          <w:szCs w:val="20"/>
          <w:color w:val="auto"/>
        </w:rPr>
      </w:pPr>
      <w:r>
        <w:rPr>
          <w:rFonts w:ascii="Arial" w:cs="Arial" w:eastAsia="Arial" w:hAnsi="Arial"/>
          <w:sz w:val="17"/>
          <w:szCs w:val="17"/>
          <w:color w:val="auto"/>
        </w:rPr>
        <w:t>Because of the complexity of the new GILTI tax rules, we are continuing to evaluate this provision of the Tax Act and the application of ASC 740. Under U.S. GAAP, we are permitted to make an accounting policy election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related to the new GILTI tax rules will depend, in part, on analyzing our global income to determine whether we expect to have future U.S. inclusions in taxable income related to GILTI and, if so, what the impact is expected to be. Whether we expect to have future U.S. inclusions in taxable income related to GILTI depends on a number of different aspects of our estimated future results of global operations, and as a result, we are not yet able to reasonably estimate the long-term effects of this provision of the Tax Act. Therefore, we have not recorded any deferred tax effects related to GILTI in our financial statements and have not made a policy election regarding whether to record deferred taxes on GILTI or to apply the period cost method as of June 30, 2018. We have, however, included an estimate of the 2018 current GILTI impact in the calculation of our annualized effective tax rate for 2018. In addition, we have included an estimate of the 2018 current BEAT impact in the calculation of our annualized effective tax rate for 2018. We expect to complete our accounting within the prescribed measurement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Basic and Diluted Earnings (Loss) per Share</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stock options and restricted stock awards. For the three and six months ended June 30, 2018 and 2017, we have excluded the effect of all stock options and common stock awards from the computation of diluted loss per share because of the anti-dilutive effect of our reported net loss.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Basic loss per share</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304"/>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Net loss attributable to Ocwen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(29,831)</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(44,507)</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(27,283)</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(77,231)</w:t>
            </w:r>
          </w:p>
        </w:tc>
      </w:tr>
      <w:tr>
        <w:trPr>
          <w:trHeight w:val="217"/>
        </w:trPr>
        <w:tc>
          <w:tcPr>
            <w:tcW w:w="47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304"/>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133,856,132</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124,582,280</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133,490,828</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124,300,171</w:t>
            </w:r>
          </w:p>
        </w:tc>
      </w:tr>
      <w:tr>
        <w:trPr>
          <w:trHeight w:val="217"/>
        </w:trPr>
        <w:tc>
          <w:tcPr>
            <w:tcW w:w="47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304"/>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Basic loss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r>
      <w:tr>
        <w:trPr>
          <w:trHeight w:val="217"/>
        </w:trPr>
        <w:tc>
          <w:tcPr>
            <w:tcW w:w="47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Diluted loss per share</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loss attributable to Ocwen stockholders</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(29,831)</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(44,507)</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(27,283)</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(77,231)</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133,856,132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124,582,280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133,490,828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124,300,171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Effect of dilutive elements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Stock option awards</w:t>
            </w:r>
          </w:p>
        </w:tc>
        <w:tc>
          <w:tcPr>
            <w:tcW w:w="3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Common stock awards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Dilutive weighted average shares of common stock</w:t>
            </w:r>
          </w:p>
        </w:tc>
        <w:tc>
          <w:tcPr>
            <w:tcW w:w="30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133,856,132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124,582,280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133,490,828</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124,300,171</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Diluted loss per share</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(0.62)</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5"/>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b w:val="1"/>
                <w:bCs w:val="1"/>
                <w:color w:val="auto"/>
                <w:w w:val="93"/>
              </w:rPr>
              <w:t>Stock options and common stock awards excluded from</w:t>
            </w:r>
          </w:p>
        </w:tc>
        <w:tc>
          <w:tcPr>
            <w:tcW w:w="30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41"/>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b w:val="1"/>
                <w:bCs w:val="1"/>
                <w:color w:val="auto"/>
              </w:rPr>
              <w:t>the computation of diluted earnings per share</w:t>
            </w:r>
          </w:p>
        </w:tc>
        <w:tc>
          <w:tcPr>
            <w:tcW w:w="30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Anti-dilutive (1)</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6,492,703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6,709,154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6,498,025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4,382,684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700" w:type="dxa"/>
            <w:vAlign w:val="bottom"/>
            <w:shd w:val="clear" w:color="auto" w:fill="EAF9E8"/>
          </w:tcPr>
          <w:p>
            <w:pPr>
              <w:ind w:left="280"/>
              <w:spacing w:after="0"/>
              <w:rPr>
                <w:sz w:val="20"/>
                <w:szCs w:val="20"/>
                <w:color w:val="auto"/>
              </w:rPr>
            </w:pPr>
            <w:r>
              <w:rPr>
                <w:rFonts w:ascii="Arial" w:cs="Arial" w:eastAsia="Arial" w:hAnsi="Arial"/>
                <w:sz w:val="18"/>
                <w:szCs w:val="18"/>
                <w:color w:val="auto"/>
              </w:rPr>
              <w:t>Market-based (2)</w:t>
            </w:r>
          </w:p>
        </w:tc>
        <w:tc>
          <w:tcPr>
            <w:tcW w:w="300" w:type="dxa"/>
            <w:vAlign w:val="bottom"/>
            <w:shd w:val="clear" w:color="auto" w:fill="EAF9E8"/>
          </w:tcPr>
          <w:p>
            <w:pPr>
              <w:spacing w:after="0"/>
              <w:rPr>
                <w:sz w:val="21"/>
                <w:szCs w:val="21"/>
                <w:color w:val="auto"/>
              </w:rPr>
            </w:pPr>
          </w:p>
        </w:tc>
        <w:tc>
          <w:tcPr>
            <w:tcW w:w="13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645,984</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862,446</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645,984</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862,446</w:t>
            </w:r>
          </w:p>
        </w:tc>
      </w:tr>
      <w:tr>
        <w:trPr>
          <w:trHeight w:val="27"/>
        </w:trPr>
        <w:tc>
          <w:tcPr>
            <w:tcW w:w="47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r>
    </w:tbl>
    <w:p>
      <w:pPr>
        <w:spacing w:after="0" w:line="31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Stock options were anti-dilutive because their exercise price was greater than the average market price of Ocwen’s stock.</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17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originates conventional and government-insured residential forward and reverse mortgage loans through correspondent</w:t>
      </w:r>
      <w:r>
        <w:rPr>
          <w:rFonts w:ascii="Arial" w:cs="Arial" w:eastAsia="Arial" w:hAnsi="Arial"/>
          <w:sz w:val="18"/>
          <w:szCs w:val="18"/>
          <w:i w:val="1"/>
          <w:iCs w:val="1"/>
          <w:color w:val="auto"/>
        </w:rPr>
        <w:t xml:space="preserve"> </w:t>
      </w:r>
      <w:r>
        <w:rPr>
          <w:rFonts w:ascii="Arial" w:cs="Arial" w:eastAsia="Arial" w:hAnsi="Arial"/>
          <w:sz w:val="18"/>
          <w:szCs w:val="18"/>
          <w:color w:val="auto"/>
        </w:rPr>
        <w:t>lending arrangements, broker relationships (wholesale) and directly with mortgage customers (retail). The loans are typically sold shortly after origination into a liquid market on a servicing retained (securitization) or servicing released (sale to a third party) basis. In 2017, we closed our forward correspondent lending channel and exited the forward wholesale lending business. We continue to originate loans through our forward retail lending channel as well as through all three channels of reverse mortgage lending.</w:t>
      </w:r>
    </w:p>
    <w:p>
      <w:pPr>
        <w:spacing w:after="0" w:line="8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Corporate Items and Other includes revenues and expenses of CR Limited (CRL), our wholly-owned captive reinsurance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and our other business activities that are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 CRL provides re-insurance related to coverage on foreclosed real estate properties owned or serviced by us. In January 2018, we decided to exit the ACS business and have liquidated the majority of our portfolio of inventory-secured loans to independent used car dealers.</w:t>
      </w:r>
    </w:p>
    <w:p>
      <w:pPr>
        <w:spacing w:after="0" w:line="5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We allocate a portion of interest income to each business segment, including interest earned on cash balances and short-term investments. We also allocate expenses incurred by corporate support services to each business segment.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Three Months Ended June 30, 2018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Business Segments</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Servicing</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Eliminations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230,509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19,002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253,581</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Expenses (1)</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166,888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17,785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20,977</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205,650</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5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3,355</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(62,675)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(77,503)</w:t>
            </w:r>
          </w:p>
        </w:tc>
      </w:tr>
      <w:tr>
        <w:trPr>
          <w:trHeight w:val="229"/>
        </w:trPr>
        <w:tc>
          <w:tcPr>
            <w:tcW w:w="2980" w:type="dxa"/>
            <w:vAlign w:val="bottom"/>
          </w:tcPr>
          <w:p>
            <w:pPr>
              <w:ind w:left="280"/>
              <w:spacing w:after="0"/>
              <w:rPr>
                <w:sz w:val="20"/>
                <w:szCs w:val="20"/>
                <w:color w:val="auto"/>
              </w:rPr>
            </w:pPr>
            <w:r>
              <w:rPr>
                <w:rFonts w:ascii="Arial" w:cs="Arial" w:eastAsia="Arial" w:hAnsi="Arial"/>
                <w:sz w:val="18"/>
                <w:szCs w:val="18"/>
                <w:color w:val="auto"/>
                <w:w w:val="96"/>
              </w:rPr>
              <w:t>Gain on sale of mortgage servicing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440"/>
              <w:spacing w:after="0"/>
              <w:rPr>
                <w:sz w:val="20"/>
                <w:szCs w:val="20"/>
                <w:color w:val="auto"/>
              </w:rPr>
            </w:pPr>
            <w:r>
              <w:rPr>
                <w:rFonts w:ascii="Arial" w:cs="Arial" w:eastAsia="Arial" w:hAnsi="Arial"/>
                <w:sz w:val="18"/>
                <w:szCs w:val="18"/>
                <w:color w:val="auto"/>
              </w:rPr>
              <w:t>rights, net</w:t>
            </w:r>
          </w:p>
        </w:tc>
        <w:tc>
          <w:tcPr>
            <w:tcW w:w="2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(2,266)</w:t>
            </w:r>
          </w:p>
        </w:tc>
      </w:tr>
      <w:tr>
        <w:trPr>
          <w:trHeight w:val="237"/>
        </w:trPr>
        <w:tc>
          <w:tcPr>
            <w:tcW w:w="298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(76,336)</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98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3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4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r>
      <w:tr>
        <w:trPr>
          <w:trHeight w:val="304"/>
        </w:trPr>
        <w:tc>
          <w:tcPr>
            <w:tcW w:w="298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(31,890)</w:t>
            </w:r>
          </w:p>
        </w:tc>
        <w:tc>
          <w:tcPr>
            <w:tcW w:w="100" w:type="dxa"/>
            <w:vAlign w:val="bottom"/>
          </w:tcPr>
          <w:p>
            <w:pPr>
              <w:spacing w:after="0"/>
              <w:rPr>
                <w:sz w:val="24"/>
                <w:szCs w:val="24"/>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(28,405)</w:t>
            </w:r>
          </w:p>
        </w:tc>
      </w:tr>
      <w:tr>
        <w:trPr>
          <w:trHeight w:val="311"/>
        </w:trPr>
        <w:tc>
          <w:tcPr>
            <w:tcW w:w="298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3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40" w:type="dxa"/>
            <w:vAlign w:val="bottom"/>
            <w:tcBorders>
              <w:top w:val="single" w:sz="8" w:color="auto"/>
            </w:tcBorders>
            <w:shd w:val="clear" w:color="auto" w:fill="EAF9E8"/>
          </w:tcPr>
          <w:p>
            <w:pPr>
              <w:spacing w:after="0"/>
              <w:rPr>
                <w:sz w:val="24"/>
                <w:szCs w:val="24"/>
                <w:color w:val="auto"/>
              </w:rPr>
            </w:pPr>
          </w:p>
        </w:tc>
        <w:tc>
          <w:tcPr>
            <w:tcW w:w="14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80" w:type="dxa"/>
            <w:vAlign w:val="bottom"/>
            <w:tcBorders>
              <w:top w:val="single" w:sz="8" w:color="auto"/>
            </w:tcBorders>
            <w:shd w:val="clear" w:color="auto" w:fill="EAF9E8"/>
          </w:tcPr>
          <w:p>
            <w:pPr>
              <w:spacing w:after="0"/>
              <w:rPr>
                <w:sz w:val="24"/>
                <w:szCs w:val="24"/>
                <w:color w:val="auto"/>
              </w:rPr>
            </w:pPr>
          </w:p>
        </w:tc>
      </w:tr>
      <w:tr>
        <w:trPr>
          <w:trHeight w:val="459"/>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Three Months Ended June 30, 2017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Business Segments</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Servicing</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Eliminations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271,784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32,776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311,300</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201,928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32,886</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45,666</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280,480</w:t>
            </w:r>
          </w:p>
        </w:tc>
      </w:tr>
      <w:tr>
        <w:trPr>
          <w:trHeight w:val="264"/>
        </w:trPr>
        <w:tc>
          <w:tcPr>
            <w:tcW w:w="29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5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4,239</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(63,903)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(13,842)</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(81,128)</w:t>
            </w:r>
          </w:p>
        </w:tc>
      </w:tr>
      <w:tr>
        <w:trPr>
          <w:trHeight w:val="229"/>
        </w:trPr>
        <w:tc>
          <w:tcPr>
            <w:tcW w:w="2980" w:type="dxa"/>
            <w:vAlign w:val="bottom"/>
          </w:tcPr>
          <w:p>
            <w:pPr>
              <w:ind w:left="280"/>
              <w:spacing w:after="0"/>
              <w:rPr>
                <w:sz w:val="20"/>
                <w:szCs w:val="20"/>
                <w:color w:val="auto"/>
              </w:rPr>
            </w:pPr>
            <w:r>
              <w:rPr>
                <w:rFonts w:ascii="Arial" w:cs="Arial" w:eastAsia="Arial" w:hAnsi="Arial"/>
                <w:sz w:val="18"/>
                <w:szCs w:val="18"/>
                <w:color w:val="auto"/>
                <w:w w:val="96"/>
              </w:rPr>
              <w:t>Gain on sale of mortgage servicing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440"/>
              <w:spacing w:after="0"/>
              <w:rPr>
                <w:sz w:val="20"/>
                <w:szCs w:val="20"/>
                <w:color w:val="auto"/>
              </w:rPr>
            </w:pPr>
            <w:r>
              <w:rPr>
                <w:rFonts w:ascii="Arial" w:cs="Arial" w:eastAsia="Arial" w:hAnsi="Arial"/>
                <w:sz w:val="18"/>
                <w:szCs w:val="18"/>
                <w:color w:val="auto"/>
              </w:rPr>
              <w:t>rights, net</w:t>
            </w:r>
          </w:p>
        </w:tc>
        <w:tc>
          <w:tcPr>
            <w:tcW w:w="2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1,033</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3,428</w:t>
            </w:r>
          </w:p>
        </w:tc>
      </w:tr>
      <w:tr>
        <w:trPr>
          <w:trHeight w:val="237"/>
        </w:trPr>
        <w:tc>
          <w:tcPr>
            <w:tcW w:w="29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(11,286)</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(72,428)</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98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3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4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r>
      <w:tr>
        <w:trPr>
          <w:trHeight w:val="304"/>
        </w:trPr>
        <w:tc>
          <w:tcPr>
            <w:tcW w:w="298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9,218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(50,212)</w:t>
            </w:r>
          </w:p>
        </w:tc>
        <w:tc>
          <w:tcPr>
            <w:tcW w:w="100" w:type="dxa"/>
            <w:vAlign w:val="bottom"/>
            <w:tcBorders>
              <w:bottom w:val="single" w:sz="8" w:color="EAF9E8"/>
            </w:tcBorders>
          </w:tcPr>
          <w:p>
            <w:pPr>
              <w:spacing w:after="0"/>
              <w:rPr>
                <w:sz w:val="24"/>
                <w:szCs w:val="24"/>
                <w:color w:val="auto"/>
              </w:rPr>
            </w:pP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(41,608)</w:t>
            </w:r>
          </w:p>
        </w:tc>
      </w:tr>
      <w:tr>
        <w:trPr>
          <w:trHeight w:val="163"/>
        </w:trPr>
        <w:tc>
          <w:tcPr>
            <w:tcW w:w="2980" w:type="dxa"/>
            <w:vAlign w:val="bottom"/>
            <w:shd w:val="clear" w:color="auto" w:fill="EAF9E8"/>
          </w:tcPr>
          <w:p>
            <w:pPr>
              <w:spacing w:after="0"/>
              <w:rPr>
                <w:sz w:val="14"/>
                <w:szCs w:val="14"/>
                <w:color w:val="auto"/>
              </w:rPr>
            </w:pPr>
          </w:p>
        </w:tc>
        <w:tc>
          <w:tcPr>
            <w:tcW w:w="280" w:type="dxa"/>
            <w:vAlign w:val="bottom"/>
            <w:shd w:val="clear" w:color="auto" w:fill="EAF9E8"/>
          </w:tcPr>
          <w:p>
            <w:pPr>
              <w:spacing w:after="0"/>
              <w:rPr>
                <w:sz w:val="14"/>
                <w:szCs w:val="14"/>
                <w:color w:val="auto"/>
              </w:rPr>
            </w:pPr>
          </w:p>
        </w:tc>
        <w:tc>
          <w:tcPr>
            <w:tcW w:w="13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30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4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c>
          <w:tcPr>
            <w:tcW w:w="3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380" w:type="dxa"/>
            <w:vAlign w:val="bottom"/>
            <w:shd w:val="clear" w:color="auto" w:fill="EAF9E8"/>
          </w:tcPr>
          <w:p>
            <w:pPr>
              <w:spacing w:after="0"/>
              <w:rPr>
                <w:sz w:val="14"/>
                <w:szCs w:val="14"/>
                <w:color w:val="auto"/>
              </w:rPr>
            </w:pPr>
          </w:p>
        </w:tc>
      </w:tr>
      <w:tr>
        <w:trPr>
          <w:trHeight w:val="243"/>
        </w:trPr>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Six months ended June 30, 2018</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456,605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48,197</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9,036</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513,838</w:t>
            </w:r>
          </w:p>
        </w:tc>
      </w:tr>
      <w:tr>
        <w:trPr>
          <w:trHeight w:val="318"/>
        </w:trPr>
        <w:tc>
          <w:tcPr>
            <w:tcW w:w="2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Expenses (1)</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337,984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38,081</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36,086</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412,151</w:t>
            </w:r>
          </w:p>
        </w:tc>
      </w:tr>
      <w:tr>
        <w:trPr>
          <w:trHeight w:val="318"/>
        </w:trPr>
        <w:tc>
          <w:tcPr>
            <w:tcW w:w="2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6,055</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(97,193)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(27,703)</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(128,313)</w:t>
            </w:r>
          </w:p>
        </w:tc>
      </w:tr>
      <w:tr>
        <w:trPr>
          <w:trHeight w:val="229"/>
        </w:trPr>
        <w:tc>
          <w:tcPr>
            <w:tcW w:w="2980" w:type="dxa"/>
            <w:vAlign w:val="bottom"/>
          </w:tcPr>
          <w:p>
            <w:pPr>
              <w:ind w:left="380"/>
              <w:spacing w:after="0"/>
              <w:rPr>
                <w:sz w:val="20"/>
                <w:szCs w:val="20"/>
                <w:color w:val="auto"/>
              </w:rPr>
            </w:pPr>
            <w:r>
              <w:rPr>
                <w:rFonts w:ascii="Arial" w:cs="Arial" w:eastAsia="Arial" w:hAnsi="Arial"/>
                <w:sz w:val="18"/>
                <w:szCs w:val="18"/>
                <w:color w:val="auto"/>
                <w:w w:val="92"/>
              </w:rPr>
              <w:t>Gain on sale of mortgage servicing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540"/>
              <w:spacing w:after="0"/>
              <w:rPr>
                <w:sz w:val="20"/>
                <w:szCs w:val="20"/>
                <w:color w:val="auto"/>
              </w:rPr>
            </w:pPr>
            <w:r>
              <w:rPr>
                <w:rFonts w:ascii="Arial" w:cs="Arial" w:eastAsia="Arial" w:hAnsi="Arial"/>
                <w:sz w:val="18"/>
                <w:szCs w:val="18"/>
                <w:color w:val="auto"/>
              </w:rPr>
              <w:t>rights, net</w:t>
            </w:r>
          </w:p>
        </w:tc>
        <w:tc>
          <w:tcPr>
            <w:tcW w:w="2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1,036</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(3,905)</w:t>
            </w:r>
          </w:p>
        </w:tc>
      </w:tr>
      <w:tr>
        <w:trPr>
          <w:trHeight w:val="237"/>
        </w:trPr>
        <w:tc>
          <w:tcPr>
            <w:tcW w:w="2980" w:type="dxa"/>
            <w:vAlign w:val="bottom"/>
          </w:tcPr>
          <w:p>
            <w:pPr>
              <w:ind w:left="50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(29,129)</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(125,127)</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98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3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4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r>
      <w:tr>
        <w:trPr>
          <w:trHeight w:val="304"/>
        </w:trPr>
        <w:tc>
          <w:tcPr>
            <w:tcW w:w="298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22,568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10,171</w:t>
            </w: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(56,179)</w:t>
            </w:r>
          </w:p>
        </w:tc>
        <w:tc>
          <w:tcPr>
            <w:tcW w:w="100" w:type="dxa"/>
            <w:vAlign w:val="bottom"/>
            <w:tcBorders>
              <w:bottom w:val="single" w:sz="8" w:color="EAF9E8"/>
            </w:tcBorders>
          </w:tcPr>
          <w:p>
            <w:pPr>
              <w:spacing w:after="0"/>
              <w:rPr>
                <w:sz w:val="24"/>
                <w:szCs w:val="24"/>
                <w:color w:val="auto"/>
              </w:rPr>
            </w:pP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(23,440)</w:t>
            </w:r>
          </w:p>
        </w:tc>
      </w:tr>
      <w:tr>
        <w:trPr>
          <w:trHeight w:val="163"/>
        </w:trPr>
        <w:tc>
          <w:tcPr>
            <w:tcW w:w="2980" w:type="dxa"/>
            <w:vAlign w:val="bottom"/>
            <w:shd w:val="clear" w:color="auto" w:fill="EAF9E8"/>
          </w:tcPr>
          <w:p>
            <w:pPr>
              <w:spacing w:after="0"/>
              <w:rPr>
                <w:sz w:val="14"/>
                <w:szCs w:val="14"/>
                <w:color w:val="auto"/>
              </w:rPr>
            </w:pPr>
          </w:p>
        </w:tc>
        <w:tc>
          <w:tcPr>
            <w:tcW w:w="280" w:type="dxa"/>
            <w:vAlign w:val="bottom"/>
            <w:shd w:val="clear" w:color="auto" w:fill="EAF9E8"/>
          </w:tcPr>
          <w:p>
            <w:pPr>
              <w:spacing w:after="0"/>
              <w:rPr>
                <w:sz w:val="14"/>
                <w:szCs w:val="14"/>
                <w:color w:val="auto"/>
              </w:rPr>
            </w:pPr>
          </w:p>
        </w:tc>
        <w:tc>
          <w:tcPr>
            <w:tcW w:w="13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30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4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c>
          <w:tcPr>
            <w:tcW w:w="3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380" w:type="dxa"/>
            <w:vAlign w:val="bottom"/>
            <w:shd w:val="clear" w:color="auto" w:fill="EAF9E8"/>
          </w:tcPr>
          <w:p>
            <w:pPr>
              <w:spacing w:after="0"/>
              <w:rPr>
                <w:sz w:val="14"/>
                <w:szCs w:val="14"/>
                <w:color w:val="auto"/>
              </w:rPr>
            </w:pPr>
          </w:p>
        </w:tc>
      </w:tr>
      <w:tr>
        <w:trPr>
          <w:trHeight w:val="243"/>
        </w:trPr>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Six months ended June 30, 2017</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555,802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63,522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13,840</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633,164</w:t>
            </w:r>
          </w:p>
        </w:tc>
      </w:tr>
      <w:tr>
        <w:trPr>
          <w:trHeight w:val="318"/>
        </w:trPr>
        <w:tc>
          <w:tcPr>
            <w:tcW w:w="2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418,842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62,217</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75,804</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556,863</w:t>
            </w:r>
          </w:p>
        </w:tc>
      </w:tr>
      <w:tr>
        <w:trPr>
          <w:trHeight w:val="318"/>
        </w:trPr>
        <w:tc>
          <w:tcPr>
            <w:tcW w:w="29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29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5,754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8,002</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(131,254)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(27,269)</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(165,190)</w:t>
            </w:r>
          </w:p>
        </w:tc>
      </w:tr>
      <w:tr>
        <w:trPr>
          <w:trHeight w:val="229"/>
        </w:trPr>
        <w:tc>
          <w:tcPr>
            <w:tcW w:w="2980" w:type="dxa"/>
            <w:vAlign w:val="bottom"/>
          </w:tcPr>
          <w:p>
            <w:pPr>
              <w:ind w:left="380"/>
              <w:spacing w:after="0"/>
              <w:rPr>
                <w:sz w:val="20"/>
                <w:szCs w:val="20"/>
                <w:color w:val="auto"/>
              </w:rPr>
            </w:pPr>
            <w:r>
              <w:rPr>
                <w:rFonts w:ascii="Arial" w:cs="Arial" w:eastAsia="Arial" w:hAnsi="Arial"/>
                <w:sz w:val="18"/>
                <w:szCs w:val="18"/>
                <w:color w:val="auto"/>
                <w:w w:val="92"/>
              </w:rPr>
              <w:t>Gain on sale of mortgage servicing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540"/>
              <w:spacing w:after="0"/>
              <w:rPr>
                <w:sz w:val="20"/>
                <w:szCs w:val="20"/>
                <w:color w:val="auto"/>
              </w:rPr>
            </w:pPr>
            <w:r>
              <w:rPr>
                <w:rFonts w:ascii="Arial" w:cs="Arial" w:eastAsia="Arial" w:hAnsi="Arial"/>
                <w:sz w:val="18"/>
                <w:szCs w:val="18"/>
                <w:color w:val="auto"/>
              </w:rPr>
              <w:t>rights, net</w:t>
            </w:r>
          </w:p>
        </w:tc>
        <w:tc>
          <w:tcPr>
            <w:tcW w:w="2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1,320</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5,060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7,461</w:t>
            </w:r>
          </w:p>
        </w:tc>
      </w:tr>
      <w:tr>
        <w:trPr>
          <w:trHeight w:val="237"/>
        </w:trPr>
        <w:tc>
          <w:tcPr>
            <w:tcW w:w="298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(22,984)</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(148,407)</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98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3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4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r>
      <w:tr>
        <w:trPr>
          <w:trHeight w:val="304"/>
        </w:trPr>
        <w:tc>
          <w:tcPr>
            <w:tcW w:w="298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12,347</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(84,948)</w:t>
            </w:r>
          </w:p>
        </w:tc>
        <w:tc>
          <w:tcPr>
            <w:tcW w:w="100" w:type="dxa"/>
            <w:vAlign w:val="bottom"/>
          </w:tcPr>
          <w:p>
            <w:pPr>
              <w:spacing w:after="0"/>
              <w:rPr>
                <w:sz w:val="24"/>
                <w:szCs w:val="24"/>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(72,106)</w:t>
            </w:r>
          </w:p>
        </w:tc>
      </w:tr>
      <w:tr>
        <w:trPr>
          <w:trHeight w:val="284"/>
        </w:trPr>
        <w:tc>
          <w:tcPr>
            <w:tcW w:w="298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3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40" w:type="dxa"/>
            <w:vAlign w:val="bottom"/>
            <w:tcBorders>
              <w:top w:val="single" w:sz="8" w:color="auto"/>
            </w:tcBorders>
            <w:shd w:val="clear" w:color="auto" w:fill="EAF9E8"/>
          </w:tcPr>
          <w:p>
            <w:pPr>
              <w:spacing w:after="0"/>
              <w:rPr>
                <w:sz w:val="24"/>
                <w:szCs w:val="24"/>
                <w:color w:val="auto"/>
              </w:rPr>
            </w:pPr>
          </w:p>
        </w:tc>
        <w:tc>
          <w:tcPr>
            <w:tcW w:w="14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80" w:type="dxa"/>
            <w:vAlign w:val="bottom"/>
            <w:tcBorders>
              <w:top w:val="single" w:sz="8" w:color="auto"/>
            </w:tcBorders>
            <w:shd w:val="clear" w:color="auto" w:fill="EAF9E8"/>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42"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Business Segments</w:t>
            </w:r>
          </w:p>
        </w:tc>
      </w:tr>
      <w:tr>
        <w:trPr>
          <w:trHeight w:val="234"/>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14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Eliminations</w:t>
            </w: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June 30, 2018</w:t>
            </w:r>
          </w:p>
        </w:tc>
        <w:tc>
          <w:tcPr>
            <w:tcW w:w="380" w:type="dxa"/>
            <w:vAlign w:val="bottom"/>
            <w:tcBorders>
              <w:bottom w:val="single" w:sz="8" w:color="EAF9E8"/>
            </w:tcBorders>
            <w:shd w:val="clear" w:color="auto" w:fill="EAF9E8"/>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2,851,910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5,242,716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325,570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8,420,196</w:t>
            </w:r>
          </w:p>
        </w:tc>
      </w:tr>
      <w:tr>
        <w:trPr>
          <w:trHeight w:val="230"/>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December 31, 2017</w:t>
            </w:r>
          </w:p>
        </w:tc>
        <w:tc>
          <w:tcPr>
            <w:tcW w:w="380" w:type="dxa"/>
            <w:vAlign w:val="bottom"/>
            <w:tcBorders>
              <w:bottom w:val="single" w:sz="8" w:color="EAF9E8"/>
            </w:tcBorders>
            <w:shd w:val="clear" w:color="auto" w:fill="EAF9E8"/>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3,033,243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4,945,456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424,465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r>
      <w:tr>
        <w:trPr>
          <w:trHeight w:val="230"/>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June 30, 2017</w:t>
            </w:r>
          </w:p>
        </w:tc>
        <w:tc>
          <w:tcPr>
            <w:tcW w:w="380" w:type="dxa"/>
            <w:vAlign w:val="bottom"/>
            <w:tcBorders>
              <w:bottom w:val="single" w:sz="8" w:color="EAF9E8"/>
            </w:tcBorders>
            <w:shd w:val="clear" w:color="auto" w:fill="EAF9E8"/>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2,975,458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4,483,652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473,282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7,932,392</w:t>
            </w:r>
          </w:p>
        </w:tc>
      </w:tr>
      <w:tr>
        <w:trPr>
          <w:trHeight w:val="360"/>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Business Segments</w:t>
            </w:r>
          </w:p>
        </w:tc>
      </w:tr>
      <w:tr>
        <w:trPr>
          <w:trHeight w:val="234"/>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Depreciation and Amortization Expense</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Servicing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30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w w:val="98"/>
              </w:rPr>
              <w:t>Three months ended June 30, 2018</w:t>
            </w: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gridSpan w:val="2"/>
          </w:tcPr>
          <w:p>
            <w:pPr>
              <w:ind w:left="280"/>
              <w:spacing w:after="0"/>
              <w:rPr>
                <w:sz w:val="20"/>
                <w:szCs w:val="20"/>
                <w:color w:val="auto"/>
              </w:rPr>
            </w:pPr>
            <w:r>
              <w:rPr>
                <w:rFonts w:ascii="Arial" w:cs="Arial" w:eastAsia="Arial" w:hAnsi="Arial"/>
                <w:sz w:val="18"/>
                <w:szCs w:val="18"/>
                <w:color w:val="auto"/>
              </w:rPr>
              <w:t>Depreciation expense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6,115</w:t>
            </w:r>
          </w:p>
        </w:tc>
      </w:tr>
      <w:tr>
        <w:trPr>
          <w:trHeight w:val="27"/>
        </w:trPr>
        <w:tc>
          <w:tcPr>
            <w:tcW w:w="3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Amortization of debt discount</w:t>
            </w: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3000" w:type="dxa"/>
            <w:vAlign w:val="bottom"/>
            <w:gridSpan w:val="2"/>
          </w:tcPr>
          <w:p>
            <w:pPr>
              <w:ind w:left="280"/>
              <w:spacing w:after="0"/>
              <w:rPr>
                <w:sz w:val="20"/>
                <w:szCs w:val="20"/>
                <w:color w:val="auto"/>
              </w:rPr>
            </w:pPr>
            <w:r>
              <w:rPr>
                <w:rFonts w:ascii="Arial" w:cs="Arial" w:eastAsia="Arial" w:hAnsi="Arial"/>
                <w:sz w:val="18"/>
                <w:szCs w:val="18"/>
                <w:color w:val="auto"/>
                <w:w w:val="95"/>
              </w:rPr>
              <w:t>Amortization of debt issuance costs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1,005</w:t>
            </w:r>
          </w:p>
        </w:tc>
      </w:tr>
      <w:tr>
        <w:trPr>
          <w:trHeight w:val="27"/>
        </w:trPr>
        <w:tc>
          <w:tcPr>
            <w:tcW w:w="3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3000" w:type="dxa"/>
            <w:vAlign w:val="bottom"/>
            <w:gridSpan w:val="2"/>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Three months ended June 30, 2017</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Depreciation expense</w:t>
            </w: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4,835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6,356</w:t>
            </w:r>
          </w:p>
        </w:tc>
      </w:tr>
      <w:tr>
        <w:trPr>
          <w:trHeight w:val="243"/>
        </w:trPr>
        <w:tc>
          <w:tcPr>
            <w:tcW w:w="3380" w:type="dxa"/>
            <w:vAlign w:val="bottom"/>
            <w:gridSpan w:val="3"/>
          </w:tcPr>
          <w:p>
            <w:pPr>
              <w:ind w:left="280"/>
              <w:spacing w:after="0"/>
              <w:rPr>
                <w:sz w:val="20"/>
                <w:szCs w:val="20"/>
                <w:color w:val="auto"/>
              </w:rPr>
            </w:pPr>
            <w:r>
              <w:rPr>
                <w:rFonts w:ascii="Arial" w:cs="Arial" w:eastAsia="Arial" w:hAnsi="Arial"/>
                <w:sz w:val="18"/>
                <w:szCs w:val="18"/>
                <w:color w:val="auto"/>
                <w:w w:val="94"/>
              </w:rPr>
              <w:t>Amortization of mortgage servicing rights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12,697</w:t>
            </w:r>
          </w:p>
        </w:tc>
      </w:tr>
      <w:tr>
        <w:trPr>
          <w:trHeight w:val="27"/>
        </w:trPr>
        <w:tc>
          <w:tcPr>
            <w:tcW w:w="3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Amortization of debt discount</w:t>
            </w: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268</w:t>
            </w:r>
          </w:p>
        </w:tc>
      </w:tr>
      <w:tr>
        <w:trPr>
          <w:trHeight w:val="243"/>
        </w:trPr>
        <w:tc>
          <w:tcPr>
            <w:tcW w:w="3000" w:type="dxa"/>
            <w:vAlign w:val="bottom"/>
            <w:gridSpan w:val="2"/>
          </w:tcPr>
          <w:p>
            <w:pPr>
              <w:ind w:left="280"/>
              <w:spacing w:after="0"/>
              <w:rPr>
                <w:sz w:val="20"/>
                <w:szCs w:val="20"/>
                <w:color w:val="auto"/>
              </w:rPr>
            </w:pPr>
            <w:r>
              <w:rPr>
                <w:rFonts w:ascii="Arial" w:cs="Arial" w:eastAsia="Arial" w:hAnsi="Arial"/>
                <w:sz w:val="18"/>
                <w:szCs w:val="18"/>
                <w:color w:val="auto"/>
                <w:w w:val="95"/>
              </w:rPr>
              <w:t>Amortization of debt issuance costs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
        </w:trPr>
        <w:tc>
          <w:tcPr>
            <w:tcW w:w="3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3000" w:type="dxa"/>
            <w:vAlign w:val="bottom"/>
            <w:gridSpan w:val="2"/>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Six months ended June 30, 2018</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Depreciation expense</w:t>
            </w: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9,973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12,640</w:t>
            </w:r>
          </w:p>
        </w:tc>
      </w:tr>
      <w:tr>
        <w:trPr>
          <w:trHeight w:val="243"/>
        </w:trPr>
        <w:tc>
          <w:tcPr>
            <w:tcW w:w="300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706</w:t>
            </w:r>
          </w:p>
        </w:tc>
      </w:tr>
      <w:tr>
        <w:trPr>
          <w:trHeight w:val="27"/>
        </w:trPr>
        <w:tc>
          <w:tcPr>
            <w:tcW w:w="3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00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5"/>
              </w:rPr>
              <w:t>Amortization of debt issuance costs</w:t>
            </w: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1,662</w:t>
            </w:r>
          </w:p>
        </w:tc>
      </w:tr>
      <w:tr>
        <w:trPr>
          <w:trHeight w:val="230"/>
        </w:trPr>
        <w:tc>
          <w:tcPr>
            <w:tcW w:w="30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3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Six months ended June 30, 2017</w:t>
            </w: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gridSpan w:val="2"/>
          </w:tcPr>
          <w:p>
            <w:pPr>
              <w:ind w:left="280"/>
              <w:spacing w:after="0"/>
              <w:rPr>
                <w:sz w:val="20"/>
                <w:szCs w:val="20"/>
                <w:color w:val="auto"/>
              </w:rPr>
            </w:pPr>
            <w:r>
              <w:rPr>
                <w:rFonts w:ascii="Arial" w:cs="Arial" w:eastAsia="Arial" w:hAnsi="Arial"/>
                <w:sz w:val="18"/>
                <w:szCs w:val="18"/>
                <w:color w:val="auto"/>
              </w:rPr>
              <w:t>Depreciation expense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10,465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13,439</w:t>
            </w:r>
          </w:p>
        </w:tc>
      </w:tr>
      <w:tr>
        <w:trPr>
          <w:trHeight w:val="27"/>
        </w:trPr>
        <w:tc>
          <w:tcPr>
            <w:tcW w:w="3380" w:type="dxa"/>
            <w:vAlign w:val="bottom"/>
            <w:gridSpan w:val="3"/>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w w:val="94"/>
              </w:rPr>
              <w:t>Amortization of mortgage servicing rights</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25,271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25,412</w:t>
            </w:r>
          </w:p>
        </w:tc>
      </w:tr>
      <w:tr>
        <w:trPr>
          <w:trHeight w:val="243"/>
        </w:trPr>
        <w:tc>
          <w:tcPr>
            <w:tcW w:w="300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539</w:t>
            </w:r>
          </w:p>
        </w:tc>
      </w:tr>
      <w:tr>
        <w:trPr>
          <w:trHeight w:val="27"/>
        </w:trPr>
        <w:tc>
          <w:tcPr>
            <w:tcW w:w="30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0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5"/>
              </w:rPr>
              <w:t>Amortization of debt issuance costs</w:t>
            </w:r>
          </w:p>
        </w:tc>
        <w:tc>
          <w:tcPr>
            <w:tcW w:w="38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15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1"/>
                <w:szCs w:val="21"/>
                <w:color w:val="auto"/>
              </w:rPr>
            </w:pPr>
          </w:p>
        </w:tc>
        <w:tc>
          <w:tcPr>
            <w:tcW w:w="14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3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1,334</w:t>
            </w:r>
          </w:p>
        </w:tc>
      </w:tr>
      <w:tr>
        <w:trPr>
          <w:trHeight w:val="27"/>
        </w:trPr>
        <w:tc>
          <w:tcPr>
            <w:tcW w:w="28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8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38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jc w:val="both"/>
        <w:ind w:left="500" w:right="60" w:hanging="492"/>
        <w:spacing w:after="0" w:line="26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Expenses in the Corporate Items and Other segment for the three and six months ended June 30, 2018 includes $1.6 million and $7.3 million, respectively, of severance expense attributable to headcount reductions in connection with our strategic initiatives to exit the ACS business and the forward lending correspondent and wholesale channels, as well as our overall efforts to reduce costs.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Regulatory Requirements</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5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administrative fines and penalties and litigation, (ii) loss of our licenses and approvals to engage in our servicing and lending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50" w:right="239" w:bottom="1440" w:gutter="0" w:footer="0" w:header="0"/>
        </w:sectPr>
      </w:pPr>
    </w:p>
    <w:bookmarkStart w:id="45" w:name="page46"/>
    <w:bookmarkEnd w:id="45"/>
    <w:p>
      <w:pPr>
        <w:ind w:right="200"/>
        <w:spacing w:after="0" w:line="291" w:lineRule="auto"/>
        <w:rPr>
          <w:sz w:val="20"/>
          <w:szCs w:val="20"/>
          <w:color w:val="auto"/>
        </w:rPr>
      </w:pPr>
      <w:r>
        <w:rPr>
          <w:rFonts w:ascii="Arial" w:cs="Arial" w:eastAsia="Arial" w:hAnsi="Arial"/>
          <w:sz w:val="16"/>
          <w:szCs w:val="16"/>
          <w:color w:val="auto"/>
        </w:rPr>
        <w:t>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w:t>
      </w:r>
    </w:p>
    <w:p>
      <w:pPr>
        <w:ind w:right="240" w:firstLine="8"/>
        <w:spacing w:after="0" w:line="255" w:lineRule="auto"/>
        <w:tabs>
          <w:tab w:leader="none" w:pos="3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our reputation, (vii) inability to raise capital or otherwise fund our operations and (viii) inability to execute on our business strategy. In addition to amounts paid to resolve regulatory matters, we could incur costs to comply with the terms of such resolutions, including, but not limited to, the costs of audits, reviews and third-party firms to monitor our compliance with such resolutions.</w:t>
      </w:r>
    </w:p>
    <w:p>
      <w:pPr>
        <w:spacing w:after="0" w:line="82"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Dodd-Frank Wall Street Reform and Consumer Protection Act (the Dodd-Frank Act), the Telephone Consumer Protection Act, the Gramm-Leach-Bliley Act, the Fair Debt Collection Practices Act, the Real Estate Settlement Procedures Act (RESPA), the Truth in Lending Act (TILA), the Servicemembers Civil Relief Act, the Homeowners Protection Act, the Federal Trade Commission Act, the Fair Credit Reporting Act, the Equal Credit Opportunity Act, as well as individual state licensing and foreclosure laws, individual state and local laws relating to registration of vacant or foreclosed properties, and federal and local bankruptcy rules. These laws and regulations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fees assessed on borrowers, and they mandate certain disclosures and notices to borrowers. These requirements can and do change as laws and regulations are enacted, promulgated, amended, interpreted and enforced, including through CFPB interpretive bulletins and other regulatory pronouncements. In addition, the actions of legislative bodies and regulatory agencies relating to a particular matter or business practice may or may not be coordinated or consistent. As a result, ensuring ongoing compliance with applicable legal and regulatory requirements can be challenging. The recent trend among federal, state and local legislative bodies and regulatory agencies as well as state attorneys general has been toward increasing laws, regulations, investigative proceedings and enforcement actions with regard to residential real estate lenders and servicers. 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6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Ocwen has various subsidiaries, including OLS, Homeward, Liberty, OFSPL and Ocwen Business Solutions, Inc. (OBS)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business, reputation, results of operations and financial condition. The minimum net worth requirements to which our licensed entities are subject are unique to each state and type of license. We believe our licensed entities were in compliance with all of their minimum net worth requirements at June 30, 2018.</w:t>
      </w:r>
    </w:p>
    <w:p>
      <w:pPr>
        <w:spacing w:after="0" w:line="5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OLS, Homeward and Liberty are also subject to seller/servicer obligations under agreements with one or more of the GSEs, HUD, FHA, VA and Ginnie Mae. These seller/servicer obligations contain financial requirements, including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To date, none of these counterparties has communicated any material sanction, suspension or prohibition in connection with our seller/servicer obligations. See Note 20 – Contingencies for additional information relating to our recent interactions with Ginnie Mae as a result of the state regulatory actions discussed in that note. We believe we were in compliance with applicable net worth requirements at June 30, 2018. Our non-Agency servicing agreements also contain requirements regarding servicing practices and other matters, and a failure to comply with these requirements could have a material adverse impact on our business.</w:t>
      </w:r>
    </w:p>
    <w:p>
      <w:pPr>
        <w:spacing w:after="0" w:line="7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most restrictive of the various net worth requirements referenced above is based on the total assets of OLS, and the required net worth was $263.4 million at June 30, 2018.</w:t>
      </w:r>
    </w:p>
    <w:p>
      <w:pPr>
        <w:spacing w:after="0" w:line="6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i w:val="1"/>
          <w:iCs w:val="1"/>
          <w:color w:val="auto"/>
        </w:rPr>
        <w:t>New York Department of Financial Services</w:t>
      </w:r>
      <w:r>
        <w:rPr>
          <w:rFonts w:ascii="Arial" w:cs="Arial" w:eastAsia="Arial" w:hAnsi="Arial"/>
          <w:sz w:val="18"/>
          <w:szCs w:val="18"/>
          <w:color w:val="auto"/>
        </w:rPr>
        <w:t>. In December 2014, we entered into a consent order (the 2014 NY Consent Order) with the NY DFS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an investigation relating to Ocwen’s servicing of residential mortgages. In March 2017,</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692" w:right="279" w:bottom="1440" w:gutter="0" w:footer="0" w:header="0"/>
        </w:sectPr>
      </w:pPr>
    </w:p>
    <w:bookmarkStart w:id="46" w:name="page47"/>
    <w:bookmarkEnd w:id="46"/>
    <w:p>
      <w:pPr>
        <w:ind w:right="320"/>
        <w:spacing w:after="0" w:line="277" w:lineRule="auto"/>
        <w:rPr>
          <w:sz w:val="20"/>
          <w:szCs w:val="20"/>
          <w:color w:val="auto"/>
        </w:rPr>
      </w:pPr>
      <w:r>
        <w:rPr>
          <w:rFonts w:ascii="Arial" w:cs="Arial" w:eastAsia="Arial" w:hAnsi="Arial"/>
          <w:sz w:val="18"/>
          <w:szCs w:val="18"/>
          <w:color w:val="auto"/>
        </w:rPr>
        <w:t>we entered into another consent order with the NY DFS (the 2017 NY Consent Order) that provided for the termination of the engagement of the monitor appointed pursuant to the 2014 NY Consent Order and for us to comply with certain reporting and other obligations.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2017 NY Consent Order requires us to update the NY DFS quarterly on our implementation of certain operational enhancements that we and the NY DFS agreed should be made. We made what we believe to be our final required report to the NY DFS in December 2017. Our updates to date show that all agreed upon enhancements are being implemented. Pursuant to the 2017 NY Consent Order, the NY DFS has the right to examine Ocwen to assess our implementation of such enhancements and the general safety and soundness of our servicing operations. As a result of such examination, if the NY DFS concludes that we have materially failed to implement such enhancements or otherwise finds that our servicing operations are materially deficient, the NY DFS may require Ocwen to hire an independent consultant to review and issue additional recommendations on our servicing operations. The 2017 NY Consent Order grants the NY DFS the additional right to conduct an on-site examination of Ocwen’s servicing practices in order to determine whether to approve Ocwen’s request to ease the restrictions on its ability to acquire new MSRs. To the extent that the NY DFS servicing examination results in adverse findings against Ocwen, the NY DFS could determine not to ease restrictions on our acquiring MSRs or to take other regulatory actions against us, including imposing fines or penalties or otherwise restricting our business activities. Any such actions could have a material adverse impact on our business, financial condition liquidity and results of operations.</w:t>
      </w:r>
    </w:p>
    <w:p>
      <w:pPr>
        <w:spacing w:after="0" w:line="18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i w:val="1"/>
          <w:iCs w:val="1"/>
          <w:color w:val="auto"/>
        </w:rPr>
        <w:t>California Department of Business Oversight</w:t>
      </w:r>
      <w:r>
        <w:rPr>
          <w:rFonts w:ascii="Arial" w:cs="Arial" w:eastAsia="Arial" w:hAnsi="Arial"/>
          <w:sz w:val="17"/>
          <w:szCs w:val="17"/>
          <w:color w:val="auto"/>
        </w:rPr>
        <w:t>. In January 2015, OLS entered into a consent order (the 2015 CA Consent Order) with the CA DBO</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our alleged failure to produce certain information and documents during a routine licensing examination. In February 2017, we entered into another consent order with the CA DBO (the 2017 CA Consent Order) that terminated the 2015 CA Consent Order and resolved open matters between us and the CA DBO. We believe that we have completed those obligations of the 2017 CA Consent Order that have already come due, and we have so notified the CA DBO. We have certain remaining reporting and other obligations under the 2017 CA Consent Order. Pursuant to the 2017 CA Consent Order, the CA DBO has engaged a third-party administrator who, at the expense of the CA DBO, has commenced work to confirm that Ocwen has completed certain commitments under the 2017 CA Consent Order. If the CA DBO were to allege that we failed to comply with these or other obligations under the 2017 CA Consent Order or that we otherwise were in breach of applicable laws, regulations or licensing requirements, the CA DBO could take regulatory actions against us, including imposing fines or penalties or otherwise restricting our business activities. Any such actions could have a material adverse impact on our business, financial condition liquidity and results of operations.</w:t>
      </w:r>
    </w:p>
    <w:p>
      <w:pPr>
        <w:spacing w:after="0" w:line="178" w:lineRule="exact"/>
        <w:rPr>
          <w:sz w:val="20"/>
          <w:szCs w:val="20"/>
          <w:color w:val="auto"/>
        </w:rPr>
      </w:pPr>
    </w:p>
    <w:p>
      <w:pPr>
        <w:jc w:val="both"/>
        <w:ind w:right="500" w:firstLine="324"/>
        <w:spacing w:after="0" w:line="279" w:lineRule="auto"/>
        <w:rPr>
          <w:sz w:val="20"/>
          <w:szCs w:val="20"/>
          <w:color w:val="auto"/>
        </w:rPr>
      </w:pPr>
      <w:r>
        <w:rPr>
          <w:rFonts w:ascii="Arial" w:cs="Arial" w:eastAsia="Arial" w:hAnsi="Arial"/>
          <w:sz w:val="17"/>
          <w:szCs w:val="17"/>
          <w:color w:val="auto"/>
        </w:rPr>
        <w:t>Separately, in June 2018, we entered into a consent order with the CA DBO in order to resolve a finding stemming from a lending examination of Homeward. Pursuant to the consent order, we consented to a finding that certain records maintained by Homeward were not in compliance with certain California statutory requirements. Homeward cooperated in the examination, timely produced requested documents and records, and confirmed that no borrowers were overcharged as a result. No fines or penalties were payable under the consent order.</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outside of the U.S.,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these laws and regulations could result in adverse actions against us, including (i) restrictions on our operations in these countries, (ii) fines, penalties or sanctions or (iii) reputational damage.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$1.5 billion at June 30, 2018. This additional borrowing capacity is available on a scheduled or unscheduled payment basis. We also had short-term commitments to lend $85.2 million and $21.2 million in connection with our forward and reverse mortgage loan IRLCs, respectively, outstanding at June 30, 2018. We finance originated and purchased forward and reverse mortgage loans with repurchase and participation agreements, commonly referred to as warehouse lines.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business is currently dependent on many of the services and products provided by a subsidiary of Altisource Portfolio Solutions, S.A. (Altisource) under long-term agreements, many of which include renewal provisions.</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Each of 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692" w:right="259" w:bottom="1440" w:gutter="0" w:footer="0" w:header="0"/>
        </w:sectPr>
      </w:pPr>
    </w:p>
    <w:bookmarkStart w:id="47" w:name="page48"/>
    <w:bookmarkEnd w:id="47"/>
    <w:p>
      <w:pPr>
        <w:ind w:right="140"/>
        <w:spacing w:after="0" w:line="255" w:lineRule="auto"/>
        <w:rPr>
          <w:sz w:val="20"/>
          <w:szCs w:val="20"/>
          <w:color w:val="auto"/>
        </w:rPr>
      </w:pPr>
      <w:r>
        <w:rPr>
          <w:rFonts w:ascii="Arial" w:cs="Arial" w:eastAsia="Arial" w:hAnsi="Arial"/>
          <w:sz w:val="18"/>
          <w:szCs w:val="18"/>
          <w:color w:val="auto"/>
        </w:rPr>
        <w:t>under the Technology Products Services Agreements and the Data Center and Disaster Recovery Services Agreements. These agreements expire August 31, 2025. Ocwen and Altisource have also entered into a Master Services Agreement pursuant to which Altisource currently provides title services to Liberty.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However, for MSRs that transferred to NRZ in September 2017, as well as those subject to the New RMSR Agreements we entered into in January 2018, we are not entitled to REO referral commissions.</w:t>
      </w:r>
    </w:p>
    <w:p>
      <w:pPr>
        <w:spacing w:after="0" w:line="85" w:lineRule="exact"/>
        <w:rPr>
          <w:sz w:val="20"/>
          <w:szCs w:val="20"/>
          <w:color w:val="auto"/>
        </w:rPr>
      </w:pPr>
    </w:p>
    <w:p>
      <w:pPr>
        <w:ind w:right="20" w:firstLine="324"/>
        <w:spacing w:after="0" w:line="247" w:lineRule="auto"/>
        <w:rPr>
          <w:sz w:val="20"/>
          <w:szCs w:val="20"/>
          <w:color w:val="auto"/>
        </w:rPr>
      </w:pPr>
      <w:r>
        <w:rPr>
          <w:rFonts w:ascii="Arial" w:cs="Arial" w:eastAsia="Arial" w:hAnsi="Arial"/>
          <w:sz w:val="17"/>
          <w:szCs w:val="17"/>
          <w:color w:val="auto"/>
        </w:rPr>
        <w:t>Our servicing system runs on an information technology system that we license from Altisource pursuant to a statement of work under the Technology Products Services Agreements.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 competitive platform, our business could suffer. We are currently in the process of transitioning to a new servicing system and have entered into agreements with certain subsidiaries of Black Knight, Inc. (Black Knight) pursuant to which we plan to transition to Black Knight’s LoanSphere MSP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servicing system. Should Ocwen not complete its acquisition of PHH, we anticipate an 18 to 24-month timeline to complete our transition onto the new servicing system. The PHH merger would likely substantially accelerate that timeline, depending upon the timing of the closing. Based on substantive discussions with Altisource prior to entering into our agreements with Black Knight, Ocwen expects to enter into mutually acceptable agreements that provide for Ocwen’s transition to the LoanSphere MSP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servicing system and the termination of the statement of work for the use of the REALServicing system.</w:t>
      </w:r>
    </w:p>
    <w:p>
      <w:pPr>
        <w:spacing w:after="0" w:line="19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 Under certain circumstances, we would have recourse under our contractual agreements with Altisource if we were to experience adverse consequences as a result of Altisource’s non-compliance with applicable servicing criteria.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Contingencies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w:t>
      </w:r>
    </w:p>
    <w:p>
      <w:pPr>
        <w:spacing w:after="0" w:line="5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majority of these proceedings are based on alleged violations of federal, state and local laws and regulations governing our mortgage servicing and lending activities, including, among others, the Dodd-Frank Act, the Gramm-Leach-Bliley Act, the Fair Debt Collection Practices Act (FDCPA), the Real Estate Settlement Procedures Act, the Truth in Lending Act, the Fair Credit Reporting Act, the Servicemembers Civil Relief Act, the Homeowners Protection Act, the Federal Trade Commission Act, the Telephone Consumer Protection Act (TCPA), the Equal Credit Opportunity Act, as well as individual state licensing and foreclosure laws and federal and local bankruptcy rules. Such proceedings include wrongful foreclosure and eviction actions, allegations of wrongdoing in connection with lender-placed insurance arrangements, claims relating to our property preservation activities, claims related to REO management, claims relating to our written and telephonic communications with our borrowers such as claims under the TCPA, claims related to our payment, escrow and other processing operations, claims relating to fees imposed on borrowers relating to payment processing, payment facilitation, or payment convenience, claims related to ancillary products marketed and sold to borrowers, and claims regarding certifications of our legal compliance related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2" w:right="239" w:bottom="1440" w:gutter="0" w:footer="0" w:header="0"/>
        </w:sectPr>
      </w:pPr>
    </w:p>
    <w:bookmarkStart w:id="48" w:name="page49"/>
    <w:bookmarkEnd w:id="48"/>
    <w:p>
      <w:pPr>
        <w:ind w:right="360"/>
        <w:spacing w:after="0" w:line="312" w:lineRule="auto"/>
        <w:rPr>
          <w:sz w:val="20"/>
          <w:szCs w:val="20"/>
          <w:color w:val="auto"/>
        </w:rPr>
      </w:pPr>
      <w:r>
        <w:rPr>
          <w:rFonts w:ascii="Arial" w:cs="Arial" w:eastAsia="Arial" w:hAnsi="Arial"/>
          <w:sz w:val="16"/>
          <w:szCs w:val="16"/>
          <w:color w:val="auto"/>
        </w:rPr>
        <w:t>to our participation in certain government programs. In some of these proceedings, claims for substantial monetary damages are asserted against us. For example, we are a defendant in various class action matters alleging that (1) certain fees we assess on borrowers are marked up improperly in violation of applicable state and federal law; and (2) the solicitation and marketing to borrowers of certain ancillary products was unfair and deceptive.</w:t>
      </w:r>
    </w:p>
    <w:p>
      <w:pPr>
        <w:spacing w:after="0" w:line="3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$54.3 million at June 30, 2018. We cannot currently estimate the amount, if any, of reasonably possible losses above amounts that have been recorded at June 30, 2018.</w:t>
      </w:r>
    </w:p>
    <w:p>
      <w:pPr>
        <w:spacing w:after="0" w:line="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In 2014, plaintiffs filed a putative class action against Ocwen in the United States District Court for the Northern District of Alabama, alleging that Ocwen violated the FDCPA by charging borrowers a convenience fee for making certain loan payments. See </w:t>
      </w:r>
      <w:r>
        <w:rPr>
          <w:rFonts w:ascii="Arial" w:cs="Arial" w:eastAsia="Arial" w:hAnsi="Arial"/>
          <w:sz w:val="17"/>
          <w:szCs w:val="17"/>
          <w:i w:val="1"/>
          <w:iCs w:val="1"/>
          <w:color w:val="auto"/>
        </w:rPr>
        <w:t>McWhorter et al. v. Ocwen Loan Servicing, LLC,</w:t>
      </w:r>
      <w:r>
        <w:rPr>
          <w:rFonts w:ascii="Arial" w:cs="Arial" w:eastAsia="Arial" w:hAnsi="Arial"/>
          <w:sz w:val="17"/>
          <w:szCs w:val="17"/>
          <w:color w:val="auto"/>
        </w:rPr>
        <w:t xml:space="preserve"> </w:t>
      </w:r>
      <w:r>
        <w:rPr>
          <w:rFonts w:ascii="Arial" w:cs="Arial" w:eastAsia="Arial" w:hAnsi="Arial"/>
          <w:sz w:val="17"/>
          <w:szCs w:val="17"/>
          <w:i w:val="1"/>
          <w:iCs w:val="1"/>
          <w:color w:val="auto"/>
        </w:rPr>
        <w:t>2:15-cv-01831 (N.D. Ala.)</w:t>
      </w:r>
      <w:r>
        <w:rPr>
          <w:rFonts w:ascii="Arial" w:cs="Arial" w:eastAsia="Arial" w:hAnsi="Arial"/>
          <w:sz w:val="17"/>
          <w:szCs w:val="17"/>
          <w:color w:val="auto"/>
        </w:rPr>
        <w:t>. The plaintiffs are seeking statutory damages under the FDCPA, compensatory damages and injunctive relief. The presiding court</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ruled on Ocwen’s motions to dismiss, and Ocwen answered the operative complaint. Ocwen subsequently entered into an agreement in principle to resolve this matter, and the presiding court is considering motions to approve the settlement. While Ocwen believes that it has sound legal and factual defenses, Ocwen has agreed to this settlement in principle in order to avoid the uncertain outcome of litigation and the additional expense and demands on the time of its senior management that such litigation would involve. There can be no assurance that the court will finally approve the settlement. In the event the settlement is not finally approved, the litigation would continue, and we would vigorously defend the allegations made against Ocwen. Our accrual with respect to this matter is included in the $54.3 million legal and regulatory accrual referenced above. We cannot currently estimate the amount, if any, of reasonably possible loss above the amount accrued.</w:t>
      </w:r>
    </w:p>
    <w:p>
      <w:pPr>
        <w:spacing w:after="0" w:line="17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 xml:space="preserve">Ocwen has been named in putative class actions and individual actions related to its compliance with the TCPA. Generally, plaintiffs in these actions allege that Ocwen knowingly and willfully violated the TCPA by using an automated telephone dialing system to call class members’ cell phones without their consent. On July 28, 2017, Ocwen entered into an agreement in principle to resolve two such putative class actions, which have been consolidated in the United States District Court for the Northern District of Illinois. See </w:t>
      </w:r>
      <w:r>
        <w:rPr>
          <w:rFonts w:ascii="Arial" w:cs="Arial" w:eastAsia="Arial" w:hAnsi="Arial"/>
          <w:sz w:val="16"/>
          <w:szCs w:val="16"/>
          <w:i w:val="1"/>
          <w:iCs w:val="1"/>
          <w:color w:val="auto"/>
        </w:rPr>
        <w:t>Snyder v. Ocwen Loan Servicing, LLC, 1:14-cv-08461-MFK (N.D. Ill.); Beecroft v.</w:t>
      </w:r>
      <w:r>
        <w:rPr>
          <w:rFonts w:ascii="Arial" w:cs="Arial" w:eastAsia="Arial" w:hAnsi="Arial"/>
          <w:sz w:val="16"/>
          <w:szCs w:val="16"/>
          <w:color w:val="auto"/>
        </w:rPr>
        <w:t xml:space="preserve"> </w:t>
      </w:r>
      <w:r>
        <w:rPr>
          <w:rFonts w:ascii="Arial" w:cs="Arial" w:eastAsia="Arial" w:hAnsi="Arial"/>
          <w:sz w:val="16"/>
          <w:szCs w:val="16"/>
          <w:i w:val="1"/>
          <w:iCs w:val="1"/>
          <w:color w:val="auto"/>
        </w:rPr>
        <w:t>Ocwen Loan Servicing, LLC, 1:16-cv-08677-MFK (N.D. Ill.)</w:t>
      </w:r>
      <w:r>
        <w:rPr>
          <w:rFonts w:ascii="Arial" w:cs="Arial" w:eastAsia="Arial" w:hAnsi="Arial"/>
          <w:sz w:val="16"/>
          <w:szCs w:val="16"/>
          <w:color w:val="auto"/>
        </w:rPr>
        <w:t>. Subject to final approval by the court, the settlement will include the establishment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fund to be distributed to impacted borrowers that submit claims for settlement benefits pursuant to a claims administration process.</w:t>
      </w:r>
    </w:p>
    <w:p>
      <w:pPr>
        <w:spacing w:after="0" w:line="16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While Ocwen believes that it has sound legal and factual defenses, Ocwen agreed to this settlement in principle in order to avoid the uncertain outcome of litigation and the additional expense and demands on the time of its senior management that such litigation would involve. The court has preliminarily approved the settlement and we have paid the settlement amount into an escrow account held by the settlement administrator. However, there can be no assurance that the court will finally approve the settlement. In the event the settlement is not finally approved, the litigation would continue, and we would vigorously defend the allegations made against Ocwen. Additional lawsuits may be filed against us in relation to these matters. At this time, Ocwen is unable to predict the outcome of these existing lawsuits or any additional lawsuits that may be filed, the possible loss or range of loss, if any, associated with the resolution of such lawsuits or the potential impact such lawsuits may have on us or our operations. Ocwen intends to vigorously defend against these lawsuits. If our efforts to defend these lawsuits are not successful, our business, financial condition liquidity and results of operations could be materially and adversely affected.</w:t>
      </w:r>
    </w:p>
    <w:p>
      <w:pPr>
        <w:spacing w:after="0" w:line="18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 xml:space="preserve">We have previously disclosed the settlement of the consolidated securities fraud class action lawsuit that contained allegations in connection with the restatements of our 2013 and first quarter 2014 financial statements, among other matters, in the United States District Court for the Southern District of Florida captioned </w:t>
      </w:r>
      <w:r>
        <w:rPr>
          <w:rFonts w:ascii="Arial" w:cs="Arial" w:eastAsia="Arial" w:hAnsi="Arial"/>
          <w:sz w:val="17"/>
          <w:szCs w:val="17"/>
          <w:i w:val="1"/>
          <w:iCs w:val="1"/>
          <w:color w:val="auto"/>
        </w:rPr>
        <w:t>In re Ocwen Financial Corporation Securities Litigation</w:t>
      </w:r>
      <w:r>
        <w:rPr>
          <w:rFonts w:ascii="Arial" w:cs="Arial" w:eastAsia="Arial" w:hAnsi="Arial"/>
          <w:sz w:val="17"/>
          <w:szCs w:val="17"/>
          <w:color w:val="auto"/>
        </w:rPr>
        <w:t xml:space="preserve">, </w:t>
      </w:r>
      <w:r>
        <w:rPr>
          <w:rFonts w:ascii="Arial" w:cs="Arial" w:eastAsia="Arial" w:hAnsi="Arial"/>
          <w:sz w:val="17"/>
          <w:szCs w:val="17"/>
          <w:i w:val="1"/>
          <w:iCs w:val="1"/>
          <w:color w:val="auto"/>
        </w:rPr>
        <w:t>9:14-cv-81057-WPD (S.D. Fla.)</w:t>
      </w:r>
      <w:r>
        <w:rPr>
          <w:rFonts w:ascii="Arial" w:cs="Arial" w:eastAsia="Arial" w:hAnsi="Arial"/>
          <w:sz w:val="17"/>
          <w:szCs w:val="17"/>
          <w:color w:val="auto"/>
        </w:rPr>
        <w:t xml:space="preserve"> (such consolidated lawsuit, the Securities Class Action). In March 2018 and April 2018, respectively, Ocwen was named as a defendant in two separate “opt-out” securities fraud actions brought on behalf of certain putative shareholders of Ocwen based on similar allegations to those contained in the Securities Class Action. </w:t>
      </w:r>
      <w:r>
        <w:rPr>
          <w:rFonts w:ascii="Arial" w:cs="Arial" w:eastAsia="Arial" w:hAnsi="Arial"/>
          <w:sz w:val="17"/>
          <w:szCs w:val="17"/>
          <w:i w:val="1"/>
          <w:iCs w:val="1"/>
          <w:color w:val="auto"/>
        </w:rPr>
        <w:t>See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9" w:name="page50"/>
    <w:bookmarkEnd w:id="49"/>
    <w:p>
      <w:pPr>
        <w:ind w:right="40"/>
        <w:spacing w:after="0" w:line="257" w:lineRule="auto"/>
        <w:rPr>
          <w:sz w:val="20"/>
          <w:szCs w:val="20"/>
          <w:color w:val="auto"/>
        </w:rPr>
      </w:pPr>
      <w:r>
        <w:rPr>
          <w:rFonts w:ascii="Arial" w:cs="Arial" w:eastAsia="Arial" w:hAnsi="Arial"/>
          <w:sz w:val="18"/>
          <w:szCs w:val="18"/>
          <w:i w:val="1"/>
          <w:iCs w:val="1"/>
          <w:color w:val="auto"/>
        </w:rPr>
        <w:t xml:space="preserve">Brahman Partners et al. v. Ocwen Financial Corporation et al., 9:18-cv-80359-DMM (S.D. Fla.) </w:t>
      </w:r>
      <w:r>
        <w:rPr>
          <w:rFonts w:ascii="Arial" w:cs="Arial" w:eastAsia="Arial" w:hAnsi="Arial"/>
          <w:sz w:val="18"/>
          <w:szCs w:val="18"/>
          <w:color w:val="auto"/>
        </w:rPr>
        <w:t>and</w:t>
      </w:r>
      <w:r>
        <w:rPr>
          <w:rFonts w:ascii="Arial" w:cs="Arial" w:eastAsia="Arial" w:hAnsi="Arial"/>
          <w:sz w:val="18"/>
          <w:szCs w:val="18"/>
          <w:i w:val="1"/>
          <w:iCs w:val="1"/>
          <w:color w:val="auto"/>
        </w:rPr>
        <w:t xml:space="preserve"> Owl Creek et al. v. Ocwen Financial Corporation et al., 9:18-cv-80506-BB (S.D. Fla.). </w:t>
      </w:r>
      <w:r>
        <w:rPr>
          <w:rFonts w:ascii="Arial" w:cs="Arial" w:eastAsia="Arial" w:hAnsi="Arial"/>
          <w:sz w:val="18"/>
          <w:szCs w:val="18"/>
          <w:color w:val="auto"/>
        </w:rPr>
        <w:t>Our accrual with respect to these matters is included in the $54.3 million legal and regulatory accrual referenced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cannot currently estimate the amount, if any, of reasonably possible loss above the amount accrued. Ocwen and the other defendants intend to vigorously defend against these lawsuits. If our efforts to defend these lawsuits are not successful, our business, financial condition, liquidity and results of operations could be materially and adversely affected.</w:t>
      </w:r>
    </w:p>
    <w:p>
      <w:pPr>
        <w:spacing w:after="0" w:line="8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We have previously disclosed that as a result of the April 2017 federal and state regulatory actions described below under “Regulatory”, and the impact on our stock price, several putative securities fraud class action lawsuits were filed against Ocwen and certain of its officers that contain allegations in connection with Ocwen’s statements concerning its efforts to satisfy the evolving regulatory environment, and the resources it devoted to regulatory compliance, among other matters. Those lawsuits were consolidated in the United States District Court for the Southern District of Florida in the matter captioned </w:t>
      </w:r>
      <w:r>
        <w:rPr>
          <w:rFonts w:ascii="Arial" w:cs="Arial" w:eastAsia="Arial" w:hAnsi="Arial"/>
          <w:sz w:val="17"/>
          <w:szCs w:val="17"/>
          <w:i w:val="1"/>
          <w:iCs w:val="1"/>
          <w:color w:val="auto"/>
        </w:rPr>
        <w:t>Carvelli v. Ocwen Financial Corporation et al.</w:t>
      </w:r>
      <w:r>
        <w:rPr>
          <w:rFonts w:ascii="Arial" w:cs="Arial" w:eastAsia="Arial" w:hAnsi="Arial"/>
          <w:sz w:val="17"/>
          <w:szCs w:val="17"/>
          <w:color w:val="auto"/>
        </w:rPr>
        <w:t xml:space="preserve">, </w:t>
      </w:r>
      <w:r>
        <w:rPr>
          <w:rFonts w:ascii="Arial" w:cs="Arial" w:eastAsia="Arial" w:hAnsi="Arial"/>
          <w:sz w:val="17"/>
          <w:szCs w:val="17"/>
          <w:i w:val="1"/>
          <w:iCs w:val="1"/>
          <w:color w:val="auto"/>
        </w:rPr>
        <w:t>9:14-cv-9:17-cv-80500-RLR (S.D. Fla.).</w:t>
      </w:r>
      <w:r>
        <w:rPr>
          <w:rFonts w:ascii="Arial" w:cs="Arial" w:eastAsia="Arial" w:hAnsi="Arial"/>
          <w:sz w:val="17"/>
          <w:szCs w:val="17"/>
          <w:color w:val="auto"/>
        </w:rPr>
        <w:t xml:space="preserve"> On April 27, 2018, the court in Carvelli granted our motion to dismiss, and dismissed the consolidated case with prejudice. Plaintiffs thereafter filed a notice of appeal. Ocwen and the other defendants intend to defend themselves vigorously. Additional lawsuits may be filed against us in relation to these matters. At this time, Ocwen is unable to predict the outcome of this existing lawsuit or any additional lawsuits that may be filed, the possible loss or range of loss, if any, associated with the resolution of such lawsuits or the potential impact such lawsuits may have on us or our operations. If additional lawsuits are filed, Ocwen intends to vigorously defend itself against such lawsuits. If our efforts to defend the existing lawsuit or any future lawsuit are not successful, our business, financial condition, liquidity and results of operations could be materially and adversely affected.</w:t>
      </w:r>
    </w:p>
    <w:p>
      <w:pPr>
        <w:spacing w:after="0" w:line="7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7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ourselves against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17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addition, a number of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RMBS investors who issue notices of default could seek to press their allegations against Ocwen, independent of the trustees. Previously, one such group of affiliated RMBS investors sought to direct one trustee to bring suit against Ocwen. The trustee declined to bring suit, and the RMBS investors instead brought suit against Ocwen directly. The court dismissed the RMBS investors’ suit without prejudice on October 4, 2017, and the RMBS investors subsequently filed an amended complaint. On January 23, 2018, the court dismissed the RMBS investors’ amended suit with prejudice. The RMBS investors thereafter appealed the district court’s dismissal. Ocwen is vigorously defending itself. We are unable at this time to predict what, if any, actions any trustee will take in response to a notice of default, nor can we predict at this time the potential loss or range of loss, if any, associated with the resolution of any notices of default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3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8"/>
          <w:szCs w:val="18"/>
          <w:color w:val="auto"/>
        </w:rPr>
        <w:t>We are subject to a number of ongoing federal and state regulatory examinations, cease and desist orders, consent orders, inquiries, subpoenas, civil investigative demands, requests for information and other actions. Where we determine that a loss contingency is probable in connection with a regulatory matter and the amount of our loss can be reasonably estimated, we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0" w:name="page51"/>
    <w:bookmarkEnd w:id="50"/>
    <w:p>
      <w:pPr>
        <w:ind w:right="60"/>
        <w:spacing w:after="0" w:line="297" w:lineRule="auto"/>
        <w:rPr>
          <w:sz w:val="20"/>
          <w:szCs w:val="20"/>
          <w:color w:val="auto"/>
        </w:rPr>
      </w:pPr>
      <w:r>
        <w:rPr>
          <w:rFonts w:ascii="Arial" w:cs="Arial" w:eastAsia="Arial" w:hAnsi="Arial"/>
          <w:sz w:val="16"/>
          <w:szCs w:val="16"/>
          <w:color w:val="auto"/>
        </w:rPr>
        <w:t>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5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CFPB</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April 20,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Prior to the initiation of legal proceedings, we had been engaged with the CFPB in efforts to resolve the matter and recorded $12.5 million as of December 31, 2016 as a result of these discussions. Our accrual with respect to this matter is included in the $54.3 million legal and regulatory accrual referenced above. The outcome of the matters raised by the CFPB, whether through negotiated settlements, court rulings or otherwise, could have a material adverse impact on our business, reputation, financial condition, liquidity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 State Attorneys General and Other Matters</w:t>
      </w:r>
    </w:p>
    <w:p>
      <w:pPr>
        <w:spacing w:after="0" w:line="225"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7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April 20,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In general, the regulatory actions took the form of orders styled as “cease and desist orders,” and we use that term to refer to all of the orders for ease of reference; for ease of reference we also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1" w:name="page52"/>
    <w:bookmarkEnd w:id="51"/>
    <w:p>
      <w:pPr>
        <w:ind w:right="180"/>
        <w:spacing w:after="0" w:line="302" w:lineRule="auto"/>
        <w:rPr>
          <w:sz w:val="20"/>
          <w:szCs w:val="20"/>
          <w:color w:val="auto"/>
        </w:rPr>
      </w:pPr>
      <w:r>
        <w:rPr>
          <w:rFonts w:ascii="Arial" w:cs="Arial" w:eastAsia="Arial" w:hAnsi="Arial"/>
          <w:sz w:val="16"/>
          <w:szCs w:val="16"/>
          <w:color w:val="auto"/>
        </w:rPr>
        <w:t>include the District of Columbia as a state when we reference states below. All of the cease and desist orders were applicable to OLS, but additional Ocwen entities were named in some orders, including Ocwen Financial Corporation, OMS, Homeward, Liberty, OFSPL and OBS. Following the issuance of the orders, we reached agreements with certain regulatory agencies to obtain delays in the enforcement of certain terms or exceptions to certain terms contained in the cease and desist orders. Additionally, we revised our operations based on the terms of the orders while we sought to negotiate resolutions.</w:t>
      </w:r>
    </w:p>
    <w:p>
      <w:pPr>
        <w:spacing w:after="0" w:line="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entered into agreements with 29 states plus the District of Columbia to resolve these regulatory actions. These agreements generally contain the following key terms (the Multi-State Common Settlement Terms):</w:t>
      </w:r>
    </w:p>
    <w:p>
      <w:pPr>
        <w:spacing w:after="0" w:line="6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Ocwen would not acquire any new residential mortgage servicing rights until April 30, 2018.</w:t>
      </w:r>
    </w:p>
    <w:p>
      <w:pPr>
        <w:spacing w:after="0" w:line="23" w:lineRule="exact"/>
        <w:rPr>
          <w:rFonts w:ascii="Arial" w:cs="Arial" w:eastAsia="Arial" w:hAnsi="Arial"/>
          <w:sz w:val="18"/>
          <w:szCs w:val="18"/>
          <w:color w:val="auto"/>
        </w:rPr>
      </w:pPr>
    </w:p>
    <w:p>
      <w:pPr>
        <w:ind w:left="660" w:right="420" w:hanging="328"/>
        <w:spacing w:after="0" w:line="220"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Ocwen will develop a plan of action and milestones regarding its transition from the servicing system we currently use, REALServicing</w:t>
      </w:r>
      <w:r>
        <w:rPr>
          <w:rFonts w:ascii="Arial" w:cs="Arial" w:eastAsia="Arial" w:hAnsi="Arial"/>
          <w:sz w:val="24"/>
          <w:szCs w:val="24"/>
          <w:color w:val="auto"/>
          <w:vertAlign w:val="superscript"/>
        </w:rPr>
        <w:t>®</w:t>
      </w:r>
      <w:r>
        <w:rPr>
          <w:rFonts w:ascii="Arial" w:cs="Arial" w:eastAsia="Arial" w:hAnsi="Arial"/>
          <w:sz w:val="17"/>
          <w:szCs w:val="17"/>
          <w:color w:val="auto"/>
        </w:rPr>
        <w:t>, to an alternate servicing system and, with certain exceptions, will not board any new loans onto the REALServicing system.</w:t>
      </w:r>
    </w:p>
    <w:p>
      <w:pPr>
        <w:ind w:left="660" w:right="60" w:hanging="328"/>
        <w:spacing w:after="0" w:line="28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the event that Ocwen chooses to merge with or acquire an unaffiliated company or its assets in order to effectuate a transfer of loans from the REALServicing system, Ocwen must give the applicable regulatory agency prior notice to the signing of any final agreement and the opportunity to object (which prior notice requirement is independent of, and in addition to, applicable state law notice and consent requirements relating to change of control transactions). If no objection is received, the provisions of the first bullet point above shall not prohibit the transaction or limit the transfer of loans from the REALServicing system onto the merged or acquired company’s alternate servicing system. In the event that an unaffiliated company merges with or acquires Ocwen or Ocwen’s assets, the provisions of the first bullet point above shall not prohibit the transaction or limit the transfer of loans from the REALServicing system onto the merging or acquiring company’s alternate servicing system.</w:t>
      </w:r>
    </w:p>
    <w:p>
      <w:pPr>
        <w:spacing w:after="0" w:line="4"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Ocwen will engage a third-party auditor to perform an analysis with respect to our compliance with certain federal and state laws relating to escrow by testing approximately 9,000 loan files relating to residential real property in various states, and Ocwen must develop corrective action plans for any errors that are identified by the third-party auditor.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Ocwen will develop and submit for review a plan to enhance our consumer complaint handling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Ocwen will provide financial condition reporting on a confidential basis as part of each state’s supervisory framework through September 2020.</w:t>
      </w:r>
    </w:p>
    <w:p>
      <w:pPr>
        <w:spacing w:after="0" w:line="22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to the terms described above, Ocwen entered into settlements with certain states on different or additional terms, which include making additional communications with and for borrowers, certain review, reporting and remediation obligations, and the following additional terms:</w:t>
      </w:r>
    </w:p>
    <w:p>
      <w:pPr>
        <w:spacing w:after="0" w:line="147" w:lineRule="exact"/>
        <w:rPr>
          <w:sz w:val="20"/>
          <w:szCs w:val="20"/>
          <w:color w:val="auto"/>
        </w:rPr>
      </w:pPr>
    </w:p>
    <w:p>
      <w:pPr>
        <w:ind w:left="660" w:right="20" w:hanging="328"/>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Ocwen agreed with the Connecticut regulatory agency to pay certain amounts only in the event we fail to comply with certain requirements under our agreement with Connecticut.</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In its agreement with the Maryland regulatory agency, Ocwen agreed to complete an independent management assessment and enterprise risk assessment and to a prohibition, with certain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w:t>
      </w:r>
    </w:p>
    <w:p>
      <w:pPr>
        <w:jc w:val="both"/>
        <w:ind w:left="660" w:hanging="328"/>
        <w:spacing w:after="0" w:line="271"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Ocwen agreed with the Massachusetts regulatory agency to pay $1.0 million to the Commonwealth of Massachusetts Mortgage Education Trust. Ocwen and the Massachusetts regulatory agency also agreed on a schedule pursuant to which we will regain eligibility to acquire residential MSRs on Massachusetts loans (including loans originated by Ocwen) as it meets certain thresholds in its transition to a new servicing platform. All restrictions on Massachusetts MSR acquisitions will be lifted when Ocwen completes the second phase of a three-phase data integrity audit which will be conducted by an independent third-party following completion of Ocwen’s servicing platform transition.</w:t>
      </w:r>
    </w:p>
    <w:p>
      <w:pPr>
        <w:spacing w:after="0" w:line="17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Following the resolution with Massachusetts, we have resolved all of the administrative actions (but not all of the legal actions, which are described below) taken by state regulators on April 20, 2017 and shortly thereafter.</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taken substantial steps toward fulfilling our commitments under the agreements described above, including, developing and providing periodic updates regarding our plan to transition to an alternate loan servicing system (which our pending acquisition of PHH could help to accelerate), developing and implementing certain enhancements to our consumer complaint process, engaging a third-party auditor who is currently performing escrow-related testing, and complying with our other information sharing and reporting obligations.</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April 2017,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2" w:name="page53"/>
    <w:bookmarkEnd w:id="52"/>
    <w:p>
      <w:pPr>
        <w:jc w:val="both"/>
        <w:ind w:firstLine="324"/>
        <w:spacing w:after="0" w:line="276" w:lineRule="auto"/>
        <w:rPr>
          <w:sz w:val="20"/>
          <w:szCs w:val="20"/>
          <w:color w:val="auto"/>
        </w:rPr>
      </w:pPr>
      <w:r>
        <w:rPr>
          <w:rFonts w:ascii="Arial" w:cs="Arial" w:eastAsia="Arial" w:hAnsi="Arial"/>
          <w:sz w:val="17"/>
          <w:szCs w:val="17"/>
          <w:color w:val="auto"/>
        </w:rPr>
        <w:t>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Previously, the Massachusetts Attorney General had sent us a civil investigative demand requesting information relating to various aspects of our servicing practices, including lender-placed insurance and property preservation fees. The Massachusetts Attorney General’s lawsuit seeks injunctive and equitable relief, costs, and civil money penalties of $5,000 per confirmed violation of the applicable statute.</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we endeavor to negotiate appropriate resolutions in these two matters, we are vigorously defending ourselves, as we believe we have valid defenses to the claims made in both lawsuits. The outcome of these two lawsuits, whether through negotiated settlements, court rulings or otherwise, could potentially involve monetary fines or penalties or additional restrictions on our business and could be materially adverse to our business, reputation, financial condition, liquidity and results of operations. We cannot currently estimate the amount, if any, of reasonably possible loss related to these matters above amounts currently accrued.</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accrual with respect to the administrative and legal actions initiated on April 20, 2017 and shortly thereafter is included in the $54.3 million litigation and regulatory matters accrual referenced above. We will also incur costs complying with the terms of the settlements we have entered into, including in connection with the escrow review and transition to a new servicing system. For example, with respect to the escrow review, which is currently underway, we will incur remediation costs to the extent that errors are identified which require remediation. If we fail to comply with the terms of our settlements, additional administrative or legal regulatory actions could be taken against us. Such actions could have a materially adverse impact on our business, reputation, financial condition, liquidity and results of operations.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Certain of the state regulators’ cease and desist orders reference a confidential supervisory memorandum of understanding (MOU) that we entered into with the Multistate Mortgage Committee (MMC), a multistate coalition of various mortgage banking regulators, and six states relating to a servicing examination from 2013 to 2015. The MOU contained various provisions relating to servicing practices and safety and soundness aspects of the regulatory review, as a step toward closing the 2013-2015 examination. There were no monetary or other penalties under the MOU. Ocwen responded to the MOU items and continues to provide certain reports and other information pursuant to the MOU.</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The letter stated that at this point, the investigation is preliminary in nature and the Department of Justice has not made any determination as to whether OLS violated the act.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8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2016, Ocwen received a subpoena from the Office of Inspector General of HUD requesting the production of documentation related to HECM loans originated by Liberty. We understand that other lenders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Home Affordable Modification Program. We have been providing documents and information in response to these subpoenas.</w:t>
      </w:r>
    </w:p>
    <w:p>
      <w:pPr>
        <w:spacing w:after="0" w:line="5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July 2017, we received a letter from Ginnie Mae in which Ginnie Mae informed us that the state regulators’ cease and desist orders discussed above create a material change in Ocwen’s business status under Chapter 3 of the Ginnie Mae MBS Guide, and Ginnie Mae has accordingly declared an event of default under Guaranty Agreements between Ocwen and Ginnie Mae. In the letter, Ginnie Mae notified Ocwen that it would forbear from immediately exercising any rights relating to this matter for a period of 90 days from the date of the letter; however, it reserved the right to make additional requests of Ocwen and to restrict or terminate Ocwen’s participation in the Ginnie Mae mortgage-backed securities program. Based on our conversations with Ginnie Mae, we understand that Ginnie Mae views this as a violation with a prescribed remedy and that the purpose of the notice is to provide for a period of resolution. During such forbearance period, which was extended three times based on the information supplied and the progress we had made, Ocwen provided certain information regarding the cease and desist orders, our resolutions of the cease and desist orders and Ocwen’s business plan, financial results and operations. On July 17, 2018, Ginnie Mae informed us in an e-mail that it considers the matters raised in its July 2017 letter resolved, and that it will provide a formal letter which may contain specific, continuing oversight criteria regarding the matters raised in the July 2017 letter. We continue to operate as a Ginnie Mae issuer in all respects and continue to participate in Ginnie Mae issuing of mortgage-backed securities and home equity conversion loan pools in the ordinary course.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92" w:right="239" w:bottom="1440" w:gutter="0" w:footer="0" w:header="0"/>
        </w:sectPr>
      </w:pPr>
    </w:p>
    <w:bookmarkStart w:id="53" w:name="page54"/>
    <w:bookmarkEnd w:id="53"/>
    <w:p>
      <w:pPr>
        <w:ind w:right="120" w:firstLine="324"/>
        <w:spacing w:after="0" w:line="302" w:lineRule="auto"/>
        <w:rPr>
          <w:sz w:val="20"/>
          <w:szCs w:val="20"/>
          <w:color w:val="auto"/>
        </w:rPr>
      </w:pPr>
      <w:r>
        <w:rPr>
          <w:rFonts w:ascii="Arial" w:cs="Arial" w:eastAsia="Arial" w:hAnsi="Arial"/>
          <w:sz w:val="16"/>
          <w:szCs w:val="16"/>
          <w:color w:val="auto"/>
        </w:rPr>
        <w:t>Adverse actions by Ginnie Mae could materially and adversely impact our business, reputation, financial condition, liquidity and results of operations, including if Ginnie Mae were to terminate us as an issuer or servicer of Ginnie Mae securities or otherwise take action indicating that such a termination was planned. For example, such actions could make financing our business more difficult, including by making future financing more expensive or if a lender were to allege a default under our debt agreements, which could trigger cross-defaults under all of our other material debt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7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3"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In our lending business, we have exposure to indemnification risks and repurchase requests.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At June 30, 2018 and June 30, 2017, we had outstanding representation and warranty repurchase demands of $29.0 million UPB (184 loans) and $55.8 million UPB (282 loans), respectively. We review each demand and monitor through resolution, primarily through rescission, loan repurchase or make-whole payment.</w:t>
      </w:r>
    </w:p>
    <w:p>
      <w:pPr>
        <w:spacing w:after="0" w:line="7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representation and warranty obligations, compensatory fees for foreclosures that may ultimately exceed investor timelines and similar indemnification obligations: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EAF9E8"/>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Beginning balance</w:t>
            </w:r>
          </w:p>
        </w:tc>
        <w:tc>
          <w:tcPr>
            <w:tcW w:w="980" w:type="dxa"/>
            <w:vAlign w:val="bottom"/>
            <w:tcBorders>
              <w:bottom w:val="single" w:sz="8" w:color="EAF9E8"/>
            </w:tcBorders>
            <w:shd w:val="clear" w:color="auto" w:fill="EAF9E8"/>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0"/>
              </w:rPr>
              <w:t>19,229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24,285</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980" w:type="dxa"/>
            <w:vAlign w:val="bottom"/>
            <w:tcBorders>
              <w:bottom w:val="single" w:sz="8" w:color="EAF9E8"/>
            </w:tcBorders>
            <w:shd w:val="clear" w:color="auto" w:fill="EAF9E8"/>
          </w:tcPr>
          <w:p>
            <w:pPr>
              <w:spacing w:after="0"/>
              <w:rPr>
                <w:sz w:val="21"/>
                <w:szCs w:val="21"/>
                <w:color w:val="auto"/>
              </w:rPr>
            </w:pPr>
          </w:p>
        </w:tc>
        <w:tc>
          <w:tcPr>
            <w:tcW w:w="6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Charge-offs and other (1)</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8120" w:type="dxa"/>
            <w:vAlign w:val="bottom"/>
            <w:tcBorders>
              <w:bottom w:val="single" w:sz="8" w:color="EAF9E8"/>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Ending balance</w:t>
            </w:r>
          </w:p>
        </w:tc>
        <w:tc>
          <w:tcPr>
            <w:tcW w:w="980" w:type="dxa"/>
            <w:vAlign w:val="bottom"/>
            <w:tcBorders>
              <w:bottom w:val="single" w:sz="8" w:color="auto"/>
            </w:tcBorders>
            <w:shd w:val="clear" w:color="auto" w:fill="EAF9E8"/>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0"/>
              </w:rPr>
              <w:t>17,856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19,750</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75"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60"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2018</w:t>
      </w:r>
      <w:r>
        <w:rPr>
          <w:rFonts w:ascii="Arial" w:cs="Arial" w:eastAsia="Arial" w:hAnsi="Arial"/>
          <w:sz w:val="16"/>
          <w:szCs w:val="16"/>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Ocwen is in the process of settlement discussions with certain mortgage insurers. In some cases, Ocwen has entered into tolling agreements, initiated arbitration or litigation, or taken other similar actions. While we expect the ultimate outcome to result in recovery of some unpaid mortgage insurance claims, we cannot quantify the likely amount at this time.</w:t>
      </w:r>
    </w:p>
    <w:p>
      <w:pPr>
        <w:spacing w:after="0" w:line="17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may, from time to time, have affirmative indemnification claims against parties from whom we acquired MSRs or other assets. Although we pursue these claims, we cannot currently estimate the amount, if any, of further recoveries.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688" w:right="259" w:bottom="1440" w:gutter="0" w:footer="0" w:header="0"/>
        </w:sectPr>
      </w:pPr>
    </w:p>
    <w:bookmarkStart w:id="55" w:name="page56"/>
    <w:bookmarkEnd w:id="55"/>
    <w:p>
      <w:pPr>
        <w:ind w:left="980" w:right="2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5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Item 1A, Risk Factors, as well as those discussed in our other reports and filings with the SEC, including those in our Annual Report on Form 10-K for the year ended December 31, 2017 and any subsequent SEC filings.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are a financial services company that services and originates loans. Our goal is to be a world-class servicing and lending company that delivers service excellence to our customers and servicing clients and strong returns to our shareholders.</w:t>
      </w:r>
    </w:p>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majority of our revenues are generated from our residential mortgage servicing business. However, regulatory restrictions on acquisitions of MSRs, portfolio runoff and asset sales have resulted in a 64% decline in our servicing portfolio as compared to December 31, 2013. As a result, our revenues have decreased significantly and, while we have made progress, we have not been able to reduce our overall expenses by a comparative amount, in part because of the relatively fixed nature of our corporate overhead. In addition, continuing regulatory and legal matters have negatively impacted our results. We have incurred a net loss in each of the last four fiscal years and in the first half of 2018, which has significantly eroded stockholders’ equity and weakened our financial condition.</w:t>
      </w:r>
    </w:p>
    <w:p>
      <w:pPr>
        <w:spacing w:after="0" w:line="8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continuing to seek operational efficiencies to manage our cost structure as our servicing portfolio continues to shrink. However, there are limits to our ability to reduce costs through operational adjustments. Ultimately, we believe that it is unlikely that we will be able to return to sustained profitability simply by reducing our costs through operational adjustments. Given the relative size of our corporate overhead, including the risk and compliance infrastructure necessary to operate as a non-bank mortgage servicer and lender, we believe that we will need to grow our future revenues in order to return to sustained profitability.</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Accordingly, on February 27, 2018, we entered into a Merger Agreement pursuant to which PHH will become a wholly owned subsidiary of Ocwen. We believe our acquisition of PHH will enable us to obtain the following key strategic and financial benefits:</w:t>
      </w:r>
    </w:p>
    <w:p>
      <w:pPr>
        <w:spacing w:after="0" w:line="6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Accelerate Ocwen’s transition to the Black Knight Financial Services, Inc. LoanSphere MSP® servicing platform;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 servicing and origination margins through improved economies of scale;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fixed costs (on a combined basis) through reductions of redundant corporate overhead and other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a foundation to enable the combined servicing platform to resume new business and growth activities to offset portfolio runoff.</w:t>
      </w:r>
    </w:p>
    <w:p>
      <w:pPr>
        <w:spacing w:after="0" w:line="103"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We are currently targeting closing the transaction in the third quarter of 2018, subject to regulatory approvals and other closing conditions. There can be no assurances the merger will be completed timely or at all or that the desired strategic and financial benefits will be realized.</w:t>
      </w:r>
    </w:p>
    <w:p>
      <w:pPr>
        <w:spacing w:after="0" w:line="6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We have begun investing excess cash amounts to achieve targeted investment returns within our risk appetite and we have also deployed excess cash to reduce secured borrowings. We continue to evaluate options to grow our revenues through select investments. There can be no assurances we will be able to execute on our plans or that the returns on such investments will ultimately meet our targets.</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a general matter, we intend to continue to evaluate returns on our existing MSR portfolio, and we may decide to sell select portions of our portfolio or to enter into transactions with similarities to the agreements we have entered into with NRZ if we believe that such actions will benefit Ocwen versus holding the assets over a longer term.</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have received aggregate lump-sum payments of $334.2 million in connection with our 2017 Agreements and the New RMSR Agreements with NRZ, these upfront payments generally represent the net present value of the difference between the future revenue stream Ocwen would have received under the Original Rights to MSRs Agreements and the future revenue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796" w:right="27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stream Ocwen expects to receive under the 2017 Agreements. Accordingly, the new agreements provide for a larger portion of future servicing compensation to be retained by NRZ.</w:t>
      </w:r>
    </w:p>
    <w:p>
      <w:pPr>
        <w:spacing w:after="0" w:line="6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have faced, and expect to continue to face, heightened regulatory and public scrutiny as well as stricter and more comprehensive regulation of our business. We work diligently to assess the implications of the regulatory environment in which we operate and to meet the requirements of the current environment. We devote substantial resources to regulatory compliance and to addressing regulatory actions and engagements, while, at the same time, striving to meet the needs and expectations of our customers, servicing clients and other stakeholders. Our business, operating results and financial condition have been significantly impacted in recent periods by restrictions on our business arising from regulatory settlements and by legal fees, settlement payments and other expenses related to regulatory matters. Our business, operating results and financial condition have also been significantly impacted in recent periods by litigation matters, some of which have either stemmed from or been negatively impacted by our regulatory challenges.</w:t>
      </w:r>
    </w:p>
    <w:p>
      <w:pPr>
        <w:spacing w:after="0" w:line="16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To the extent we are unable to avoid, mitigate or offset similar expenses in future periods, our business, operating results and financial condition will continue to be adversely affected, even if we are successful in our ongoing efforts to optimize our cost structure and improve our financial performance through strategic and other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2017.</w:t>
      </w: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58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b w:val="1"/>
                <w:bCs w:val="1"/>
                <w:color w:val="auto"/>
                <w:w w:val="98"/>
              </w:rPr>
              <w:t>Results of Operations Summary</w:t>
            </w: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222,227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255,801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444,365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528,303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24,393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28,255</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44,193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51,199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27,244</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25,280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53,662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253,581</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311,300</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513,838</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633,164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69,838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90,411</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147,913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182,212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32,389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65,405</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70,159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107,234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35,645</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59,694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75,815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23,906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24,254</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46,709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51,601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MSR valuation adjustments, net</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41,568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50,247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82,020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12,859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16,480</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25,473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34,229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6,717</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23,752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205,650</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280,480</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412,151</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556,863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4,239</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8,002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(77,503)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(81,128)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(128,313)</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(165,190)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Gain on sale of mortgage servicing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rights, net</w:t>
            </w:r>
          </w:p>
        </w:tc>
        <w:tc>
          <w:tcPr>
            <w:tcW w:w="2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1,320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3,428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(3,905)</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7,461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(72,428)</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(125,127)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(148,407)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(41,608)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(72,106)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3,696</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4,953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(44,436)</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(77,059)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income attributable to non-</w:t>
            </w:r>
          </w:p>
        </w:tc>
        <w:tc>
          <w:tcPr>
            <w:tcW w:w="24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controlling interests</w:t>
            </w:r>
          </w:p>
        </w:tc>
        <w:tc>
          <w:tcPr>
            <w:tcW w:w="2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5"/>
        </w:trPr>
        <w:tc>
          <w:tcPr>
            <w:tcW w:w="300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Net loss attributable to Ocwen</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(29,831)</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(44,507)</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(27,283)</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(77,231)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000" w:type="dxa"/>
            <w:vAlign w:val="bottom"/>
            <w:tcBorders>
              <w:bottom w:val="single" w:sz="8" w:color="EAF9E8"/>
            </w:tcBorders>
          </w:tcPr>
          <w:p>
            <w:pPr>
              <w:ind w:left="340"/>
              <w:spacing w:after="0"/>
              <w:rPr>
                <w:sz w:val="20"/>
                <w:szCs w:val="20"/>
                <w:color w:val="auto"/>
              </w:rPr>
            </w:pPr>
            <w:r>
              <w:rPr>
                <w:rFonts w:ascii="Arial" w:cs="Arial" w:eastAsia="Arial" w:hAnsi="Arial"/>
                <w:sz w:val="18"/>
                <w:szCs w:val="18"/>
                <w:b w:val="1"/>
                <w:bCs w:val="1"/>
                <w:color w:val="auto"/>
              </w:rPr>
              <w:t>stockholders</w:t>
            </w: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7"/>
        </w:trPr>
        <w:tc>
          <w:tcPr>
            <w:tcW w:w="30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w w:val="90"/>
              </w:rPr>
              <w:t>Segment income (loss) before income</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0"/>
              <w:spacing w:after="0"/>
              <w:rPr>
                <w:sz w:val="20"/>
                <w:szCs w:val="20"/>
                <w:color w:val="auto"/>
              </w:rPr>
            </w:pPr>
            <w:r>
              <w:rPr>
                <w:rFonts w:ascii="Arial" w:cs="Arial" w:eastAsia="Arial" w:hAnsi="Arial"/>
                <w:sz w:val="18"/>
                <w:szCs w:val="18"/>
                <w:b w:val="1"/>
                <w:bCs w:val="1"/>
                <w:color w:val="auto"/>
              </w:rPr>
              <w:t>taxes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9,218</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22,568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12,347</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Lending</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(31,890)</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(50,212)</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(56,179)</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(84,948)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(28,405)</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(41,608)</w:t>
            </w:r>
          </w:p>
        </w:tc>
        <w:tc>
          <w:tcPr>
            <w:tcW w:w="11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(23,440)</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(72,106)</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0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240" w:type="dxa"/>
            <w:vAlign w:val="bottom"/>
            <w:shd w:val="clear" w:color="auto" w:fill="EAF9E8"/>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2017</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Servicing and subservicing fees were $33.6 million, or 13%, lower than the second quarter of 2017, primarily due to portfolio runoff, consistent with the 14% and 13% decline in residential portfolio average UPB and loan count, respectively. The number of completed modifications declined marginally as the reduction in HAMP modifications due to the expiration of the program on December 31, 2016 was mostly offset by an increased focus on non-HAMP modifications.</w:t>
      </w:r>
    </w:p>
    <w:p>
      <w:pPr>
        <w:spacing w:after="0" w:line="7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Other revenue for the second quarter of 2018 declined $20.3 million, or 74%, largely due to a $9.1 million decline in REO referral commissions which are retained by NRZ effective with the New RMSR Agreements, and a $7.1 million unfavorable net change in the fair value of reverse mortgages and the related financing liability due to higher interest rates reducing</w:t>
      </w:r>
    </w:p>
    <w:p>
      <w:pPr>
        <w:sectPr>
          <w:pgSz w:w="11900" w:h="16838" w:orient="portrait"/>
          <w:cols w:equalWidth="0" w:num="1">
            <w:col w:w="11420"/>
          </w:cols>
          <w:pgMar w:left="240" w:top="74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742" w:right="239" w:bottom="1440" w:gutter="0" w:footer="0" w:header="0"/>
          <w:type w:val="continuous"/>
        </w:sectPr>
      </w:pPr>
    </w:p>
    <w:bookmarkStart w:id="58" w:name="page59"/>
    <w:bookmarkEnd w:id="58"/>
    <w:p>
      <w:pPr>
        <w:jc w:val="both"/>
        <w:ind w:right="60"/>
        <w:spacing w:after="0" w:line="264" w:lineRule="auto"/>
        <w:rPr>
          <w:sz w:val="20"/>
          <w:szCs w:val="20"/>
          <w:color w:val="auto"/>
        </w:rPr>
      </w:pPr>
      <w:r>
        <w:rPr>
          <w:rFonts w:ascii="Arial" w:cs="Arial" w:eastAsia="Arial" w:hAnsi="Arial"/>
          <w:sz w:val="18"/>
          <w:szCs w:val="18"/>
          <w:color w:val="auto"/>
        </w:rPr>
        <w:t>portfolio life. Also, CRL premium revenue declined $1.7 million consistent with the decline in the number of foreclosed real estate properties in the servicing portfolio, and loan origination fees were lower on lower lending segment production volumes as a result of our strategic decisions to exit the forward lending correspondent and wholesale channels.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MSR valuation adjustments, net, decreased $8.5 million, or 20%, as compared to the second quarter of 2017, primarily due to a net $5.0 million favorable change in valuation assumptions related to our non-Agency MSRs.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MSR valuation adjustments, net, expenses were $66.4 million, or 28%, lower as compared to the second quarter of 2017.</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Compensation and benefits expense for the second quarter of 2018 declined $20.6 million, or 23%, as average headcount declined by 24%, including a 31% reduction in U.S.-based headcount, consistent with our continuing efforts to reduce costs and our strategic decisions to exit the ACS business and the forward lending correspondent and wholesale channels. Headcount in our Servicing business declined by 19%, including a 16% reduction in the U.S., in line with reductions in our residential servicing portfolio and expiration of the HAMP modification program.</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Professional services expense was $33.0 million, or 50%, lower in the second quarter of 2018 as compared to the second quarter of 2017 primarily due to a $30.4 million decline in legal expenses largely attributed to an increase in the accrual for a securities class action matter during the second quarter of 2017, which we subsequently settled. Professional services expense for the second quarter of 2018 includes $2.0 million of fees related to the PHH Merger Agreement.</w:t>
      </w:r>
    </w:p>
    <w:p>
      <w:pPr>
        <w:spacing w:after="0" w:line="200" w:lineRule="exact"/>
        <w:rPr>
          <w:sz w:val="20"/>
          <w:szCs w:val="20"/>
          <w:color w:val="auto"/>
        </w:rPr>
      </w:pPr>
    </w:p>
    <w:p>
      <w:pPr>
        <w:ind w:right="40" w:firstLine="324"/>
        <w:spacing w:after="0" w:line="322" w:lineRule="auto"/>
        <w:rPr>
          <w:sz w:val="20"/>
          <w:szCs w:val="20"/>
          <w:color w:val="auto"/>
        </w:rPr>
      </w:pPr>
      <w:r>
        <w:rPr>
          <w:rFonts w:ascii="Arial" w:cs="Arial" w:eastAsia="Arial" w:hAnsi="Arial"/>
          <w:sz w:val="16"/>
          <w:szCs w:val="16"/>
          <w:color w:val="auto"/>
        </w:rPr>
        <w:t xml:space="preserve">Servicing and origination expense decreased $7.4 million, or 21%, as compared to the second quarter of 2017 primarily due to a $4.5 million reduction in </w:t>
      </w:r>
      <w:r>
        <w:rPr>
          <w:rFonts w:ascii="Arial" w:cs="Arial" w:eastAsia="Arial" w:hAnsi="Arial"/>
          <w:sz w:val="17"/>
          <w:szCs w:val="17"/>
          <w:color w:val="auto"/>
        </w:rPr>
        <w:t>l</w:t>
      </w:r>
      <w:r>
        <w:rPr>
          <w:rFonts w:ascii="Arial" w:cs="Arial" w:eastAsia="Arial" w:hAnsi="Arial"/>
          <w:sz w:val="16"/>
          <w:szCs w:val="16"/>
          <w:color w:val="auto"/>
        </w:rPr>
        <w:t>osses related to non-recoverable advances and receivables, a $1.1 million decline in CRL reinsurance commission expense due to the decline in foreclosed</w:t>
      </w:r>
      <w:r>
        <w:rPr>
          <w:rFonts w:ascii="Arial" w:cs="Arial" w:eastAsia="Arial" w:hAnsi="Arial"/>
          <w:sz w:val="17"/>
          <w:szCs w:val="17"/>
          <w:color w:val="auto"/>
        </w:rPr>
        <w:t xml:space="preserve"> </w:t>
      </w:r>
      <w:r>
        <w:rPr>
          <w:rFonts w:ascii="Arial" w:cs="Arial" w:eastAsia="Arial" w:hAnsi="Arial"/>
          <w:sz w:val="16"/>
          <w:szCs w:val="16"/>
          <w:color w:val="auto"/>
        </w:rPr>
        <w:t>real estate properties, and a general decline in other expenses that was primarily driven by reductions in our servicing portfolio and loan production volume.</w:t>
      </w:r>
    </w:p>
    <w:p>
      <w:pPr>
        <w:spacing w:after="0" w:line="13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Interest expense for the second quarter of 2018 declined $3.6 million, or 4%, as compared to the second quarter of 2017, primarily because of a $5.0 million decrease in interest on match funded liabilities, consistent with the decline in servicing advances, and a $1.9 million decrease in interest on borrowings under our mortgage loan warehouse facilities. These declines were offset in part by a $2.9 million increase in interest expense on the NRZ financing liabilities, which we account for at fair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2017</w:t>
      </w:r>
    </w:p>
    <w:p>
      <w:pPr>
        <w:spacing w:after="0" w:line="11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Servicing and subservicing fees declined $83.9 million, or 16%, in the six months ended June 30, 2018 as compared to the same period in 2017, primarily due to portfolio runoff and a reduction in completed modifications. The average UPB and loan count in our residential portfolio declined 14% and 12%, respectively, as compared to the six months ended June 30, 2017.</w:t>
      </w:r>
    </w:p>
    <w:p>
      <w:pPr>
        <w:spacing w:after="0" w:line="73"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$28.4 million, or 53% decline in Other revenue as compared to the six months ended June 30, 2017 is primarily due to a $17.7 million decline in REO referral commissions, a $3.5 million decline in CRL premiums and a $3.5 million unfavorable net change in the fair value of reverse mortgages and the related financing liability. Loan origination fees also declined on lower correspondent and wholesale loan production.</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MSR valuation adjustments, net, decreased $31.8 million, or 39%, as compared to the six months ended June 30, 2017, primarily driven by the favorable impact of an increase in interest rates on the fair value of our Agency MSRs and a net favorable change in valuation assumptions related to our non-Agency MSRs.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Excluding MSR valuation adjustments, net, expenses were $112.9 million, or 24%, lower as compared to the six months ended June 30, 2017.</w:t>
      </w:r>
    </w:p>
    <w:p>
      <w:pPr>
        <w:spacing w:after="0" w:line="237"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Compensation and benefits expense for the six months ended June 30, 2018 declined $34.3 million, or 19%, as average headcount declined by 23%, including a 28% reduction in U.S.-based headcount. Headcount in our Servicing business declined by 20%, including a 16% reduction in the U.S. The reduction in Compensation and benefits expense resulting from the decline in headcount was offset in part by the recognition of $7.4 million of related severance expense in the six months ended June 30, 2018.</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Professional services expense was $37.1 million, or 35%, lower for the six months ended June 30, 2018 as compared to same period of 2017 primarily due to a $36.2 million decline in legal expenses and a $4.9 million decrease in monitor expenses, offset in part by $4.9 million of fees related to the PHH Merger Agreement and $2.1 million of fees incurred during the six months ended June 30, 2018 in connection with our conversion of NRZ’s Rights to MSRs to fully-owned MSRs. The CA Auditor appointment was terminated in February 2017 and the NY Operations Monitor appointment was terminated in April 2017. We are not currently incurring any expenses related to regulatory monitors.</w:t>
      </w:r>
    </w:p>
    <w:p>
      <w:pPr>
        <w:spacing w:after="0" w:line="18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Servicing and origination expense decreased $16.1 million, or 21%, as compared to the six months ended June 30, 2017 primarily due to a $7.5 million decrease in the government-insured claim loss provisions due to a decline in claims, a $2.7</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92" w:right="239" w:bottom="1440" w:gutter="0" w:footer="0" w:header="0"/>
        </w:sectPr>
      </w:pPr>
    </w:p>
    <w:bookmarkStart w:id="59" w:name="page60"/>
    <w:bookmarkEnd w:id="59"/>
    <w:p>
      <w:pPr>
        <w:ind w:right="420"/>
        <w:spacing w:after="0" w:line="277" w:lineRule="auto"/>
        <w:rPr>
          <w:sz w:val="20"/>
          <w:szCs w:val="20"/>
          <w:color w:val="auto"/>
        </w:rPr>
      </w:pPr>
      <w:r>
        <w:rPr>
          <w:rFonts w:ascii="Arial" w:cs="Arial" w:eastAsia="Arial" w:hAnsi="Arial"/>
          <w:sz w:val="18"/>
          <w:szCs w:val="18"/>
          <w:color w:val="auto"/>
        </w:rPr>
        <w:t>million reduction in losses related to non-recoverable advances and receivables, a $2.4 million reduction in CRL reinsurance commissions and a general decline in other expenses resulting from the declines in our servicing portfolio and loan production volume.</w:t>
      </w:r>
    </w:p>
    <w:p>
      <w:pPr>
        <w:spacing w:after="0" w:line="17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Declines of $8.8 million and $4.9 million in Occupancy and equipment and Technology and communication expenses, respectively, as compared to the six months ended June 30, 2017, are largely a result of the decline in the size of our servicing portfolio and our cost reduction efforts that include bringing technology services in-house and closing and consolidating certain facilities.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$11.8 million, or 50%, decrease in Other expenses as compared to the six months ended June 30, 2017 is due in large part to a $5.5 million decline in the provision for losses on ACS automotive dealer financing notes as a result of the $6.1 million provision we recognized in the first quarter of 2017; we largely exited the ACS business in January 2018, and a $3.0 million reduction in advertising expenses as a result of exiting the forward lending correspondent and wholesale channels.</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Interest expense for the six months ended June 30, 2018 declined $36.9 million, or 22%, as compared to the same period of 2017 primarily because of a $25.2 million decline in interest expense on the NRZ financing liabilities and an $8.3 million decrease in interest on match funded liabilities. The decline related to the NRZ financing liabilities was due to runoff of the NRZ servicing portfolio and $8.6 million of net favorable fair value adjustments primarily attributed to initial fair value gain related to the $279.6 million lump-sum upfront payment we received in January 2018 in accordance with the terms of the New RMSR Agreements.</w:t>
      </w:r>
    </w:p>
    <w:p>
      <w:pPr>
        <w:spacing w:after="0" w:line="8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Although we incurred a pre-tax loss of $23.4 million for the six months ended June 30, 2018, we recorded income tax expense of $3.7 million due to the mix of earnings among different tax jurisdictions with different statutory tax rates, which impacts the amount of the tax benefit or expense recorded. Income tax expense for the six months ended June 30, 2018 includes additional expense related to the Tax Act that was partially offset by a reduction in expense related to the tax effects of intra-entity asset transfers that is no longer recognized effective with our adoption of ASU 2016-16 on January 1, 2018. Income tax expense related to uncertain tax positions declined in the six months ended June 30, 2018 as compared to the same period of 2017. The overall effective tax rate for the six months ended June 30, 2018 and 2017 is (15.8)% and (6.9)%, respectively.</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692" w:right="2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6740" w:type="dxa"/>
            <w:vAlign w:val="bottom"/>
          </w:tcPr>
          <w:p>
            <w:pPr>
              <w:ind w:left="2180"/>
              <w:spacing w:after="0"/>
              <w:rPr>
                <w:sz w:val="20"/>
                <w:szCs w:val="20"/>
                <w:color w:val="auto"/>
              </w:rPr>
            </w:pPr>
            <w:r>
              <w:rPr>
                <w:rFonts w:ascii="Arial" w:cs="Arial" w:eastAsia="Arial" w:hAnsi="Arial"/>
                <w:sz w:val="18"/>
                <w:szCs w:val="18"/>
                <w:b w:val="1"/>
                <w:bCs w:val="1"/>
                <w:color w:val="auto"/>
              </w:rPr>
              <w:t>Financial Condition Summary</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228,412</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259,655</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1,043,995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1,008,844</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assets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1,167,713</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1,389,150</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209,453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238,358</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at fair value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5,143,758</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626,865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791,326</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8,420,196</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c>
          <w:tcPr>
            <w:tcW w:w="1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2,851,910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3,033,243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5,242,716</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4,945,456</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325,570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424,465</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8,420,196</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c>
          <w:tcPr>
            <w:tcW w:w="1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HMBS-related borrowings, at fair value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5,040,983</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financing liabilities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747,503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593,518</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26</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750,694</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998,618</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SSTL and other secured borrowings, net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340,418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545,850</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notes, net</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347,612</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347,338</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591,803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769,410</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7,819,013</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7,856,290</w:t>
            </w:r>
          </w:p>
        </w:tc>
        <w:tc>
          <w:tcPr>
            <w:tcW w:w="1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Ocwen stockholders’ equity</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600,024</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545,040</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1,834</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601,183</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546,874</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r>
      <w:tr>
        <w:trPr>
          <w:trHeight w:val="297"/>
        </w:trPr>
        <w:tc>
          <w:tcPr>
            <w:tcW w:w="674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8,420,196</w:t>
            </w:r>
          </w:p>
        </w:tc>
        <w:tc>
          <w:tcPr>
            <w:tcW w:w="100" w:type="dxa"/>
            <w:vAlign w:val="bottom"/>
            <w:tcBorders>
              <w:bottom w:val="single" w:sz="8" w:color="EAF9E8"/>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8,403,164</w:t>
            </w:r>
          </w:p>
        </w:tc>
        <w:tc>
          <w:tcPr>
            <w:tcW w:w="120" w:type="dxa"/>
            <w:vAlign w:val="bottom"/>
            <w:tcBorders>
              <w:bottom w:val="single" w:sz="8" w:color="EAF9E8"/>
            </w:tcBorders>
          </w:tcPr>
          <w:p>
            <w:pPr>
              <w:spacing w:after="0"/>
              <w:rPr>
                <w:sz w:val="24"/>
                <w:szCs w:val="24"/>
                <w:color w:val="auto"/>
              </w:rPr>
            </w:pPr>
          </w:p>
        </w:tc>
        <w:tc>
          <w:tcPr>
            <w:tcW w:w="1260" w:type="dxa"/>
            <w:vAlign w:val="bottom"/>
            <w:tcBorders>
              <w:bottom w:val="single" w:sz="8" w:color="EAF9E8"/>
            </w:tcBorders>
          </w:tcPr>
          <w:p>
            <w:pPr>
              <w:jc w:val="right"/>
              <w:spacing w:after="0"/>
              <w:rPr>
                <w:sz w:val="20"/>
                <w:szCs w:val="20"/>
                <w:color w:val="auto"/>
              </w:rPr>
            </w:pPr>
            <w:r>
              <w:rPr>
                <w:rFonts w:ascii="Arial" w:cs="Arial" w:eastAsia="Arial" w:hAnsi="Arial"/>
                <w:sz w:val="18"/>
                <w:szCs w:val="18"/>
                <w:color w:val="auto"/>
              </w:rPr>
              <w:t>— %</w:t>
            </w:r>
          </w:p>
        </w:tc>
      </w:tr>
      <w:tr>
        <w:trPr>
          <w:trHeight w:val="217"/>
        </w:trPr>
        <w:tc>
          <w:tcPr>
            <w:tcW w:w="67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1,987,064</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2,233,431</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Lending</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5,161,554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4,861,928</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670,395</w:t>
            </w:r>
          </w:p>
        </w:tc>
        <w:tc>
          <w:tcPr>
            <w:tcW w:w="100" w:type="dxa"/>
            <w:vAlign w:val="bottom"/>
            <w:tcBorders>
              <w:bottom w:val="single" w:sz="8" w:color="EAF9E8"/>
            </w:tcBorders>
            <w:shd w:val="clear" w:color="auto" w:fill="EAF9E8"/>
          </w:tcPr>
          <w:p>
            <w:pPr>
              <w:spacing w:after="0"/>
              <w:rPr>
                <w:sz w:val="23"/>
                <w:szCs w:val="23"/>
                <w:color w:val="auto"/>
              </w:rPr>
            </w:pPr>
          </w:p>
        </w:tc>
        <w:tc>
          <w:tcPr>
            <w:tcW w:w="4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760,931</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97"/>
        </w:trPr>
        <w:tc>
          <w:tcPr>
            <w:tcW w:w="674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7,819,013</w:t>
            </w:r>
          </w:p>
        </w:tc>
        <w:tc>
          <w:tcPr>
            <w:tcW w:w="100" w:type="dxa"/>
            <w:vAlign w:val="bottom"/>
            <w:tcBorders>
              <w:bottom w:val="single" w:sz="8" w:color="EAF9E8"/>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7,856,290</w:t>
            </w:r>
          </w:p>
        </w:tc>
        <w:tc>
          <w:tcPr>
            <w:tcW w:w="120" w:type="dxa"/>
            <w:vAlign w:val="bottom"/>
            <w:tcBorders>
              <w:bottom w:val="single" w:sz="8" w:color="EAF9E8"/>
            </w:tcBorders>
          </w:tcPr>
          <w:p>
            <w:pPr>
              <w:spacing w:after="0"/>
              <w:rPr>
                <w:sz w:val="24"/>
                <w:szCs w:val="24"/>
                <w:color w:val="auto"/>
              </w:rPr>
            </w:pPr>
          </w:p>
        </w:tc>
        <w:tc>
          <w:tcPr>
            <w:tcW w:w="1260" w:type="dxa"/>
            <w:vAlign w:val="bottom"/>
            <w:tcBorders>
              <w:bottom w:val="single" w:sz="8" w:color="EAF9E8"/>
            </w:tcBorders>
          </w:tcPr>
          <w:p>
            <w:pPr>
              <w:jc w:val="right"/>
              <w:spacing w:after="0"/>
              <w:rPr>
                <w:sz w:val="20"/>
                <w:szCs w:val="20"/>
                <w:color w:val="auto"/>
              </w:rPr>
            </w:pPr>
            <w:r>
              <w:rPr>
                <w:rFonts w:ascii="Arial" w:cs="Arial" w:eastAsia="Arial" w:hAnsi="Arial"/>
                <w:sz w:val="18"/>
                <w:szCs w:val="18"/>
                <w:color w:val="auto"/>
              </w:rPr>
              <w:t>— %</w:t>
            </w:r>
          </w:p>
        </w:tc>
      </w:tr>
      <w:tr>
        <w:trPr>
          <w:trHeight w:val="217"/>
        </w:trPr>
        <w:tc>
          <w:tcPr>
            <w:tcW w:w="67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bl>
    <w:p>
      <w:pPr>
        <w:spacing w:after="0" w:line="9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Changes in the composition and balance of our assets and liabilities during the six months ended June 30, 2018 are principally attributable to Loans held for investment and Financing liabilities, which increased because of our reverse mortgage securitizations which are accounted for as secured financings. Match funded liabilities declined consistent with lower advances and match funded advances on a declining servicing portfolio. Total equity increased as a result of the effect of our fair value election for MSRs previously accounted for using the amortization method less the net loss recognized for the six months ended June 30, 2018. Our fair value election for these MSRs resulted in an $82.0 million increase in retained earnings recorded as of January 1, 2018 to reflect the excess of the fair value of the MSRs over their carrying amount on the election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Our activities are organized into two reportable business segments that reflect our primary lines of business - Servicing and Lending - as well as a Corporate Items and Other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jc w:val="both"/>
        <w:ind w:right="240" w:firstLine="324"/>
        <w:spacing w:after="0" w:line="226" w:lineRule="auto"/>
        <w:rPr>
          <w:sz w:val="20"/>
          <w:szCs w:val="20"/>
          <w:color w:val="auto"/>
        </w:rPr>
      </w:pPr>
      <w:r>
        <w:rPr>
          <w:rFonts w:ascii="Arial" w:cs="Arial" w:eastAsia="Arial" w:hAnsi="Arial"/>
          <w:sz w:val="18"/>
          <w:szCs w:val="18"/>
          <w:color w:val="auto"/>
        </w:rPr>
        <w:t>We earn contractual monthly servicing fees pursuant to servicing agreements (which are typically payable as a percentage of UPB) as well as ancillary fees, including late fees, HAMP fees, REO referral commissions, float earnings and Speedpay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fees relating to owned MSRs. We also earn fees under both subservicing and special servicing arrangements with banks and</w:t>
      </w:r>
    </w:p>
    <w:p>
      <w:pPr>
        <w:sectPr>
          <w:pgSz w:w="11900" w:h="16838" w:orient="portrait"/>
          <w:cols w:equalWidth="0" w:num="1">
            <w:col w:w="11420"/>
          </w:cols>
          <w:pgMar w:left="240" w:top="742"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742" w:right="239" w:bottom="1440" w:gutter="0" w:footer="0" w:header="0"/>
          <w:type w:val="continuous"/>
        </w:sectPr>
      </w:pPr>
    </w:p>
    <w:bookmarkStart w:id="61" w:name="page62"/>
    <w:bookmarkEnd w:id="61"/>
    <w:p>
      <w:pPr>
        <w:ind w:right="160"/>
        <w:spacing w:after="0" w:line="277" w:lineRule="auto"/>
        <w:rPr>
          <w:sz w:val="20"/>
          <w:szCs w:val="20"/>
          <w:color w:val="auto"/>
        </w:rPr>
      </w:pPr>
      <w:r>
        <w:rPr>
          <w:rFonts w:ascii="Arial" w:cs="Arial" w:eastAsia="Arial" w:hAnsi="Arial"/>
          <w:sz w:val="18"/>
          <w:szCs w:val="18"/>
          <w:color w:val="auto"/>
        </w:rPr>
        <w:t>other institutions that own the MSRs. We typically earn these fees either as a percentage of UPB or on a per loan basis. Per loan fees typically vary based on delinquency status. As of June 30, 2018, we serviced 1.1 million loans with an aggregate UPB of $167.1 billion.</w:t>
      </w:r>
    </w:p>
    <w:p>
      <w:pPr>
        <w:spacing w:after="0" w:line="6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Prior to January 18, 2018, for loans underlying Rights to MSRs, the servicing fees were apportioned between NRZ and us such that NRZ retained a fee based on the UPB of the loans serviced, and OLS received certain fees, including a performance fee based on servicing fees paid less an amount calculated based on the amount of servicing advances and the cost of financing those advances as well as ancillary fees (other than float earnings). From January 18, 2018 going forward, in addition to a base servicing fee, Ocwen will continue to receive certain ancillary fees, primarily late fees, loan modification fees and Speedpay® fees, while NRZ will receive all float earnings, deferred servicing fees related to delinquent borrower payments and certain REO-related income including REO referral commissions.</w:t>
      </w:r>
    </w:p>
    <w:p>
      <w:pPr>
        <w:spacing w:after="0" w:line="19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Effective January 1, 2018, our entire portfolio of MSRs is carried at fair value. Prior to that date, conforming and government insured MSR classes were carried at amortized cost. We are reporting changes in fair value, amortization and impairments related to our MSRs in MSR valuation changes, net on our unaudited consolidated statements of operations. The value of our MSRs are typically correlated to changes in interest rates; as interest rates rise the value of the servicing portfolio typically rises as a result of lower prepayment speeds. Valuation is also impacted by loan delinquency rates whereby as delinquency rates decline, the value of the servicing portfolio rises. While we do not hedge changes in the fair value of our MSRs, we do have a hedge to the extent the MSRs underlie the Rights to MSRs transactions as we have elected fair value for such financing liability. Changes in fair value of the financing liability, which are recorded in interest expense in our unaudited consolidated statements of operations, partially offset the changes in fair value of the related MSRs.</w:t>
      </w:r>
    </w:p>
    <w:p>
      <w:pPr>
        <w:spacing w:after="0" w:line="5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recognize the proceeds received in connection with Rights to MSRs transactions as a secured borrowing that we elected to account for at fair value.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 Since we have elected fair value for our portfolio of non-Agency MSRs, future fair value changes in the Financing Liability - MSRs Pledged will be partially offset by changes in the fair value of the related MSRs. See Note 8 — Rights to MSRs for additional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Servicer Ratings</w:t>
      </w:r>
    </w:p>
    <w:p>
      <w:pPr>
        <w:spacing w:after="0" w:line="11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 and downgrades in these ratings could adversely impact them.</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ratings by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Moody’s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S&amp;P</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608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RSS3-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Residential Alt-A Servicer</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182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Arial" w:cs="Arial" w:eastAsia="Arial" w:hAnsi="Arial"/>
                <w:sz w:val="18"/>
                <w:szCs w:val="18"/>
                <w:color w:val="auto"/>
                <w:w w:val="88"/>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6"/>
              </w:rPr>
              <w:t>RMS3-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Ratings Outlook (1)</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6080" w:type="dxa"/>
            <w:vAlign w:val="bottom"/>
            <w:shd w:val="clear" w:color="auto" w:fill="EAF9E8"/>
          </w:tcPr>
          <w:p>
            <w:pPr>
              <w:spacing w:after="0"/>
              <w:rPr>
                <w:sz w:val="24"/>
                <w:szCs w:val="24"/>
                <w:color w:val="auto"/>
              </w:rPr>
            </w:pPr>
          </w:p>
        </w:tc>
        <w:tc>
          <w:tcPr>
            <w:tcW w:w="17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00" w:type="dxa"/>
            <w:vAlign w:val="bottom"/>
            <w:shd w:val="clear" w:color="auto" w:fill="EAF9E8"/>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Date of last action</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April 24, 2017</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26, 2018</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25, 2017</w:t>
            </w:r>
          </w:p>
        </w:tc>
      </w:tr>
    </w:tbl>
    <w:p>
      <w:pPr>
        <w:spacing w:after="0" w:line="125"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Moody’s placed the servicer ratings on Watch for Downgrade on April 24, 2017.</w:t>
      </w:r>
    </w:p>
    <w:p>
      <w:pPr>
        <w:spacing w:after="0" w:line="35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60</w:t>
      </w:r>
    </w:p>
    <w:p>
      <w:pPr>
        <w:sectPr>
          <w:pgSz w:w="11900" w:h="16838" w:orient="portrait"/>
          <w:cols w:equalWidth="0" w:num="1">
            <w:col w:w="11420"/>
          </w:cols>
          <w:pgMar w:left="240" w:top="692" w:right="239" w:bottom="1440" w:gutter="0" w:footer="0" w:header="0"/>
        </w:sectPr>
      </w:pPr>
    </w:p>
    <w:bookmarkStart w:id="62" w:name="page63"/>
    <w:bookmarkEnd w:id="62"/>
    <w:p>
      <w:pPr>
        <w:ind w:right="22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The amounts presented are before the elimination of balances and transactions with our other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Periods ended June 30,</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221,322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254,296</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442,225</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524,846</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1,641</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3,896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222,828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255,937</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445,476</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528,742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4,545</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4,713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40</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11,302</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4,548</w:t>
            </w:r>
          </w:p>
        </w:tc>
        <w:tc>
          <w:tcPr>
            <w:tcW w:w="12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22,347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(80)</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230,509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271,784</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456,605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555,802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9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480" w:type="dxa"/>
            <w:vAlign w:val="bottom"/>
            <w:shd w:val="clear" w:color="auto" w:fill="EAF9E8"/>
          </w:tcPr>
          <w:p>
            <w:pPr>
              <w:spacing w:after="0"/>
              <w:rPr>
                <w:sz w:val="22"/>
                <w:szCs w:val="22"/>
                <w:color w:val="auto"/>
              </w:rPr>
            </w:pPr>
          </w:p>
        </w:tc>
        <w:tc>
          <w:tcPr>
            <w:tcW w:w="9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34,058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40,244</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71,235</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81,366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24,376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29,488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52,420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63,966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MSR valuation adjustments,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33,043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41,498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50,018</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81,879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(39)</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15,045</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34,928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10,048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11,536</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20,988</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23,809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11,985</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19,860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24,333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46,462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52,328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96,866</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109,134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(411)</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166,888</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201,928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337,984</w:t>
            </w:r>
          </w:p>
        </w:tc>
        <w:tc>
          <w:tcPr>
            <w:tcW w:w="12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418,842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626</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(62,675)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(63,903)</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(97,193)</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(131,254)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Gain on sale of mortgage servicing</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rights, net</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5,060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(135)</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(61,535)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(60,638)</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(96,053)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(124,613)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9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480" w:type="dxa"/>
            <w:vAlign w:val="bottom"/>
            <w:shd w:val="clear" w:color="auto" w:fill="EAF9E8"/>
          </w:tcPr>
          <w:p>
            <w:pPr>
              <w:spacing w:after="0"/>
              <w:rPr>
                <w:sz w:val="22"/>
                <w:szCs w:val="22"/>
                <w:color w:val="auto"/>
              </w:rPr>
            </w:pPr>
          </w:p>
        </w:tc>
        <w:tc>
          <w:tcPr>
            <w:tcW w:w="9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r>
      <w:tr>
        <w:trPr>
          <w:trHeight w:val="304"/>
        </w:trPr>
        <w:tc>
          <w:tcPr>
            <w:tcW w:w="300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EAF9E8"/>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9,218</w:t>
            </w:r>
          </w:p>
        </w:tc>
        <w:tc>
          <w:tcPr>
            <w:tcW w:w="11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22,568</w:t>
            </w:r>
          </w:p>
        </w:tc>
        <w:tc>
          <w:tcPr>
            <w:tcW w:w="120" w:type="dxa"/>
            <w:vAlign w:val="bottom"/>
            <w:tcBorders>
              <w:bottom w:val="single" w:sz="8" w:color="EAF9E8"/>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12,347</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83 %</w:t>
            </w:r>
          </w:p>
        </w:tc>
      </w:tr>
      <w:tr>
        <w:trPr>
          <w:trHeight w:val="237"/>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r>
      <w:tr>
        <w:trPr>
          <w:trHeight w:val="459"/>
        </w:trPr>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340"/>
              <w:spacing w:after="0"/>
              <w:rPr>
                <w:sz w:val="20"/>
                <w:szCs w:val="20"/>
                <w:color w:val="auto"/>
              </w:rPr>
            </w:pPr>
            <w:r>
              <w:rPr>
                <w:rFonts w:ascii="Arial" w:cs="Arial" w:eastAsia="Arial" w:hAnsi="Arial"/>
                <w:sz w:val="18"/>
                <w:szCs w:val="18"/>
                <w:color w:val="auto"/>
              </w:rPr>
              <w:t>The following tables provide selected operating statistics: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At June 30,</w:t>
            </w:r>
          </w:p>
        </w:tc>
        <w:tc>
          <w:tcPr>
            <w:tcW w:w="360" w:type="dxa"/>
            <w:vAlign w:val="bottom"/>
          </w:tcPr>
          <w:p>
            <w:pPr>
              <w:spacing w:after="0"/>
              <w:rPr>
                <w:sz w:val="24"/>
                <w:szCs w:val="24"/>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6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Unpaid principal balance (UPB):</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153,223,657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176,157,476</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11,290,071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14,974,130</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2,613,286</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3,666,818</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r>
      <w:tr>
        <w:trPr>
          <w:trHeight w:val="297"/>
        </w:trPr>
        <w:tc>
          <w:tcPr>
            <w:tcW w:w="662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167,127,014</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194,798,424</w:t>
            </w: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66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Conventional loans (2)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45,194,057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55,970,874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Government-insured loans</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20,314,542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22,313,551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101,618,415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116,513,999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66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6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167,127,014</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194,798,424</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Percent of total UPB:</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NRZ (3)</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residential assets serviced</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r>
      <w:tr>
        <w:trPr>
          <w:trHeight w:val="230"/>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Number:</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Performing loans (1)</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1,076,410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1,215,834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loans</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56,569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75,421</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real estate</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13,110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18,855</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66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6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1,146,089</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1,310,110</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Conventional loans (2)</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276,394</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331,336</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Government-insured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148,723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163,509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Non-Agency loans</w:t>
            </w:r>
          </w:p>
        </w:tc>
        <w:tc>
          <w:tcPr>
            <w:tcW w:w="3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720,972</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815,265</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97"/>
        </w:trPr>
        <w:tc>
          <w:tcPr>
            <w:tcW w:w="662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1,146,089</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1,310,110</w:t>
            </w: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66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Percent of total number:</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portfolio</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(3)</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58</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residential assets serviced</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6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Periods ended June 30,</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i w:val="1"/>
                <w:iCs w:val="1"/>
                <w:color w:val="auto"/>
              </w:rPr>
              <w:t>Average UPB:</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portfolio</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72,028,123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82,678,931</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73,234,657</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83,467,579</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1,624,284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4,140,396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1,738,018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4,192,076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(3)</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96,553,022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111,981,031</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98,299,462</w:t>
            </w:r>
          </w:p>
        </w:tc>
        <w:tc>
          <w:tcPr>
            <w:tcW w:w="1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89"/>
              </w:rPr>
              <w:t>114,624,705</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r>
      <w:tr>
        <w:trPr>
          <w:trHeight w:val="297"/>
        </w:trPr>
        <w:tc>
          <w:tcPr>
            <w:tcW w:w="282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170,205,429</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198,800,358</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173,272,137</w:t>
            </w:r>
          </w:p>
        </w:tc>
        <w:tc>
          <w:tcPr>
            <w:tcW w:w="100" w:type="dxa"/>
            <w:vAlign w:val="bottom"/>
            <w:tcBorders>
              <w:bottom w:val="single" w:sz="8" w:color="EAF9E8"/>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202,284,360</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(14)%</w:t>
            </w:r>
          </w:p>
        </w:tc>
      </w:tr>
      <w:tr>
        <w:trPr>
          <w:trHeight w:val="217"/>
        </w:trPr>
        <w:tc>
          <w:tcPr>
            <w:tcW w:w="28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i w:val="1"/>
                <w:iCs w:val="1"/>
                <w:color w:val="auto"/>
                <w:w w:val="94"/>
              </w:rPr>
              <w:t>Prepayment speed (average CPR)</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Voluntary</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80</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80</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 Involuntary</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 CPR due to principal</w:t>
            </w: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8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modification</w:t>
            </w:r>
          </w:p>
        </w:tc>
        <w:tc>
          <w:tcPr>
            <w:tcW w:w="2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0"/>
                <w:szCs w:val="20"/>
                <w:color w:val="auto"/>
              </w:rPr>
            </w:pPr>
          </w:p>
        </w:tc>
        <w:tc>
          <w:tcPr>
            <w:tcW w:w="4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324"/>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Average number:</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464,130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526,279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471,639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531,279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16,508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30,600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17,608</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30,664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(43)</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NRZ (3)</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684,802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775,836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695,266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791,692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28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1,165,440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1,332,715</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1,184,513</w:t>
            </w:r>
          </w:p>
        </w:tc>
        <w:tc>
          <w:tcPr>
            <w:tcW w:w="100" w:type="dxa"/>
            <w:vAlign w:val="bottom"/>
            <w:tcBorders>
              <w:bottom w:val="single" w:sz="8" w:color="EAF9E8"/>
            </w:tcBorders>
            <w:shd w:val="clear" w:color="auto" w:fill="EAF9E8"/>
          </w:tcPr>
          <w:p>
            <w:pPr>
              <w:spacing w:after="0"/>
              <w:rPr>
                <w:sz w:val="22"/>
                <w:szCs w:val="22"/>
                <w:color w:val="auto"/>
              </w:rPr>
            </w:pPr>
          </w:p>
        </w:tc>
        <w:tc>
          <w:tcPr>
            <w:tcW w:w="420" w:type="dxa"/>
            <w:vAlign w:val="bottom"/>
            <w:tcBorders>
              <w:bottom w:val="single" w:sz="8" w:color="auto"/>
            </w:tcBorders>
            <w:shd w:val="clear" w:color="auto" w:fill="EAF9E8"/>
          </w:tcPr>
          <w:p>
            <w:pPr>
              <w:spacing w:after="0"/>
              <w:rPr>
                <w:sz w:val="22"/>
                <w:szCs w:val="22"/>
                <w:color w:val="auto"/>
              </w:rPr>
            </w:pPr>
          </w:p>
        </w:tc>
        <w:tc>
          <w:tcPr>
            <w:tcW w:w="11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1,353,635</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7"/>
        </w:trPr>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28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Servicing and</w:t>
            </w: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41"/>
        </w:trPr>
        <w:tc>
          <w:tcPr>
            <w:tcW w:w="28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Subservicing Fees</w:t>
            </w:r>
          </w:p>
        </w:tc>
        <w:tc>
          <w:tcPr>
            <w:tcW w:w="2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4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29"/>
        </w:trPr>
        <w:tc>
          <w:tcPr>
            <w:tcW w:w="2820" w:type="dxa"/>
            <w:vAlign w:val="bottom"/>
          </w:tcPr>
          <w:p>
            <w:pPr>
              <w:ind w:left="180"/>
              <w:spacing w:after="0"/>
              <w:rPr>
                <w:sz w:val="20"/>
                <w:szCs w:val="20"/>
                <w:color w:val="auto"/>
              </w:rPr>
            </w:pPr>
            <w:r>
              <w:rPr>
                <w:rFonts w:ascii="Arial" w:cs="Arial" w:eastAsia="Arial" w:hAnsi="Arial"/>
                <w:sz w:val="18"/>
                <w:szCs w:val="18"/>
                <w:color w:val="auto"/>
              </w:rPr>
              <w:t>Loan servicing and subservicing</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20" w:type="dxa"/>
            <w:vAlign w:val="bottom"/>
          </w:tcPr>
          <w:p>
            <w:pPr>
              <w:ind w:left="340"/>
              <w:spacing w:after="0"/>
              <w:rPr>
                <w:sz w:val="20"/>
                <w:szCs w:val="20"/>
                <w:color w:val="auto"/>
              </w:rPr>
            </w:pPr>
            <w:r>
              <w:rPr>
                <w:rFonts w:ascii="Arial" w:cs="Arial" w:eastAsia="Arial" w:hAnsi="Arial"/>
                <w:sz w:val="18"/>
                <w:szCs w:val="18"/>
                <w:color w:val="auto"/>
              </w:rPr>
              <w:t>fees: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55,468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65,362</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114,159</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133,216</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1,964</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4,033</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126,712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143,612</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253,729</w:t>
            </w:r>
          </w:p>
        </w:tc>
        <w:tc>
          <w:tcPr>
            <w:tcW w:w="1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290,923</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37"/>
        </w:trPr>
        <w:tc>
          <w:tcPr>
            <w:tcW w:w="28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183,052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210,938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369,674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428,172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Late charges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15,236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15,534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29,744</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32,243</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w w:val="94"/>
              </w:rPr>
              <w:t>Custodial accounts (float earnings)</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8,575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5,868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15,806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10,647</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48</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5,926</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9,759</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12,235</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HAMP fees</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10,489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31,459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(74)</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5,549</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5,541</w:t>
            </w:r>
          </w:p>
        </w:tc>
        <w:tc>
          <w:tcPr>
            <w:tcW w:w="10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8,985</w:t>
            </w:r>
          </w:p>
        </w:tc>
        <w:tc>
          <w:tcPr>
            <w:tcW w:w="100" w:type="dxa"/>
            <w:vAlign w:val="bottom"/>
            <w:tcBorders>
              <w:bottom w:val="single" w:sz="8" w:color="EAF9E8"/>
            </w:tcBorders>
            <w:shd w:val="clear" w:color="auto" w:fill="EAF9E8"/>
          </w:tcPr>
          <w:p>
            <w:pPr>
              <w:spacing w:after="0"/>
              <w:rPr>
                <w:sz w:val="23"/>
                <w:szCs w:val="23"/>
                <w:color w:val="auto"/>
              </w:rPr>
            </w:pPr>
          </w:p>
        </w:tc>
        <w:tc>
          <w:tcPr>
            <w:tcW w:w="4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10,090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97"/>
        </w:trPr>
        <w:tc>
          <w:tcPr>
            <w:tcW w:w="28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221,322</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254,296</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442,225</w:t>
            </w:r>
          </w:p>
        </w:tc>
        <w:tc>
          <w:tcPr>
            <w:tcW w:w="100" w:type="dxa"/>
            <w:vAlign w:val="bottom"/>
            <w:tcBorders>
              <w:bottom w:val="single" w:sz="8" w:color="EAF9E8"/>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524,846</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(16)%</w:t>
            </w:r>
          </w:p>
        </w:tc>
      </w:tr>
      <w:tr>
        <w:trPr>
          <w:trHeight w:val="217"/>
        </w:trPr>
        <w:tc>
          <w:tcPr>
            <w:tcW w:w="28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459"/>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Periods ended June 30,</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5"/>
        </w:trPr>
        <w:tc>
          <w:tcPr>
            <w:tcW w:w="2880" w:type="dxa"/>
            <w:vAlign w:val="bottom"/>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w w:val="93"/>
              </w:rPr>
              <w:t>Interest Expense on NRZ Financing</w:t>
            </w:r>
          </w:p>
        </w:tc>
        <w:tc>
          <w:tcPr>
            <w:tcW w:w="3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54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4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r>
      <w:tr>
        <w:trPr>
          <w:trHeight w:val="241"/>
        </w:trPr>
        <w:tc>
          <w:tcPr>
            <w:tcW w:w="2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Liability (4)</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w w:val="92"/>
              </w:rPr>
              <w:t>Servicing fees collected on behalf of</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NRZ</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126,712</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143,612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253,729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290,923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8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7"/>
              </w:rPr>
              <w:t>Less: Subservicing fee retained by</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57"/>
        </w:trPr>
        <w:tc>
          <w:tcPr>
            <w:tcW w:w="28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Ocwen</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34,444</w:t>
            </w:r>
          </w:p>
        </w:tc>
        <w:tc>
          <w:tcPr>
            <w:tcW w:w="10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78,794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68,661</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157,947</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(57)</w:t>
            </w:r>
          </w:p>
        </w:tc>
      </w:tr>
      <w:tr>
        <w:trPr>
          <w:trHeight w:val="237"/>
        </w:trPr>
        <w:tc>
          <w:tcPr>
            <w:tcW w:w="2880" w:type="dxa"/>
            <w:vAlign w:val="bottom"/>
          </w:tcPr>
          <w:p>
            <w:pPr>
              <w:ind w:left="280"/>
              <w:spacing w:after="0"/>
              <w:rPr>
                <w:sz w:val="20"/>
                <w:szCs w:val="20"/>
                <w:color w:val="auto"/>
              </w:rPr>
            </w:pPr>
            <w:r>
              <w:rPr>
                <w:rFonts w:ascii="Arial" w:cs="Arial" w:eastAsia="Arial" w:hAnsi="Arial"/>
                <w:sz w:val="18"/>
                <w:szCs w:val="18"/>
                <w:color w:val="auto"/>
                <w:w w:val="93"/>
              </w:rPr>
              <w:t>Net servicing fees remitted to NRZ</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92,268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64,818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185,068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132,976</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39</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Less: Reduction (increase) in</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8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financing liability</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Changes in fair value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Original Rights to MSRs</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880" w:type="dxa"/>
            <w:vAlign w:val="bottom"/>
            <w:tcBorders>
              <w:bottom w:val="single" w:sz="8" w:color="EAF9E8"/>
            </w:tcBorders>
            <w:shd w:val="clear" w:color="auto" w:fill="EAF9E8"/>
          </w:tcPr>
          <w:p>
            <w:pPr>
              <w:ind w:left="540"/>
              <w:spacing w:after="0"/>
              <w:rPr>
                <w:sz w:val="20"/>
                <w:szCs w:val="20"/>
                <w:color w:val="auto"/>
              </w:rPr>
            </w:pPr>
            <w:r>
              <w:rPr>
                <w:rFonts w:ascii="Arial" w:cs="Arial" w:eastAsia="Arial" w:hAnsi="Arial"/>
                <w:sz w:val="18"/>
                <w:szCs w:val="18"/>
                <w:color w:val="auto"/>
              </w:rPr>
              <w:t>Agreements</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(8,897)</w:t>
            </w: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ind w:left="48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(8,782)</w:t>
            </w:r>
          </w:p>
        </w:tc>
        <w:tc>
          <w:tcPr>
            <w:tcW w:w="10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r>
      <w:tr>
        <w:trPr>
          <w:trHeight w:val="229"/>
        </w:trPr>
        <w:tc>
          <w:tcPr>
            <w:tcW w:w="2880" w:type="dxa"/>
            <w:vAlign w:val="bottom"/>
          </w:tcPr>
          <w:p>
            <w:pPr>
              <w:ind w:left="380"/>
              <w:spacing w:after="0"/>
              <w:rPr>
                <w:sz w:val="20"/>
                <w:szCs w:val="20"/>
                <w:color w:val="auto"/>
              </w:rPr>
            </w:pPr>
            <w:r>
              <w:rPr>
                <w:rFonts w:ascii="Arial" w:cs="Arial" w:eastAsia="Arial" w:hAnsi="Arial"/>
                <w:sz w:val="18"/>
                <w:szCs w:val="18"/>
                <w:color w:val="auto"/>
              </w:rPr>
              <w:t>2017 Agreements and New</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80" w:type="dxa"/>
            <w:vAlign w:val="bottom"/>
          </w:tcPr>
          <w:p>
            <w:pPr>
              <w:ind w:left="540"/>
              <w:spacing w:after="0"/>
              <w:rPr>
                <w:sz w:val="20"/>
                <w:szCs w:val="20"/>
                <w:color w:val="auto"/>
              </w:rPr>
            </w:pPr>
            <w:r>
              <w:rPr>
                <w:rFonts w:ascii="Arial" w:cs="Arial" w:eastAsia="Arial" w:hAnsi="Arial"/>
                <w:sz w:val="18"/>
                <w:szCs w:val="18"/>
                <w:color w:val="auto"/>
              </w:rPr>
              <w:t>RMSR Agreements</w:t>
            </w:r>
          </w:p>
        </w:tc>
        <w:tc>
          <w:tcPr>
            <w:tcW w:w="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17,424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Runoff, settlements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48,847</w:t>
            </w:r>
          </w:p>
        </w:tc>
        <w:tc>
          <w:tcPr>
            <w:tcW w:w="10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16,194</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101,887</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33,193</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207</w:t>
            </w:r>
          </w:p>
        </w:tc>
      </w:tr>
      <w:tr>
        <w:trPr>
          <w:trHeight w:val="297"/>
        </w:trPr>
        <w:tc>
          <w:tcPr>
            <w:tcW w:w="28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51,490</w:t>
            </w:r>
          </w:p>
        </w:tc>
        <w:tc>
          <w:tcPr>
            <w:tcW w:w="100" w:type="dxa"/>
            <w:vAlign w:val="bottom"/>
            <w:tcBorders>
              <w:bottom w:val="single" w:sz="8" w:color="EAF9E8"/>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48,624</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74,539</w:t>
            </w:r>
          </w:p>
        </w:tc>
        <w:tc>
          <w:tcPr>
            <w:tcW w:w="100" w:type="dxa"/>
            <w:vAlign w:val="bottom"/>
            <w:tcBorders>
              <w:bottom w:val="single" w:sz="8" w:color="EAF9E8"/>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99,783</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(25)%</w:t>
            </w:r>
          </w:p>
        </w:tc>
      </w:tr>
      <w:tr>
        <w:trPr>
          <w:trHeight w:val="217"/>
        </w:trPr>
        <w:tc>
          <w:tcPr>
            <w:tcW w:w="2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25"/>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Number of Completed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880" w:type="dxa"/>
            <w:vAlign w:val="bottom"/>
          </w:tcPr>
          <w:p>
            <w:pPr>
              <w:ind w:left="200"/>
              <w:spacing w:after="0"/>
              <w:rPr>
                <w:sz w:val="20"/>
                <w:szCs w:val="20"/>
                <w:color w:val="auto"/>
              </w:rPr>
            </w:pPr>
            <w:r>
              <w:rPr>
                <w:rFonts w:ascii="Arial" w:cs="Arial" w:eastAsia="Arial" w:hAnsi="Arial"/>
                <w:sz w:val="18"/>
                <w:szCs w:val="18"/>
                <w:b w:val="1"/>
                <w:bCs w:val="1"/>
                <w:color w:val="auto"/>
              </w:rPr>
              <w:t>Modifications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2,681</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11,629</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Non-HAMP</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10,438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8,348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21,679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17,795</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10,752</w:t>
            </w:r>
          </w:p>
        </w:tc>
        <w:tc>
          <w:tcPr>
            <w:tcW w:w="10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auto"/>
            </w:tcBorders>
            <w:shd w:val="clear" w:color="auto" w:fill="EAF9E8"/>
          </w:tcPr>
          <w:p>
            <w:pPr>
              <w:spacing w:after="0"/>
              <w:rPr>
                <w:sz w:val="22"/>
                <w:szCs w:val="22"/>
                <w:color w:val="auto"/>
              </w:rPr>
            </w:pPr>
          </w:p>
        </w:tc>
        <w:tc>
          <w:tcPr>
            <w:tcW w:w="9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11,029</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22,350</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spacing w:after="0"/>
              <w:rPr>
                <w:sz w:val="22"/>
                <w:szCs w:val="22"/>
                <w:color w:val="auto"/>
              </w:rPr>
            </w:pPr>
          </w:p>
        </w:tc>
        <w:tc>
          <w:tcPr>
            <w:tcW w:w="102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29,424</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7"/>
        </w:trPr>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Financing Costs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w w:val="98"/>
              </w:rPr>
              <w:t>Average balance of advances and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match funded advances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1,220,650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1,539,991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1,266,534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1,594,019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745,983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1,145,567</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779,792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1,194,100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775,241</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544,467</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780,452</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556,261</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40</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23,508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24,318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(89)</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 on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7,714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12,092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24,819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53,084</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50,363</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77,365</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103,262</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441</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857</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Effective average interest rate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 (4)</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37.00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37.13</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(47)</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7.50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7.05</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835</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Facility costs included in interest</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8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expense</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1,657</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3,419</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Average 1ML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0.92%</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97</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28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459"/>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Periods ended June 30,</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8"/>
                <w:szCs w:val="18"/>
                <w:b w:val="1"/>
                <w:bCs w:val="1"/>
                <w:color w:val="auto"/>
              </w:rPr>
              <w:t>% Change</w:t>
            </w: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5,237</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w w:val="95"/>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5,412</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1,220</w:t>
            </w:r>
          </w:p>
        </w:tc>
        <w:tc>
          <w:tcPr>
            <w:tcW w:w="1140" w:type="dxa"/>
            <w:vAlign w:val="bottom"/>
            <w:tcBorders>
              <w:bottom w:val="single" w:sz="8" w:color="EAF9E8"/>
            </w:tcBorders>
            <w:gridSpan w:val="2"/>
            <w:shd w:val="clear" w:color="auto" w:fill="EAF9E8"/>
          </w:tcPr>
          <w:p>
            <w:pPr>
              <w:ind w:left="66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EAF9E8"/>
            </w:tcBorders>
            <w:shd w:val="clear" w:color="auto" w:fill="EAF9E8"/>
          </w:tcPr>
          <w:p>
            <w:pPr>
              <w:spacing w:after="0"/>
              <w:rPr>
                <w:sz w:val="23"/>
                <w:szCs w:val="23"/>
                <w:color w:val="auto"/>
              </w:rPr>
            </w:pPr>
          </w:p>
        </w:tc>
        <w:tc>
          <w:tcPr>
            <w:tcW w:w="46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1,236</w:t>
            </w:r>
          </w:p>
        </w:tc>
        <w:tc>
          <w:tcPr>
            <w:tcW w:w="1140" w:type="dxa"/>
            <w:vAlign w:val="bottom"/>
            <w:tcBorders>
              <w:bottom w:val="single" w:sz="8" w:color="EAF9E8"/>
            </w:tcBorders>
            <w:gridSpan w:val="2"/>
            <w:shd w:val="clear" w:color="auto" w:fill="EAF9E8"/>
          </w:tcPr>
          <w:p>
            <w:pPr>
              <w:ind w:left="6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29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5,208</w:t>
            </w:r>
          </w:p>
        </w:tc>
        <w:tc>
          <w:tcPr>
            <w:tcW w:w="120" w:type="dxa"/>
            <w:vAlign w:val="bottom"/>
            <w:tcBorders>
              <w:bottom w:val="single" w:sz="8" w:color="EAF9E8"/>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6,457</w:t>
            </w:r>
          </w:p>
        </w:tc>
        <w:tc>
          <w:tcPr>
            <w:tcW w:w="1140" w:type="dxa"/>
            <w:vAlign w:val="bottom"/>
            <w:tcBorders>
              <w:bottom w:val="single" w:sz="8" w:color="EAF9E8"/>
            </w:tcBorders>
            <w:gridSpan w:val="2"/>
          </w:tcPr>
          <w:p>
            <w:pPr>
              <w:ind w:left="660"/>
              <w:spacing w:after="0"/>
              <w:rPr>
                <w:sz w:val="20"/>
                <w:szCs w:val="20"/>
                <w:color w:val="auto"/>
              </w:rPr>
            </w:pPr>
            <w:r>
              <w:rPr>
                <w:rFonts w:ascii="Arial" w:cs="Arial" w:eastAsia="Arial" w:hAnsi="Arial"/>
                <w:sz w:val="18"/>
                <w:szCs w:val="18"/>
                <w:color w:val="auto"/>
                <w:w w:val="95"/>
              </w:rPr>
              <w:t>(19)%</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5,338</w:t>
            </w:r>
          </w:p>
        </w:tc>
        <w:tc>
          <w:tcPr>
            <w:tcW w:w="120" w:type="dxa"/>
            <w:vAlign w:val="bottom"/>
            <w:tcBorders>
              <w:bottom w:val="single" w:sz="8" w:color="EAF9E8"/>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6,648</w:t>
            </w:r>
          </w:p>
        </w:tc>
        <w:tc>
          <w:tcPr>
            <w:tcW w:w="1140" w:type="dxa"/>
            <w:vAlign w:val="bottom"/>
            <w:tcBorders>
              <w:bottom w:val="single" w:sz="8" w:color="EAF9E8"/>
            </w:tcBorders>
            <w:gridSpan w:val="2"/>
          </w:tcPr>
          <w:p>
            <w:pPr>
              <w:ind w:left="66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17"/>
        </w:trPr>
        <w:tc>
          <w:tcPr>
            <w:tcW w:w="2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Collections on loans serviced for</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8,119,361</w:t>
            </w:r>
          </w:p>
        </w:tc>
        <w:tc>
          <w:tcPr>
            <w:tcW w:w="120" w:type="dxa"/>
            <w:vAlign w:val="bottom"/>
          </w:tcPr>
          <w:p>
            <w:pPr>
              <w:spacing w:after="0"/>
              <w:rPr>
                <w:sz w:val="19"/>
                <w:szCs w:val="19"/>
                <w:color w:val="auto"/>
              </w:rPr>
            </w:pPr>
          </w:p>
        </w:tc>
        <w:tc>
          <w:tcPr>
            <w:tcW w:w="520" w:type="dxa"/>
            <w:vAlign w:val="bottom"/>
            <w:vMerge w:val="restart"/>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9,586,497</w:t>
            </w:r>
          </w:p>
        </w:tc>
        <w:tc>
          <w:tcPr>
            <w:tcW w:w="1580" w:type="dxa"/>
            <w:vAlign w:val="bottom"/>
            <w:gridSpan w:val="4"/>
            <w:vMerge w:val="restart"/>
          </w:tcPr>
          <w:p>
            <w:pPr>
              <w:ind w:left="660"/>
              <w:spacing w:after="0"/>
              <w:rPr>
                <w:sz w:val="20"/>
                <w:szCs w:val="20"/>
                <w:color w:val="auto"/>
              </w:rPr>
            </w:pPr>
            <w:r>
              <w:rPr>
                <w:rFonts w:ascii="Arial" w:cs="Arial" w:eastAsia="Arial" w:hAnsi="Arial"/>
                <w:sz w:val="18"/>
                <w:szCs w:val="18"/>
                <w:color w:val="auto"/>
              </w:rPr>
              <w:t>(15)%  $</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15,915,562</w:t>
            </w:r>
          </w:p>
        </w:tc>
        <w:tc>
          <w:tcPr>
            <w:tcW w:w="120" w:type="dxa"/>
            <w:vAlign w:val="bottom"/>
          </w:tcPr>
          <w:p>
            <w:pPr>
              <w:spacing w:after="0"/>
              <w:rPr>
                <w:sz w:val="19"/>
                <w:szCs w:val="19"/>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w w:val="95"/>
              </w:rPr>
              <w:t>18,867,034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others</w:t>
            </w:r>
          </w:p>
        </w:tc>
        <w:tc>
          <w:tcPr>
            <w:tcW w:w="3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580" w:type="dxa"/>
            <w:vAlign w:val="bottom"/>
            <w:gridSpan w:val="4"/>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n/m: not meaningful</w:t>
      </w:r>
    </w:p>
    <w:p>
      <w:pPr>
        <w:spacing w:after="0" w:line="149" w:lineRule="exact"/>
        <w:rPr>
          <w:sz w:val="20"/>
          <w:szCs w:val="20"/>
          <w:color w:val="auto"/>
        </w:rPr>
      </w:pPr>
    </w:p>
    <w:p>
      <w:pPr>
        <w:ind w:left="500" w:right="420" w:hanging="492"/>
        <w:spacing w:after="0" w:line="255"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500" w:right="80" w:hanging="492"/>
        <w:spacing w:after="0" w:line="246"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Conventional loans include 125,824 and 151,554 prime loans with a UPB of $21.7 billion and $27.3 billion at June 30, 2018 and June 30, 2017, respectively, which we service or subservice.</w:t>
      </w: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Loans serviced by Ocwen for which the Rights to MSRs have been sold to NRZ, including loans that have been converted to fully-owned MSRs.</w:t>
      </w:r>
    </w:p>
    <w:p>
      <w:pPr>
        <w:spacing w:after="0" w:line="5" w:lineRule="exact"/>
        <w:rPr>
          <w:rFonts w:ascii="Arial" w:cs="Arial" w:eastAsia="Arial" w:hAnsi="Arial"/>
          <w:sz w:val="16"/>
          <w:szCs w:val="16"/>
          <w:color w:val="auto"/>
        </w:rPr>
      </w:pPr>
    </w:p>
    <w:p>
      <w:pPr>
        <w:ind w:left="500" w:right="220" w:hanging="492"/>
        <w:spacing w:after="0" w:line="290" w:lineRule="auto"/>
        <w:tabs>
          <w:tab w:leader="none" w:pos="5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effective average interest rate on the financing liability that we recognized in connection with the sales of Rights to MSRs to NRZ is 29.49% and 43.25% for the three months ended June 30, 2018 and 2017, respectively, and 21.27% and 43.45% for the six months ended June 30, 2018 and 2017, respectively.</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 or subserviced: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 of UPB</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b w:val="1"/>
                <w:bCs w:val="1"/>
                <w:color w:val="auto"/>
              </w:rPr>
              <w:t>Count</w:t>
            </w:r>
          </w:p>
        </w:tc>
        <w:tc>
          <w:tcPr>
            <w:tcW w:w="11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179,352,554</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9"/>
              </w:rPr>
              <w:t>209,092,130</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1,221,695</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1,393,766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546,619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1,403,213</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6,675</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(3,292)</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(52,162)</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(302,120)</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(220,169)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(6,204,885)</w:t>
            </w:r>
          </w:p>
        </w:tc>
        <w:tc>
          <w:tcPr>
            <w:tcW w:w="140" w:type="dxa"/>
            <w:vAlign w:val="bottom"/>
            <w:tcBorders>
              <w:bottom w:val="single" w:sz="8" w:color="EAF9E8"/>
            </w:tcBorders>
            <w:shd w:val="clear" w:color="auto" w:fill="EAF9E8"/>
          </w:tcPr>
          <w:p>
            <w:pPr>
              <w:spacing w:after="0"/>
              <w:rPr>
                <w:sz w:val="23"/>
                <w:szCs w:val="23"/>
                <w:color w:val="auto"/>
              </w:rPr>
            </w:pPr>
          </w:p>
        </w:tc>
        <w:tc>
          <w:tcPr>
            <w:tcW w:w="5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(7,853,998)</w:t>
            </w:r>
          </w:p>
        </w:tc>
        <w:tc>
          <w:tcPr>
            <w:tcW w:w="120" w:type="dxa"/>
            <w:vAlign w:val="bottom"/>
            <w:tcBorders>
              <w:bottom w:val="single" w:sz="8" w:color="EAF9E8"/>
            </w:tcBorders>
            <w:shd w:val="clear" w:color="auto" w:fill="EAF9E8"/>
          </w:tcPr>
          <w:p>
            <w:pPr>
              <w:spacing w:after="0"/>
              <w:rPr>
                <w:sz w:val="23"/>
                <w:szCs w:val="23"/>
                <w:color w:val="auto"/>
              </w:rPr>
            </w:pPr>
          </w:p>
        </w:tc>
        <w:tc>
          <w:tcPr>
            <w:tcW w:w="1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(36,598)</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(44,972)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173,388,876</w:t>
            </w:r>
          </w:p>
        </w:tc>
        <w:tc>
          <w:tcPr>
            <w:tcW w:w="14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202,369,014</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1,185,912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1,353,956</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655,943</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1,152,541</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5,434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(82,571)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(218,871)</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(484,530)</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Runoff</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(6,692,475)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(8,156,030)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(40,219)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(46,855)</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June 30</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167,127,014</w:t>
            </w:r>
          </w:p>
        </w:tc>
        <w:tc>
          <w:tcPr>
            <w:tcW w:w="140" w:type="dxa"/>
            <w:vAlign w:val="bottom"/>
            <w:tcBorders>
              <w:bottom w:val="single" w:sz="8" w:color="EAF9E8"/>
            </w:tcBorders>
            <w:shd w:val="clear" w:color="auto" w:fill="EAF9E8"/>
          </w:tcPr>
          <w:p>
            <w:pPr>
              <w:spacing w:after="0"/>
              <w:rPr>
                <w:sz w:val="22"/>
                <w:szCs w:val="22"/>
                <w:color w:val="auto"/>
              </w:rPr>
            </w:pPr>
          </w:p>
        </w:tc>
        <w:tc>
          <w:tcPr>
            <w:tcW w:w="560" w:type="dxa"/>
            <w:vAlign w:val="bottom"/>
            <w:tcBorders>
              <w:bottom w:val="single" w:sz="8" w:color="auto"/>
            </w:tcBorders>
            <w:shd w:val="clear" w:color="auto" w:fill="EAF9E8"/>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89"/>
              </w:rPr>
              <w:t>194,798,424</w:t>
            </w: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1,146,089</w:t>
            </w:r>
          </w:p>
        </w:tc>
        <w:tc>
          <w:tcPr>
            <w:tcW w:w="10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1,310,110</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key drivers of our servicing segment operating results for the three and six months ended June 30, 2018, as compared to the same periods of 2017, are portfolio runoff and expiration of the HAMP modification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2017</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Servicing and subservicing fee revenue declined by $33.1 million, or 13%, compared to the second quarter of 2017 as the average UPB and loan count in our residential portfolio declined by 14% and 13%, respectively, due to portfolio runoff. Other revenue declined $9.2 million, or 81%, due to a $9.1 million decline in REO referral commissions. Effective January 18, 2018, NRZ is entitled to receive certain REO-related income including REO referral commissions.</w:t>
      </w:r>
    </w:p>
    <w:p>
      <w:pPr>
        <w:spacing w:after="0" w:line="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Completed loan modifications decreased 3%, including an 88% decline in HAMP modifications, as compared to the second quarter of 2017. Revenue recognized in connection with loan modifications, including both servicer incentives and contractual servicing fees, declined to $16.6 million for the second quarter of 2018 as compared to $25.1 million for the second quarter of 2017, a decline of 34%, largely due to lower incentives associated with the expiration of the HAMP program.</w:t>
      </w:r>
    </w:p>
    <w:p>
      <w:pPr>
        <w:spacing w:after="0" w:line="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MSR valuation adjustments, net, decreased $8.5 million, or 20%, compared to the second quarter of 2017 primarily driven by a net $5.0 million favorable change in assumptions related to the valuation of our non-Agency MSRs.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2" w:right="239" w:bottom="1440" w:gutter="0" w:footer="0" w:header="0"/>
        </w:sectPr>
      </w:pPr>
    </w:p>
    <w:bookmarkStart w:id="67" w:name="page68"/>
    <w:bookmarkEnd w:id="67"/>
    <w:p>
      <w:pPr>
        <w:ind w:right="40" w:firstLine="243"/>
        <w:spacing w:after="0" w:line="257" w:lineRule="auto"/>
        <w:rPr>
          <w:sz w:val="20"/>
          <w:szCs w:val="20"/>
          <w:color w:val="auto"/>
        </w:rPr>
      </w:pPr>
      <w:r>
        <w:rPr>
          <w:rFonts w:ascii="Arial" w:cs="Arial" w:eastAsia="Arial" w:hAnsi="Arial"/>
          <w:sz w:val="18"/>
          <w:szCs w:val="18"/>
          <w:color w:val="auto"/>
        </w:rPr>
        <w:t>Expenses, excluding MSR valuation adjustments, net, were $26.6 million, or 17%, lower as compared to the second quarter of 2017. Compensation and benefits, Occupancy and equipment, and Technology and communications expenses declined principally as a result of headcount reductions and other cost improvements achieved in aligning our servicing operations more appropriately to the size of our servicing portfolio. Total average headcount of the Servicing segment decreased 19% as compared to the second quarter of 2017. Professional services expense declined $7.7 million, or 51%, primarily due to a $6.9 million decline in legal expenses.</w:t>
      </w:r>
    </w:p>
    <w:p>
      <w:pPr>
        <w:spacing w:after="0" w:line="8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Servicing and origination expense declined $5.1 million, or 17%, as compared to the second quarter of 2017 primarily due to a $3.9 million reduction in losses related to non-recoverable advances and receivables.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expense declined by $1.2 million, or 2%, compared to the second quarter of 2017. The $4.4 million decrease in interest on match funded liabilities, consistent with the decline in servicing advances, was offset by a $2.9 million increase in interest expense on the fair value elected NRZ financing liabilities. Net unfavorable fair value adjustments of $8.1 million which primarily related to the Original Rights to MSRs Agreements and which increased the NRZ financing liability, and interest expense, were offset by the 14% decline in the average UPB of the NRZ servicing portfolio due to runoff which reduced interest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2017</w:t>
      </w:r>
    </w:p>
    <w:p>
      <w:pPr>
        <w:spacing w:after="0" w:line="11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Servicing and subservicing fee revenue declined by $83.3 million, or 16%, as the average UPB and loan count in our residential servicing and subservicing portfolio declined by 14% and 12%, respectively, due to portfolio runoff. Revenue recognized in connection with loan modifications declined to $32.6 million for the six months ended June 30, 2018 as compared to $64.3 million for the same period in 2017 due primarily to the expiration of the HAMP program. Other revenue declined $17.8 million, or 80%, due to a $17.7 million decline in REO referral commissions retained by NRZ effective with the New RMSR Agreements.</w:t>
      </w:r>
    </w:p>
    <w:p>
      <w:pPr>
        <w:spacing w:after="0" w:line="8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MSR valuation adjustments, net, decreased $31.9 million, or 39%, compared to the six months ended June 30, 2017 primarily driven by the favorable impact of an increase in interest rates on the fair value of our Agency MSRs and the net favorable change in valuation assumptions related to our non-Agency MSRs.</w:t>
      </w:r>
    </w:p>
    <w:p>
      <w:pPr>
        <w:spacing w:after="0" w:line="73"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Expenses, excluding MSR valuation adjustments, net, were $49.0 million, or 15%, lower as compared to the six months ended June 30, 2017. Declines in Compensation and benefits, Occupancy and equipment, and Technology and communications expenses reflect a 20% reduction in average headcount and the effects of other cost improvements. The $10.1 million, or 29% decline in Professional services expense is due to a $12.2 million decline in legal expenses offset by $2.1 million of fees incurred during the six months ended June 30, 2018 in connection with the conversion of NRZ’s Rights to MSRs to fully-owned MSRs.</w:t>
      </w:r>
    </w:p>
    <w:p>
      <w:pPr>
        <w:spacing w:after="0" w:line="80"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Servicing and origination expense declined $11.5 million, or 18%, as compared to the six months ended June 30, 2017 primarily due to a $7.5 million decrease in government-insured claim loss provisions due to a decline in the volume of claims and a $1.4 million reduction in losses related to non-recoverable advances and receivables.</w:t>
      </w:r>
    </w:p>
    <w:p>
      <w:pPr>
        <w:spacing w:after="0" w:line="18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Interest expense declined by $34.1 million, or 26%, compared to the six months ended June 30, 2017 primarily due to a $25.2 million decline in interest expense on the fair value elected NRZ financing liabilities. Net favorable fair value adjustments reduced the NRZ financing liability, and interest expense, by $8.6 million and were primarily driven by the initial fair value gain attributable to the $279.6 million lump-sum upfront payment received in the first quarter of 2018 in connection with the New RMSR Agreements. A decline in the average UPB of the NRZ servicing portfolio due to runoff also contributed to the decline in interest expense. Interest on match funded liabilities decreased by $8.7 million, consistent with the decline in servicing advances.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lending business is focused on our retail forward lending channel, primarily through retail lending recapture, and on our reverse mortgage business.</w:t>
      </w:r>
    </w:p>
    <w:p>
      <w:pPr>
        <w:spacing w:after="0" w:line="24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Given the 2017 strategic shift in our forward lending activities, our efforts are principally focused on targeting existing Ocwen customers by offering them competitive mortgage refinance opportunities (i.e., portfolio recapture), where permitted by the governing servicing and pooling agreement. In doing so, we generate revenues for our forward lending business and protect the servicing portfolio by retaining these customers. Under the terms of the 2017 Agreements and New RMSR Agreements, to the extent we refinance a loan underlying the MSRs subject to these agreements, we are obligated to transfer such recaptured MSR to NRZ under the terms of a separate subservicing agreement.</w:t>
      </w:r>
    </w:p>
    <w:p>
      <w:pPr>
        <w:spacing w:after="0" w:line="80"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We originate and purchase reverse mortgages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584" w:right="259" w:bottom="1440" w:gutter="0" w:footer="0" w:header="0"/>
        </w:sectPr>
      </w:pPr>
    </w:p>
    <w:bookmarkStart w:id="68" w:name="page69"/>
    <w:bookmarkEnd w:id="68"/>
    <w:p>
      <w:pPr>
        <w:ind w:right="68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our Lending segment.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Periods ended June 30,</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loans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9,261</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13,847</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20,621</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12,890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14,430</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23,765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25,728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18,804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23,691</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37,612</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46,349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9,085</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10,585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17,173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19,002</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32,776</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48,197</w:t>
            </w:r>
          </w:p>
        </w:tc>
        <w:tc>
          <w:tcPr>
            <w:tcW w:w="12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63,522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20,027</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22,180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38,992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(43)</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4,825</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7,695</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9,086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1,548</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2,697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569</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(38)</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983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MSR valuation adjustments,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62</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4,288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2,415</w:t>
            </w:r>
          </w:p>
        </w:tc>
        <w:tc>
          <w:tcPr>
            <w:tcW w:w="12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7,068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(66)</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17,785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32,886</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38,081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62,217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(39)</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91"/>
        </w:trPr>
        <w:tc>
          <w:tcPr>
            <w:tcW w:w="30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4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3,007</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2,852</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5,754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(3,383)</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(6,667)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502</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(107)</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10"/>
        </w:trPr>
        <w:tc>
          <w:tcPr>
            <w:tcW w:w="30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r>
      <w:tr>
        <w:trPr>
          <w:trHeight w:val="304"/>
        </w:trPr>
        <w:tc>
          <w:tcPr>
            <w:tcW w:w="300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w w:val="99"/>
              </w:rPr>
              <w:t>Income (loss)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EAF9E8"/>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1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10,171</w:t>
            </w:r>
          </w:p>
        </w:tc>
        <w:tc>
          <w:tcPr>
            <w:tcW w:w="120" w:type="dxa"/>
            <w:vAlign w:val="bottom"/>
            <w:tcBorders>
              <w:bottom w:val="single" w:sz="8" w:color="EAF9E8"/>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EAF9E8"/>
            </w:tcBorders>
          </w:tcPr>
          <w:p>
            <w:pPr>
              <w:spacing w:after="0"/>
              <w:rPr>
                <w:sz w:val="24"/>
                <w:szCs w:val="24"/>
                <w:color w:val="auto"/>
              </w:rPr>
            </w:pPr>
          </w:p>
        </w:tc>
        <w:tc>
          <w:tcPr>
            <w:tcW w:w="1040" w:type="dxa"/>
            <w:vAlign w:val="bottom"/>
            <w:tcBorders>
              <w:bottom w:val="single" w:sz="8" w:color="EAF9E8"/>
            </w:tcBorders>
          </w:tcPr>
          <w:p>
            <w:pPr>
              <w:jc w:val="right"/>
              <w:ind w:right="150"/>
              <w:spacing w:after="0"/>
              <w:rPr>
                <w:sz w:val="20"/>
                <w:szCs w:val="20"/>
                <w:color w:val="auto"/>
              </w:rPr>
            </w:pPr>
            <w:r>
              <w:rPr>
                <w:rFonts w:ascii="Arial" w:cs="Arial" w:eastAsia="Arial" w:hAnsi="Arial"/>
                <w:sz w:val="18"/>
                <w:szCs w:val="18"/>
                <w:color w:val="auto"/>
              </w:rPr>
              <w:t>n/m</w:t>
            </w:r>
          </w:p>
        </w:tc>
      </w:tr>
      <w:tr>
        <w:trPr>
          <w:trHeight w:val="237"/>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r>
      <w:tr>
        <w:trPr>
          <w:trHeight w:val="459"/>
        </w:trPr>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ind w:left="340"/>
              <w:spacing w:after="0"/>
              <w:rPr>
                <w:sz w:val="20"/>
                <w:szCs w:val="20"/>
                <w:color w:val="auto"/>
              </w:rPr>
            </w:pPr>
            <w:r>
              <w:rPr>
                <w:rFonts w:ascii="Arial" w:cs="Arial" w:eastAsia="Arial" w:hAnsi="Arial"/>
                <w:sz w:val="18"/>
                <w:szCs w:val="18"/>
                <w:color w:val="auto"/>
              </w:rPr>
              <w:t>The following table provides selected operating statistics for our Lending segment: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7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2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Short-term loan funding commitments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722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85,191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207,336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21,227</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38,212</w:t>
            </w: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r>
      <w:tr>
        <w:trPr>
          <w:trHeight w:val="230"/>
        </w:trPr>
        <w:tc>
          <w:tcPr>
            <w:tcW w:w="7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Future draw commitment (UPB) (1)</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1,458,689</w:t>
            </w:r>
          </w:p>
        </w:tc>
        <w:tc>
          <w:tcPr>
            <w:tcW w:w="10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1,320,422</w:t>
            </w: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7220" w:type="dxa"/>
            <w:vAlign w:val="bottom"/>
            <w:shd w:val="clear" w:color="auto" w:fill="EAF9E8"/>
          </w:tcPr>
          <w:p>
            <w:pPr>
              <w:ind w:left="40"/>
              <w:spacing w:after="0"/>
              <w:rPr>
                <w:sz w:val="20"/>
                <w:szCs w:val="20"/>
                <w:color w:val="auto"/>
              </w:rPr>
            </w:pPr>
            <w:r>
              <w:rPr>
                <w:rFonts w:ascii="Arial" w:cs="Arial" w:eastAsia="Arial" w:hAnsi="Arial"/>
                <w:sz w:val="18"/>
                <w:szCs w:val="18"/>
                <w:color w:val="auto"/>
              </w:rPr>
              <w:t>Future Value (2)</w:t>
            </w:r>
          </w:p>
        </w:tc>
        <w:tc>
          <w:tcPr>
            <w:tcW w:w="340" w:type="dxa"/>
            <w:vAlign w:val="bottom"/>
            <w:shd w:val="clear" w:color="auto" w:fill="EAF9E8"/>
          </w:tcPr>
          <w:p>
            <w:pPr>
              <w:spacing w:after="0"/>
              <w:rPr>
                <w:sz w:val="21"/>
                <w:szCs w:val="21"/>
                <w:color w:val="auto"/>
              </w:rPr>
            </w:pP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75,314</w:t>
            </w:r>
          </w:p>
        </w:tc>
        <w:tc>
          <w:tcPr>
            <w:tcW w:w="100" w:type="dxa"/>
            <w:vAlign w:val="bottom"/>
            <w:shd w:val="clear" w:color="auto" w:fill="EAF9E8"/>
          </w:tcPr>
          <w:p>
            <w:pPr>
              <w:spacing w:after="0"/>
              <w:rPr>
                <w:sz w:val="21"/>
                <w:szCs w:val="21"/>
                <w:color w:val="auto"/>
              </w:rPr>
            </w:pPr>
          </w:p>
        </w:tc>
        <w:tc>
          <w:tcPr>
            <w:tcW w:w="420" w:type="dxa"/>
            <w:vAlign w:val="bottom"/>
            <w:shd w:val="clear" w:color="auto" w:fill="EAF9E8"/>
          </w:tcPr>
          <w:p>
            <w:pPr>
              <w:spacing w:after="0"/>
              <w:rPr>
                <w:sz w:val="21"/>
                <w:szCs w:val="21"/>
                <w:color w:val="auto"/>
              </w:rPr>
            </w:pPr>
          </w:p>
        </w:tc>
        <w:tc>
          <w:tcPr>
            <w:tcW w:w="10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66,669</w:t>
            </w:r>
          </w:p>
        </w:tc>
        <w:tc>
          <w:tcPr>
            <w:tcW w:w="10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722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20" w:type="dxa"/>
            <w:vAlign w:val="bottom"/>
            <w:shd w:val="clear" w:color="auto" w:fill="EAF9E8"/>
          </w:tcPr>
          <w:p>
            <w:pPr>
              <w:spacing w:after="0"/>
              <w:rPr>
                <w:sz w:val="2"/>
                <w:szCs w:val="2"/>
                <w:color w:val="auto"/>
              </w:rPr>
            </w:pPr>
          </w:p>
        </w:tc>
        <w:tc>
          <w:tcPr>
            <w:tcW w:w="10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9"/>
              </w:rPr>
              <w:t>Six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Periods ended June 30,</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Production by Channel</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Correspondent</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159,560</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456,804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355,560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717,449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Retail</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216,432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184,376</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430,037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365,776</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18</w:t>
            </w:r>
          </w:p>
        </w:tc>
      </w:tr>
      <w:tr>
        <w:trPr>
          <w:trHeight w:val="297"/>
        </w:trPr>
        <w:tc>
          <w:tcPr>
            <w:tcW w:w="28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216,432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699,496</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432,195</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1,540,029</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(72)%</w:t>
            </w:r>
          </w:p>
        </w:tc>
      </w:tr>
      <w:tr>
        <w:trPr>
          <w:trHeight w:val="217"/>
        </w:trPr>
        <w:tc>
          <w:tcPr>
            <w:tcW w:w="2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 HARP production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Purchase production</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 Refinance production</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59</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shd w:val="clear" w:color="auto" w:fill="EAF9E8"/>
          </w:tcPr>
          <w:p>
            <w:pPr>
              <w:spacing w:after="0"/>
              <w:rPr>
                <w:sz w:val="23"/>
                <w:szCs w:val="23"/>
                <w:color w:val="auto"/>
              </w:rPr>
            </w:pPr>
          </w:p>
        </w:tc>
        <w:tc>
          <w:tcPr>
            <w:tcW w:w="340" w:type="dxa"/>
            <w:vAlign w:val="bottom"/>
            <w:shd w:val="clear" w:color="auto" w:fill="EAF9E8"/>
          </w:tcPr>
          <w:p>
            <w:pPr>
              <w:spacing w:after="0"/>
              <w:rPr>
                <w:sz w:val="23"/>
                <w:szCs w:val="23"/>
                <w:color w:val="auto"/>
              </w:rPr>
            </w:pPr>
          </w:p>
        </w:tc>
        <w:tc>
          <w:tcPr>
            <w:tcW w:w="11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40" w:type="dxa"/>
            <w:vAlign w:val="bottom"/>
            <w:shd w:val="clear" w:color="auto" w:fill="EAF9E8"/>
          </w:tcPr>
          <w:p>
            <w:pPr>
              <w:spacing w:after="0"/>
              <w:rPr>
                <w:sz w:val="23"/>
                <w:szCs w:val="23"/>
                <w:color w:val="auto"/>
              </w:rPr>
            </w:pPr>
          </w:p>
        </w:tc>
        <w:tc>
          <w:tcPr>
            <w:tcW w:w="11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340" w:type="dxa"/>
            <w:vAlign w:val="bottom"/>
            <w:shd w:val="clear" w:color="auto" w:fill="EAF9E8"/>
          </w:tcPr>
          <w:p>
            <w:pPr>
              <w:spacing w:after="0"/>
              <w:rPr>
                <w:sz w:val="23"/>
                <w:szCs w:val="23"/>
                <w:color w:val="auto"/>
              </w:rPr>
            </w:pPr>
          </w:p>
        </w:tc>
        <w:tc>
          <w:tcPr>
            <w:tcW w:w="11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40" w:type="dxa"/>
            <w:vAlign w:val="bottom"/>
            <w:shd w:val="clear" w:color="auto" w:fill="EAF9E8"/>
          </w:tcPr>
          <w:p>
            <w:pPr>
              <w:spacing w:after="0"/>
              <w:rPr>
                <w:sz w:val="23"/>
                <w:szCs w:val="23"/>
                <w:color w:val="auto"/>
              </w:rPr>
            </w:pPr>
          </w:p>
        </w:tc>
        <w:tc>
          <w:tcPr>
            <w:tcW w:w="11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20" w:type="dxa"/>
            <w:vAlign w:val="bottom"/>
            <w:shd w:val="clear" w:color="auto" w:fill="EAF9E8"/>
          </w:tcPr>
          <w:p>
            <w:pPr>
              <w:spacing w:after="0"/>
              <w:rPr>
                <w:sz w:val="23"/>
                <w:szCs w:val="23"/>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Reverse loans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Correspondent</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92,195</w:t>
            </w:r>
          </w:p>
        </w:tc>
        <w:tc>
          <w:tcPr>
            <w:tcW w:w="4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145,691</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184,050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309,239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44,620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86,400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97,672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165,953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Retail</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16,737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43,357</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35,683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73,332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(51)</w:t>
            </w:r>
          </w:p>
        </w:tc>
      </w:tr>
      <w:tr>
        <w:trPr>
          <w:trHeight w:val="297"/>
        </w:trPr>
        <w:tc>
          <w:tcPr>
            <w:tcW w:w="28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153,552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275,448</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317,405</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548,524</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(42)%</w:t>
            </w:r>
          </w:p>
        </w:tc>
      </w:tr>
      <w:tr>
        <w:trPr>
          <w:trHeight w:val="217"/>
        </w:trPr>
        <w:tc>
          <w:tcPr>
            <w:tcW w:w="2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772</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278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260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1,050</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1,023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55"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do not incur any substantive underwriting, marketing or compensation costs in connection with any future draws. We recognize this Future Value over time as future draws are securitized or sold.</w:t>
      </w:r>
    </w:p>
    <w:p>
      <w:pPr>
        <w:spacing w:after="0" w:line="1" w:lineRule="exact"/>
        <w:rPr>
          <w:rFonts w:ascii="Arial" w:cs="Arial" w:eastAsia="Arial" w:hAnsi="Arial"/>
          <w:sz w:val="16"/>
          <w:szCs w:val="16"/>
          <w:color w:val="auto"/>
        </w:rPr>
      </w:pPr>
    </w:p>
    <w:p>
      <w:pPr>
        <w:ind w:left="500" w:right="340" w:hanging="492"/>
        <w:spacing w:after="0" w:line="257"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Future Value represents the net present value of estimated future cash flows of the loans and projected performance assumptions based on historical experience and industry benchmarks discounted at 12%.</w:t>
      </w:r>
    </w:p>
    <w:p>
      <w:pPr>
        <w:spacing w:after="0" w:line="18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Lending segment results for the three and six months ended June 30, 2018, as compared to the same periods of 2017, were primarily driven by our strategic decisions to exit the forward lending correspondent and wholesale channels and the related impacts on loan production, revenue and expenses. Average headcount decreased in line with lower production and the focus on our retail channel, resulting in lower Compensation and benefits expense. Changes to the HECM program principal limit factors for originations after October 1, 2017 continue to negatively impact industry, and Liberty, originations. According to the HUD HECM Endorsement Summary Report, industry endorsements for the three and six months ended June 30, 2018 and 2017 totaled 9,539 and 39,377, and 14,723 and 41,553, declining 35% and 5%,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2017</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Total revenue decreased by $13.8 million, or 42%, in the second quarter of 2018 primarily due to the $605.0 million, or 62%, decrease in total loan production. Our exit from the forward lending correspondent and wholesale channels, while</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692" w:right="239" w:bottom="1440" w:gutter="0" w:footer="0" w:header="0"/>
          <w:type w:val="continuous"/>
        </w:sectPr>
      </w:pPr>
    </w:p>
    <w:bookmarkStart w:id="70" w:name="page71"/>
    <w:bookmarkEnd w:id="70"/>
    <w:p>
      <w:pPr>
        <w:spacing w:after="0" w:line="276" w:lineRule="auto"/>
        <w:rPr>
          <w:sz w:val="20"/>
          <w:szCs w:val="20"/>
          <w:color w:val="auto"/>
        </w:rPr>
      </w:pPr>
      <w:r>
        <w:rPr>
          <w:rFonts w:ascii="Arial" w:cs="Arial" w:eastAsia="Arial" w:hAnsi="Arial"/>
          <w:sz w:val="17"/>
          <w:szCs w:val="17"/>
          <w:color w:val="auto"/>
        </w:rPr>
        <w:t>resulting in a 69% decline in forward loan production as compared to the second quarter of 2017, resulted in a 36% reduction in gain on loans held for sale as volume in our higher-margin retail channel increased. In our reverse lending business, gain on loans held for sale declined on lower production across all channels driven in part by the HECM program changes offset by improved margins. Other revenue decreased primarily because of a decrease in the excess of changes in the fair value of our HECM loans held for investment over changes in the fair value of the HMBS financing liability due to higher interest rates reducing portfolio life, as a well as a decline in origination fees due to lower lending segment volumes.</w:t>
      </w:r>
    </w:p>
    <w:p>
      <w:pPr>
        <w:spacing w:after="0" w:line="6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Total expenses decreased $15.1 million, or 46%, as compared to the second quarter of 2017. Compensation and benefits expense decreased $9.8 million, or 49%, due to a reduction in headcount and a decline in commissions on lower forward lending origination volume driven by our exit of the correspondent and wholesale channels. Total average headcount of the Lending segment decreased 53% as compared to the second quarter of 2017, reflecting the strategic shift in our forward lending activities and lower origination volume in the reverse lending channels. Other expenses declined $3.4 million primarily due to a $2.5 million decrease in advertising expense.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and expense both declined in the second quarter of 2018, consistent with lower origination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2017</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Total revenue for the six months ended June 30, 2018 decreased $15.3 million, or 24%, as total loan production dropped $1.3 billion, or 64%, driven primarily by our exit from the forward lending correspondent and wholesale channels. The resulting decline in forward lending gain on loans held for sale was offset in part by higher production and margins in our retail channel. Reverse lending gain on loans held for sale declined due to lower production for all channels, offset in large part by higher margins. Other revenue declined due to a reduction in the net change in the fair value of reverse loans and the related financing liabilities and a decline in origination fees due to lower lending segment volumes.</w:t>
      </w:r>
    </w:p>
    <w:p>
      <w:pPr>
        <w:spacing w:after="0" w:line="6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Total expenses for the six months ended June 30, 2018 decreased $24.1 million, or 39%. The $16.8 million, or 43% decrease in Compensation and benefits expense is due to a 48% decrease in headcount and a decline in commissions resulting from the reduction in lending segment production. The $4.7 million decline in Other expenses is primarily attributed to a $2.9 million decline in advertising expense and a $1.2 million decline in the provision for indemnification.</w:t>
      </w:r>
    </w:p>
    <w:p>
      <w:pPr>
        <w:spacing w:after="0" w:line="1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decline in interest income and expense as compared to the six months ended June 30, 2017 is primarily the result of the overall decline in loan production.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Corporate Items and Other includes revenues and expenses of CRL, ACS and our other business activities that are currently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expenses incurred by corporate support services are allocated to the Servicing and Lending segments.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692" w:right="299" w:bottom="1440" w:gutter="0" w:footer="0" w:header="0"/>
        </w:sectPr>
      </w:pPr>
    </w:p>
    <w:bookmarkStart w:id="71" w:name="page72"/>
    <w:bookmarkEnd w:id="71"/>
    <w:p>
      <w:pPr>
        <w:ind w:right="2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Periods ended June 30,</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Premiums (CRL)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8,911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771</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(91)</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6,740</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9,036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13,840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23"/>
        </w:trPr>
        <w:tc>
          <w:tcPr>
            <w:tcW w:w="30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25,555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30,140</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54,498</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61,854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24,692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49,719</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44,647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71,323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13,419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12,149</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24,885</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26,443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2,947</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7,199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1,332</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(115)</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2,625</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17,257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09"/>
        </w:trPr>
        <w:tc>
          <w:tcPr>
            <w:tcW w:w="300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expenses before corporate</w:t>
            </w: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overhead allocations</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68,044</w:t>
            </w: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98,912</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134,571</w:t>
            </w:r>
          </w:p>
        </w:tc>
        <w:tc>
          <w:tcPr>
            <w:tcW w:w="120" w:type="dxa"/>
            <w:vAlign w:val="bottom"/>
            <w:tcBorders>
              <w:bottom w:val="single" w:sz="8" w:color="EAF9E8"/>
            </w:tcBorders>
            <w:shd w:val="clear" w:color="auto" w:fill="EAF9E8"/>
          </w:tcPr>
          <w:p>
            <w:pPr>
              <w:spacing w:after="0"/>
              <w:rPr>
                <w:sz w:val="20"/>
                <w:szCs w:val="20"/>
                <w:color w:val="auto"/>
              </w:rPr>
            </w:pPr>
          </w:p>
        </w:tc>
        <w:tc>
          <w:tcPr>
            <w:tcW w:w="4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186,839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(46,462)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(52,328)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(96,866)</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(109,134)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Lending segment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20,977</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45,666</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36,086</w:t>
            </w:r>
          </w:p>
        </w:tc>
        <w:tc>
          <w:tcPr>
            <w:tcW w:w="12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75,804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(52)</w:t>
            </w: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1,987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(13,842)</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(27,703)</w:t>
            </w:r>
          </w:p>
        </w:tc>
        <w:tc>
          <w:tcPr>
            <w:tcW w:w="12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(27,269)</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1,498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2,298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(219)</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(11,286)</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(29,129)</w:t>
            </w:r>
          </w:p>
        </w:tc>
        <w:tc>
          <w:tcPr>
            <w:tcW w:w="12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(22,984)</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27</w:t>
            </w:r>
          </w:p>
        </w:tc>
      </w:tr>
      <w:tr>
        <w:trPr>
          <w:trHeight w:val="223"/>
        </w:trPr>
        <w:tc>
          <w:tcPr>
            <w:tcW w:w="30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(31,890)</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(50,212)</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(56,179)</w:t>
            </w:r>
          </w:p>
        </w:tc>
        <w:tc>
          <w:tcPr>
            <w:tcW w:w="12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(84,948)</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2017</w:t>
      </w:r>
    </w:p>
    <w:p>
      <w:pPr>
        <w:spacing w:after="0" w:line="11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28% decrease in CRL premium revenue as compared to the three months ended June 30, 2017 is primarily driven by a 30% decline in the average number of foreclosed real estate properties in our servicing portfolio.</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before allocations declined $30.9 million, or 31%, as compared to the second quarter of 2017.</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$25.0 million, or 50%, decline in Professional services primarily reflects a $23.5 million decrease in legal fees and settlements, offset by $2.0 million of costs related to the PHH Merger Agreement. Legal expenses for the second quarter of 2017 included an increase in the accrual for a securities class action matter, which we subsequently settled. The $4.6 million, or 15%, reduction in Compensation and benefits expense primarily resulted from a 26% decline in average headcount offset in part by the recognition of certain one-time costs related to the departure of senior executives. Servicing and origination expense declined $1.1 million due to a decrease in reinsurance commissions incurred by CRL that was due to the decline in foreclosed real estate properties.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2017</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CRL premium revenue decreased 28% as compared to the six months ended June 30, 2017 due to a 29% decline in the average number of foreclosed real estate properties in our servicing portfolio.</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before allocations declined $52.3 million, or 28%, as compared to the six months ended June 30,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2" w:name="page73"/>
    <w:bookmarkEnd w:id="72"/>
    <w:p>
      <w:pPr>
        <w:ind w:right="280" w:firstLine="324"/>
        <w:spacing w:after="0" w:line="312" w:lineRule="auto"/>
        <w:rPr>
          <w:sz w:val="20"/>
          <w:szCs w:val="20"/>
          <w:color w:val="auto"/>
        </w:rPr>
      </w:pPr>
      <w:r>
        <w:rPr>
          <w:rFonts w:ascii="Arial" w:cs="Arial" w:eastAsia="Arial" w:hAnsi="Arial"/>
          <w:sz w:val="16"/>
          <w:szCs w:val="16"/>
          <w:color w:val="auto"/>
        </w:rPr>
        <w:t>Professional services expense declined $26.7 million, or 37%, as compared to the six months ended June 30, 2017 primarily due to a $24.0 million decrease in legal fees and settlements. A $4.9 million decrease in monitor expenses, due to the termination of the CA Auditor and NY Operations Monitor engagements in 2017, was offset by $4.9 million of costs incurred during the six months ended June 30, 2018 related to the PHH Merger Agreement.</w:t>
      </w:r>
    </w:p>
    <w:p>
      <w:pPr>
        <w:spacing w:after="0" w:line="3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Declines in Compensation and benefits and Occupancy and equipment are primarily attributable to headcount reductions and other actions we have taken to reduce our costs, including closing and consolidating certain facilities, and our exit from the ACS business. A 22% decline in average headcount drove the $7.4 million, or 12% reduction, in Compensation and benefits expense as compared to the six months ended June 30, 2017. Lower salaries and benefits attributed to the reduction in headcount was offset in part by the recognition of $7.3 million of related severance expense during the six months ended June 30, 2018. The $3.2 million decrease in Servicing and origination expense is the result of lower reinsurance commissions incurred by CRL during the six months ended June 30, 2018.</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expense for the six months ended June 30, 2017 includes a $5.2 million provision for losses on ACS automotive dealer financing notes.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At June 30, 2018, our cash position was $228.4 million compared to $259.7 million at December 31, 2017. We invest cash in excess of our immediate operating needs primarily in money market deposit accounts. Our main priorities for deployment of excess cash are: (1) supporting our core servicing and lending businesses and investing in these core assets, (2) reducing revolving lines of credit in order to reduce interest expense, (3) reducing corporate leverage and (4) expanding into similar or complementary businesses that meet our return on capital requirements.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Proceeds from sales and securitizations of originated loans and repurchased loans.</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September 1, 2017, pursuant to the 2017 Agreements, we successfully transferred MSRs with UPB of $15.9 billion to NRZ and received a lump-sum payment of $54.6 million. On January 18, 2018, we received a lump-sum payment of $279.6 million in accordance with the terms of the New RMSR Agreements.</w:t>
      </w:r>
    </w:p>
    <w:p>
      <w:pPr>
        <w:spacing w:after="0" w:line="7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Servicing advances are an important component of our business and represent amounts that we, as servicer, are required to advance to, or on behalf of, our servicing clients if we do not receive such amounts from borrowers. Our ability to finance servicing advances is a significant factor that affects our liquidity. Our use of advance financing facilities is integral to our servicing advance financing strategy. Revolving variable funding notes issued by our advance financing facilities to large global financial institutions generally have a 364-day revolving period. Term notes are generally issued to institutional investors with one-, two- or three-year maturities.</w:t>
      </w:r>
    </w:p>
    <w:p>
      <w:pPr>
        <w:spacing w:after="0" w:line="80"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 advance financing SPEs and to NRZ relating to the Rights to MSRs, we make certain representations, warranties and covenants primarily related to the nature of the transferred advance receivables, our financial condition and our servicing practices.</w:t>
      </w:r>
    </w:p>
    <w:p>
      <w:pPr>
        <w:spacing w:after="0" w:line="5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Advances and match funded advances comprised 14% of total assets at June 30, 2018. Our borrowings under our advance financing facilities are secured by pledges of servicing advances that are sold to the related SPE and by cash held in debt service accounts.</w:t>
      </w:r>
    </w:p>
    <w:p>
      <w:pPr>
        <w:spacing w:after="0" w:line="6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available borrowing capacity under our advance financing facilities has increased by $108.3 million to $259.3 million at June 30, 2018. While we reduced our maximum borrowing capacity by $115.0 million to better align with our anticipated future usage, the $223.3 million decline in outstanding borrowings drove the net increase in available capacity. Our ability to continue to pledge collateral under our advance financing facilities depends on the performance of the advances, among other factors. At June 30, 2018, $97.4 million of the available borrowing capacity could be used based on the amount of eligible collateral that had been pledged.</w:t>
      </w:r>
    </w:p>
    <w:p>
      <w:pPr>
        <w:spacing w:after="0" w:line="8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use mortgage loan warehouse facilities to fund newly originated loans on a short-term basis until they are sold to secondary market investors, including GSEs or other third-party investors. These warehouse facilities are structured as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692" w:right="259" w:bottom="1440" w:gutter="0" w:footer="0" w:header="0"/>
        </w:sectPr>
      </w:pPr>
    </w:p>
    <w:bookmarkStart w:id="73" w:name="page74"/>
    <w:bookmarkEnd w:id="73"/>
    <w:p>
      <w:pPr>
        <w:spacing w:after="0" w:line="291" w:lineRule="auto"/>
        <w:rPr>
          <w:sz w:val="20"/>
          <w:szCs w:val="20"/>
          <w:color w:val="auto"/>
        </w:rPr>
      </w:pPr>
      <w:r>
        <w:rPr>
          <w:rFonts w:ascii="Arial" w:cs="Arial" w:eastAsia="Arial" w:hAnsi="Arial"/>
          <w:sz w:val="16"/>
          <w:szCs w:val="16"/>
          <w:color w:val="auto"/>
        </w:rPr>
        <w:t>repurchase or participation agreements under which ownership of the loans is temporarily transferred to the lender. The loans are transferred at a discount, or haircut, which serves as the primary credit enhancement for the lender. Currently, our master repurchase and participation agreements generally have maximum terms of 364-days. The funds are typically repaid using the proceeds from the sale of the loans to the secondary market investors, usually within 30 days. At June 30, 2018, we had maximum borrowing capacity under our warehouse facilities of $687.5 million. Of the borrowing capacity extended on a committed basis, $171.8 million was available at June 30, 2018, and $57.8 million of the available borrowing capacity could be used based on the amount of eligible collateral that had been pledged. $409.1 million of available uncommitted amounts at June 30, 2018 can be advanced solely at the discretion of the lender, and there can be no assurance that any uncommitted amounts will be available to us at any particular time.</w:t>
      </w:r>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long-term capital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w:t>
      </w:r>
    </w:p>
    <w:p>
      <w:pPr>
        <w:spacing w:after="0" w:line="5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Quarterly Report on Form 10-Q is filed with the SEC.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10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Under the terms of our SSTL facility agreement, subject to certain exceptions, we are required to prepay the SSTL with 100% of the net cash proceeds from certain permitted asset sales, subject to our ability to reinvest such proceeds in our business within 270 days of receipt. During the second quarter of 2018, we voluntarily prepaid $50.0 million of the SSTL balance for the purpose of reducing interest costs.</w:t>
      </w:r>
    </w:p>
    <w:p>
      <w:pPr>
        <w:spacing w:after="0" w:line="7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have begun investing cash amounts not currently utilized in our servicing and lending businesses to achieve targeted investment returns within our risk appetite and we have also deployed excess cash to reduce secured borrowings. We continue to evaluate the best uses for such cash, which could involve investments in new assets or businesses and reductions in debt, among other options.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mitigate liquidity risk.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692" w:right="259" w:bottom="1440" w:gutter="0" w:footer="0" w:header="0"/>
        </w:sectPr>
      </w:pPr>
    </w:p>
    <w:bookmarkStart w:id="74" w:name="page75"/>
    <w:bookmarkEnd w:id="74"/>
    <w:p>
      <w:pPr>
        <w:ind w:left="660" w:right="10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projected future sales of MSRs, interests in MSRs or other assets and any reimbursement of servicing advances that may be related to any such sales;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Projected funding requirements of new investment and business initiatives, including our pending acquisition of PHH.</w:t>
      </w:r>
    </w:p>
    <w:p>
      <w:pPr>
        <w:spacing w:after="0" w:line="10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have considered the impact of financial projections on our liquidity analysis and have evaluated the appropriateness of the key assumptions in our forecast such as revenues, expenses, our assessment of the likely impact of recent regulatory actions, recurring and nonrecurring costs and sales of MSRs and other assets. We have analyzed our cash requirements and financial obligations. Based upon these evaluations and analysis, we believe that we have sufficient liquidity to meet our obligations and fund our operations for the next twelve months.</w:t>
      </w:r>
    </w:p>
    <w:p>
      <w:pPr>
        <w:spacing w:after="0" w:line="63"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are required to maintain certain minimum levels of cash under our debt agreements and portions of our cash balances are held in our non-U.S. subsidiaries. We would have to repatriate the cash held by our non-U.S. subsidiaries, potentially with tax consequences and in compliance with applicable laws, should we wish to utilize that cash in the U.S.</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June 30, 2018, the revolving periods of our advance financing facilities for variable funding notes with a total borrowing capacity of $195.0 million were scheduled to end during 2018, subject to renewal, replacement or extension. Borrowings of $0.6 million are outstanding on these notes at June 30, 2018. In the event we are unable to renew, replace or extend the revolving period of one or more of these advance financing facilities, monthly amortization of the outstanding balance must generally begin at the end of the respective revolving period. Changes to our advance financing facilities subsequent to June 30, 2018 are disclosed below.</w:t>
      </w:r>
    </w:p>
    <w:p>
      <w:pPr>
        <w:spacing w:after="0" w:line="8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master repurchase and participation agreements for financing new loan originations generally have 364-day terms. At June 30, 2018, we had $75.8 million outstanding under these financing arrangements that mature in 2018.</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Despite the heightened regulatory and public scrutiny we have faced, including regulatory actions and settlements, we continue to access both the private and public debt markets to fund our business operations. We believe that we will be able to renew, replace or extend our debt agreements to the extent necessary to finance our business before or as they become due, consistent with our historical experience.</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are actively engaged with our lenders and as a result, have successfully completed the following with respect to our current and anticipated financing needs:</w:t>
      </w:r>
    </w:p>
    <w:p>
      <w:pPr>
        <w:spacing w:after="0" w:line="62" w:lineRule="exact"/>
        <w:rPr>
          <w:sz w:val="20"/>
          <w:szCs w:val="20"/>
          <w:color w:val="auto"/>
        </w:rPr>
      </w:pPr>
    </w:p>
    <w:p>
      <w:pPr>
        <w:ind w:left="660" w:right="40" w:hanging="328"/>
        <w:spacing w:after="0" w:line="25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January 1, 2018, we reduced the borrowing capacity of the Series 2015-VF5 variable rate notes from $105.0 million to $70.0 million. Additionally, effective January 1, 2018, we converted the Series 2014-VF4 variable notes into a single class Series 2014-VF4 Note and reduced the maximum borrowing capacity from $105.0 million to $70.0 million. The prior senior and subordinate margins by class have been replaced by an all-in margin of 3.00%.</w:t>
      </w:r>
    </w:p>
    <w:p>
      <w:pPr>
        <w:spacing w:after="0" w:line="2"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January 23, 2018, we voluntarily terminated the Loan Series 2017-1 automotive dealer floor plan loan agreement pursuant to our exit of the ACS line of business.</w:t>
      </w:r>
    </w:p>
    <w:p>
      <w:pPr>
        <w:ind w:left="660" w:right="70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May 31, 2018, we extended to April 30, 2019 and May 31, 2019 the maturity of two warehouse facilities with a combined uncommitted borrowing capacity of $250.0 million.</w:t>
      </w:r>
    </w:p>
    <w:p>
      <w:pPr>
        <w:ind w:left="660" w:right="3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June 7, 2018, we reduced the borrowing capacity of the Series 2015-VF1 variable rate notes from $110.0 million to $65.0 million with interest computed based on the lender’s cost of funds plus a margin of 180 to 450 bps.</w:t>
      </w:r>
    </w:p>
    <w:p>
      <w:pPr>
        <w:ind w:left="660" w:right="40" w:hanging="328"/>
        <w:spacing w:after="0" w:line="25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July 13, 2018, we increased the borrowing capacity of the Series 2015-VF5 variable notes from $70.0 million to $225.0 million and extended the amortization date to December 15, 2019, with interest computed based on the lender’s cost of funds plus a margin of 105 to 250 bps. The increased capacity was used on July 16, 2018 to redeem the Series 2016-T1 fixed-rate term notes with an outstanding balance of $265.0 million and an amortization date of August 15, 2018. We also voluntarily terminated the Series 2014-VF4 variable note on such date, due to reductions in outstanding advances.</w:t>
      </w:r>
    </w:p>
    <w:p>
      <w:pPr>
        <w:spacing w:after="0" w:line="83"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 of PHH</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As discussed above, on February 27, 2018, we entered into the Merger Agreement, pursuant to which PHH will become a wholly owned subsidiary of Ocwen. We expect our operations, financial position and cash flows to be significantly impacted following the closing of this transaction, which we are currently targeting to close in the third quarter of 2018. The merger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584" w:right="259" w:bottom="1440" w:gutter="0" w:footer="0" w:header="0"/>
        </w:sectPr>
      </w:pPr>
    </w:p>
    <w:bookmarkStart w:id="75" w:name="page76"/>
    <w:bookmarkEnd w:id="75"/>
    <w:p>
      <w:pPr>
        <w:ind w:right="140"/>
        <w:spacing w:after="0" w:line="259" w:lineRule="auto"/>
        <w:rPr>
          <w:sz w:val="20"/>
          <w:szCs w:val="20"/>
          <w:color w:val="auto"/>
        </w:rPr>
      </w:pPr>
      <w:r>
        <w:rPr>
          <w:rFonts w:ascii="Arial" w:cs="Arial" w:eastAsia="Arial" w:hAnsi="Arial"/>
          <w:sz w:val="18"/>
          <w:szCs w:val="18"/>
          <w:color w:val="auto"/>
        </w:rPr>
        <w:t>consideration to be paid in the acquisition will be approximately $360.0 million and is expected to be funded by a combination of PHH’s cash on hand and Ocwen’s cash on hand. The portion to be funded by Ocwen’s cash on hand is currently estimated to be approximately $74.0 million, including payment of certain transaction expenses at closing, based on financial information provided by PHH and internal analysis. We also expect cash payments for integration costs and other transaction-related costs following the closing of the transaction.</w:t>
      </w:r>
    </w:p>
    <w:p>
      <w:pPr>
        <w:spacing w:after="0" w:line="18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Upon the closing of the transaction, Ocwen will also assume debt (at the subsidiary level) in the form of PHH’s outstanding senior unsecured notes. The aggregate principal amount of these notes is approximately $119.0 million, representing approximately $97.0 million of PHH’s 7.375% Senior Notes Due 2019 and approximately $22.0 million of PHH’s 6.375% Senior Notes Due 2021.</w:t>
      </w:r>
    </w:p>
    <w:p>
      <w:pPr>
        <w:spacing w:after="0" w:line="181"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We have not recognized certain expenses that are contingent on completion of the acquisition. These expenses include financial advisory fees, certain legal fees and compensation expense related to PHH comprised of certain options, restricted stock units, restricted cash units and restricted shares issued by PHH for which vesting will accelerate. Most of these contingent expenses will be recognized in our consolidated financial statements in the period in which the acquisition occurs, with the remainder recognized thereafter. The final amount of compensation expense to be recognized is partially dependent upon personnel decisions that will be made as part of integration planning. These amounts may be material.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38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Long-term Corporate Rating</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Caa1</w:t>
            </w:r>
          </w:p>
        </w:tc>
        <w:tc>
          <w:tcPr>
            <w:tcW w:w="25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Negative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June 19, 2018</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B –</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Negative</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June 18, 2018</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4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52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6"/>
              </w:rPr>
              <w:t>B –</w:t>
            </w:r>
          </w:p>
        </w:tc>
        <w:tc>
          <w:tcPr>
            <w:tcW w:w="250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Negative</w:t>
            </w:r>
          </w:p>
        </w:tc>
        <w:tc>
          <w:tcPr>
            <w:tcW w:w="2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June 8, 2018</w:t>
            </w:r>
          </w:p>
        </w:tc>
      </w:tr>
      <w:tr>
        <w:trPr>
          <w:trHeight w:val="27"/>
        </w:trPr>
        <w:tc>
          <w:tcPr>
            <w:tcW w:w="38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4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3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380" w:type="dxa"/>
            <w:vAlign w:val="bottom"/>
            <w:shd w:val="clear" w:color="auto" w:fill="EAF9E8"/>
          </w:tcPr>
          <w:p>
            <w:pPr>
              <w:spacing w:after="0"/>
              <w:rPr>
                <w:sz w:val="2"/>
                <w:szCs w:val="2"/>
                <w:color w:val="auto"/>
              </w:rPr>
            </w:pPr>
          </w:p>
        </w:tc>
      </w:tr>
    </w:tbl>
    <w:p>
      <w:pPr>
        <w:spacing w:after="0" w:line="107" w:lineRule="exact"/>
        <w:rPr>
          <w:sz w:val="20"/>
          <w:szCs w:val="20"/>
          <w:color w:val="auto"/>
        </w:rPr>
      </w:pPr>
    </w:p>
    <w:p>
      <w:pPr>
        <w:ind w:right="60" w:firstLine="324"/>
        <w:spacing w:after="0" w:line="269" w:lineRule="auto"/>
        <w:rPr>
          <w:sz w:val="20"/>
          <w:szCs w:val="20"/>
          <w:color w:val="auto"/>
        </w:rPr>
      </w:pPr>
      <w:r>
        <w:rPr>
          <w:rFonts w:ascii="Arial" w:cs="Arial" w:eastAsia="Arial" w:hAnsi="Arial"/>
          <w:sz w:val="18"/>
          <w:szCs w:val="18"/>
          <w:color w:val="auto"/>
        </w:rPr>
        <w:t>On June 18, 2018, S&amp;P affirmed our long-term corporate rating of “B-” and a Negative Outlook. On June 19, 2018, Moody’s affirmed our long-term corporate rating at “Caa1” and a Negative Outlook. On June 8, 2018, Fitch affirmed the long-term issuer default rating of “B-” and the Negative Outlook. On June 25, 2018, Ocwen announced its decision not to renew its corporate rating by Fitch as part of our ongoing efforts to reduce costs</w:t>
      </w:r>
      <w:r>
        <w:rPr>
          <w:rFonts w:ascii="Arial" w:cs="Arial" w:eastAsia="Arial" w:hAnsi="Arial"/>
          <w:sz w:val="19"/>
          <w:szCs w:val="19"/>
          <w:color w:val="auto"/>
        </w:rPr>
        <w:t>.</w:t>
      </w:r>
      <w:r>
        <w:rPr>
          <w:rFonts w:ascii="Arial" w:cs="Arial" w:eastAsia="Arial" w:hAnsi="Arial"/>
          <w:sz w:val="18"/>
          <w:szCs w:val="18"/>
          <w:color w:val="auto"/>
        </w:rPr>
        <w:t xml:space="preserve"> It is possible that additional actions by credit rating agencies could have a material adverse impact on our liquidity and funding position, including materially changing the terms on which we may be able to borrow money.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2018</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operating activities provided $196.6 million of cash largely due to $182.5 million of net collections of servicing advances. Net cash paid on loans held for sale was $37.6 million for the six months ended June 30, 2018.</w:t>
      </w:r>
    </w:p>
    <w:p>
      <w:pPr>
        <w:spacing w:after="0" w:line="6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investing activities used $266.2 million of cash. The primary uses of cash in our investing activities were net cash outflows in connection with our HECM reverse mortgages of $301.3 million. Cash inflows include net proceeds of $32.9 million in connection with the ACS business and the receipt of $5.0 million of net proceeds from sale of MSRs and related advances.</w:t>
      </w:r>
    </w:p>
    <w:p>
      <w:pPr>
        <w:spacing w:after="0" w:line="7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financing activities provided $23.2 million of cash. Cash inflows include $499.6 million received in connection with our reverse mortgage securitizations, which are accounted for as secured financings, less repayments on the related financing liability of $181.5 million. In January 2018, Ocwen received a lump-sum payment of $279.6 million in accordance with the terms of the New RMSR Agreements. Cash outflows include $247.9 million of net repayments on match funded liabilities as a result of advance recoveries, and $58.4 million of repayments on the SSTL. In addition, we reduced borrowings under our mortgage loan warehouse facilities by $149.2 million.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692"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Cash flows for the six months ended June 30, 2017</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operating activities provided $282.6 million of cash largely due to $226.7 million of net collections of servicing advances. Net cash paid on loans held for sale during the six months ended June 30, 2017 was $26.2 million.</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investing activities used $516.2 million of cash. The primary uses of cash in our investing activities include net cash outflows in connection with our HECM reverse mortgages of $505.9 million, net cash outflows of $8.8 million in connection with the ACS business and additions to premises and equipment of $7.2 million. Cash inflows for the six months ended June 30, 2017 include the receipt of $5.2 million of net proceeds from the sale of MSRs and related advances.</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financing activities provided $230.3 million of cash. Cash inflows include $664.5 million received in connection with our reverse mortgage securitizations, less repayments on the related financing liability of $176.2 million. Cash outflows include $172.6 million of net repayments on match funded liabilities as a result of advance recoveries and $8.4 million of repayments on the SSTL. In addition, we reduced borrowings under our mortgage loan warehouse facilities by $27.9 million.</w:t>
      </w:r>
    </w:p>
    <w:p>
      <w:pPr>
        <w:spacing w:after="0" w:line="75" w:lineRule="exact"/>
        <w:rPr>
          <w:sz w:val="20"/>
          <w:szCs w:val="20"/>
          <w:color w:val="auto"/>
        </w:rPr>
      </w:pPr>
    </w:p>
    <w:p>
      <w:pPr>
        <w:ind w:right="4620"/>
        <w:spacing w:after="0" w:line="378" w:lineRule="auto"/>
        <w:rPr>
          <w:sz w:val="20"/>
          <w:szCs w:val="20"/>
          <w:color w:val="auto"/>
        </w:rPr>
      </w:pPr>
      <w:r>
        <w:rPr>
          <w:rFonts w:ascii="Arial" w:cs="Arial" w:eastAsia="Arial" w:hAnsi="Arial"/>
          <w:sz w:val="18"/>
          <w:szCs w:val="18"/>
          <w:b w:val="1"/>
          <w:bCs w:val="1"/>
          <w:color w:val="auto"/>
        </w:rPr>
        <w:t>CONTRACTUAL OBLIGATIONS AND OFF-BALANCE SHEET ARRANGEMENTS Contractual Obligations</w:t>
      </w:r>
    </w:p>
    <w:p>
      <w:pPr>
        <w:ind w:right="140" w:firstLine="324"/>
        <w:spacing w:after="0" w:line="293"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At June 30, 2018, such contractual obligations were primarily comprised of secured and unsecured borrowings, interest payments, operating leases and commitments to originate or purchase loans, including equity draws on reverse mortgages. There were no material changes to the table of specified contractual obligations contained in our Annual Report on Form 10-K during the six months ended June 30, 2018, except that we terminated our match funded lending agreement to finance automotive dealer loans made by the ACS business and we reduced the borrowing capacity of certain match funded advance financing facilities. See Note 11 – Borrowings to the Unaudited Consolidated Financial Statements for additional information.</w:t>
      </w:r>
    </w:p>
    <w:p>
      <w:pPr>
        <w:spacing w:after="0" w:line="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forecasting with respect to our ability to satisfy our contractual obligations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and if this were to occur, it could have a material adverse effect on our business, financial condition, liquidity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 We have also entered into non-cancelable operating leases principally for our office facilities.</w:t>
      </w:r>
    </w:p>
    <w:p>
      <w:pPr>
        <w:spacing w:after="0" w:line="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Mortgage Loan Repurchase and Indemnification Liabilities. </w:t>
      </w:r>
      <w:r>
        <w:rPr>
          <w:rFonts w:ascii="Arial" w:cs="Arial" w:eastAsia="Arial" w:hAnsi="Arial"/>
          <w:sz w:val="18"/>
          <w:szCs w:val="18"/>
          <w:color w:val="auto"/>
        </w:rPr>
        <w:t>We have exposure to representation, warranty and indemnification obligations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 See Note 2 – Securitizations and Variable Interest Entities, Note 12 – Other Liabilities and Note 20 – Contingencies to the Unaudited Consolidated Financial Statements for additional information.</w:t>
      </w:r>
    </w:p>
    <w:p>
      <w:pPr>
        <w:spacing w:after="0" w:line="81"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i w:val="1"/>
          <w:iCs w:val="1"/>
          <w:color w:val="auto"/>
        </w:rPr>
        <w:t>Involvement with VIEs</w:t>
      </w:r>
      <w:r>
        <w:rPr>
          <w:rFonts w:ascii="Arial" w:cs="Arial" w:eastAsia="Arial" w:hAnsi="Arial"/>
          <w:sz w:val="16"/>
          <w:szCs w:val="16"/>
          <w:color w:val="auto"/>
        </w:rPr>
        <w:t>. We use SPEs and VIEs for a variety of purposes but principally in the financing of our servicing advances and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securitization of mortgage loans. We include VIEs in our unaudited consolidated financial statements if we determine we are the primary beneficiary. See Note 2 – Securitizations and Variable Interest Entities to the Unaudited Consolidated Financial Statements for additional information.</w:t>
      </w:r>
    </w:p>
    <w:p>
      <w:pPr>
        <w:spacing w:after="0" w:line="3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692" w:right="279" w:bottom="1440" w:gutter="0" w:footer="0" w:header="0"/>
        </w:sectPr>
      </w:pPr>
    </w:p>
    <w:bookmarkStart w:id="77" w:name="page78"/>
    <w:bookmarkEnd w:id="77"/>
    <w:p>
      <w:pPr>
        <w:ind w:right="2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derivatives at fair value on our consolidated balance sheets. We use these derivatives primarily to manage our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notional amounts of our derivative contracts do not reflect our exposure to credit loss. See Note 13 – Derivative Financial Instruments and Hedging Activities to the Unaudited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disclosed in our Annual Report on Form 10-K for the year ended December 31, 2017 in Note 1 to the Consolidated Financial Statements and in Management’s Discussion and Analysis of Financial Condition and Results of Operations under “Critical Accounting Policies and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3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to prioritize the inputs utilized to measure fair value. We review and modify, as necessary, our fair value hierarchy classifications on a quarterly basis. As such, there may be reclassifications between hierarchy levels.</w:t>
      </w:r>
    </w:p>
    <w:p>
      <w:pPr>
        <w:spacing w:after="0" w:line="16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December 31, 2017</w:t>
            </w:r>
          </w:p>
        </w:tc>
      </w:tr>
      <w:tr>
        <w:trPr>
          <w:trHeight w:val="27"/>
        </w:trPr>
        <w:tc>
          <w:tcPr>
            <w:tcW w:w="796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209,453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238,358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Loans held for investment</w:t>
            </w:r>
          </w:p>
        </w:tc>
        <w:tc>
          <w:tcPr>
            <w:tcW w:w="22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5,143,758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4,715,831</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 recurring basis</w:t>
            </w:r>
          </w:p>
        </w:tc>
        <w:tc>
          <w:tcPr>
            <w:tcW w:w="2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1,043,995</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671,962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MSRs - nonrecurring basis, net (1)</w:t>
            </w:r>
          </w:p>
        </w:tc>
        <w:tc>
          <w:tcPr>
            <w:tcW w:w="220" w:type="dxa"/>
            <w:vAlign w:val="bottom"/>
          </w:tcPr>
          <w:p>
            <w:pPr>
              <w:spacing w:after="0"/>
              <w:rPr>
                <w:sz w:val="21"/>
                <w:szCs w:val="21"/>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133,227</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4,998</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5,429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1,592</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U.S. Treasury notes</w:t>
            </w:r>
          </w:p>
        </w:tc>
        <w:tc>
          <w:tcPr>
            <w:tcW w:w="2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1,567</w:t>
            </w:r>
          </w:p>
        </w:tc>
      </w:tr>
      <w:tr>
        <w:trPr>
          <w:trHeight w:val="297"/>
        </w:trPr>
        <w:tc>
          <w:tcPr>
            <w:tcW w:w="796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Assets at fair value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6,405,496</w:t>
            </w:r>
          </w:p>
        </w:tc>
        <w:tc>
          <w:tcPr>
            <w:tcW w:w="10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5,767,966</w:t>
            </w:r>
          </w:p>
        </w:tc>
      </w:tr>
      <w:tr>
        <w:trPr>
          <w:trHeight w:val="237"/>
        </w:trPr>
        <w:tc>
          <w:tcPr>
            <w:tcW w:w="7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total assets</w:t>
            </w:r>
          </w:p>
        </w:tc>
        <w:tc>
          <w:tcPr>
            <w:tcW w:w="2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HMBS-related borrowings</w:t>
            </w:r>
          </w:p>
        </w:tc>
        <w:tc>
          <w:tcPr>
            <w:tcW w:w="2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5,040,983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4,601,556</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Financing liability - MSRs pledged</w:t>
            </w:r>
          </w:p>
        </w:tc>
        <w:tc>
          <w:tcPr>
            <w:tcW w:w="22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672,619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508,291</w:t>
            </w:r>
          </w:p>
        </w:tc>
      </w:tr>
      <w:tr>
        <w:trPr>
          <w:trHeight w:val="27"/>
        </w:trPr>
        <w:tc>
          <w:tcPr>
            <w:tcW w:w="796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financing liabilities</w:t>
            </w:r>
          </w:p>
        </w:tc>
        <w:tc>
          <w:tcPr>
            <w:tcW w:w="2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5,713,602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5,109,847</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635</w:t>
            </w:r>
          </w:p>
        </w:tc>
      </w:tr>
      <w:tr>
        <w:trPr>
          <w:trHeight w:val="27"/>
        </w:trPr>
        <w:tc>
          <w:tcPr>
            <w:tcW w:w="796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Liabilities at fair value</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5,716,050</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5,110,482</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As a percentage of total liabilities</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6,246,689</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5,548,764</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5,713,602</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5,109,847</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25" w:lineRule="exact"/>
        <w:rPr>
          <w:sz w:val="20"/>
          <w:szCs w:val="20"/>
          <w:color w:val="auto"/>
        </w:rPr>
      </w:pPr>
    </w:p>
    <w:p>
      <w:pPr>
        <w:ind w:left="500" w:right="100" w:hanging="492"/>
        <w:spacing w:after="0" w:line="275"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balance represents our impaired government-insured stratum of MSRs previously accounted for using the amortization method, which were measured at fair value on a nonrecurring basis. The carrying value of this stratum is net of a valuation allowance of $24.8 million at December 31, 2017.</w:t>
      </w:r>
    </w:p>
    <w:p>
      <w:pPr>
        <w:spacing w:after="0" w:line="16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Assets at fair value using Level 3 inputs increased during the six months ended June 30, 2018 primarily due to reverse mortgage originations and the fair value election on our remaining portfolio of amortization method MSRs. Liabilities at fair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92" w:right="239" w:bottom="1440" w:gutter="0" w:footer="0" w:header="0"/>
        </w:sectPr>
      </w:pPr>
    </w:p>
    <w:bookmarkStart w:id="78" w:name="page79"/>
    <w:bookmarkEnd w:id="78"/>
    <w:p>
      <w:pPr>
        <w:ind w:right="420"/>
        <w:spacing w:after="0" w:line="259" w:lineRule="auto"/>
        <w:rPr>
          <w:sz w:val="20"/>
          <w:szCs w:val="20"/>
          <w:color w:val="auto"/>
        </w:rPr>
      </w:pPr>
      <w:r>
        <w:rPr>
          <w:rFonts w:ascii="Arial" w:cs="Arial" w:eastAsia="Arial" w:hAnsi="Arial"/>
          <w:sz w:val="18"/>
          <w:szCs w:val="18"/>
          <w:color w:val="auto"/>
        </w:rPr>
        <w:t>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7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MSRs are assets that represent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elect to account for MSRs using either the amortization method or the fair value measurement method.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Historically, our strata had been defined as conventional loans (i.e. conforming to the underwriting standards of Fannie Mae or Freddie Mac), government-insured loans (insured by FHA or VA) and non-Agency loans (i.e. all private label primary and master serviced).</w:t>
      </w:r>
    </w:p>
    <w:p>
      <w:pPr>
        <w:spacing w:after="0" w:line="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Effective January 1, 2018, we elected fair value accounting for our MSRs previously accounted for using the amortization method, which included Agency MSRs and government-insured MSRs. Effective with this election, our entire portfolio of MSRs is accounted for using the fair measurement method. This irrevocable election applies to all subsequently acquired or originated servicing assets and liabilities that have characteristics consistent with each of these classes. We recorded a cumulative-effect adjustment of $82.0 million to retained earnings as of January 1, 2018 to reflect the excess of the fair value of the Agency MSRs over their carrying amount. The government-insured MSRs were impaired by $24.8 million at December 31, 2017; therefore, these MSRs are already effectively carried at fair value. At December 31, 2017, the UPB and net carrying value of Agency MSRs for which the fair value election was made was $40.9 billion and $336.9 million, respectively. At December 31, 2017, the UPB and net carrying value of government-insured MSRs for which the fair value election was made was $16.9 billion and $133.2 million, respectively.</w:t>
      </w:r>
    </w:p>
    <w:p>
      <w:pPr>
        <w:spacing w:after="0" w:line="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 The key assumptions used in the valuation of these MSRs include prepayment speeds, loan delinquency, cost to service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In December 2017, the Securities and Exchange Commission Staff issued Staff Accounting Bulletin (SAB) 118, which provides guidance on accounting for the income tax effects of the Tax Act. SAB 118 provides a measurement period that should not extend beyond one year from the Tax Act enactment date for companies to complete the accounting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and should continue to apply ASC 740 on the basis of the provisions of the tax laws that were in effect immediately before the enactment of the Tax Act. We adopted the guidance of SAB 118 as of December 31, 2017. See Note 15 - Income Taxes for additional information on the Tax Act and the impact on our consolidated financial statements.</w:t>
      </w:r>
    </w:p>
    <w:p>
      <w:pPr>
        <w:spacing w:after="0" w:line="5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692" w:right="279" w:bottom="1440" w:gutter="0" w:footer="0" w:header="0"/>
        </w:sectPr>
      </w:pPr>
    </w:p>
    <w:bookmarkStart w:id="79" w:name="page80"/>
    <w:bookmarkEnd w:id="79"/>
    <w:p>
      <w:pPr>
        <w:ind w:right="4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27"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3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For the three-year periods ended December 31, 2017 and 2016, the USVI filing jurisdiction was in a material cumulative loss position. The U.S. jurisdiction was also in a three-year cumulative loss position as of December 31, 2017 and 2016.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5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a result of these evaluations, we recognized a full valuation allowance of $62.9 million on our U.S. deferred tax assets and $43.9 million on our USVI deferred tax assets.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is subject to change based on the profitability that we achieve.</w:t>
      </w:r>
    </w:p>
    <w:p>
      <w:pPr>
        <w:spacing w:after="0" w:line="15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Net operating loss (NOL) carryforwards may be subject to annual limitations under Internal Revenue Code Section 382 (Section 382) (or comparable provisions of foreign or state law) in the event that certain changes in ownership were to occur. We periodically evaluate our NOL carryforwards and whether certain changes in ownership have occurred as measured under Section 382 that would limit our ability to utilize a portion of our NOL carryforwards. If it is determined that an ownership change(s) has occurred, there may be annual limitations on the use of these NOL carryforwards under Section 382 (or comparable provisions of foreign or state law).</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currently in the process of evaluating whether we experienced an ownership change as measured under Section 382, and during 2017 identified risk that an ownership change may have occurred in the U.S. jurisdiction, which would also result in an ownership change under Section 382 in the USVI jurisdiction. As part of this evaluation, Ocwen is seeking additional information pertaining to certain identified 5% shareholders, and their economic ownership for Section 382 purposes. To the extent an ownership change is ultimately determined to have occurred, the annual utilization of our NOLs may be subject to certain limitations under Section 382 and other limitations under state tax laws.</w:t>
      </w:r>
    </w:p>
    <w:p>
      <w:pPr>
        <w:spacing w:after="0" w:line="188" w:lineRule="exact"/>
        <w:rPr>
          <w:sz w:val="20"/>
          <w:szCs w:val="20"/>
          <w:color w:val="auto"/>
        </w:rPr>
      </w:pPr>
    </w:p>
    <w:p>
      <w:pPr>
        <w:ind w:right="300" w:firstLine="324"/>
        <w:spacing w:after="0" w:line="276" w:lineRule="auto"/>
        <w:rPr>
          <w:sz w:val="20"/>
          <w:szCs w:val="20"/>
          <w:color w:val="auto"/>
        </w:rPr>
      </w:pPr>
      <w:r>
        <w:rPr>
          <w:rFonts w:ascii="Arial" w:cs="Arial" w:eastAsia="Arial" w:hAnsi="Arial"/>
          <w:sz w:val="17"/>
          <w:szCs w:val="17"/>
          <w:color w:val="auto"/>
        </w:rPr>
        <w:t>Any reduction to our NOL deferred tax asset due to an annual Section 382 limitation and the NOL carryforward period is expected to result in an offsetting reduction in valuation allowance related to the NOL deferred tax asset. In addition, any limitation on the utilization of our NOL carryforwards could result in Ocwen incurring a current tax liability. At this time, we anticipate that any limitation would not have a material impact on our consolidated statements of operations. However, as we are still in the process of evaluating whether and when we experienced an ownership change and are seeking additional information from shareholders, the final impact of Section 382 limitations has not been determined.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In accordance with ASC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63" w:lineRule="exact"/>
        <w:rPr>
          <w:sz w:val="20"/>
          <w:szCs w:val="20"/>
          <w:color w:val="auto"/>
        </w:rPr>
      </w:pPr>
    </w:p>
    <w:p>
      <w:pPr>
        <w:ind w:left="660" w:right="6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665" w:right="259" w:bottom="1440" w:gutter="0" w:footer="0" w:header="0"/>
        </w:sectPr>
      </w:pPr>
    </w:p>
    <w:bookmarkStart w:id="80" w:name="page81"/>
    <w:bookmarkEnd w:id="80"/>
    <w:p>
      <w:pPr>
        <w:ind w:left="660" w:right="140" w:hanging="328"/>
        <w:spacing w:after="0" w:line="25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20" w:hanging="328"/>
        <w:spacing w:after="0" w:line="25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regulatory/legal proceedings or rating agency decisions).</w:t>
      </w:r>
    </w:p>
    <w:p>
      <w:pPr>
        <w:spacing w:after="0" w:line="8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3"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Listed below are recent Accounting Standards Update (ASU) that we adopted on January 1, 2018. We adopted ASU 2016-16 on a modified retrospective basis by recording a cumulative-effect reduction of $5.6 million to retained earnings. Our adoption of the other standards listed below did not have a material impact on our unaudited consolidated financial statements.</w:t>
      </w:r>
    </w:p>
    <w:p>
      <w:pPr>
        <w:spacing w:after="0" w:line="18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ASU 2014-09: Revenue from Contracts with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ASU 2016-01: Financial Instruments: Recognition and Measurement of Financial Assets and Financial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ASU 2016-15: Statement of Cash Flows: Classification of Certain Cash Receipts and Cash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ASU 2016-18: Statement of Cash Flows: Restricted Cash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ASU 2017-01: Business Combinations: Clarifying the Definition of a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ASU 2017-09: Compensation: Stock Compensation</w:t>
      </w:r>
    </w:p>
    <w:p>
      <w:pPr>
        <w:spacing w:after="0" w:line="2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also evaluating the impact of recently issued ASUs not yet adopted that are not effective for us until on or after January 1, 2019. While we do not anticipate that our adoption of most of these ASUs will have a material impact on our consolidated financial statements, we are currently evaluating the effect of adopting certain ASUs. See Note 1 – Organization, Business Environment and Basis of Presentation to the Unaudited Consolidated Financial Statements for additional information.</w:t>
      </w:r>
    </w:p>
    <w:p>
      <w:pPr>
        <w:spacing w:after="0" w:line="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3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management-level Credit and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13 – Derivative Financial Instruments and Hedging Activities to the Unaudited Consolidated Financial Statements for additional information regarding our use of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monitor the effect of increases in interest rates on the interest paid on our variable rate advance financing debt. Earnings on cash and float balances are a partial offset to our exposure to changes in interest expense. Based on the extent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584" w:right="259" w:bottom="1440" w:gutter="0" w:footer="0" w:header="0"/>
        </w:sectPr>
      </w:pPr>
    </w:p>
    <w:bookmarkStart w:id="81" w:name="page82"/>
    <w:bookmarkEnd w:id="81"/>
    <w:p>
      <w:pPr>
        <w:jc w:val="both"/>
        <w:ind w:right="160"/>
        <w:spacing w:after="0" w:line="264" w:lineRule="auto"/>
        <w:rPr>
          <w:sz w:val="20"/>
          <w:szCs w:val="20"/>
          <w:color w:val="auto"/>
        </w:rPr>
      </w:pPr>
      <w:r>
        <w:rPr>
          <w:rFonts w:ascii="Arial" w:cs="Arial" w:eastAsia="Arial" w:hAnsi="Arial"/>
          <w:sz w:val="18"/>
          <w:szCs w:val="18"/>
          <w:color w:val="auto"/>
        </w:rPr>
        <w:t>which the projected excess of our interest expense on variable rate debt exceeds interest income on our cash and float balances,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IRLCs and Loans Held for Sale</w:t>
      </w:r>
    </w:p>
    <w:p>
      <w:pPr>
        <w:spacing w:after="0" w:line="12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60 days. Our holding period for forward mortgage loans from funding to sale is typically less than 30 days. Loan commitments for reverse loans range from 10 to 30 days. The majority of our reverse loans are variable rate loan commitments. Our interest rate exposure on these derivative loan commitments is hedged with freestanding derivatives such as forward contracts. We enter into forward contracts with respect to both fixed and variable rate loan commitments.</w:t>
      </w:r>
    </w:p>
    <w:p>
      <w:pPr>
        <w:spacing w:after="0" w:line="7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management’s Credit and Market Risk Committee. Our hedging policy determines the hedging instruments to be used in the mortgage loan hedging program, which include forward sales of agency “to be announced” securities (TBAs), whole loan forward sales, Eurodollar futures and interest rate options. Forward MBS trades are primarily used to fix the forward sales price that will be realized upon the sale of mortgage loans into the secondary market. Our hedging policy also stipulates the hedge ratio we must maintain in managing this interest rate risk, which is also monitored by management’s Credit and Market Risk Committee.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MSRs</w:t>
      </w:r>
    </w:p>
    <w:p>
      <w:pPr>
        <w:spacing w:after="0" w:line="12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Effective January 1, 2018, we elected fair value accounting for our MSRs previously accounted for using the amortization method, which included Agency MSRs and government-insured MSRs. Effective with this election, our entire portfolio of MSRs is accounted for using the fair measurement method.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Sensitive Financial Instruments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3 – Fair Value to the Unaudited Consolidated Financial Statements for additional information regarding fair value of financial instruments.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980"/>
              <w:spacing w:after="0"/>
              <w:rPr>
                <w:sz w:val="20"/>
                <w:szCs w:val="20"/>
                <w:color w:val="auto"/>
              </w:rPr>
            </w:pPr>
            <w:r>
              <w:rPr>
                <w:rFonts w:ascii="Arial" w:cs="Arial" w:eastAsia="Arial" w:hAnsi="Arial"/>
                <w:sz w:val="18"/>
                <w:szCs w:val="18"/>
                <w:b w:val="1"/>
                <w:bCs w:val="1"/>
                <w:color w:val="auto"/>
              </w:rPr>
              <w:t>June 30, 2018</w:t>
            </w:r>
          </w:p>
        </w:tc>
        <w:tc>
          <w:tcPr>
            <w:tcW w:w="160" w:type="dxa"/>
            <w:vAlign w:val="bottom"/>
          </w:tcPr>
          <w:p>
            <w:pPr>
              <w:spacing w:after="0"/>
              <w:rPr>
                <w:sz w:val="20"/>
                <w:szCs w:val="20"/>
                <w:color w:val="auto"/>
              </w:rPr>
            </w:pPr>
          </w:p>
        </w:tc>
        <w:tc>
          <w:tcPr>
            <w:tcW w:w="31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104,857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104,857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99,627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99,627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153,906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153,906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24,096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5,143,758</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5,143,758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5"/>
              </w:rPr>
              <w:t>Automotive dealer financing notes (including match funded)</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32,757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32,590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 Treasury notes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9"/>
              </w:rPr>
              <w:t>Debt service accounts and interest-earning time deposits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25,972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38,465</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5,485,622</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5,485,622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5,126,605</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5,126,438</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7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980"/>
              <w:spacing w:after="0"/>
              <w:rPr>
                <w:sz w:val="20"/>
                <w:szCs w:val="20"/>
                <w:color w:val="auto"/>
              </w:rPr>
            </w:pPr>
            <w:r>
              <w:rPr>
                <w:rFonts w:ascii="Arial" w:cs="Arial" w:eastAsia="Arial" w:hAnsi="Arial"/>
                <w:sz w:val="18"/>
                <w:szCs w:val="18"/>
                <w:b w:val="1"/>
                <w:bCs w:val="1"/>
                <w:color w:val="auto"/>
              </w:rPr>
              <w:t>June 30, 2018</w:t>
            </w:r>
          </w:p>
        </w:tc>
        <w:tc>
          <w:tcPr>
            <w:tcW w:w="160" w:type="dxa"/>
            <w:vAlign w:val="bottom"/>
          </w:tcPr>
          <w:p>
            <w:pPr>
              <w:spacing w:after="0"/>
              <w:rPr>
                <w:sz w:val="20"/>
                <w:szCs w:val="20"/>
                <w:color w:val="auto"/>
              </w:rPr>
            </w:pPr>
          </w:p>
        </w:tc>
        <w:tc>
          <w:tcPr>
            <w:tcW w:w="31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750,694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745,539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998,618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992,698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HMBS-related borrowings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5,040,983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5,040,983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secured borrowings (2)</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340,418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347,107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545,850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555,523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notes (2)</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347,612</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360,125</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347,338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358,422</w:t>
            </w:r>
          </w:p>
        </w:tc>
      </w:tr>
      <w:tr>
        <w:trPr>
          <w:trHeight w:val="250"/>
        </w:trPr>
        <w:tc>
          <w:tcPr>
            <w:tcW w:w="470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6,479,707</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6,493,754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6,493,362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6,508,199</w:t>
            </w:r>
          </w:p>
        </w:tc>
      </w:tr>
      <w:tr>
        <w:trPr>
          <w:trHeight w:val="122"/>
        </w:trPr>
        <w:tc>
          <w:tcPr>
            <w:tcW w:w="4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2018</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Notional</w:t>
            </w:r>
          </w:p>
        </w:tc>
        <w:tc>
          <w:tcPr>
            <w:tcW w:w="520" w:type="dxa"/>
            <w:vAlign w:val="bottom"/>
          </w:tcPr>
          <w:p>
            <w:pPr>
              <w:spacing w:after="0"/>
              <w:rPr>
                <w:sz w:val="18"/>
                <w:szCs w:val="18"/>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Notional</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Balance</w:t>
            </w:r>
          </w:p>
        </w:tc>
        <w:tc>
          <w:tcPr>
            <w:tcW w:w="52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Balance</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rate caps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1,657</w:t>
            </w:r>
          </w:p>
        </w:tc>
        <w:tc>
          <w:tcPr>
            <w:tcW w:w="4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IRLCs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106,418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3,283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MBS trades</w:t>
            </w:r>
          </w:p>
        </w:tc>
        <w:tc>
          <w:tcPr>
            <w:tcW w:w="30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198,433</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240,823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(545)</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Derivatives, net</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4,794</w:t>
            </w: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of market valuation allowances and including non-performing loans.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Carrying values are net of unamortized debt issuance costs and discount.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June 30, 2018, given hypothetical instantaneous parallel shifts in the yield curve. We used June 30, 2018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(1,496)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1,502</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 (1)</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(11,672)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(446)</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6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(11,721)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right="240" w:hanging="492"/>
        <w:spacing w:after="0" w:line="275"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Primarily reflects the impact of market rate changes on projected prepayments on the Agency MSR portfolio and on advance funding costs on the non-Agency MSR portfolio.</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60" w:right="30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1ML interest rates.</w:t>
      </w:r>
    </w:p>
    <w:p>
      <w:pPr>
        <w:spacing w:after="0" w:line="6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Based on June 30, 2018 balances, if interest rates were to increase by 1% on our variable rate debt and interest earning cash and float balances, we estimate a net positive impact of approximately $10.7 million resulting from an increase of $19.5</w:t>
      </w:r>
    </w:p>
    <w:p>
      <w:pPr>
        <w:sectPr>
          <w:pgSz w:w="11900" w:h="16838" w:orient="portrait"/>
          <w:cols w:equalWidth="0" w:num="1">
            <w:col w:w="11420"/>
          </w:cols>
          <w:pgMar w:left="240" w:top="74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742" w:right="239" w:bottom="1440" w:gutter="0" w:footer="0" w:header="0"/>
          <w:type w:val="continuous"/>
        </w:sectPr>
      </w:pPr>
    </w:p>
    <w:bookmarkStart w:id="83" w:name="page84"/>
    <w:bookmarkEnd w:id="83"/>
    <w:p>
      <w:pPr>
        <w:ind w:right="20"/>
        <w:spacing w:after="0" w:line="277" w:lineRule="auto"/>
        <w:rPr>
          <w:sz w:val="20"/>
          <w:szCs w:val="20"/>
          <w:color w:val="auto"/>
        </w:rPr>
      </w:pPr>
      <w:r>
        <w:rPr>
          <w:rFonts w:ascii="Arial" w:cs="Arial" w:eastAsia="Arial" w:hAnsi="Arial"/>
          <w:sz w:val="18"/>
          <w:szCs w:val="18"/>
          <w:color w:val="auto"/>
        </w:rPr>
        <w:t>million in annual interest income and an increase of $8.9 million in annual interest expense. The increase in interest expense reflects the effect of our hedging activities, which would offset $2.6 million of the increase in interest on our variable rate debt.</w:t>
      </w:r>
    </w:p>
    <w:p>
      <w:pPr>
        <w:spacing w:after="0" w:line="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June 30, 2018.</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Based on such evaluation, management concluded that our disclosure controls and procedures as of June 30, 2018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fiscal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692" w:right="279" w:bottom="1440" w:gutter="0" w:footer="0" w:header="0"/>
        </w:sectPr>
      </w:pPr>
    </w:p>
    <w:bookmarkStart w:id="84" w:name="page85"/>
    <w:bookmarkEnd w:id="84"/>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See Note 18 – Regulatory Requirements and Note 20 – Contingencies to the Unaudited Consolidated Financial Statements. That information is incorporated into this item by reference.</w:t>
      </w:r>
    </w:p>
    <w:p>
      <w:pPr>
        <w:spacing w:after="0" w:line="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An investment in our common stock involves significant risk. We describe the most significant risks that management believes affect or could affect us under Part I of our Annual Report on Form 10-K for the year ended December 31, 2017. Understanding these risks is important to understanding any statement in such Annual Report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above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796" w:right="419" w:bottom="1440" w:gutter="0" w:footer="0" w:header="0"/>
        </w:sectPr>
      </w:pPr>
    </w:p>
    <w:bookmarkStart w:id="85" w:name="page86"/>
    <w:bookmarkEnd w:id="85"/>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p>
      <w:pPr>
        <w:ind w:left="1000"/>
        <w:spacing w:after="0"/>
        <w:rPr>
          <w:rFonts w:ascii="Arial" w:cs="Arial" w:eastAsia="Arial" w:hAnsi="Arial"/>
          <w:sz w:val="18"/>
          <w:szCs w:val="18"/>
          <w:color w:val="auto"/>
        </w:rPr>
      </w:pPr>
      <w:hyperlink r:id="rId11">
        <w:r>
          <w:rPr>
            <w:rFonts w:ascii="Arial" w:cs="Arial" w:eastAsia="Arial" w:hAnsi="Arial"/>
            <w:sz w:val="18"/>
            <w:szCs w:val="18"/>
            <w:color w:val="auto"/>
          </w:rPr>
          <w:t>3.1</w:t>
        </w:r>
      </w:hyperlink>
    </w:p>
    <w:p>
      <w:pPr>
        <w:spacing w:after="0" w:line="63" w:lineRule="exact"/>
        <w:rPr>
          <w:sz w:val="20"/>
          <w:szCs w:val="20"/>
          <w:color w:val="auto"/>
        </w:rPr>
      </w:pPr>
    </w:p>
    <w:p>
      <w:pPr>
        <w:ind w:left="1000"/>
        <w:spacing w:after="0"/>
        <w:rPr>
          <w:rFonts w:ascii="Arial" w:cs="Arial" w:eastAsia="Arial" w:hAnsi="Arial"/>
          <w:sz w:val="18"/>
          <w:szCs w:val="18"/>
          <w:color w:val="auto"/>
        </w:rPr>
      </w:pPr>
      <w:hyperlink r:id="rId12">
        <w:r>
          <w:rPr>
            <w:rFonts w:ascii="Arial" w:cs="Arial" w:eastAsia="Arial" w:hAnsi="Arial"/>
            <w:sz w:val="18"/>
            <w:szCs w:val="18"/>
            <w:color w:val="auto"/>
          </w:rPr>
          <w:t>3.2</w:t>
        </w:r>
      </w:hyperlink>
    </w:p>
    <w:p>
      <w:pPr>
        <w:spacing w:after="0" w:line="63" w:lineRule="exact"/>
        <w:rPr>
          <w:sz w:val="20"/>
          <w:szCs w:val="20"/>
          <w:color w:val="auto"/>
        </w:rPr>
      </w:pPr>
    </w:p>
    <w:p>
      <w:pPr>
        <w:ind w:left="920"/>
        <w:spacing w:after="0"/>
        <w:rPr>
          <w:rFonts w:ascii="Arial" w:cs="Arial" w:eastAsia="Arial" w:hAnsi="Arial"/>
          <w:sz w:val="18"/>
          <w:szCs w:val="18"/>
          <w:color w:val="auto"/>
        </w:rPr>
      </w:pPr>
      <w:hyperlink r:id="rId13">
        <w:r>
          <w:rPr>
            <w:rFonts w:ascii="Arial" w:cs="Arial" w:eastAsia="Arial" w:hAnsi="Arial"/>
            <w:sz w:val="18"/>
            <w:szCs w:val="18"/>
            <w:color w:val="auto"/>
          </w:rPr>
          <w:t>10.1*</w:t>
        </w:r>
      </w:hyperlink>
    </w:p>
    <w:p>
      <w:pPr>
        <w:spacing w:after="0" w:line="171" w:lineRule="exact"/>
        <w:rPr>
          <w:sz w:val="20"/>
          <w:szCs w:val="20"/>
          <w:color w:val="auto"/>
        </w:rPr>
      </w:pPr>
    </w:p>
    <w:p>
      <w:pPr>
        <w:ind w:left="920"/>
        <w:spacing w:after="0"/>
        <w:rPr>
          <w:rFonts w:ascii="Arial" w:cs="Arial" w:eastAsia="Arial" w:hAnsi="Arial"/>
          <w:sz w:val="18"/>
          <w:szCs w:val="18"/>
          <w:color w:val="auto"/>
        </w:rPr>
      </w:pPr>
      <w:hyperlink r:id="rId14">
        <w:r>
          <w:rPr>
            <w:rFonts w:ascii="Arial" w:cs="Arial" w:eastAsia="Arial" w:hAnsi="Arial"/>
            <w:sz w:val="18"/>
            <w:szCs w:val="18"/>
            <w:color w:val="auto"/>
          </w:rPr>
          <w:t>10.2*</w:t>
        </w:r>
      </w:hyperlink>
    </w:p>
    <w:p>
      <w:pPr>
        <w:spacing w:after="0" w:line="171" w:lineRule="exact"/>
        <w:rPr>
          <w:sz w:val="20"/>
          <w:szCs w:val="20"/>
          <w:color w:val="auto"/>
        </w:rPr>
      </w:pPr>
    </w:p>
    <w:p>
      <w:pPr>
        <w:ind w:left="920"/>
        <w:spacing w:after="0"/>
        <w:rPr>
          <w:rFonts w:ascii="Arial" w:cs="Arial" w:eastAsia="Arial" w:hAnsi="Arial"/>
          <w:sz w:val="18"/>
          <w:szCs w:val="18"/>
          <w:color w:val="auto"/>
        </w:rPr>
      </w:pPr>
      <w:hyperlink r:id="rId15">
        <w:r>
          <w:rPr>
            <w:rFonts w:ascii="Arial" w:cs="Arial" w:eastAsia="Arial" w:hAnsi="Arial"/>
            <w:sz w:val="18"/>
            <w:szCs w:val="18"/>
            <w:color w:val="auto"/>
          </w:rPr>
          <w:t>10.3*</w:t>
        </w:r>
      </w:hyperlink>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rFonts w:ascii="Arial" w:cs="Arial" w:eastAsia="Arial" w:hAnsi="Arial"/>
          <w:sz w:val="18"/>
          <w:szCs w:val="18"/>
          <w:color w:val="auto"/>
        </w:rPr>
      </w:pPr>
      <w:hyperlink r:id="rId11">
        <w:r>
          <w:rPr>
            <w:rFonts w:ascii="Arial" w:cs="Arial" w:eastAsia="Arial" w:hAnsi="Arial"/>
            <w:sz w:val="18"/>
            <w:szCs w:val="18"/>
            <w:color w:val="auto"/>
          </w:rPr>
          <w:t>Amended and Restated Articles of Incorporation, as amended (1)</w:t>
        </w:r>
      </w:hyperlink>
    </w:p>
    <w:p>
      <w:pPr>
        <w:spacing w:after="0" w:line="63" w:lineRule="exact"/>
        <w:rPr>
          <w:sz w:val="20"/>
          <w:szCs w:val="20"/>
          <w:color w:val="auto"/>
        </w:rPr>
      </w:pPr>
    </w:p>
    <w:p>
      <w:pPr>
        <w:spacing w:after="0"/>
        <w:rPr>
          <w:rFonts w:ascii="Arial" w:cs="Arial" w:eastAsia="Arial" w:hAnsi="Arial"/>
          <w:sz w:val="18"/>
          <w:szCs w:val="18"/>
          <w:color w:val="auto"/>
        </w:rPr>
      </w:pPr>
      <w:hyperlink r:id="rId12">
        <w:r>
          <w:rPr>
            <w:rFonts w:ascii="Arial" w:cs="Arial" w:eastAsia="Arial" w:hAnsi="Arial"/>
            <w:sz w:val="18"/>
            <w:szCs w:val="18"/>
            <w:color w:val="auto"/>
          </w:rPr>
          <w:t>Amended and Restated Bylaws of Ocwen Financial Corporation (2)</w:t>
        </w:r>
      </w:hyperlink>
    </w:p>
    <w:p>
      <w:pPr>
        <w:spacing w:after="0" w:line="63" w:lineRule="exact"/>
        <w:rPr>
          <w:sz w:val="20"/>
          <w:szCs w:val="20"/>
          <w:color w:val="auto"/>
        </w:rPr>
      </w:pPr>
    </w:p>
    <w:p>
      <w:pPr>
        <w:spacing w:after="0"/>
        <w:rPr>
          <w:rFonts w:ascii="Arial" w:cs="Arial" w:eastAsia="Arial" w:hAnsi="Arial"/>
          <w:sz w:val="18"/>
          <w:szCs w:val="18"/>
          <w:color w:val="auto"/>
        </w:rPr>
      </w:pPr>
      <w:hyperlink r:id="rId13">
        <w:r>
          <w:rPr>
            <w:rFonts w:ascii="Arial" w:cs="Arial" w:eastAsia="Arial" w:hAnsi="Arial"/>
            <w:sz w:val="18"/>
            <w:szCs w:val="18"/>
            <w:color w:val="auto"/>
          </w:rPr>
          <w:t>Offer Letter, dated April 17, 2018, between Ocwen Financial Corporation and Glen Messina (3)</w:t>
        </w:r>
      </w:hyperlink>
    </w:p>
    <w:p>
      <w:pPr>
        <w:spacing w:after="0" w:line="63" w:lineRule="exact"/>
        <w:rPr>
          <w:sz w:val="20"/>
          <w:szCs w:val="20"/>
          <w:color w:val="auto"/>
        </w:rPr>
      </w:pPr>
    </w:p>
    <w:p>
      <w:pPr>
        <w:spacing w:after="0"/>
        <w:rPr>
          <w:rFonts w:ascii="Arial" w:cs="Arial" w:eastAsia="Arial" w:hAnsi="Arial"/>
          <w:sz w:val="16"/>
          <w:szCs w:val="16"/>
          <w:color w:val="auto"/>
        </w:rPr>
      </w:pPr>
      <w:hyperlink r:id="rId14">
        <w:r>
          <w:rPr>
            <w:rFonts w:ascii="Arial" w:cs="Arial" w:eastAsia="Arial" w:hAnsi="Arial"/>
            <w:sz w:val="16"/>
            <w:szCs w:val="16"/>
            <w:color w:val="auto"/>
          </w:rPr>
          <w:t>Release and Restrictive Covenant Agreement, dated April 17, 2018, between Ocwen Financial Corporation and Ronald M. Faris</w:t>
        </w:r>
      </w:hyperlink>
    </w:p>
    <w:p>
      <w:pPr>
        <w:spacing w:after="0" w:line="46" w:lineRule="exact"/>
        <w:rPr>
          <w:sz w:val="20"/>
          <w:szCs w:val="20"/>
          <w:color w:val="auto"/>
        </w:rPr>
      </w:pPr>
    </w:p>
    <w:p>
      <w:pPr>
        <w:spacing w:after="0"/>
        <w:rPr>
          <w:rFonts w:ascii="Arial" w:cs="Arial" w:eastAsia="Arial" w:hAnsi="Arial"/>
          <w:sz w:val="18"/>
          <w:szCs w:val="18"/>
          <w:color w:val="auto"/>
        </w:rPr>
      </w:pPr>
      <w:hyperlink r:id="rId14">
        <w:r>
          <w:rPr>
            <w:rFonts w:ascii="Arial" w:cs="Arial" w:eastAsia="Arial" w:hAnsi="Arial"/>
            <w:sz w:val="18"/>
            <w:szCs w:val="18"/>
            <w:color w:val="auto"/>
          </w:rPr>
          <w:t>(3)</w:t>
        </w:r>
      </w:hyperlink>
    </w:p>
    <w:p>
      <w:pPr>
        <w:spacing w:after="0" w:line="49" w:lineRule="exact"/>
        <w:rPr>
          <w:sz w:val="20"/>
          <w:szCs w:val="20"/>
          <w:color w:val="auto"/>
        </w:rPr>
      </w:pPr>
    </w:p>
    <w:p>
      <w:pPr>
        <w:spacing w:after="0"/>
        <w:rPr>
          <w:rFonts w:ascii="Arial" w:cs="Arial" w:eastAsia="Arial" w:hAnsi="Arial"/>
          <w:sz w:val="16"/>
          <w:szCs w:val="16"/>
          <w:color w:val="auto"/>
        </w:rPr>
      </w:pPr>
      <w:hyperlink r:id="rId15">
        <w:r>
          <w:rPr>
            <w:rFonts w:ascii="Arial" w:cs="Arial" w:eastAsia="Arial" w:hAnsi="Arial"/>
            <w:sz w:val="16"/>
            <w:szCs w:val="16"/>
            <w:color w:val="auto"/>
          </w:rPr>
          <w:t>Separation Agreement and Full Release, dated May 29, 2018, between Ocwen Financial Corporation and Michael R. Bourque, Jr.</w:t>
        </w:r>
      </w:hyperlink>
    </w:p>
    <w:p>
      <w:pPr>
        <w:spacing w:after="0" w:line="46" w:lineRule="exact"/>
        <w:rPr>
          <w:sz w:val="20"/>
          <w:szCs w:val="20"/>
          <w:color w:val="auto"/>
        </w:rPr>
      </w:pPr>
    </w:p>
    <w:p>
      <w:pPr>
        <w:spacing w:after="0"/>
        <w:rPr>
          <w:rFonts w:ascii="Arial" w:cs="Arial" w:eastAsia="Arial" w:hAnsi="Arial"/>
          <w:sz w:val="18"/>
          <w:szCs w:val="18"/>
          <w:color w:val="auto"/>
        </w:rPr>
      </w:pPr>
      <w:hyperlink r:id="rId15">
        <w:r>
          <w:rPr>
            <w:rFonts w:ascii="Arial" w:cs="Arial" w:eastAsia="Arial" w:hAnsi="Arial"/>
            <w:sz w:val="18"/>
            <w:szCs w:val="18"/>
            <w:color w:val="auto"/>
          </w:rPr>
          <w:t>(4)</w:t>
        </w:r>
      </w:hyperlink>
    </w:p>
    <w:p>
      <w:pPr>
        <w:spacing w:after="0" w:line="49" w:lineRule="exact"/>
        <w:rPr>
          <w:sz w:val="20"/>
          <w:szCs w:val="20"/>
          <w:color w:val="auto"/>
        </w:rPr>
      </w:pPr>
    </w:p>
    <w:p>
      <w:pPr>
        <w:sectPr>
          <w:pgSz w:w="11900" w:h="16838" w:orient="portrait"/>
          <w:cols w:equalWidth="0" w:num="2">
            <w:col w:w="1860" w:space="120"/>
            <w:col w:w="9420"/>
          </w:cols>
          <w:pgMar w:left="240" w:top="688" w:right="259" w:bottom="1440" w:gutter="0" w:footer="0" w:header="0"/>
        </w:sectPr>
      </w:pPr>
    </w:p>
    <w:tbl>
      <w:tblPr>
        <w:tblLayout w:type="fixed"/>
        <w:tblInd w:w="40" w:type="dxa"/>
        <w:tblCellMar>
          <w:top w:w="0" w:type="dxa"/>
          <w:left w:w="0" w:type="dxa"/>
          <w:bottom w:w="0" w:type="dxa"/>
          <w:right w:w="0" w:type="dxa"/>
        </w:tblCellMar>
      </w:tblPr>
      <w:tr>
        <w:trPr>
          <w:trHeight w:val="230"/>
        </w:trPr>
        <w:tc>
          <w:tcPr>
            <w:tcW w:w="1720" w:type="dxa"/>
            <w:vAlign w:val="bottom"/>
          </w:tcPr>
          <w:p>
            <w:pPr>
              <w:ind w:left="880"/>
              <w:spacing w:after="0"/>
              <w:rPr>
                <w:rFonts w:ascii="Arial" w:cs="Arial" w:eastAsia="Arial" w:hAnsi="Arial"/>
                <w:sz w:val="18"/>
                <w:szCs w:val="18"/>
                <w:color w:val="auto"/>
              </w:rPr>
            </w:pPr>
            <w:hyperlink r:id="rId16">
              <w:r>
                <w:rPr>
                  <w:rFonts w:ascii="Arial" w:cs="Arial" w:eastAsia="Arial" w:hAnsi="Arial"/>
                  <w:sz w:val="18"/>
                  <w:szCs w:val="18"/>
                  <w:color w:val="auto"/>
                </w:rPr>
                <w:t>10.4*</w:t>
              </w:r>
            </w:hyperlink>
          </w:p>
        </w:tc>
        <w:tc>
          <w:tcPr>
            <w:tcW w:w="9640" w:type="dxa"/>
            <w:vAlign w:val="bottom"/>
          </w:tcPr>
          <w:p>
            <w:pPr>
              <w:ind w:left="220"/>
              <w:spacing w:after="0"/>
              <w:rPr>
                <w:rFonts w:ascii="Arial" w:cs="Arial" w:eastAsia="Arial" w:hAnsi="Arial"/>
                <w:sz w:val="18"/>
                <w:szCs w:val="18"/>
                <w:color w:val="auto"/>
              </w:rPr>
            </w:pPr>
            <w:hyperlink r:id="rId16">
              <w:r>
                <w:rPr>
                  <w:rFonts w:ascii="Arial" w:cs="Arial" w:eastAsia="Arial" w:hAnsi="Arial"/>
                  <w:sz w:val="18"/>
                  <w:szCs w:val="18"/>
                  <w:color w:val="auto"/>
                </w:rPr>
                <w:t>Ocwen Financial Corporation United States Basic Severance Plan (5)</w:t>
              </w:r>
            </w:hyperlink>
          </w:p>
        </w:tc>
      </w:tr>
      <w:tr>
        <w:trPr>
          <w:trHeight w:val="270"/>
        </w:trPr>
        <w:tc>
          <w:tcPr>
            <w:tcW w:w="1720" w:type="dxa"/>
            <w:vAlign w:val="bottom"/>
          </w:tcPr>
          <w:p>
            <w:pPr>
              <w:ind w:left="880"/>
              <w:spacing w:after="0"/>
              <w:rPr>
                <w:rFonts w:ascii="Arial" w:cs="Arial" w:eastAsia="Arial" w:hAnsi="Arial"/>
                <w:sz w:val="18"/>
                <w:szCs w:val="18"/>
                <w:color w:val="auto"/>
              </w:rPr>
            </w:pPr>
            <w:hyperlink r:id="rId17">
              <w:r>
                <w:rPr>
                  <w:rFonts w:ascii="Arial" w:cs="Arial" w:eastAsia="Arial" w:hAnsi="Arial"/>
                  <w:sz w:val="18"/>
                  <w:szCs w:val="18"/>
                  <w:color w:val="auto"/>
                </w:rPr>
                <w:t>10.5*</w:t>
              </w:r>
            </w:hyperlink>
          </w:p>
        </w:tc>
        <w:tc>
          <w:tcPr>
            <w:tcW w:w="9640" w:type="dxa"/>
            <w:vAlign w:val="bottom"/>
          </w:tcPr>
          <w:p>
            <w:pPr>
              <w:ind w:left="220"/>
              <w:spacing w:after="0"/>
              <w:rPr>
                <w:rFonts w:ascii="Arial" w:cs="Arial" w:eastAsia="Arial" w:hAnsi="Arial"/>
                <w:sz w:val="18"/>
                <w:szCs w:val="18"/>
                <w:color w:val="auto"/>
              </w:rPr>
            </w:pPr>
            <w:hyperlink r:id="rId17">
              <w:r>
                <w:rPr>
                  <w:rFonts w:ascii="Arial" w:cs="Arial" w:eastAsia="Arial" w:hAnsi="Arial"/>
                  <w:sz w:val="18"/>
                  <w:szCs w:val="18"/>
                  <w:color w:val="auto"/>
                </w:rPr>
                <w:t>Ocwen Financial Corporation United States Change in Control Severance Plan (5)</w:t>
              </w:r>
            </w:hyperlink>
          </w:p>
        </w:tc>
      </w:tr>
      <w:tr>
        <w:trPr>
          <w:trHeight w:val="270"/>
        </w:trPr>
        <w:tc>
          <w:tcPr>
            <w:tcW w:w="1720" w:type="dxa"/>
            <w:vAlign w:val="bottom"/>
          </w:tcPr>
          <w:p>
            <w:pPr>
              <w:ind w:left="880"/>
              <w:spacing w:after="0"/>
              <w:rPr>
                <w:rFonts w:ascii="Arial" w:cs="Arial" w:eastAsia="Arial" w:hAnsi="Arial"/>
                <w:sz w:val="18"/>
                <w:szCs w:val="18"/>
                <w:color w:val="auto"/>
              </w:rPr>
            </w:pPr>
            <w:hyperlink w:anchor="page88">
              <w:r>
                <w:rPr>
                  <w:rFonts w:ascii="Arial" w:cs="Arial" w:eastAsia="Arial" w:hAnsi="Arial"/>
                  <w:sz w:val="18"/>
                  <w:szCs w:val="18"/>
                  <w:color w:val="auto"/>
                </w:rPr>
                <w:t>31.1</w:t>
              </w:r>
            </w:hyperlink>
          </w:p>
        </w:tc>
        <w:tc>
          <w:tcPr>
            <w:tcW w:w="9640" w:type="dxa"/>
            <w:vAlign w:val="bottom"/>
          </w:tcPr>
          <w:p>
            <w:pPr>
              <w:ind w:left="220"/>
              <w:spacing w:after="0"/>
              <w:rPr>
                <w:rFonts w:ascii="Arial" w:cs="Arial" w:eastAsia="Arial" w:hAnsi="Arial"/>
                <w:sz w:val="18"/>
                <w:szCs w:val="18"/>
                <w:color w:val="auto"/>
                <w:w w:val="98"/>
              </w:rPr>
            </w:pPr>
            <w:hyperlink w:anchor="page88">
              <w:r>
                <w:rPr>
                  <w:rFonts w:ascii="Arial" w:cs="Arial" w:eastAsia="Arial" w:hAnsi="Arial"/>
                  <w:sz w:val="18"/>
                  <w:szCs w:val="18"/>
                  <w:color w:val="auto"/>
                  <w:w w:val="98"/>
                </w:rPr>
                <w:t>Certification of the principal executive officer pursuant to Section 302 of the Sarbanes-Oxley Act of 2002 (filed herewith)</w:t>
              </w:r>
            </w:hyperlink>
          </w:p>
        </w:tc>
      </w:tr>
      <w:tr>
        <w:trPr>
          <w:trHeight w:val="270"/>
        </w:trPr>
        <w:tc>
          <w:tcPr>
            <w:tcW w:w="1720" w:type="dxa"/>
            <w:vAlign w:val="bottom"/>
          </w:tcPr>
          <w:p>
            <w:pPr>
              <w:ind w:left="880"/>
              <w:spacing w:after="0"/>
              <w:rPr>
                <w:rFonts w:ascii="Arial" w:cs="Arial" w:eastAsia="Arial" w:hAnsi="Arial"/>
                <w:sz w:val="18"/>
                <w:szCs w:val="18"/>
                <w:color w:val="auto"/>
              </w:rPr>
            </w:pPr>
            <w:hyperlink w:anchor="page89">
              <w:r>
                <w:rPr>
                  <w:rFonts w:ascii="Arial" w:cs="Arial" w:eastAsia="Arial" w:hAnsi="Arial"/>
                  <w:sz w:val="18"/>
                  <w:szCs w:val="18"/>
                  <w:color w:val="auto"/>
                </w:rPr>
                <w:t>31.2</w:t>
              </w:r>
            </w:hyperlink>
          </w:p>
        </w:tc>
        <w:tc>
          <w:tcPr>
            <w:tcW w:w="9640" w:type="dxa"/>
            <w:vAlign w:val="bottom"/>
          </w:tcPr>
          <w:p>
            <w:pPr>
              <w:ind w:left="220"/>
              <w:spacing w:after="0"/>
              <w:rPr>
                <w:rFonts w:ascii="Arial" w:cs="Arial" w:eastAsia="Arial" w:hAnsi="Arial"/>
                <w:sz w:val="18"/>
                <w:szCs w:val="18"/>
                <w:color w:val="auto"/>
                <w:w w:val="99"/>
              </w:rPr>
            </w:pPr>
            <w:hyperlink w:anchor="page89">
              <w:r>
                <w:rPr>
                  <w:rFonts w:ascii="Arial" w:cs="Arial" w:eastAsia="Arial" w:hAnsi="Arial"/>
                  <w:sz w:val="18"/>
                  <w:szCs w:val="18"/>
                  <w:color w:val="auto"/>
                  <w:w w:val="99"/>
                </w:rPr>
                <w:t>Certification of the principal financial officer pursuant to Section 302 of the Sarbanes-Oxley Act of 2002 (filed herewith)</w:t>
              </w:r>
            </w:hyperlink>
          </w:p>
        </w:tc>
      </w:tr>
      <w:tr>
        <w:trPr>
          <w:trHeight w:val="256"/>
        </w:trPr>
        <w:tc>
          <w:tcPr>
            <w:tcW w:w="1720" w:type="dxa"/>
            <w:vAlign w:val="bottom"/>
          </w:tcPr>
          <w:p>
            <w:pPr>
              <w:ind w:left="880"/>
              <w:spacing w:after="0"/>
              <w:rPr>
                <w:rFonts w:ascii="Arial" w:cs="Arial" w:eastAsia="Arial" w:hAnsi="Arial"/>
                <w:sz w:val="18"/>
                <w:szCs w:val="18"/>
                <w:color w:val="auto"/>
              </w:rPr>
            </w:pPr>
            <w:hyperlink w:anchor="page90">
              <w:r>
                <w:rPr>
                  <w:rFonts w:ascii="Arial" w:cs="Arial" w:eastAsia="Arial" w:hAnsi="Arial"/>
                  <w:sz w:val="18"/>
                  <w:szCs w:val="18"/>
                  <w:color w:val="auto"/>
                </w:rPr>
                <w:t>32.1</w:t>
              </w:r>
            </w:hyperlink>
          </w:p>
        </w:tc>
        <w:tc>
          <w:tcPr>
            <w:tcW w:w="9640" w:type="dxa"/>
            <w:vAlign w:val="bottom"/>
          </w:tcPr>
          <w:p>
            <w:pPr>
              <w:ind w:left="220"/>
              <w:spacing w:after="0"/>
              <w:rPr>
                <w:rFonts w:ascii="Arial" w:cs="Arial" w:eastAsia="Arial" w:hAnsi="Arial"/>
                <w:sz w:val="18"/>
                <w:szCs w:val="18"/>
                <w:color w:val="auto"/>
                <w:w w:val="95"/>
              </w:rPr>
            </w:pPr>
            <w:hyperlink w:anchor="page90">
              <w:r>
                <w:rPr>
                  <w:rFonts w:ascii="Arial" w:cs="Arial" w:eastAsia="Arial" w:hAnsi="Arial"/>
                  <w:sz w:val="18"/>
                  <w:szCs w:val="18"/>
                  <w:color w:val="auto"/>
                  <w:w w:val="95"/>
                </w:rPr>
                <w:t>Certification of the principal executive officer pursuant to 18 U.S.C. Section 1350, as adopted pursuant to Section 906 of the</w:t>
              </w:r>
            </w:hyperlink>
          </w:p>
        </w:tc>
      </w:tr>
      <w:tr>
        <w:trPr>
          <w:trHeight w:val="230"/>
        </w:trPr>
        <w:tc>
          <w:tcPr>
            <w:tcW w:w="1720" w:type="dxa"/>
            <w:vAlign w:val="bottom"/>
          </w:tcPr>
          <w:p>
            <w:pPr>
              <w:spacing w:after="0"/>
              <w:rPr>
                <w:sz w:val="20"/>
                <w:szCs w:val="20"/>
                <w:color w:val="auto"/>
              </w:rPr>
            </w:pPr>
          </w:p>
        </w:tc>
        <w:tc>
          <w:tcPr>
            <w:tcW w:w="9640" w:type="dxa"/>
            <w:vAlign w:val="bottom"/>
          </w:tcPr>
          <w:p>
            <w:pPr>
              <w:ind w:left="220"/>
              <w:spacing w:after="0"/>
              <w:rPr>
                <w:rFonts w:ascii="Arial" w:cs="Arial" w:eastAsia="Arial" w:hAnsi="Arial"/>
                <w:sz w:val="18"/>
                <w:szCs w:val="18"/>
                <w:color w:val="auto"/>
              </w:rPr>
            </w:pPr>
            <w:hyperlink w:anchor="page90">
              <w:r>
                <w:rPr>
                  <w:rFonts w:ascii="Arial" w:cs="Arial" w:eastAsia="Arial" w:hAnsi="Arial"/>
                  <w:sz w:val="18"/>
                  <w:szCs w:val="18"/>
                  <w:color w:val="auto"/>
                </w:rPr>
                <w:t>Sarbanes-Oxley Act of 2002 (furnished herewith)</w:t>
              </w:r>
            </w:hyperlink>
          </w:p>
        </w:tc>
      </w:tr>
      <w:tr>
        <w:trPr>
          <w:trHeight w:val="256"/>
        </w:trPr>
        <w:tc>
          <w:tcPr>
            <w:tcW w:w="1720" w:type="dxa"/>
            <w:vAlign w:val="bottom"/>
          </w:tcPr>
          <w:p>
            <w:pPr>
              <w:ind w:left="880"/>
              <w:spacing w:after="0"/>
              <w:rPr>
                <w:rFonts w:ascii="Arial" w:cs="Arial" w:eastAsia="Arial" w:hAnsi="Arial"/>
                <w:sz w:val="18"/>
                <w:szCs w:val="18"/>
                <w:color w:val="auto"/>
              </w:rPr>
            </w:pPr>
            <w:hyperlink w:anchor="page91">
              <w:r>
                <w:rPr>
                  <w:rFonts w:ascii="Arial" w:cs="Arial" w:eastAsia="Arial" w:hAnsi="Arial"/>
                  <w:sz w:val="18"/>
                  <w:szCs w:val="18"/>
                  <w:color w:val="auto"/>
                </w:rPr>
                <w:t>32.2</w:t>
              </w:r>
            </w:hyperlink>
          </w:p>
        </w:tc>
        <w:tc>
          <w:tcPr>
            <w:tcW w:w="9640" w:type="dxa"/>
            <w:vAlign w:val="bottom"/>
          </w:tcPr>
          <w:p>
            <w:pPr>
              <w:ind w:left="220"/>
              <w:spacing w:after="0"/>
              <w:rPr>
                <w:rFonts w:ascii="Arial" w:cs="Arial" w:eastAsia="Arial" w:hAnsi="Arial"/>
                <w:sz w:val="18"/>
                <w:szCs w:val="18"/>
                <w:color w:val="auto"/>
                <w:w w:val="96"/>
              </w:rPr>
            </w:pPr>
            <w:hyperlink w:anchor="page91">
              <w:r>
                <w:rPr>
                  <w:rFonts w:ascii="Arial" w:cs="Arial" w:eastAsia="Arial" w:hAnsi="Arial"/>
                  <w:sz w:val="18"/>
                  <w:szCs w:val="18"/>
                  <w:color w:val="auto"/>
                  <w:w w:val="96"/>
                </w:rPr>
                <w:t>Certification of the principal financial officer pursuant to 18 U.S.C. Section 1350, as adopted pursuant to Section 906 of the</w:t>
              </w:r>
            </w:hyperlink>
          </w:p>
        </w:tc>
      </w:tr>
      <w:tr>
        <w:trPr>
          <w:trHeight w:val="230"/>
        </w:trPr>
        <w:tc>
          <w:tcPr>
            <w:tcW w:w="1720" w:type="dxa"/>
            <w:vAlign w:val="bottom"/>
          </w:tcPr>
          <w:p>
            <w:pPr>
              <w:spacing w:after="0"/>
              <w:rPr>
                <w:sz w:val="20"/>
                <w:szCs w:val="20"/>
                <w:color w:val="auto"/>
              </w:rPr>
            </w:pPr>
          </w:p>
        </w:tc>
        <w:tc>
          <w:tcPr>
            <w:tcW w:w="9640" w:type="dxa"/>
            <w:vAlign w:val="bottom"/>
          </w:tcPr>
          <w:p>
            <w:pPr>
              <w:ind w:left="220"/>
              <w:spacing w:after="0"/>
              <w:rPr>
                <w:rFonts w:ascii="Arial" w:cs="Arial" w:eastAsia="Arial" w:hAnsi="Arial"/>
                <w:sz w:val="18"/>
                <w:szCs w:val="18"/>
                <w:color w:val="auto"/>
              </w:rPr>
            </w:pPr>
            <w:hyperlink w:anchor="page91">
              <w:r>
                <w:rPr>
                  <w:rFonts w:ascii="Arial" w:cs="Arial" w:eastAsia="Arial" w:hAnsi="Arial"/>
                  <w:sz w:val="18"/>
                  <w:szCs w:val="18"/>
                  <w:color w:val="auto"/>
                </w:rPr>
                <w:t>Sarbanes-Oxley Act of 2002 (furnished herewith)</w:t>
              </w:r>
            </w:hyperlink>
          </w:p>
        </w:tc>
      </w:tr>
      <w:tr>
        <w:trPr>
          <w:trHeight w:val="270"/>
        </w:trPr>
        <w:tc>
          <w:tcPr>
            <w:tcW w:w="1720" w:type="dxa"/>
            <w:vAlign w:val="bottom"/>
          </w:tcPr>
          <w:p>
            <w:pPr>
              <w:ind w:left="800"/>
              <w:spacing w:after="0"/>
              <w:rPr>
                <w:sz w:val="20"/>
                <w:szCs w:val="20"/>
                <w:color w:val="auto"/>
              </w:rPr>
            </w:pPr>
            <w:r>
              <w:rPr>
                <w:rFonts w:ascii="Arial" w:cs="Arial" w:eastAsia="Arial" w:hAnsi="Arial"/>
                <w:sz w:val="18"/>
                <w:szCs w:val="18"/>
                <w:color w:val="auto"/>
              </w:rPr>
              <w:t>101.INS</w:t>
            </w:r>
          </w:p>
        </w:tc>
        <w:tc>
          <w:tcPr>
            <w:tcW w:w="964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1720" w:type="dxa"/>
            <w:vAlign w:val="bottom"/>
          </w:tcPr>
          <w:p>
            <w:pPr>
              <w:ind w:left="800"/>
              <w:spacing w:after="0"/>
              <w:rPr>
                <w:sz w:val="20"/>
                <w:szCs w:val="20"/>
                <w:color w:val="auto"/>
              </w:rPr>
            </w:pPr>
            <w:r>
              <w:rPr>
                <w:rFonts w:ascii="Arial" w:cs="Arial" w:eastAsia="Arial" w:hAnsi="Arial"/>
                <w:sz w:val="18"/>
                <w:szCs w:val="18"/>
                <w:color w:val="auto"/>
              </w:rPr>
              <w:t>101.SCH</w:t>
            </w:r>
          </w:p>
        </w:tc>
        <w:tc>
          <w:tcPr>
            <w:tcW w:w="964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1720" w:type="dxa"/>
            <w:vAlign w:val="bottom"/>
          </w:tcPr>
          <w:p>
            <w:pPr>
              <w:ind w:left="800"/>
              <w:spacing w:after="0"/>
              <w:rPr>
                <w:sz w:val="20"/>
                <w:szCs w:val="20"/>
                <w:color w:val="auto"/>
              </w:rPr>
            </w:pPr>
            <w:r>
              <w:rPr>
                <w:rFonts w:ascii="Arial" w:cs="Arial" w:eastAsia="Arial" w:hAnsi="Arial"/>
                <w:sz w:val="18"/>
                <w:szCs w:val="18"/>
                <w:color w:val="auto"/>
              </w:rPr>
              <w:t>101.CAL</w:t>
            </w:r>
          </w:p>
        </w:tc>
        <w:tc>
          <w:tcPr>
            <w:tcW w:w="96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1720" w:type="dxa"/>
            <w:vAlign w:val="bottom"/>
          </w:tcPr>
          <w:p>
            <w:pPr>
              <w:ind w:left="800"/>
              <w:spacing w:after="0"/>
              <w:rPr>
                <w:sz w:val="20"/>
                <w:szCs w:val="20"/>
                <w:color w:val="auto"/>
              </w:rPr>
            </w:pPr>
            <w:r>
              <w:rPr>
                <w:rFonts w:ascii="Arial" w:cs="Arial" w:eastAsia="Arial" w:hAnsi="Arial"/>
                <w:sz w:val="18"/>
                <w:szCs w:val="18"/>
                <w:color w:val="auto"/>
              </w:rPr>
              <w:t>101.DEF</w:t>
            </w:r>
          </w:p>
        </w:tc>
        <w:tc>
          <w:tcPr>
            <w:tcW w:w="96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1720" w:type="dxa"/>
            <w:vAlign w:val="bottom"/>
          </w:tcPr>
          <w:p>
            <w:pPr>
              <w:ind w:left="800"/>
              <w:spacing w:after="0"/>
              <w:rPr>
                <w:sz w:val="20"/>
                <w:szCs w:val="20"/>
                <w:color w:val="auto"/>
              </w:rPr>
            </w:pPr>
            <w:r>
              <w:rPr>
                <w:rFonts w:ascii="Arial" w:cs="Arial" w:eastAsia="Arial" w:hAnsi="Arial"/>
                <w:sz w:val="18"/>
                <w:szCs w:val="18"/>
                <w:color w:val="auto"/>
              </w:rPr>
              <w:t>101.LAB</w:t>
            </w:r>
          </w:p>
        </w:tc>
        <w:tc>
          <w:tcPr>
            <w:tcW w:w="96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1720" w:type="dxa"/>
            <w:vAlign w:val="bottom"/>
          </w:tcPr>
          <w:p>
            <w:pPr>
              <w:ind w:left="800"/>
              <w:spacing w:after="0"/>
              <w:rPr>
                <w:sz w:val="20"/>
                <w:szCs w:val="20"/>
                <w:color w:val="auto"/>
              </w:rPr>
            </w:pPr>
            <w:r>
              <w:rPr>
                <w:rFonts w:ascii="Arial" w:cs="Arial" w:eastAsia="Arial" w:hAnsi="Arial"/>
                <w:sz w:val="18"/>
                <w:szCs w:val="18"/>
                <w:color w:val="auto"/>
              </w:rPr>
              <w:t>101.PRE</w:t>
            </w:r>
          </w:p>
        </w:tc>
        <w:tc>
          <w:tcPr>
            <w:tcW w:w="96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169"/>
        </w:trPr>
        <w:tc>
          <w:tcPr>
            <w:tcW w:w="1720" w:type="dxa"/>
            <w:vAlign w:val="bottom"/>
            <w:tcBorders>
              <w:bottom w:val="single" w:sz="8" w:color="auto"/>
            </w:tcBorders>
          </w:tcPr>
          <w:p>
            <w:pPr>
              <w:spacing w:after="0"/>
              <w:rPr>
                <w:sz w:val="14"/>
                <w:szCs w:val="14"/>
                <w:color w:val="auto"/>
              </w:rPr>
            </w:pPr>
          </w:p>
        </w:tc>
        <w:tc>
          <w:tcPr>
            <w:tcW w:w="9640" w:type="dxa"/>
            <w:vAlign w:val="bottom"/>
            <w:tcBorders>
              <w:bottom w:val="single" w:sz="8" w:color="auto"/>
            </w:tcBorders>
          </w:tcPr>
          <w:p>
            <w:pPr>
              <w:spacing w:after="0"/>
              <w:rPr>
                <w:sz w:val="14"/>
                <w:szCs w:val="14"/>
                <w:color w:val="auto"/>
              </w:rPr>
            </w:pPr>
          </w:p>
        </w:tc>
      </w:tr>
    </w:tbl>
    <w:p>
      <w:pPr>
        <w:spacing w:after="0" w:line="21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agreement.</w:t>
      </w:r>
    </w:p>
    <w:p>
      <w:pPr>
        <w:spacing w:after="0" w:line="225" w:lineRule="exact"/>
        <w:rPr>
          <w:sz w:val="20"/>
          <w:szCs w:val="20"/>
          <w:color w:val="auto"/>
        </w:rPr>
      </w:pPr>
    </w:p>
    <w:p>
      <w:pPr>
        <w:ind w:left="500" w:right="340" w:hanging="492"/>
        <w:spacing w:after="0" w:line="258"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10-Q for the quarterly period ended June 30, 2017 filed with the SEC on August 3, 2017.</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included with the Registrant’s Form 8-K filed with the SEC on February 19, 2016.</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April 19,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May 29,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July 2, 2018.</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688" w:right="259" w:bottom="1440" w:gutter="0" w:footer="0" w:header="0"/>
          <w:type w:val="continuous"/>
        </w:sectPr>
      </w:pPr>
    </w:p>
    <w:bookmarkStart w:id="86" w:name="page87"/>
    <w:bookmarkEnd w:id="8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Catherine M. Dondzila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and Chief Accounting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26,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688" w:right="35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certify that:</w:t>
      </w:r>
    </w:p>
    <w:p>
      <w:pPr>
        <w:spacing w:after="0" w:line="225"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July 26, 2018</w:t>
      </w:r>
      <w:r>
        <w:rPr>
          <w:sz w:val="20"/>
          <w:szCs w:val="20"/>
          <w:color w:val="auto"/>
        </w:rPr>
        <w:tab/>
      </w:r>
      <w:r>
        <w:rPr>
          <w:rFonts w:ascii="Arial" w:cs="Arial" w:eastAsia="Arial" w:hAnsi="Arial"/>
          <w:sz w:val="16"/>
          <w:szCs w:val="16"/>
          <w:color w:val="auto"/>
        </w:rPr>
        <w:t>/s/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V. Britti, Chief Executive Officer</w:t>
      </w:r>
    </w:p>
    <w:p>
      <w:pPr>
        <w:sectPr>
          <w:pgSz w:w="11900" w:h="16838" w:orient="portrait"/>
          <w:cols w:equalWidth="0" w:num="1">
            <w:col w:w="11420"/>
          </w:cols>
          <w:pgMar w:left="240" w:top="864"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Catherine M. Dondzila, certify that:</w:t>
      </w:r>
    </w:p>
    <w:p>
      <w:pPr>
        <w:spacing w:after="0" w:line="225"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July 26, 2018</w:t>
      </w:r>
      <w:r>
        <w:rPr>
          <w:sz w:val="20"/>
          <w:szCs w:val="20"/>
          <w:color w:val="auto"/>
        </w:rPr>
        <w:tab/>
      </w:r>
      <w:r>
        <w:rPr>
          <w:rFonts w:ascii="Arial" w:cs="Arial" w:eastAsia="Arial" w:hAnsi="Arial"/>
          <w:sz w:val="16"/>
          <w:szCs w:val="16"/>
          <w:color w:val="auto"/>
        </w:rPr>
        <w:t>/s/ Catherine M. Dondzila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Catherine M. Dondzila, Senior Vice President and Chief Accounting</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 (principal financial officer)</w:t>
      </w:r>
    </w:p>
    <w:p>
      <w:pPr>
        <w:sectPr>
          <w:pgSz w:w="11900" w:h="16838" w:orient="portrait"/>
          <w:cols w:equalWidth="0" w:num="1">
            <w:col w:w="11420"/>
          </w:cols>
          <w:pgMar w:left="240" w:top="86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V. Britti, state and attest that:</w:t>
      </w:r>
    </w:p>
    <w:p>
      <w:pPr>
        <w:spacing w:after="0" w:line="225" w:lineRule="exact"/>
        <w:rPr>
          <w:sz w:val="20"/>
          <w:szCs w:val="20"/>
          <w:color w:val="auto"/>
        </w:rPr>
      </w:pPr>
    </w:p>
    <w:p>
      <w:pPr>
        <w:ind w:left="500" w:hanging="411"/>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am the principal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2018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John V. Britti</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July 26, 2018</w:t>
            </w:r>
          </w:p>
        </w:tc>
      </w:tr>
    </w:tbl>
    <w:p>
      <w:pPr>
        <w:sectPr>
          <w:pgSz w:w="11900" w:h="16838" w:orient="portrait"/>
          <w:cols w:equalWidth="0" w:num="1">
            <w:col w:w="11420"/>
          </w:cols>
          <w:pgMar w:left="240" w:top="86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Catherine M. Dondzila, state and attest that:</w:t>
      </w:r>
    </w:p>
    <w:p>
      <w:pPr>
        <w:spacing w:after="0" w:line="225" w:lineRule="exact"/>
        <w:rPr>
          <w:sz w:val="20"/>
          <w:szCs w:val="20"/>
          <w:color w:val="auto"/>
        </w:rPr>
      </w:pPr>
    </w:p>
    <w:p>
      <w:pPr>
        <w:ind w:left="500" w:hanging="411"/>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am the principal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2018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880" w:type="dxa"/>
            <w:vAlign w:val="bottom"/>
          </w:tcPr>
          <w:p>
            <w:pPr>
              <w:ind w:left="40"/>
              <w:spacing w:after="0"/>
              <w:rPr>
                <w:sz w:val="20"/>
                <w:szCs w:val="20"/>
                <w:color w:val="auto"/>
              </w:rPr>
            </w:pPr>
            <w:r>
              <w:rPr>
                <w:rFonts w:ascii="Arial" w:cs="Arial" w:eastAsia="Arial" w:hAnsi="Arial"/>
                <w:sz w:val="18"/>
                <w:szCs w:val="18"/>
                <w:color w:val="auto"/>
              </w:rPr>
              <w:t>/s/ Catherine M. Dondzila</w:t>
            </w:r>
          </w:p>
        </w:tc>
      </w:tr>
      <w:tr>
        <w:trPr>
          <w:trHeight w:val="27"/>
        </w:trPr>
        <w:tc>
          <w:tcPr>
            <w:tcW w:w="7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880" w:type="dxa"/>
            <w:vAlign w:val="bottom"/>
          </w:tcPr>
          <w:p>
            <w:pPr>
              <w:ind w:left="40"/>
              <w:spacing w:after="0"/>
              <w:rPr>
                <w:sz w:val="20"/>
                <w:szCs w:val="20"/>
                <w:color w:val="auto"/>
              </w:rPr>
            </w:pPr>
            <w:r>
              <w:rPr>
                <w:rFonts w:ascii="Arial" w:cs="Arial" w:eastAsia="Arial" w:hAnsi="Arial"/>
                <w:sz w:val="18"/>
                <w:szCs w:val="18"/>
                <w:color w:val="auto"/>
                <w:w w:val="94"/>
              </w:rPr>
              <w:t>Senior Vice President and Chief Accounting Officer (principal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880" w:type="dxa"/>
            <w:vAlign w:val="bottom"/>
          </w:tcPr>
          <w:p>
            <w:pPr>
              <w:ind w:left="40"/>
              <w:spacing w:after="0"/>
              <w:rPr>
                <w:sz w:val="20"/>
                <w:szCs w:val="20"/>
                <w:color w:val="auto"/>
              </w:rPr>
            </w:pPr>
            <w:r>
              <w:rPr>
                <w:rFonts w:ascii="Arial" w:cs="Arial" w:eastAsia="Arial" w:hAnsi="Arial"/>
                <w:sz w:val="18"/>
                <w:szCs w:val="18"/>
                <w:color w:val="auto"/>
              </w:rPr>
              <w:t>July 26, 2018</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lowerLetter"/>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5"/>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4"/>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3"/>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lowerRoman"/>
      <w:start w:val="6"/>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
      <w:numFmt w:val="bullet"/>
      <w:start w:val="1"/>
    </w:lvl>
  </w:abstractNum>
  <w:abstractNum w:abstractNumId="55">
    <w:nsid w:val="275AC794"/>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1" Type="http://schemas.openxmlformats.org/officeDocument/2006/relationships/hyperlink" Target="http://www.sec.gov/Archives/edgar/data/873860/000162828017008009/a20170630ex31.htm" TargetMode="External"/><Relationship Id="rId12" Type="http://schemas.openxmlformats.org/officeDocument/2006/relationships/hyperlink" Target="http://www.sec.gov/Archives/edgar/data/873860/000101905616001130/ex3_1.htm" TargetMode="External"/><Relationship Id="rId13" Type="http://schemas.openxmlformats.org/officeDocument/2006/relationships/hyperlink" Target="http://www.sec.gov/Archives/edgar/data/873860/000149315218005447/ex10-1.htm" TargetMode="External"/><Relationship Id="rId14" Type="http://schemas.openxmlformats.org/officeDocument/2006/relationships/hyperlink" Target="http://www.sec.gov/Archives/edgar/data/873860/000149315218005447/ex10-2.htm" TargetMode="External"/><Relationship Id="rId15" Type="http://schemas.openxmlformats.org/officeDocument/2006/relationships/hyperlink" Target="http://www.sec.gov/Archives/edgar/data/873860/000149315218007928/ex10-1.htm" TargetMode="External"/><Relationship Id="rId16" Type="http://schemas.openxmlformats.org/officeDocument/2006/relationships/hyperlink" Target="http://www.sec.gov/Archives/edgar/data/873860/000149315218009552/ex10-1.htm" TargetMode="External"/><Relationship Id="rId17" Type="http://schemas.openxmlformats.org/officeDocument/2006/relationships/hyperlink" Target="http://www.sec.gov/Archives/edgar/data/873860/000149315218009552/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2019-12-28T21:05:14Z</dcterms:created>
  <dcterms:modified xsi:type="dcterms:W3CDTF">2019-12-28T21:05:14Z</dcterms:modified>
</cp:coreProperties>
</file>