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499110</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21"/>
          <w:szCs w:val="21"/>
          <w:color w:val="auto"/>
        </w:rPr>
        <w:t>Washington, D.C. 20549</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18" w:lineRule="exact"/>
        <w:rPr>
          <w:sz w:val="24"/>
          <w:szCs w:val="24"/>
          <w:color w:val="auto"/>
        </w:rPr>
      </w:pPr>
    </w:p>
    <w:p>
      <w:pPr>
        <w:ind w:left="260" w:hanging="239"/>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103" w:lineRule="exact"/>
        <w:rPr>
          <w:sz w:val="24"/>
          <w:szCs w:val="24"/>
          <w:color w:val="auto"/>
        </w:rPr>
      </w:pPr>
    </w:p>
    <w:p>
      <w:pPr>
        <w:spacing w:after="0"/>
        <w:rPr>
          <w:sz w:val="20"/>
          <w:szCs w:val="20"/>
          <w:color w:val="auto"/>
        </w:rPr>
      </w:pPr>
      <w:r>
        <w:rPr>
          <w:rFonts w:ascii="Arial" w:cs="Arial" w:eastAsia="Arial" w:hAnsi="Arial"/>
          <w:sz w:val="17"/>
          <w:szCs w:val="17"/>
          <w:color w:val="auto"/>
        </w:rPr>
        <w:t>For the quarterly period ended September 30, 2023</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OR</w:t>
      </w:r>
    </w:p>
    <w:p>
      <w:pPr>
        <w:spacing w:after="0" w:line="119"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40" w:lineRule="exact"/>
        <w:rPr>
          <w:sz w:val="24"/>
          <w:szCs w:val="24"/>
          <w:color w:val="auto"/>
        </w:rPr>
      </w:pPr>
    </w:p>
    <w:p>
      <w:pPr>
        <w:ind w:left="400"/>
        <w:spacing w:after="0"/>
        <w:rPr>
          <w:sz w:val="20"/>
          <w:szCs w:val="20"/>
          <w:color w:val="auto"/>
        </w:rPr>
      </w:pPr>
      <w:r>
        <w:rPr>
          <w:rFonts w:ascii="Arial" w:cs="Arial" w:eastAsia="Arial" w:hAnsi="Arial"/>
          <w:sz w:val="17"/>
          <w:szCs w:val="17"/>
          <w:color w:val="auto"/>
        </w:rPr>
        <w:t>For the transition period from: ____________________ to ____________________</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No. 1-13219</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OCWEN FINANCIAL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jc w:val="center"/>
              <w:spacing w:after="0"/>
              <w:rPr>
                <w:sz w:val="20"/>
                <w:szCs w:val="20"/>
                <w:color w:val="auto"/>
              </w:rPr>
            </w:pPr>
            <w:r>
              <w:rPr>
                <w:rFonts w:ascii="Arial" w:cs="Arial" w:eastAsia="Arial" w:hAnsi="Arial"/>
                <w:sz w:val="17"/>
                <w:szCs w:val="17"/>
                <w:b w:val="1"/>
                <w:bCs w:val="1"/>
                <w:color w:val="auto"/>
                <w:w w:val="95"/>
              </w:rPr>
              <w:t>Florida</w:t>
            </w:r>
          </w:p>
        </w:tc>
        <w:tc>
          <w:tcPr>
            <w:tcW w:w="6080" w:type="dxa"/>
            <w:vAlign w:val="bottom"/>
            <w:gridSpan w:val="2"/>
          </w:tcPr>
          <w:p>
            <w:pPr>
              <w:jc w:val="right"/>
              <w:ind w:right="2034"/>
              <w:spacing w:after="0"/>
              <w:rPr>
                <w:sz w:val="20"/>
                <w:szCs w:val="20"/>
                <w:color w:val="auto"/>
              </w:rPr>
            </w:pPr>
            <w:r>
              <w:rPr>
                <w:rFonts w:ascii="Arial" w:cs="Arial" w:eastAsia="Arial" w:hAnsi="Arial"/>
                <w:sz w:val="17"/>
                <w:szCs w:val="17"/>
                <w:b w:val="1"/>
                <w:bCs w:val="1"/>
                <w:color w:val="auto"/>
              </w:rPr>
              <w:t>65-0039856</w:t>
            </w:r>
          </w:p>
        </w:tc>
      </w:tr>
      <w:tr>
        <w:trPr>
          <w:trHeight w:val="213"/>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(I.R.S. Employer Identification No.)</w:t>
            </w:r>
          </w:p>
        </w:tc>
      </w:tr>
      <w:tr>
        <w:trPr>
          <w:trHeight w:val="258"/>
        </w:trPr>
        <w:tc>
          <w:tcPr>
            <w:tcW w:w="5140" w:type="dxa"/>
            <w:vAlign w:val="bottom"/>
          </w:tcPr>
          <w:p>
            <w:pPr>
              <w:jc w:val="center"/>
              <w:spacing w:after="0"/>
              <w:rPr>
                <w:sz w:val="20"/>
                <w:szCs w:val="20"/>
                <w:color w:val="auto"/>
              </w:rPr>
            </w:pPr>
            <w:r>
              <w:rPr>
                <w:rFonts w:ascii="Arial" w:cs="Arial" w:eastAsia="Arial" w:hAnsi="Arial"/>
                <w:sz w:val="17"/>
                <w:szCs w:val="17"/>
                <w:b w:val="1"/>
                <w:bCs w:val="1"/>
                <w:color w:val="auto"/>
                <w:w w:val="92"/>
              </w:rPr>
              <w:t>1661 Worthington Road, Suite 100</w:t>
            </w:r>
          </w:p>
        </w:tc>
        <w:tc>
          <w:tcPr>
            <w:tcW w:w="1000" w:type="dxa"/>
            <w:vAlign w:val="bottom"/>
          </w:tcPr>
          <w:p>
            <w:pPr>
              <w:spacing w:after="0"/>
              <w:rPr>
                <w:sz w:val="22"/>
                <w:szCs w:val="22"/>
                <w:color w:val="auto"/>
              </w:rPr>
            </w:pPr>
          </w:p>
        </w:tc>
        <w:tc>
          <w:tcPr>
            <w:tcW w:w="5080" w:type="dxa"/>
            <w:vAlign w:val="bottom"/>
          </w:tcPr>
          <w:p>
            <w:pPr>
              <w:spacing w:after="0"/>
              <w:rPr>
                <w:sz w:val="22"/>
                <w:szCs w:val="22"/>
                <w:color w:val="auto"/>
              </w:rPr>
            </w:pPr>
          </w:p>
        </w:tc>
      </w:tr>
      <w:tr>
        <w:trPr>
          <w:trHeight w:val="245"/>
        </w:trPr>
        <w:tc>
          <w:tcPr>
            <w:tcW w:w="5140" w:type="dxa"/>
            <w:vAlign w:val="bottom"/>
          </w:tcPr>
          <w:p>
            <w:pPr>
              <w:ind w:left="1660"/>
              <w:spacing w:after="0"/>
              <w:rPr>
                <w:sz w:val="20"/>
                <w:szCs w:val="20"/>
                <w:color w:val="auto"/>
              </w:rPr>
            </w:pPr>
            <w:r>
              <w:rPr>
                <w:rFonts w:ascii="Arial" w:cs="Arial" w:eastAsia="Arial" w:hAnsi="Arial"/>
                <w:sz w:val="17"/>
                <w:szCs w:val="17"/>
                <w:b w:val="1"/>
                <w:bCs w:val="1"/>
                <w:color w:val="auto"/>
              </w:rPr>
              <w:t>West Palm Beach, Florida</w:t>
            </w:r>
          </w:p>
        </w:tc>
        <w:tc>
          <w:tcPr>
            <w:tcW w:w="6080" w:type="dxa"/>
            <w:vAlign w:val="bottom"/>
            <w:gridSpan w:val="2"/>
          </w:tcPr>
          <w:p>
            <w:pPr>
              <w:jc w:val="right"/>
              <w:ind w:right="2234"/>
              <w:spacing w:after="0"/>
              <w:rPr>
                <w:sz w:val="20"/>
                <w:szCs w:val="20"/>
                <w:color w:val="auto"/>
              </w:rPr>
            </w:pPr>
            <w:r>
              <w:rPr>
                <w:rFonts w:ascii="Arial" w:cs="Arial" w:eastAsia="Arial" w:hAnsi="Arial"/>
                <w:sz w:val="17"/>
                <w:szCs w:val="17"/>
                <w:b w:val="1"/>
                <w:bCs w:val="1"/>
                <w:color w:val="auto"/>
              </w:rPr>
              <w:t>33409</w:t>
            </w:r>
          </w:p>
        </w:tc>
      </w:tr>
      <w:tr>
        <w:trPr>
          <w:trHeight w:val="213"/>
        </w:trPr>
        <w:tc>
          <w:tcPr>
            <w:tcW w:w="5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(Address of principal executive office)</w:t>
            </w:r>
          </w:p>
        </w:tc>
        <w:tc>
          <w:tcPr>
            <w:tcW w:w="1000" w:type="dxa"/>
            <w:vAlign w:val="bottom"/>
          </w:tcPr>
          <w:p>
            <w:pPr>
              <w:spacing w:after="0"/>
              <w:rPr>
                <w:sz w:val="18"/>
                <w:szCs w:val="18"/>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(Zip Code)</w:t>
            </w:r>
          </w:p>
        </w:tc>
      </w:tr>
    </w:tbl>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(561) 682-8000</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20"/>
          </w:cols>
          <w:pgMar w:left="320" w:top="879" w:right="359" w:bottom="1440" w:gutter="0" w:footer="0" w:header="0"/>
        </w:sectPr>
      </w:pPr>
    </w:p>
    <w:p>
      <w:pPr>
        <w:spacing w:after="0" w:line="122" w:lineRule="exact"/>
        <w:rPr>
          <w:sz w:val="24"/>
          <w:szCs w:val="24"/>
          <w:color w:val="auto"/>
        </w:rPr>
      </w:pPr>
    </w:p>
    <w:p>
      <w:pPr>
        <w:jc w:val="center"/>
        <w:ind w:left="140"/>
        <w:spacing w:after="0"/>
        <w:rPr>
          <w:sz w:val="20"/>
          <w:szCs w:val="20"/>
          <w:color w:val="auto"/>
        </w:rPr>
      </w:pPr>
      <w:r>
        <w:rPr>
          <w:rFonts w:ascii="Arial" w:cs="Arial" w:eastAsia="Arial" w:hAnsi="Arial"/>
          <w:sz w:val="17"/>
          <w:szCs w:val="17"/>
          <w:b w:val="1"/>
          <w:bCs w:val="1"/>
          <w:color w:val="auto"/>
        </w:rPr>
        <w:t>Title of each class</w:t>
      </w:r>
    </w:p>
    <w:p>
      <w:pPr>
        <w:spacing w:after="0" w:line="30" w:lineRule="exact"/>
        <w:rPr>
          <w:sz w:val="24"/>
          <w:szCs w:val="24"/>
          <w:color w:val="auto"/>
        </w:rPr>
      </w:pPr>
    </w:p>
    <w:p>
      <w:pPr>
        <w:jc w:val="center"/>
        <w:ind w:left="140"/>
        <w:spacing w:after="0"/>
        <w:rPr>
          <w:sz w:val="20"/>
          <w:szCs w:val="20"/>
          <w:color w:val="auto"/>
        </w:rPr>
      </w:pPr>
      <w:r>
        <w:rPr>
          <w:rFonts w:ascii="Arial" w:cs="Arial" w:eastAsia="Arial" w:hAnsi="Arial"/>
          <w:sz w:val="15"/>
          <w:szCs w:val="15"/>
          <w:color w:val="auto"/>
        </w:rPr>
        <w:t>Common Stock, $0.01 Par Value</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440"/>
        <w:spacing w:after="0"/>
        <w:rPr>
          <w:sz w:val="20"/>
          <w:szCs w:val="20"/>
          <w:color w:val="auto"/>
        </w:rPr>
      </w:pPr>
      <w:r>
        <w:rPr>
          <w:rFonts w:ascii="Arial" w:cs="Arial" w:eastAsia="Arial" w:hAnsi="Arial"/>
          <w:sz w:val="15"/>
          <w:szCs w:val="15"/>
          <w:b w:val="1"/>
          <w:bCs w:val="1"/>
          <w:color w:val="auto"/>
        </w:rPr>
        <w:t>Trading Symbol(s)</w:t>
      </w:r>
    </w:p>
    <w:p>
      <w:pPr>
        <w:spacing w:after="0" w:line="53" w:lineRule="exact"/>
        <w:rPr>
          <w:sz w:val="24"/>
          <w:szCs w:val="24"/>
          <w:color w:val="auto"/>
        </w:rPr>
      </w:pPr>
    </w:p>
    <w:p>
      <w:pPr>
        <w:jc w:val="center"/>
        <w:ind w:right="440"/>
        <w:spacing w:after="0"/>
        <w:rPr>
          <w:sz w:val="20"/>
          <w:szCs w:val="20"/>
          <w:color w:val="auto"/>
        </w:rPr>
      </w:pPr>
      <w:r>
        <w:rPr>
          <w:rFonts w:ascii="Arial" w:cs="Arial" w:eastAsia="Arial" w:hAnsi="Arial"/>
          <w:sz w:val="17"/>
          <w:szCs w:val="17"/>
          <w:color w:val="auto"/>
        </w:rPr>
        <w:t>OCN</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ind w:right="5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3"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3">
            <w:col w:w="4200" w:space="720"/>
            <w:col w:w="1820" w:space="720"/>
            <w:col w:w="3760"/>
          </w:cols>
          <w:pgMar w:left="320" w:top="879" w:right="359" w:bottom="1440" w:gutter="0" w:footer="0" w:header="0"/>
          <w:type w:val="continuous"/>
        </w:sectPr>
      </w:pPr>
    </w:p>
    <w:p>
      <w:pPr>
        <w:spacing w:after="0" w:line="5"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9" w:lineRule="exact"/>
        <w:rPr>
          <w:sz w:val="24"/>
          <w:szCs w:val="24"/>
          <w:color w:val="auto"/>
        </w:rPr>
      </w:pPr>
    </w:p>
    <w:p>
      <w:pPr>
        <w:ind w:right="20"/>
        <w:spacing w:after="0" w:line="353"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 w:lineRule="exact"/>
        <w:rPr>
          <w:sz w:val="24"/>
          <w:szCs w:val="24"/>
          <w:color w:val="auto"/>
        </w:rPr>
      </w:pPr>
    </w:p>
    <w:p>
      <w:pPr>
        <w:jc w:val="both"/>
        <w:ind w:right="80"/>
        <w:spacing w:after="0" w:line="26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Arial" w:cs="Arial" w:eastAsia="Arial" w:hAnsi="Arial"/>
                <w:sz w:val="17"/>
                <w:szCs w:val="17"/>
                <w:color w:val="auto"/>
              </w:rPr>
              <w:t>Accelerated filer</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20"/>
        </w:trPr>
        <w:tc>
          <w:tcPr>
            <w:tcW w:w="3200" w:type="dxa"/>
            <w:vAlign w:val="bottom"/>
          </w:tcPr>
          <w:p>
            <w:pPr>
              <w:spacing w:after="0"/>
              <w:rPr>
                <w:sz w:val="20"/>
                <w:szCs w:val="20"/>
                <w:color w:val="auto"/>
              </w:rPr>
            </w:pPr>
            <w:r>
              <w:rPr>
                <w:rFonts w:ascii="Arial" w:cs="Arial" w:eastAsia="Arial" w:hAnsi="Arial"/>
                <w:sz w:val="17"/>
                <w:szCs w:val="17"/>
                <w:color w:val="auto"/>
              </w:rPr>
              <w:t>Non-accelerated filer</w:t>
            </w:r>
          </w:p>
        </w:tc>
        <w:tc>
          <w:tcPr>
            <w:tcW w:w="2300" w:type="dxa"/>
            <w:vAlign w:val="bottom"/>
          </w:tcPr>
          <w:p>
            <w:pPr>
              <w:ind w:left="1640"/>
              <w:spacing w:after="0" w:line="171" w:lineRule="exact"/>
              <w:rPr>
                <w:sz w:val="20"/>
                <w:szCs w:val="20"/>
                <w:color w:val="auto"/>
              </w:rPr>
            </w:pPr>
            <w:r>
              <w:rPr>
                <w:rFonts w:ascii="MS PGothic" w:cs="MS PGothic" w:eastAsia="MS PGothic" w:hAnsi="MS PGothic"/>
                <w:sz w:val="17"/>
                <w:szCs w:val="17"/>
                <w:color w:val="auto"/>
                <w:highlight w:val="black"/>
              </w:rPr>
              <w:t>☐</w:t>
            </w:r>
          </w:p>
        </w:tc>
        <w:tc>
          <w:tcPr>
            <w:tcW w:w="3880" w:type="dxa"/>
            <w:vAlign w:val="bottom"/>
          </w:tcPr>
          <w:p>
            <w:pPr>
              <w:ind w:left="520"/>
              <w:spacing w:after="0"/>
              <w:rPr>
                <w:sz w:val="20"/>
                <w:szCs w:val="20"/>
                <w:color w:val="auto"/>
              </w:rPr>
            </w:pPr>
            <w:r>
              <w:rPr>
                <w:rFonts w:ascii="Arial" w:cs="Arial" w:eastAsia="Arial" w:hAnsi="Arial"/>
                <w:sz w:val="17"/>
                <w:szCs w:val="17"/>
                <w:color w:val="auto"/>
              </w:rPr>
              <w:t>Smaller reporting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r>
        <w:trPr>
          <w:trHeight w:val="290"/>
        </w:trPr>
        <w:tc>
          <w:tcPr>
            <w:tcW w:w="3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880" w:type="dxa"/>
            <w:vAlign w:val="bottom"/>
          </w:tcPr>
          <w:p>
            <w:pPr>
              <w:ind w:left="520"/>
              <w:spacing w:after="0"/>
              <w:rPr>
                <w:sz w:val="20"/>
                <w:szCs w:val="20"/>
                <w:color w:val="auto"/>
              </w:rPr>
            </w:pPr>
            <w:r>
              <w:rPr>
                <w:rFonts w:ascii="Arial" w:cs="Arial" w:eastAsia="Arial" w:hAnsi="Arial"/>
                <w:sz w:val="17"/>
                <w:szCs w:val="17"/>
                <w:color w:val="auto"/>
              </w:rPr>
              <w:t>Emerging growth company</w:t>
            </w:r>
          </w:p>
        </w:tc>
        <w:tc>
          <w:tcPr>
            <w:tcW w:w="1640" w:type="dxa"/>
            <w:vAlign w:val="bottom"/>
          </w:tcPr>
          <w:p>
            <w:pPr>
              <w:ind w:left="1480"/>
              <w:spacing w:after="0" w:line="171" w:lineRule="exact"/>
              <w:rPr>
                <w:sz w:val="20"/>
                <w:szCs w:val="20"/>
                <w:color w:val="auto"/>
              </w:rPr>
            </w:pPr>
            <w:r>
              <w:rPr>
                <w:rFonts w:ascii="MS PGothic" w:cs="MS PGothic" w:eastAsia="MS PGothic" w:hAnsi="MS PGothic"/>
                <w:sz w:val="17"/>
                <w:szCs w:val="17"/>
                <w:color w:val="auto"/>
                <w:highlight w:val="black"/>
                <w:w w:val="82"/>
              </w:rPr>
              <w:t>☐</w:t>
            </w:r>
          </w:p>
        </w:tc>
      </w:tr>
    </w:tbl>
    <w:p>
      <w:pPr>
        <w:spacing w:after="0" w:line="142" w:lineRule="exact"/>
        <w:rPr>
          <w:sz w:val="24"/>
          <w:szCs w:val="24"/>
          <w:color w:val="auto"/>
        </w:rPr>
      </w:pPr>
    </w:p>
    <w:p>
      <w:pPr>
        <w:ind w:right="440"/>
        <w:spacing w:after="0" w:line="283"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ind w:right="3280"/>
        <w:spacing w:after="0" w:line="287"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Number of shares of common stock outstanding as of October 31, 2023: 7,677,008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561975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156210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OCWEN FINANCIAL CORPORATION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PART I - FINANCIAL INFORMATION</w:t>
            </w:r>
          </w:p>
        </w:tc>
        <w:tc>
          <w:tcPr>
            <w:tcW w:w="7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200"/>
        </w:trPr>
        <w:tc>
          <w:tcPr>
            <w:tcW w:w="104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Item 1.</w:t>
            </w:r>
          </w:p>
        </w:tc>
        <w:tc>
          <w:tcPr>
            <w:tcW w:w="9560" w:type="dxa"/>
            <w:vAlign w:val="bottom"/>
          </w:tcPr>
          <w:p>
            <w:pPr>
              <w:ind w:left="140"/>
              <w:spacing w:after="0"/>
              <w:rPr>
                <w:sz w:val="20"/>
                <w:szCs w:val="20"/>
                <w:color w:val="auto"/>
              </w:rPr>
            </w:pPr>
            <w:r>
              <w:rPr>
                <w:rFonts w:ascii="Arial" w:cs="Arial" w:eastAsia="Arial" w:hAnsi="Arial"/>
                <w:sz w:val="17"/>
                <w:szCs w:val="17"/>
                <w:color w:val="auto"/>
              </w:rPr>
              <w:t>Unaudited Consolidated Financial Statements</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Consolidated Balance Sheets at September 30, 2023 and December 31, 2022</w:t>
            </w:r>
          </w:p>
        </w:tc>
        <w:tc>
          <w:tcPr>
            <w:tcW w:w="78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517"/>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Consolidated Statements of Operations for the Three and Nine Months Ended September 30, 2023 and 2022</w:t>
            </w:r>
          </w:p>
        </w:tc>
        <w:tc>
          <w:tcPr>
            <w:tcW w:w="78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491"/>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Consolidated Statements of Comprehensive Income for the Three and Nine Months Ended September 30, 2023 and 2022</w:t>
            </w: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504"/>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Consolidated Statements of Changes in Equity for the Three and Nine Months Ended September 30, 2023 and 2022</w:t>
            </w:r>
          </w:p>
        </w:tc>
        <w:tc>
          <w:tcPr>
            <w:tcW w:w="7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Consolidated Statements of Cash Flows for the Nine Months Ended September 30, 2023 and 2022</w:t>
            </w:r>
          </w:p>
        </w:tc>
        <w:tc>
          <w:tcPr>
            <w:tcW w:w="780" w:type="dxa"/>
            <w:vAlign w:val="bottom"/>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4"/>
                <w:szCs w:val="24"/>
                <w:color w:val="auto"/>
              </w:rPr>
            </w:pPr>
          </w:p>
        </w:tc>
        <w:tc>
          <w:tcPr>
            <w:tcW w:w="9560" w:type="dxa"/>
            <w:vAlign w:val="bottom"/>
          </w:tcPr>
          <w:p>
            <w:pPr>
              <w:ind w:left="140"/>
              <w:spacing w:after="0"/>
              <w:rPr>
                <w:sz w:val="20"/>
                <w:szCs w:val="20"/>
                <w:color w:val="auto"/>
              </w:rPr>
            </w:pPr>
            <w:r>
              <w:rPr>
                <w:rFonts w:ascii="Arial" w:cs="Arial" w:eastAsia="Arial" w:hAnsi="Arial"/>
                <w:sz w:val="17"/>
                <w:szCs w:val="17"/>
                <w:color w:val="auto"/>
              </w:rPr>
              <w:t>Notes to Unaudited Consolidated Financial Statements</w:t>
            </w:r>
          </w:p>
        </w:tc>
        <w:tc>
          <w:tcPr>
            <w:tcW w:w="78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Arial" w:cs="Arial" w:eastAsia="Arial" w:hAnsi="Arial"/>
                <w:sz w:val="17"/>
                <w:szCs w:val="17"/>
                <w:color w:val="auto"/>
              </w:rPr>
              <w:t>Item 2.</w:t>
            </w:r>
          </w:p>
        </w:tc>
        <w:tc>
          <w:tcPr>
            <w:tcW w:w="9560" w:type="dxa"/>
            <w:vAlign w:val="bottom"/>
          </w:tcPr>
          <w:p>
            <w:pPr>
              <w:ind w:left="1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Item 3.</w:t>
            </w:r>
          </w:p>
        </w:tc>
        <w:tc>
          <w:tcPr>
            <w:tcW w:w="9560" w:type="dxa"/>
            <w:vAlign w:val="bottom"/>
          </w:tcPr>
          <w:p>
            <w:pPr>
              <w:ind w:left="140"/>
              <w:spacing w:after="0"/>
              <w:rPr>
                <w:sz w:val="20"/>
                <w:szCs w:val="20"/>
                <w:color w:val="auto"/>
              </w:rPr>
            </w:pPr>
            <w:r>
              <w:rPr>
                <w:rFonts w:ascii="Arial" w:cs="Arial" w:eastAsia="Arial" w:hAnsi="Arial"/>
                <w:sz w:val="17"/>
                <w:szCs w:val="17"/>
                <w:color w:val="auto"/>
              </w:rPr>
              <w:t>Quantitative and Qualitative Disclosures about Market Risk</w:t>
            </w:r>
          </w:p>
        </w:tc>
        <w:tc>
          <w:tcPr>
            <w:tcW w:w="78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Item 4.</w:t>
            </w:r>
          </w:p>
        </w:tc>
        <w:tc>
          <w:tcPr>
            <w:tcW w:w="9560" w:type="dxa"/>
            <w:vAlign w:val="bottom"/>
          </w:tcPr>
          <w:p>
            <w:pPr>
              <w:ind w:left="140"/>
              <w:spacing w:after="0"/>
              <w:rPr>
                <w:sz w:val="20"/>
                <w:szCs w:val="20"/>
                <w:color w:val="auto"/>
              </w:rPr>
            </w:pPr>
            <w:r>
              <w:rPr>
                <w:rFonts w:ascii="Arial" w:cs="Arial" w:eastAsia="Arial" w:hAnsi="Arial"/>
                <w:sz w:val="17"/>
                <w:szCs w:val="17"/>
                <w:color w:val="auto"/>
              </w:rPr>
              <w:t>Controls and Procedures</w:t>
            </w:r>
          </w:p>
        </w:tc>
        <w:tc>
          <w:tcPr>
            <w:tcW w:w="780" w:type="dxa"/>
            <w:vAlign w:val="bottom"/>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439"/>
        </w:trPr>
        <w:tc>
          <w:tcPr>
            <w:tcW w:w="10420" w:type="dxa"/>
            <w:vAlign w:val="bottom"/>
            <w:gridSpan w:val="2"/>
          </w:tcPr>
          <w:p>
            <w:pPr>
              <w:spacing w:after="0"/>
              <w:rPr>
                <w:sz w:val="20"/>
                <w:szCs w:val="20"/>
                <w:color w:val="auto"/>
              </w:rPr>
            </w:pPr>
            <w:r>
              <w:rPr>
                <w:rFonts w:ascii="Arial" w:cs="Arial" w:eastAsia="Arial" w:hAnsi="Arial"/>
                <w:sz w:val="17"/>
                <w:szCs w:val="17"/>
                <w:b w:val="1"/>
                <w:bCs w:val="1"/>
                <w:color w:val="auto"/>
              </w:rPr>
              <w:t>PART II -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Item 1.</w:t>
            </w:r>
          </w:p>
        </w:tc>
        <w:tc>
          <w:tcPr>
            <w:tcW w:w="9560" w:type="dxa"/>
            <w:vAlign w:val="bottom"/>
          </w:tcPr>
          <w:p>
            <w:pPr>
              <w:ind w:left="140"/>
              <w:spacing w:after="0"/>
              <w:rPr>
                <w:sz w:val="20"/>
                <w:szCs w:val="20"/>
                <w:color w:val="auto"/>
              </w:rPr>
            </w:pPr>
            <w:r>
              <w:rPr>
                <w:rFonts w:ascii="Arial" w:cs="Arial" w:eastAsia="Arial" w:hAnsi="Arial"/>
                <w:sz w:val="17"/>
                <w:szCs w:val="17"/>
                <w:color w:val="auto"/>
              </w:rPr>
              <w:t>Legal Proceedings</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Item 1A.</w:t>
            </w:r>
          </w:p>
        </w:tc>
        <w:tc>
          <w:tcPr>
            <w:tcW w:w="9560" w:type="dxa"/>
            <w:vAlign w:val="bottom"/>
          </w:tcPr>
          <w:p>
            <w:pPr>
              <w:ind w:left="140"/>
              <w:spacing w:after="0"/>
              <w:rPr>
                <w:sz w:val="20"/>
                <w:szCs w:val="20"/>
                <w:color w:val="auto"/>
              </w:rPr>
            </w:pPr>
            <w:r>
              <w:rPr>
                <w:rFonts w:ascii="Arial" w:cs="Arial" w:eastAsia="Arial" w:hAnsi="Arial"/>
                <w:sz w:val="17"/>
                <w:szCs w:val="17"/>
                <w:color w:val="auto"/>
              </w:rPr>
              <w:t>Risk Factors</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478"/>
        </w:trPr>
        <w:tc>
          <w:tcPr>
            <w:tcW w:w="860" w:type="dxa"/>
            <w:vAlign w:val="bottom"/>
          </w:tcPr>
          <w:p>
            <w:pPr>
              <w:spacing w:after="0"/>
              <w:rPr>
                <w:sz w:val="20"/>
                <w:szCs w:val="20"/>
                <w:color w:val="auto"/>
              </w:rPr>
            </w:pPr>
            <w:r>
              <w:rPr>
                <w:rFonts w:ascii="Arial" w:cs="Arial" w:eastAsia="Arial" w:hAnsi="Arial"/>
                <w:sz w:val="17"/>
                <w:szCs w:val="17"/>
                <w:color w:val="auto"/>
              </w:rPr>
              <w:t>Item 6.</w:t>
            </w:r>
          </w:p>
        </w:tc>
        <w:tc>
          <w:tcPr>
            <w:tcW w:w="9560" w:type="dxa"/>
            <w:vAlign w:val="bottom"/>
          </w:tcPr>
          <w:p>
            <w:pPr>
              <w:ind w:left="140"/>
              <w:spacing w:after="0"/>
              <w:rPr>
                <w:sz w:val="20"/>
                <w:szCs w:val="20"/>
                <w:color w:val="auto"/>
              </w:rPr>
            </w:pPr>
            <w:r>
              <w:rPr>
                <w:rFonts w:ascii="Arial" w:cs="Arial" w:eastAsia="Arial" w:hAnsi="Arial"/>
                <w:sz w:val="17"/>
                <w:szCs w:val="17"/>
                <w:color w:val="auto"/>
              </w:rPr>
              <w:t>Exhibits</w:t>
            </w: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439"/>
        </w:trPr>
        <w:tc>
          <w:tcPr>
            <w:tcW w:w="860" w:type="dxa"/>
            <w:vAlign w:val="bottom"/>
          </w:tcPr>
          <w:p>
            <w:pPr>
              <w:spacing w:after="0"/>
              <w:rPr>
                <w:sz w:val="20"/>
                <w:szCs w:val="20"/>
                <w:color w:val="auto"/>
              </w:rPr>
            </w:pPr>
            <w:r>
              <w:rPr>
                <w:rFonts w:ascii="Arial" w:cs="Arial" w:eastAsia="Arial" w:hAnsi="Arial"/>
                <w:sz w:val="17"/>
                <w:szCs w:val="17"/>
                <w:color w:val="auto"/>
              </w:rPr>
              <w:t>Signatures</w:t>
            </w:r>
          </w:p>
        </w:tc>
        <w:tc>
          <w:tcPr>
            <w:tcW w:w="9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FORWARD-LOOKING STATEMENTS</w:t>
      </w:r>
    </w:p>
    <w:p>
      <w:pPr>
        <w:spacing w:after="0" w:line="12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52"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2022 and the following:</w:t>
      </w:r>
    </w:p>
    <w:p>
      <w:pPr>
        <w:spacing w:after="0" w:line="55" w:lineRule="exact"/>
        <w:rPr>
          <w:sz w:val="20"/>
          <w:szCs w:val="20"/>
          <w:color w:val="auto"/>
        </w:rPr>
      </w:pPr>
    </w:p>
    <w:p>
      <w:pPr>
        <w:ind w:left="620" w:right="4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for ongoing disruption in the financial markets and in commercial activity generally related to changes in monetary and fiscal policy, United States political developments, geopolitical events and other sources of instability;</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impacts of inflation, employment disruption, and other financial difficulties facing our borrowers;</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recent failures and re-organization of banking institutions and continued uncertainty in the banking industry;</w:t>
      </w:r>
    </w:p>
    <w:p>
      <w:pPr>
        <w:spacing w:after="0" w:line="24" w:lineRule="exact"/>
        <w:rPr>
          <w:rFonts w:ascii="Arial" w:cs="Arial" w:eastAsia="Arial" w:hAnsi="Arial"/>
          <w:sz w:val="17"/>
          <w:szCs w:val="17"/>
          <w:color w:val="auto"/>
        </w:rPr>
      </w:pPr>
    </w:p>
    <w:p>
      <w:pPr>
        <w:ind w:left="620" w:right="36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timely reduce operating costs or generate offsetting revenue in proportion to the industry-wide decrease in originations activity, and the impact of cost-reduction initiatives on our business, operations, and financial performance;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and increase market share in our target markets, including in forward and reverse servicing;</w:t>
      </w:r>
    </w:p>
    <w:p>
      <w:pPr>
        <w:spacing w:after="0" w:line="11" w:lineRule="exact"/>
        <w:rPr>
          <w:rFonts w:ascii="Arial" w:cs="Arial" w:eastAsia="Arial" w:hAnsi="Arial"/>
          <w:sz w:val="17"/>
          <w:szCs w:val="17"/>
          <w:color w:val="auto"/>
        </w:rPr>
      </w:pPr>
    </w:p>
    <w:p>
      <w:pPr>
        <w:ind w:left="620" w:right="10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common stock or senior debt that we may repurchase under any future stock or debt repurchase programs, the timing of such repurchases, and the long-term impact, if any, of repurchases on the trading price of our stock or our financial condition;</w:t>
      </w:r>
    </w:p>
    <w:p>
      <w:pPr>
        <w:spacing w:after="0" w:line="1" w:lineRule="exact"/>
        <w:rPr>
          <w:rFonts w:ascii="Arial" w:cs="Arial" w:eastAsia="Arial" w:hAnsi="Arial"/>
          <w:sz w:val="17"/>
          <w:szCs w:val="17"/>
          <w:color w:val="auto"/>
        </w:rPr>
      </w:pPr>
    </w:p>
    <w:p>
      <w:pPr>
        <w:ind w:left="620" w:right="760" w:hanging="307"/>
        <w:spacing w:after="0" w:line="286"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our mortgage servicing rights (MSR) joint venture with Oaktree Capital Management L.P. and its affiliates (Oaktree), other transactions and our enterprise sales initiatives will generate additional subservicing volume and result in increased profitability;</w:t>
      </w:r>
    </w:p>
    <w:p>
      <w:pPr>
        <w:ind w:left="620" w:right="22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and the ability of MSR Asset Vehicle LLC (MAV), to bid competitively for, and close acquisitions of, MSRs on terms that will enable us to achieve our growth objectives and a favorable return on our investment in MAV;</w:t>
      </w:r>
    </w:p>
    <w:p>
      <w:pPr>
        <w:spacing w:after="0" w:line="1" w:lineRule="exact"/>
        <w:rPr>
          <w:rFonts w:ascii="Arial" w:cs="Arial" w:eastAsia="Arial" w:hAnsi="Arial"/>
          <w:sz w:val="17"/>
          <w:szCs w:val="17"/>
          <w:color w:val="auto"/>
        </w:rPr>
      </w:pPr>
    </w:p>
    <w:p>
      <w:pPr>
        <w:ind w:left="620" w:right="20" w:hanging="307"/>
        <w:spacing w:after="0" w:line="277" w:lineRule="auto"/>
        <w:tabs>
          <w:tab w:leader="none" w:pos="616"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future of MAV, one our largest subservicing clients as of September 30, 2023, MAV’s continued ownership of its MSR portfolio after May 3, 2024, and any impact on our servicing revenue and MSR valuation adjustments as a result of the sale of MAV’s MSRs;</w:t>
      </w:r>
    </w:p>
    <w:p>
      <w:pPr>
        <w:spacing w:after="0" w:line="1" w:lineRule="exact"/>
        <w:rPr>
          <w:rFonts w:ascii="Arial" w:cs="Arial" w:eastAsia="Arial" w:hAnsi="Arial"/>
          <w:sz w:val="16"/>
          <w:szCs w:val="16"/>
          <w:color w:val="auto"/>
        </w:rPr>
      </w:pPr>
    </w:p>
    <w:p>
      <w:pPr>
        <w:ind w:left="620" w:right="160" w:hanging="307"/>
        <w:spacing w:after="0" w:line="26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our ownership stake in MAV’s holding company may be diluted, resulting in a reduced ability for us to participate in certain routine management decisions;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our long-term relationship with Rithm Capital Corp. (Rithm), one of our largest subservicing clients as of September 30, 2023;</w:t>
      </w:r>
    </w:p>
    <w:p>
      <w:pPr>
        <w:spacing w:after="0" w:line="35" w:lineRule="exact"/>
        <w:rPr>
          <w:rFonts w:ascii="Arial" w:cs="Arial" w:eastAsia="Arial" w:hAnsi="Arial"/>
          <w:sz w:val="16"/>
          <w:szCs w:val="16"/>
          <w:color w:val="auto"/>
        </w:rPr>
      </w:pPr>
    </w:p>
    <w:p>
      <w:pPr>
        <w:ind w:left="620" w:right="46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enter into and close additional strategic transactions, including the ability to obtain regulatory approvals, enter into definitive financing arrangements, and satisfy closing conditions, and the timing for doing so;</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efficiently integrate the operations and assets of acquired businesses and to retain their employees and customers over time;</w:t>
      </w:r>
    </w:p>
    <w:p>
      <w:pPr>
        <w:spacing w:after="0" w:line="37" w:lineRule="exact"/>
        <w:rPr>
          <w:rFonts w:ascii="Arial" w:cs="Arial" w:eastAsia="Arial" w:hAnsi="Arial"/>
          <w:sz w:val="17"/>
          <w:szCs w:val="17"/>
          <w:color w:val="auto"/>
        </w:rPr>
      </w:pPr>
    </w:p>
    <w:p>
      <w:pPr>
        <w:ind w:left="620" w:right="220" w:hanging="307"/>
        <w:spacing w:after="0" w:line="296"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adequacy of our financial resources, including our sources of liquidity and ability to sell, fund and recover servicing advances, forward and reverse whole loans, future draws on existing reverse loans, and Home Equity Conversion Mortgage (HECM) and forward loan buyouts and put-backs;</w:t>
      </w:r>
    </w:p>
    <w:p>
      <w:pPr>
        <w:ind w:left="620" w:hanging="307"/>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35" w:lineRule="exact"/>
        <w:rPr>
          <w:rFonts w:ascii="Arial" w:cs="Arial" w:eastAsia="Arial" w:hAnsi="Arial"/>
          <w:sz w:val="16"/>
          <w:szCs w:val="16"/>
          <w:color w:val="auto"/>
        </w:rPr>
      </w:pPr>
    </w:p>
    <w:p>
      <w:pPr>
        <w:ind w:left="620" w:right="120" w:hanging="307"/>
        <w:spacing w:after="0" w:line="26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repay, renew and extend borrowings, borrow additional amounts as and when required, meet our MSR or other asset investment objectives and comply with our debt agreements, including the financial and other covenants contained in them;</w:t>
      </w:r>
    </w:p>
    <w:p>
      <w:pPr>
        <w:spacing w:after="0" w:line="1" w:lineRule="exact"/>
        <w:rPr>
          <w:rFonts w:ascii="Arial" w:cs="Arial" w:eastAsia="Arial" w:hAnsi="Arial"/>
          <w:sz w:val="17"/>
          <w:szCs w:val="17"/>
          <w:color w:val="auto"/>
        </w:rPr>
      </w:pPr>
    </w:p>
    <w:p>
      <w:pPr>
        <w:ind w:left="620" w:right="180" w:hanging="307"/>
        <w:spacing w:after="0" w:line="26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increased servicing costs and reduced or delayed servicing income due to rising borrower delinquency levels, forbearance plans, moratoria on evictions and delays in foreclosure proceedings;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characteristics of our servicing portfolio, including prepayment speeds along with delinquency and advance rates;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3" w:name="page4"/>
    <w:bookmarkEnd w:id="3"/>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continue to collect certain expedited payment or convenience fees and potential liability for charging such fees;</w:t>
      </w:r>
    </w:p>
    <w:p>
      <w:pPr>
        <w:spacing w:after="0" w:line="24" w:lineRule="exact"/>
        <w:rPr>
          <w:rFonts w:ascii="Arial" w:cs="Arial" w:eastAsia="Arial" w:hAnsi="Arial"/>
          <w:sz w:val="17"/>
          <w:szCs w:val="17"/>
          <w:color w:val="auto"/>
        </w:rPr>
      </w:pPr>
    </w:p>
    <w:p>
      <w:pPr>
        <w:ind w:left="620" w:right="38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in severe weather or natural disaster events resulting in costly disruptions to our operations and increased servicing costs due to property damage;</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modify delinquent loans, manage foreclosures and maintain and sell foreclosed properties;</w:t>
      </w:r>
    </w:p>
    <w:p>
      <w:pPr>
        <w:spacing w:after="0" w:line="10" w:lineRule="exact"/>
        <w:rPr>
          <w:rFonts w:ascii="Arial" w:cs="Arial" w:eastAsia="Arial" w:hAnsi="Arial"/>
          <w:sz w:val="17"/>
          <w:szCs w:val="17"/>
          <w:color w:val="auto"/>
        </w:rPr>
      </w:pPr>
    </w:p>
    <w:p>
      <w:pPr>
        <w:ind w:left="620" w:hanging="307"/>
        <w:spacing w:after="0" w:line="275"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effects on our business related to past, present or future claims, litigation, cease and desist orders and investigations relating to our business practices, including those brought by private parties and state regulators, the Consumer Financial Protection Bureau (CFPB), State Attorneys General, the Securities and Exchange Commission (SEC), the Department of Justice or the Department of Housing and Urban Development (HUD);</w:t>
      </w:r>
    </w:p>
    <w:p>
      <w:pPr>
        <w:ind w:left="620" w:right="220" w:hanging="307"/>
        <w:spacing w:after="0" w:line="24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scrutiny of our compliance with COVID-19-related rules and regulations, including requirements instituted by state governments, the Federal National Mortgage Association (Fannie Mae), and Federal Home Loan Mortgage Corporation (Freddie Mac) (together, the GSEs), the Government National Mortgage Association (Ginnie Mae) and regulators;</w:t>
      </w: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reactions of key counterparties, including lenders, the GSEs and Ginnie Mae, to our regulatory engagements and litigation matters;</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adverse developments in existing legal proceedings or the initiation of new legal proceedings;</w:t>
      </w:r>
    </w:p>
    <w:p>
      <w:pPr>
        <w:spacing w:after="0" w:line="24" w:lineRule="exact"/>
        <w:rPr>
          <w:rFonts w:ascii="Arial" w:cs="Arial" w:eastAsia="Arial" w:hAnsi="Arial"/>
          <w:sz w:val="17"/>
          <w:szCs w:val="17"/>
          <w:color w:val="auto"/>
        </w:rPr>
      </w:pPr>
    </w:p>
    <w:p>
      <w:pPr>
        <w:ind w:left="620" w:right="16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efficiently manage our regulatory and contractual compliance obligations and fully comply with all applicable requirements, and the costs of doing so;</w:t>
      </w:r>
    </w:p>
    <w:p>
      <w:pPr>
        <w:spacing w:after="0" w:line="1" w:lineRule="exact"/>
        <w:rPr>
          <w:rFonts w:ascii="Arial" w:cs="Arial" w:eastAsia="Arial" w:hAnsi="Arial"/>
          <w:sz w:val="17"/>
          <w:szCs w:val="17"/>
          <w:color w:val="auto"/>
        </w:rPr>
      </w:pPr>
    </w:p>
    <w:p>
      <w:pPr>
        <w:ind w:left="620" w:right="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changes in legislation, regulations, government programs and policies, industry initiatives, best servicing and lending practices, and media scrutiny of our business and industry;</w:t>
      </w:r>
    </w:p>
    <w:p>
      <w:pPr>
        <w:spacing w:after="0" w:line="1" w:lineRule="exact"/>
        <w:rPr>
          <w:rFonts w:ascii="Arial" w:cs="Arial" w:eastAsia="Arial" w:hAnsi="Arial"/>
          <w:sz w:val="17"/>
          <w:szCs w:val="17"/>
          <w:color w:val="auto"/>
        </w:rPr>
      </w:pPr>
    </w:p>
    <w:p>
      <w:pPr>
        <w:ind w:left="620" w:right="26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changes in the law as well as changes in the interpretation of law may require us to modify our business practices and expose us to increased expense and litigation risk;</w:t>
      </w:r>
    </w:p>
    <w:p>
      <w:pPr>
        <w:spacing w:after="0" w:line="1" w:lineRule="exact"/>
        <w:rPr>
          <w:rFonts w:ascii="Arial" w:cs="Arial" w:eastAsia="Arial" w:hAnsi="Arial"/>
          <w:sz w:val="17"/>
          <w:szCs w:val="17"/>
          <w:color w:val="auto"/>
        </w:rPr>
      </w:pPr>
    </w:p>
    <w:p>
      <w:pPr>
        <w:ind w:left="620" w:right="8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risk-based capital requirements that take effect in late 2024;</w:t>
      </w:r>
    </w:p>
    <w:p>
      <w:pPr>
        <w:ind w:left="620" w:right="2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comply with our servicing agreements, including our ability to comply with our agreements with the GSEs and Ginnie Mae and maintain our seller/servicer and other statuses with them;</w:t>
      </w:r>
    </w:p>
    <w:p>
      <w:pPr>
        <w:spacing w:after="0" w:line="1" w:lineRule="exact"/>
        <w:rPr>
          <w:rFonts w:ascii="Arial" w:cs="Arial" w:eastAsia="Arial" w:hAnsi="Arial"/>
          <w:sz w:val="17"/>
          <w:szCs w:val="17"/>
          <w:color w:val="auto"/>
        </w:rPr>
      </w:pPr>
    </w:p>
    <w:p>
      <w:pPr>
        <w:ind w:left="620" w:right="26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servicer and credit ratings as well as other actions from various rating agencies, including the impact of prior or future downgrades of our servicer and credit ratings;</w:t>
      </w:r>
    </w:p>
    <w:p>
      <w:pPr>
        <w:spacing w:after="0" w:line="1" w:lineRule="exact"/>
        <w:rPr>
          <w:rFonts w:ascii="Arial" w:cs="Arial" w:eastAsia="Arial" w:hAnsi="Arial"/>
          <w:sz w:val="17"/>
          <w:szCs w:val="17"/>
          <w:color w:val="auto"/>
        </w:rPr>
      </w:pPr>
    </w:p>
    <w:p>
      <w:pPr>
        <w:ind w:left="620" w:right="400" w:hanging="307"/>
        <w:spacing w:after="0" w:line="261"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actions of loan owners and guarantors, including mortgage-backed securities investors, the GSEs, Ginnie Mae and trustees regarding loan put-backs, penalties and legal actions;</w:t>
      </w:r>
    </w:p>
    <w:p>
      <w:pPr>
        <w:spacing w:after="0" w:line="1" w:lineRule="exact"/>
        <w:rPr>
          <w:rFonts w:ascii="Arial" w:cs="Arial" w:eastAsia="Arial" w:hAnsi="Arial"/>
          <w:sz w:val="17"/>
          <w:szCs w:val="17"/>
          <w:color w:val="auto"/>
        </w:rPr>
      </w:pPr>
    </w:p>
    <w:p>
      <w:pPr>
        <w:ind w:left="620" w:right="220" w:hanging="307"/>
        <w:spacing w:after="0" w:line="296" w:lineRule="auto"/>
        <w:tabs>
          <w:tab w:leader="none" w:pos="616" w:val="left"/>
        </w:tabs>
        <w:numPr>
          <w:ilvl w:val="0"/>
          <w:numId w:val="4"/>
        </w:numPr>
        <w:rPr>
          <w:rFonts w:ascii="Arial" w:cs="Arial" w:eastAsia="Arial" w:hAnsi="Arial"/>
          <w:sz w:val="15"/>
          <w:szCs w:val="15"/>
          <w:color w:val="auto"/>
        </w:rPr>
      </w:pPr>
      <w:r>
        <w:rPr>
          <w:rFonts w:ascii="Arial" w:cs="Arial" w:eastAsia="Arial" w:hAnsi="Arial"/>
          <w:sz w:val="15"/>
          <w:szCs w:val="15"/>
          <w:color w:val="auto"/>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ind w:left="620" w:right="36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our, or our vendors’, information technology or other security systems or breach of our, or our vendors’, privacy protections, including any failure to protect customers’ data;</w:t>
      </w:r>
    </w:p>
    <w:p>
      <w:pPr>
        <w:spacing w:after="0" w:line="1" w:lineRule="exact"/>
        <w:rPr>
          <w:rFonts w:ascii="Arial" w:cs="Arial" w:eastAsia="Arial" w:hAnsi="Arial"/>
          <w:sz w:val="17"/>
          <w:szCs w:val="17"/>
          <w:color w:val="auto"/>
        </w:rPr>
      </w:pPr>
    </w:p>
    <w:p>
      <w:pPr>
        <w:jc w:val="both"/>
        <w:ind w:left="620" w:right="120" w:hanging="307"/>
        <w:spacing w:after="0" w:line="25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recruit and retain senior managers and key employees;</w:t>
      </w:r>
    </w:p>
    <w:p>
      <w:pPr>
        <w:spacing w:after="0" w:line="24"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increased compensation and benefits expense as a result of rising inflation and labor market trends;</w:t>
      </w:r>
    </w:p>
    <w:p>
      <w:pPr>
        <w:spacing w:after="0" w:line="37"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our reserves, valuations, provisions and anticipated realization of assets;</w:t>
      </w:r>
    </w:p>
    <w:p>
      <w:pPr>
        <w:spacing w:after="0" w:line="24"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manage our exposure to interest rate changes and foreign exchange fluctuations;</w:t>
      </w:r>
    </w:p>
    <w:p>
      <w:pPr>
        <w:spacing w:after="0" w:line="24" w:lineRule="exact"/>
        <w:rPr>
          <w:rFonts w:ascii="Arial" w:cs="Arial" w:eastAsia="Arial" w:hAnsi="Arial"/>
          <w:sz w:val="17"/>
          <w:szCs w:val="17"/>
          <w:color w:val="auto"/>
        </w:rPr>
      </w:pPr>
    </w:p>
    <w:p>
      <w:pPr>
        <w:ind w:left="620" w:right="20" w:hanging="307"/>
        <w:spacing w:after="0" w:line="26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transform our operations in response to changing business needs, including our ability to do so without unanticipated adverse tax consequences;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political or economic stability in the foreign countries in which we operate; and</w:t>
      </w:r>
    </w:p>
    <w:p>
      <w:pPr>
        <w:spacing w:after="0" w:line="24" w:lineRule="exact"/>
        <w:rPr>
          <w:rFonts w:ascii="Arial" w:cs="Arial" w:eastAsia="Arial" w:hAnsi="Arial"/>
          <w:sz w:val="17"/>
          <w:szCs w:val="17"/>
          <w:color w:val="auto"/>
        </w:rPr>
      </w:pPr>
    </w:p>
    <w:p>
      <w:pPr>
        <w:ind w:left="620" w:right="560" w:hanging="307"/>
        <w:spacing w:after="0" w:line="283"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positive relationships with our large shareholders and obtain their support for management proposals requiring shareholder approval.</w:t>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Further information on the risks specific to our business is detailed within this report and our other reports and filings with the SEC including our Annual Report on Form 10-K for the year ended December 31, 2022,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 – FINANCIAL INFORMATION</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ITEM 1. UNAUDITED CONSOLIDATED FINANCIAL STATEMENTS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 CONSOLIDATED BALANCE SHEETS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(Dollars in millions, except per share data)</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64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0"/>
        </w:trPr>
        <w:tc>
          <w:tcPr>
            <w:tcW w:w="80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194.0</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208.0</w:t>
            </w:r>
          </w:p>
        </w:tc>
      </w:tr>
      <w:tr>
        <w:trPr>
          <w:trHeight w:val="220"/>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Restricted cash ($21.6 and $17.6 related to variable interest entities (VIEs))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r>
      <w:tr>
        <w:trPr>
          <w:trHeight w:val="220"/>
        </w:trPr>
        <w:tc>
          <w:tcPr>
            <w:tcW w:w="8060" w:type="dxa"/>
            <w:vAlign w:val="bottom"/>
          </w:tcPr>
          <w:p>
            <w:pPr>
              <w:ind w:left="180"/>
              <w:spacing w:after="0"/>
              <w:rPr>
                <w:sz w:val="20"/>
                <w:szCs w:val="20"/>
                <w:color w:val="auto"/>
              </w:rPr>
            </w:pPr>
            <w:r>
              <w:rPr>
                <w:rFonts w:ascii="Arial" w:cs="Arial" w:eastAsia="Arial" w:hAnsi="Arial"/>
                <w:sz w:val="17"/>
                <w:szCs w:val="17"/>
                <w:color w:val="auto"/>
              </w:rPr>
              <w:t>Mortgage servicing rights (MSRs), at fair value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2,859.8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2,665.2</w:t>
            </w:r>
          </w:p>
        </w:tc>
      </w:tr>
      <w:tr>
        <w:trPr>
          <w:trHeight w:val="220"/>
        </w:trPr>
        <w:tc>
          <w:tcPr>
            <w:tcW w:w="80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Advances, net ($471.4 and $608.4 related to VIEs)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718.9</w:t>
            </w:r>
          </w:p>
        </w:tc>
      </w:tr>
      <w:tr>
        <w:trPr>
          <w:trHeight w:val="220"/>
        </w:trPr>
        <w:tc>
          <w:tcPr>
            <w:tcW w:w="8060" w:type="dxa"/>
            <w:vAlign w:val="bottom"/>
          </w:tcPr>
          <w:p>
            <w:pPr>
              <w:ind w:left="220"/>
              <w:spacing w:after="0"/>
              <w:rPr>
                <w:sz w:val="20"/>
                <w:szCs w:val="20"/>
                <w:color w:val="auto"/>
              </w:rPr>
            </w:pPr>
            <w:r>
              <w:rPr>
                <w:rFonts w:ascii="Arial" w:cs="Arial" w:eastAsia="Arial" w:hAnsi="Arial"/>
                <w:sz w:val="17"/>
                <w:szCs w:val="17"/>
                <w:color w:val="auto"/>
              </w:rPr>
              <w:t>Loans held for sale ($944.7 and $617.8 carried at fair value) ($277.4 and $0.0 related to VIEs)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948.3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622.7</w:t>
            </w:r>
          </w:p>
        </w:tc>
      </w:tr>
      <w:tr>
        <w:trPr>
          <w:trHeight w:val="220"/>
        </w:trPr>
        <w:tc>
          <w:tcPr>
            <w:tcW w:w="8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investment, at fair value ($5.9 and $6.7 related to VIEs)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7,510.8</w:t>
            </w:r>
          </w:p>
        </w:tc>
      </w:tr>
      <w:tr>
        <w:trPr>
          <w:trHeight w:val="220"/>
        </w:trPr>
        <w:tc>
          <w:tcPr>
            <w:tcW w:w="8060" w:type="dxa"/>
            <w:vAlign w:val="bottom"/>
          </w:tcPr>
          <w:p>
            <w:pPr>
              <w:ind w:left="220"/>
              <w:spacing w:after="0"/>
              <w:rPr>
                <w:sz w:val="20"/>
                <w:szCs w:val="20"/>
                <w:color w:val="auto"/>
              </w:rPr>
            </w:pPr>
            <w:r>
              <w:rPr>
                <w:rFonts w:ascii="Arial" w:cs="Arial" w:eastAsia="Arial" w:hAnsi="Arial"/>
                <w:sz w:val="17"/>
                <w:szCs w:val="17"/>
                <w:color w:val="auto"/>
              </w:rPr>
              <w:t>Receivables, net ($29.4 and $0.0 related to VIEs)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180.8</w:t>
            </w:r>
          </w:p>
        </w:tc>
      </w:tr>
      <w:tr>
        <w:trPr>
          <w:trHeight w:val="220"/>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Investment in equity method investee</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r>
      <w:tr>
        <w:trPr>
          <w:trHeight w:val="220"/>
        </w:trPr>
        <w:tc>
          <w:tcPr>
            <w:tcW w:w="8060" w:type="dxa"/>
            <w:vAlign w:val="bottom"/>
          </w:tcPr>
          <w:p>
            <w:pPr>
              <w:ind w:left="180"/>
              <w:spacing w:after="0"/>
              <w:rPr>
                <w:sz w:val="20"/>
                <w:szCs w:val="20"/>
                <w:color w:val="auto"/>
              </w:rPr>
            </w:pPr>
            <w:r>
              <w:rPr>
                <w:rFonts w:ascii="Arial" w:cs="Arial" w:eastAsia="Arial" w:hAnsi="Arial"/>
                <w:sz w:val="17"/>
                <w:szCs w:val="17"/>
                <w:color w:val="auto"/>
              </w:rPr>
              <w:t>Premises and equipment, net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20.2</w:t>
            </w:r>
          </w:p>
        </w:tc>
      </w:tr>
      <w:tr>
        <w:trPr>
          <w:trHeight w:val="220"/>
        </w:trPr>
        <w:tc>
          <w:tcPr>
            <w:tcW w:w="8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assets ($14.0 and $8.0 carried at fair value) ($20.3 and $3.2 related to VIEs)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364.2</w:t>
            </w:r>
          </w:p>
        </w:tc>
      </w:tr>
      <w:tr>
        <w:trPr>
          <w:trHeight w:val="213"/>
        </w:trPr>
        <w:tc>
          <w:tcPr>
            <w:tcW w:w="8060" w:type="dxa"/>
            <w:vAlign w:val="bottom"/>
          </w:tcPr>
          <w:p>
            <w:pPr>
              <w:ind w:left="340"/>
              <w:spacing w:after="0"/>
              <w:rPr>
                <w:sz w:val="20"/>
                <w:szCs w:val="20"/>
                <w:color w:val="auto"/>
              </w:rPr>
            </w:pPr>
            <w:r>
              <w:rPr>
                <w:rFonts w:ascii="Arial" w:cs="Arial" w:eastAsia="Arial" w:hAnsi="Arial"/>
                <w:sz w:val="17"/>
                <w:szCs w:val="17"/>
                <w:color w:val="auto"/>
              </w:rPr>
              <w:t>Total assets</w:t>
            </w: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13,011.7</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12,399.2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21"/>
        </w:trPr>
        <w:tc>
          <w:tcPr>
            <w:tcW w:w="8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0"/>
        </w:trPr>
        <w:tc>
          <w:tcPr>
            <w:tcW w:w="80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Liabilities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8060" w:type="dxa"/>
            <w:vAlign w:val="bottom"/>
          </w:tcPr>
          <w:p>
            <w:pPr>
              <w:ind w:left="340"/>
              <w:spacing w:after="0"/>
              <w:rPr>
                <w:sz w:val="20"/>
                <w:szCs w:val="20"/>
                <w:color w:val="auto"/>
              </w:rPr>
            </w:pPr>
            <w:r>
              <w:rPr>
                <w:rFonts w:ascii="Arial" w:cs="Arial" w:eastAsia="Arial" w:hAnsi="Arial"/>
                <w:sz w:val="17"/>
                <w:szCs w:val="17"/>
                <w:color w:val="auto"/>
              </w:rPr>
              <w:t>Home Equity Conversion Mortgage-Backed Securities (HMBS) related borrowings, at fair value</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7,613.6</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7,326.8</w:t>
            </w:r>
          </w:p>
        </w:tc>
      </w:tr>
      <w:tr>
        <w:trPr>
          <w:trHeight w:val="220"/>
        </w:trPr>
        <w:tc>
          <w:tcPr>
            <w:tcW w:w="806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3"/>
              </w:rPr>
              <w:t>Other financing liabilities, at fair value ($420.4 and $329.8 due to related party) ($5.9 and $6.7 related to VIEs)</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1,137.4</w:t>
            </w:r>
          </w:p>
        </w:tc>
      </w:tr>
      <w:tr>
        <w:trPr>
          <w:trHeight w:val="220"/>
        </w:trPr>
        <w:tc>
          <w:tcPr>
            <w:tcW w:w="8060" w:type="dxa"/>
            <w:vAlign w:val="bottom"/>
          </w:tcPr>
          <w:p>
            <w:pPr>
              <w:ind w:left="340"/>
              <w:spacing w:after="0"/>
              <w:rPr>
                <w:sz w:val="20"/>
                <w:szCs w:val="20"/>
                <w:color w:val="auto"/>
              </w:rPr>
            </w:pPr>
            <w:r>
              <w:rPr>
                <w:rFonts w:ascii="Arial" w:cs="Arial" w:eastAsia="Arial" w:hAnsi="Arial"/>
                <w:sz w:val="17"/>
                <w:szCs w:val="17"/>
                <w:color w:val="auto"/>
              </w:rPr>
              <w:t>Advance match funded liabilities ($402.2 and $512.5 related to VIEs)</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513.7</w:t>
            </w:r>
          </w:p>
        </w:tc>
      </w:tr>
      <w:tr>
        <w:trPr>
          <w:trHeight w:val="258"/>
        </w:trPr>
        <w:tc>
          <w:tcPr>
            <w:tcW w:w="8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Mortgage loan financing facilities, net ($166.4 and $0.0 related to VIEs)</w:t>
            </w:r>
          </w:p>
        </w:tc>
        <w:tc>
          <w:tcPr>
            <w:tcW w:w="4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702.7</w:t>
            </w:r>
          </w:p>
        </w:tc>
      </w:tr>
      <w:tr>
        <w:trPr>
          <w:trHeight w:val="220"/>
        </w:trPr>
        <w:tc>
          <w:tcPr>
            <w:tcW w:w="8060" w:type="dxa"/>
            <w:vAlign w:val="bottom"/>
          </w:tcPr>
          <w:p>
            <w:pPr>
              <w:ind w:left="340"/>
              <w:spacing w:after="0"/>
              <w:rPr>
                <w:sz w:val="20"/>
                <w:szCs w:val="20"/>
                <w:color w:val="auto"/>
              </w:rPr>
            </w:pPr>
            <w:r>
              <w:rPr>
                <w:rFonts w:ascii="Arial" w:cs="Arial" w:eastAsia="Arial" w:hAnsi="Arial"/>
                <w:sz w:val="17"/>
                <w:szCs w:val="17"/>
                <w:color w:val="auto"/>
              </w:rPr>
              <w:t>MSR financing facilities, net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953.8</w:t>
            </w:r>
          </w:p>
        </w:tc>
      </w:tr>
      <w:tr>
        <w:trPr>
          <w:trHeight w:val="220"/>
        </w:trPr>
        <w:tc>
          <w:tcPr>
            <w:tcW w:w="8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Senior notes, net ($237.2 and $230.2 due to related party)</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599.6</w:t>
            </w:r>
          </w:p>
        </w:tc>
      </w:tr>
      <w:tr>
        <w:trPr>
          <w:trHeight w:val="220"/>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liabilities ($24.4 and $15.8 carried at fair value)</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639.2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708.5</w:t>
            </w:r>
          </w:p>
        </w:tc>
      </w:tr>
      <w:tr>
        <w:trPr>
          <w:trHeight w:val="213"/>
        </w:trPr>
        <w:tc>
          <w:tcPr>
            <w:tcW w:w="80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liabilities</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12,566.6</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11,942.5</w:t>
            </w:r>
          </w:p>
        </w:tc>
      </w:tr>
      <w:tr>
        <w:trPr>
          <w:trHeight w:val="135"/>
        </w:trPr>
        <w:tc>
          <w:tcPr>
            <w:tcW w:w="8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(Notes 19 and 20)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55"/>
        </w:trPr>
        <w:tc>
          <w:tcPr>
            <w:tcW w:w="80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Stockholders’ Equity</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68"/>
        </w:trPr>
        <w:tc>
          <w:tcPr>
            <w:tcW w:w="8060" w:type="dxa"/>
            <w:vAlign w:val="bottom"/>
          </w:tcPr>
          <w:p>
            <w:pPr>
              <w:ind w:left="20"/>
              <w:spacing w:after="0" w:line="168" w:lineRule="exact"/>
              <w:rPr>
                <w:sz w:val="20"/>
                <w:szCs w:val="20"/>
                <w:color w:val="auto"/>
              </w:rPr>
            </w:pPr>
            <w:r>
              <w:rPr>
                <w:rFonts w:ascii="Arial" w:cs="Arial" w:eastAsia="Arial" w:hAnsi="Arial"/>
                <w:sz w:val="17"/>
                <w:szCs w:val="17"/>
                <w:color w:val="auto"/>
                <w:w w:val="99"/>
              </w:rPr>
              <w:t>Common stock, $.01 par value; 13,333,333 shares authorized; 7,677,008 and 7,526,117 shares issued and</w:t>
            </w:r>
          </w:p>
        </w:tc>
        <w:tc>
          <w:tcPr>
            <w:tcW w:w="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2"/>
        </w:trPr>
        <w:tc>
          <w:tcPr>
            <w:tcW w:w="8060" w:type="dxa"/>
            <w:vAlign w:val="bottom"/>
          </w:tcPr>
          <w:p>
            <w:pPr>
              <w:ind w:left="20"/>
              <w:spacing w:after="0"/>
              <w:rPr>
                <w:sz w:val="20"/>
                <w:szCs w:val="20"/>
                <w:color w:val="auto"/>
              </w:rPr>
            </w:pPr>
            <w:r>
              <w:rPr>
                <w:rFonts w:ascii="Arial" w:cs="Arial" w:eastAsia="Arial" w:hAnsi="Arial"/>
                <w:sz w:val="17"/>
                <w:szCs w:val="17"/>
                <w:color w:val="auto"/>
              </w:rPr>
              <w:t>outstanding at September 30, 2023 and December 31, 2022, respectively</w:t>
            </w: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8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547.0</w:t>
            </w:r>
          </w:p>
        </w:tc>
      </w:tr>
      <w:tr>
        <w:trPr>
          <w:trHeight w:val="220"/>
        </w:trPr>
        <w:tc>
          <w:tcPr>
            <w:tcW w:w="806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(87.9)</w:t>
            </w:r>
          </w:p>
        </w:tc>
      </w:tr>
      <w:tr>
        <w:trPr>
          <w:trHeight w:val="220"/>
        </w:trPr>
        <w:tc>
          <w:tcPr>
            <w:tcW w:w="8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 net of income taxes</w:t>
            </w: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stockholders’ equity</w:t>
            </w: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456.7</w:t>
            </w:r>
          </w:p>
        </w:tc>
      </w:tr>
      <w:tr>
        <w:trPr>
          <w:trHeight w:val="238"/>
        </w:trPr>
        <w:tc>
          <w:tcPr>
            <w:tcW w:w="8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 liabilities and stockholders’ equity</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13,011.7</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12,399.2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 except per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3260" w:type="dxa"/>
            <w:vAlign w:val="bottom"/>
            <w:gridSpan w:val="6"/>
          </w:tcPr>
          <w:p>
            <w:pPr>
              <w:ind w:left="80"/>
              <w:spacing w:after="0"/>
              <w:rPr>
                <w:sz w:val="20"/>
                <w:szCs w:val="20"/>
                <w:color w:val="auto"/>
              </w:rPr>
            </w:pPr>
            <w:r>
              <w:rPr>
                <w:rFonts w:ascii="Arial" w:cs="Arial" w:eastAsia="Arial" w:hAnsi="Arial"/>
                <w:sz w:val="17"/>
                <w:szCs w:val="17"/>
                <w:b w:val="1"/>
                <w:bCs w:val="1"/>
                <w:color w:val="auto"/>
                <w:w w:val="97"/>
              </w:rPr>
              <w:t>For the Three Months Ended September</w:t>
            </w:r>
          </w:p>
        </w:tc>
        <w:tc>
          <w:tcPr>
            <w:tcW w:w="100" w:type="dxa"/>
            <w:vAlign w:val="bottom"/>
          </w:tcPr>
          <w:p>
            <w:pPr>
              <w:spacing w:after="0"/>
              <w:rPr>
                <w:sz w:val="16"/>
                <w:szCs w:val="16"/>
                <w:color w:val="auto"/>
              </w:rPr>
            </w:pPr>
          </w:p>
        </w:tc>
        <w:tc>
          <w:tcPr>
            <w:tcW w:w="3040" w:type="dxa"/>
            <w:vAlign w:val="bottom"/>
            <w:gridSpan w:val="4"/>
          </w:tcPr>
          <w:p>
            <w:pPr>
              <w:jc w:val="right"/>
              <w:ind w:right="34"/>
              <w:spacing w:after="0"/>
              <w:rPr>
                <w:sz w:val="20"/>
                <w:szCs w:val="20"/>
                <w:color w:val="auto"/>
              </w:rPr>
            </w:pPr>
            <w:r>
              <w:rPr>
                <w:rFonts w:ascii="Arial" w:cs="Arial" w:eastAsia="Arial" w:hAnsi="Arial"/>
                <w:sz w:val="17"/>
                <w:szCs w:val="17"/>
                <w:b w:val="1"/>
                <w:bCs w:val="1"/>
                <w:color w:val="auto"/>
                <w:w w:val="92"/>
              </w:rPr>
              <w:t>For the Nine Months Ended September</w:t>
            </w:r>
          </w:p>
        </w:tc>
      </w:tr>
      <w:tr>
        <w:trPr>
          <w:trHeight w:val="229"/>
        </w:trPr>
        <w:tc>
          <w:tcPr>
            <w:tcW w:w="4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7"/>
                <w:szCs w:val="17"/>
                <w:b w:val="1"/>
                <w:bCs w:val="1"/>
                <w:color w:val="auto"/>
              </w:rPr>
              <w:t>30,</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7"/>
                <w:szCs w:val="17"/>
                <w:b w:val="1"/>
                <w:bCs w:val="1"/>
                <w:color w:val="auto"/>
              </w:rPr>
              <w:t>30,</w:t>
            </w:r>
          </w:p>
        </w:tc>
        <w:tc>
          <w:tcPr>
            <w:tcW w:w="1180" w:type="dxa"/>
            <w:vAlign w:val="bottom"/>
            <w:tcBorders>
              <w:bottom w:val="single" w:sz="8" w:color="auto"/>
            </w:tcBorders>
          </w:tcPr>
          <w:p>
            <w:pPr>
              <w:spacing w:after="0"/>
              <w:rPr>
                <w:sz w:val="19"/>
                <w:szCs w:val="19"/>
                <w:color w:val="auto"/>
              </w:rPr>
            </w:pPr>
          </w:p>
        </w:tc>
      </w:tr>
      <w:tr>
        <w:trPr>
          <w:trHeight w:val="216"/>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Servicing and subservicing fees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237.8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215.6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707.5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643.3</w:t>
            </w:r>
          </w:p>
        </w:tc>
      </w:tr>
      <w:tr>
        <w:trPr>
          <w:trHeight w:val="168"/>
        </w:trPr>
        <w:tc>
          <w:tcPr>
            <w:tcW w:w="48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rPr>
              <w:t>Gain (loss) on reverse loans held for investment and HMBS-</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2"/>
        </w:trPr>
        <w:tc>
          <w:tcPr>
            <w:tcW w:w="4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related borrowings, net</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Gain (loss)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revenue,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w:t>
            </w:r>
          </w:p>
        </w:tc>
      </w:tr>
      <w:tr>
        <w:trPr>
          <w:trHeight w:val="213"/>
        </w:trPr>
        <w:tc>
          <w:tcPr>
            <w:tcW w:w="48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703.4</w:t>
            </w:r>
          </w:p>
        </w:tc>
      </w:tr>
      <w:tr>
        <w:trPr>
          <w:trHeight w:val="135"/>
        </w:trPr>
        <w:tc>
          <w:tcPr>
            <w:tcW w:w="4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85.4</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Compensation and benefits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Servicing and origination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52.3</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Technology and communications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Professional services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Occupancy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r>
      <w:tr>
        <w:trPr>
          <w:trHeight w:val="220"/>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expenses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r>
      <w:tr>
        <w:trPr>
          <w:trHeight w:val="213"/>
        </w:trPr>
        <w:tc>
          <w:tcPr>
            <w:tcW w:w="4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r>
      <w:tr>
        <w:trPr>
          <w:trHeight w:val="135"/>
        </w:trPr>
        <w:tc>
          <w:tcPr>
            <w:tcW w:w="4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168"/>
        </w:trPr>
        <w:tc>
          <w:tcPr>
            <w:tcW w:w="48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0"/>
              </w:rPr>
              <w:t>Interest expense ($11.0, $10.6, $32.6, and $31.5 on amounts due to</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2"/>
        </w:trPr>
        <w:tc>
          <w:tcPr>
            <w:tcW w:w="48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related party)</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r>
      <w:tr>
        <w:trPr>
          <w:trHeight w:val="168"/>
        </w:trPr>
        <w:tc>
          <w:tcPr>
            <w:tcW w:w="4840" w:type="dxa"/>
            <w:vAlign w:val="bottom"/>
          </w:tcPr>
          <w:p>
            <w:pPr>
              <w:ind w:left="180"/>
              <w:spacing w:after="0" w:line="168" w:lineRule="exact"/>
              <w:rPr>
                <w:sz w:val="20"/>
                <w:szCs w:val="20"/>
                <w:color w:val="auto"/>
              </w:rPr>
            </w:pPr>
            <w:r>
              <w:rPr>
                <w:rFonts w:ascii="Arial" w:cs="Arial" w:eastAsia="Arial" w:hAnsi="Arial"/>
                <w:sz w:val="17"/>
                <w:szCs w:val="17"/>
                <w:color w:val="auto"/>
                <w:w w:val="93"/>
              </w:rPr>
              <w:t>Pledged MSR liability expense ($14.5, $15.5, $41.8, and $45.0 on</w:t>
            </w: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4840" w:type="dxa"/>
            <w:vAlign w:val="bottom"/>
          </w:tcPr>
          <w:p>
            <w:pPr>
              <w:ind w:left="260"/>
              <w:spacing w:after="0"/>
              <w:rPr>
                <w:sz w:val="20"/>
                <w:szCs w:val="20"/>
                <w:color w:val="auto"/>
              </w:rPr>
            </w:pPr>
            <w:r>
              <w:rPr>
                <w:rFonts w:ascii="Arial" w:cs="Arial" w:eastAsia="Arial" w:hAnsi="Arial"/>
                <w:sz w:val="17"/>
                <w:szCs w:val="17"/>
                <w:color w:val="auto"/>
              </w:rPr>
              <w:t>amounts due to related party)</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(219.8)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(188.3)</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Earnings of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Gain on extinguishment of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3"/>
        </w:trPr>
        <w:tc>
          <w:tcPr>
            <w:tcW w:w="484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w:t>
            </w:r>
          </w:p>
        </w:tc>
      </w:tr>
      <w:tr>
        <w:trPr>
          <w:trHeight w:val="213"/>
        </w:trPr>
        <w:tc>
          <w:tcPr>
            <w:tcW w:w="4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103.7</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187"/>
        </w:trPr>
        <w:tc>
          <w:tcPr>
            <w:tcW w:w="4840" w:type="dxa"/>
            <w:vAlign w:val="bottom"/>
          </w:tcPr>
          <w:p>
            <w:pPr>
              <w:ind w:left="20"/>
              <w:spacing w:after="0" w:line="187" w:lineRule="exact"/>
              <w:rPr>
                <w:sz w:val="20"/>
                <w:szCs w:val="20"/>
                <w:color w:val="auto"/>
              </w:rPr>
            </w:pPr>
            <w:r>
              <w:rPr>
                <w:rFonts w:ascii="Arial" w:cs="Arial" w:eastAsia="Arial" w:hAnsi="Arial"/>
                <w:sz w:val="17"/>
                <w:szCs w:val="17"/>
                <w:b w:val="1"/>
                <w:bCs w:val="1"/>
                <w:color w:val="auto"/>
              </w:rPr>
              <w:t>Net income (loss)</w:t>
            </w:r>
          </w:p>
        </w:tc>
        <w:tc>
          <w:tcPr>
            <w:tcW w:w="340" w:type="dxa"/>
            <w:vAlign w:val="bottom"/>
            <w:tcBorders>
              <w:bottom w:val="single" w:sz="8" w:color="auto"/>
            </w:tcBorders>
          </w:tcPr>
          <w:p>
            <w:pPr>
              <w:jc w:val="right"/>
              <w:ind w:right="154"/>
              <w:spacing w:after="0" w:line="187" w:lineRule="exact"/>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8.5</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36.9</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(16.2)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105.4</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11.34</w:t>
            </w:r>
          </w:p>
        </w:tc>
      </w:tr>
      <w:tr>
        <w:trPr>
          <w:trHeight w:val="155"/>
        </w:trPr>
        <w:tc>
          <w:tcPr>
            <w:tcW w:w="48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Weighted average common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7,677,008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8,530,209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7,621,569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8,998,298</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8,060,078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8,866,925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7,621,569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9,295,857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6" w:name="page7"/>
    <w:bookmarkEnd w:id="6"/>
    <w:p>
      <w:pPr>
        <w:jc w:val="center"/>
        <w:ind w:left="340" w:right="2160"/>
        <w:spacing w:after="0" w:line="272" w:lineRule="auto"/>
        <w:rPr>
          <w:sz w:val="20"/>
          <w:szCs w:val="20"/>
          <w:color w:val="auto"/>
        </w:rPr>
      </w:pPr>
      <w:r>
        <w:rPr>
          <w:rFonts w:ascii="Arial" w:cs="Arial" w:eastAsia="Arial" w:hAnsi="Arial"/>
          <w:sz w:val="17"/>
          <w:szCs w:val="17"/>
          <w:b w:val="1"/>
          <w:bCs w:val="1"/>
          <w:color w:val="auto"/>
        </w:rPr>
        <w:t>OCWEN FINANCIAL CORPORATION AND SUBSIDIARIES UNAUDITED CONSOLIDATED STATEMENTS OF COMPREHENSIVE INCOME (LOSS) (Dollars 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3260" w:type="dxa"/>
            <w:vAlign w:val="bottom"/>
            <w:gridSpan w:val="7"/>
          </w:tcPr>
          <w:p>
            <w:pPr>
              <w:ind w:left="80"/>
              <w:spacing w:after="0"/>
              <w:rPr>
                <w:sz w:val="20"/>
                <w:szCs w:val="20"/>
                <w:color w:val="auto"/>
              </w:rPr>
            </w:pPr>
            <w:r>
              <w:rPr>
                <w:rFonts w:ascii="Arial" w:cs="Arial" w:eastAsia="Arial" w:hAnsi="Arial"/>
                <w:sz w:val="17"/>
                <w:szCs w:val="17"/>
                <w:b w:val="1"/>
                <w:bCs w:val="1"/>
                <w:color w:val="auto"/>
                <w:w w:val="97"/>
              </w:rPr>
              <w:t>For the Three Months Ended September</w:t>
            </w:r>
          </w:p>
        </w:tc>
        <w:tc>
          <w:tcPr>
            <w:tcW w:w="100" w:type="dxa"/>
            <w:vAlign w:val="bottom"/>
          </w:tcPr>
          <w:p>
            <w:pPr>
              <w:spacing w:after="0"/>
              <w:rPr>
                <w:sz w:val="16"/>
                <w:szCs w:val="16"/>
                <w:color w:val="auto"/>
              </w:rPr>
            </w:pPr>
          </w:p>
        </w:tc>
        <w:tc>
          <w:tcPr>
            <w:tcW w:w="3040" w:type="dxa"/>
            <w:vAlign w:val="bottom"/>
            <w:gridSpan w:val="4"/>
          </w:tcPr>
          <w:p>
            <w:pPr>
              <w:jc w:val="right"/>
              <w:ind w:right="34"/>
              <w:spacing w:after="0"/>
              <w:rPr>
                <w:sz w:val="20"/>
                <w:szCs w:val="20"/>
                <w:color w:val="auto"/>
              </w:rPr>
            </w:pPr>
            <w:r>
              <w:rPr>
                <w:rFonts w:ascii="Arial" w:cs="Arial" w:eastAsia="Arial" w:hAnsi="Arial"/>
                <w:sz w:val="17"/>
                <w:szCs w:val="17"/>
                <w:b w:val="1"/>
                <w:bCs w:val="1"/>
                <w:color w:val="auto"/>
                <w:w w:val="92"/>
              </w:rPr>
              <w:t>For the Nine Months Ended September</w:t>
            </w:r>
          </w:p>
        </w:tc>
      </w:tr>
      <w:tr>
        <w:trPr>
          <w:trHeight w:val="229"/>
        </w:trPr>
        <w:tc>
          <w:tcPr>
            <w:tcW w:w="48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7"/>
                <w:szCs w:val="17"/>
                <w:b w:val="1"/>
                <w:bCs w:val="1"/>
                <w:color w:val="auto"/>
                <w:w w:val="84"/>
              </w:rPr>
              <w:t>30,</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7"/>
                <w:szCs w:val="17"/>
                <w:b w:val="1"/>
                <w:bCs w:val="1"/>
                <w:color w:val="auto"/>
              </w:rPr>
              <w:t>30,</w:t>
            </w:r>
          </w:p>
        </w:tc>
        <w:tc>
          <w:tcPr>
            <w:tcW w:w="1180" w:type="dxa"/>
            <w:vAlign w:val="bottom"/>
            <w:tcBorders>
              <w:bottom w:val="single" w:sz="8" w:color="auto"/>
            </w:tcBorders>
          </w:tcPr>
          <w:p>
            <w:pPr>
              <w:spacing w:after="0"/>
              <w:rPr>
                <w:sz w:val="19"/>
                <w:szCs w:val="19"/>
                <w:color w:val="auto"/>
              </w:rPr>
            </w:pPr>
          </w:p>
        </w:tc>
      </w:tr>
      <w:tr>
        <w:trPr>
          <w:trHeight w:val="216"/>
        </w:trPr>
        <w:tc>
          <w:tcPr>
            <w:tcW w:w="48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2023</w:t>
            </w:r>
          </w:p>
        </w:tc>
        <w:tc>
          <w:tcPr>
            <w:tcW w:w="3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r>
      <w:tr>
        <w:trPr>
          <w:trHeight w:val="155"/>
        </w:trPr>
        <w:tc>
          <w:tcPr>
            <w:tcW w:w="4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 net of income taxes: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Change in unfunded pension plan obligation liability</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8.5</w:t>
            </w: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105.7</w:t>
            </w:r>
          </w:p>
        </w:tc>
      </w:tr>
      <w:tr>
        <w:trPr>
          <w:trHeight w:val="20"/>
        </w:trPr>
        <w:tc>
          <w:tcPr>
            <w:tcW w:w="48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7" w:name="page8"/>
    <w:bookmarkEnd w:id="7"/>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spacing w:after="0" w:line="260" w:lineRule="auto"/>
        <w:rPr>
          <w:sz w:val="20"/>
          <w:szCs w:val="20"/>
          <w:color w:val="auto"/>
        </w:rPr>
      </w:pPr>
      <w:r>
        <w:rPr>
          <w:rFonts w:ascii="Arial" w:cs="Arial" w:eastAsia="Arial" w:hAnsi="Arial"/>
          <w:sz w:val="17"/>
          <w:szCs w:val="17"/>
          <w:b w:val="1"/>
          <w:bCs w:val="1"/>
          <w:color w:val="auto"/>
        </w:rPr>
        <w:t>UNAUDITED CONSOLIDATED STATEMENTS OF CHANGES IN EQUITY FOR THE THREE MONTHS ENDED SEPTEMBER 30, 2023 AND 2022 (Dollars in millions)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060" w:type="dxa"/>
            <w:vAlign w:val="bottom"/>
            <w:gridSpan w:val="3"/>
            <w:vMerge w:val="restart"/>
          </w:tcPr>
          <w:p>
            <w:pPr>
              <w:jc w:val="right"/>
              <w:ind w:right="302"/>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8"/>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88"/>
              </w:rPr>
              <w:t>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0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5"/>
              </w:rPr>
              <w:t>Additional Paid-</w:t>
            </w: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Deficit)</w:t>
            </w:r>
          </w:p>
        </w:tc>
        <w:tc>
          <w:tcPr>
            <w:tcW w:w="12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9"/>
              </w:rPr>
              <w:t>Income (Loss),</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Shares</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6"/>
                <w:szCs w:val="16"/>
                <w:b w:val="1"/>
                <w:bCs w:val="1"/>
                <w:color w:val="auto"/>
                <w:w w:val="88"/>
              </w:rPr>
              <w:t>Retained</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88"/>
              </w:rPr>
              <w:t>Net of Income</w:t>
            </w:r>
          </w:p>
        </w:tc>
        <w:tc>
          <w:tcPr>
            <w:tcW w:w="240" w:type="dxa"/>
            <w:vAlign w:val="bottom"/>
          </w:tcPr>
          <w:p>
            <w:pPr>
              <w:spacing w:after="0"/>
              <w:rPr>
                <w:sz w:val="13"/>
                <w:szCs w:val="13"/>
                <w:color w:val="auto"/>
              </w:rPr>
            </w:pPr>
          </w:p>
        </w:tc>
        <w:tc>
          <w:tcPr>
            <w:tcW w:w="880" w:type="dxa"/>
            <w:vAlign w:val="bottom"/>
            <w:vMerge w:val="restart"/>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Taxes</w:t>
            </w: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at June 30, 2023</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7,677,008</w:t>
            </w: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 and other</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0"/>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Balance at September 30, 2023</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7,677,008</w:t>
            </w:r>
          </w:p>
        </w:tc>
        <w:tc>
          <w:tcPr>
            <w:tcW w:w="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Balance at June 30, 2022</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9,189,005</w:t>
            </w:r>
          </w:p>
        </w:tc>
        <w:tc>
          <w:tcPr>
            <w:tcW w:w="60" w:type="dxa"/>
            <w:vAlign w:val="bottom"/>
          </w:tcPr>
          <w:p>
            <w:pPr>
              <w:spacing w:after="0"/>
              <w:rPr>
                <w:sz w:val="19"/>
                <w:szCs w:val="19"/>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591.1</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(45.2)</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543.9</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(1,254,411)</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 and other</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at September 30, 2022</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7,934,594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 w:name="page9"/>
    <w:bookmarkEnd w:id="8"/>
    <w:p>
      <w:pPr>
        <w:spacing w:after="0" w:line="167" w:lineRule="exact"/>
        <w:rPr>
          <w:sz w:val="20"/>
          <w:szCs w:val="20"/>
          <w:color w:val="auto"/>
        </w:rPr>
      </w:pPr>
    </w:p>
    <w:p>
      <w:pPr>
        <w:jc w:val="center"/>
        <w:spacing w:after="0" w:line="266" w:lineRule="auto"/>
        <w:rPr>
          <w:sz w:val="20"/>
          <w:szCs w:val="20"/>
          <w:color w:val="auto"/>
        </w:rPr>
      </w:pPr>
      <w:r>
        <w:rPr>
          <w:rFonts w:ascii="Arial" w:cs="Arial" w:eastAsia="Arial" w:hAnsi="Arial"/>
          <w:sz w:val="17"/>
          <w:szCs w:val="17"/>
          <w:b w:val="1"/>
          <w:bCs w:val="1"/>
          <w:color w:val="auto"/>
        </w:rPr>
        <w:t>OCWEN FINANCIAL CORPORATION AND SUBSIDIARIES UNAUDITED CONSOLIDATED STATEMENTS OF CHANGES IN EQUITY FOR THE NINE MONTHS ENDED SEPTEMBER 30, 2023 AND 2022 (Dollars in millions)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88"/>
              </w:rPr>
              <w:t>(Accumulated</w:t>
            </w: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88"/>
              </w:rPr>
              <w:t>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4"/>
              </w:rPr>
              <w:t>Comprehensive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2060" w:type="dxa"/>
            <w:vAlign w:val="bottom"/>
            <w:gridSpan w:val="3"/>
            <w:vMerge w:val="restart"/>
          </w:tcPr>
          <w:p>
            <w:pPr>
              <w:jc w:val="right"/>
              <w:ind w:right="302"/>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5" w:lineRule="exact"/>
              <w:rPr>
                <w:sz w:val="20"/>
                <w:szCs w:val="20"/>
                <w:color w:val="auto"/>
              </w:rPr>
            </w:pPr>
            <w:r>
              <w:rPr>
                <w:rFonts w:ascii="Arial" w:cs="Arial" w:eastAsia="Arial" w:hAnsi="Arial"/>
                <w:sz w:val="16"/>
                <w:szCs w:val="16"/>
                <w:b w:val="1"/>
                <w:bCs w:val="1"/>
                <w:color w:val="auto"/>
                <w:w w:val="92"/>
              </w:rPr>
              <w:t>Deficit)</w:t>
            </w:r>
          </w:p>
        </w:tc>
        <w:tc>
          <w:tcPr>
            <w:tcW w:w="122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w w:val="86"/>
              </w:rPr>
              <w:t>Income (Loss),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Additional Paid-</w:t>
            </w: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rPr>
              <w:t>Net of Income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020" w:type="dxa"/>
            <w:vAlign w:val="bottom"/>
          </w:tcPr>
          <w:p>
            <w:pPr>
              <w:spacing w:after="0"/>
              <w:rPr>
                <w:sz w:val="17"/>
                <w:szCs w:val="17"/>
                <w:color w:val="auto"/>
              </w:rPr>
            </w:pPr>
          </w:p>
        </w:tc>
        <w:tc>
          <w:tcPr>
            <w:tcW w:w="120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Capital</w:t>
            </w:r>
          </w:p>
        </w:tc>
        <w:tc>
          <w:tcPr>
            <w:tcW w:w="10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7"/>
              </w:rPr>
              <w:t>Earnings</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3"/>
              </w:rPr>
              <w:t>Taxes</w:t>
            </w:r>
          </w:p>
        </w:tc>
        <w:tc>
          <w:tcPr>
            <w:tcW w:w="240" w:type="dxa"/>
            <w:vAlign w:val="bottom"/>
          </w:tcPr>
          <w:p>
            <w:pPr>
              <w:spacing w:after="0"/>
              <w:rPr>
                <w:sz w:val="17"/>
                <w:szCs w:val="17"/>
                <w:color w:val="auto"/>
              </w:rPr>
            </w:pPr>
          </w:p>
        </w:tc>
        <w:tc>
          <w:tcPr>
            <w:tcW w:w="880" w:type="dxa"/>
            <w:vAlign w:val="bottom"/>
          </w:tcPr>
          <w:p>
            <w:pPr>
              <w:jc w:val="right"/>
              <w:ind w:right="32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2022</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7,526,117</w:t>
            </w:r>
          </w:p>
        </w:tc>
        <w:tc>
          <w:tcPr>
            <w:tcW w:w="60" w:type="dxa"/>
            <w:vAlign w:val="bottom"/>
          </w:tcPr>
          <w:p>
            <w:pPr>
              <w:spacing w:after="0"/>
              <w:rPr>
                <w:sz w:val="19"/>
                <w:szCs w:val="19"/>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547.0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(87.9)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Equity-based compensation and other</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150,891</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comprehensive income, net of income taxes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0"/>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Balance at September 30, 2023</w:t>
            </w: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7,677,008</w:t>
            </w:r>
          </w:p>
        </w:tc>
        <w:tc>
          <w:tcPr>
            <w:tcW w:w="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551.6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40"/>
              <w:spacing w:after="0"/>
              <w:rPr>
                <w:sz w:val="20"/>
                <w:szCs w:val="20"/>
                <w:color w:val="auto"/>
              </w:rPr>
            </w:pPr>
            <w:r>
              <w:rPr>
                <w:rFonts w:ascii="Arial" w:cs="Arial" w:eastAsia="Arial" w:hAnsi="Arial"/>
                <w:sz w:val="17"/>
                <w:szCs w:val="17"/>
                <w:b w:val="1"/>
                <w:bCs w:val="1"/>
                <w:color w:val="auto"/>
              </w:rPr>
              <w:t>Balance at December 31, 2021</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9,208,312</w:t>
            </w:r>
          </w:p>
        </w:tc>
        <w:tc>
          <w:tcPr>
            <w:tcW w:w="60" w:type="dxa"/>
            <w:vAlign w:val="bottom"/>
          </w:tcPr>
          <w:p>
            <w:pPr>
              <w:spacing w:after="0"/>
              <w:rPr>
                <w:sz w:val="19"/>
                <w:szCs w:val="19"/>
                <w:color w:val="auto"/>
              </w:rPr>
            </w:pP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592.6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9"/>
                <w:szCs w:val="19"/>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476.7</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Repurchase of common stock</w:t>
            </w:r>
          </w:p>
        </w:tc>
        <w:tc>
          <w:tcPr>
            <w:tcW w:w="1140" w:type="dxa"/>
            <w:vAlign w:val="bottom"/>
          </w:tcPr>
          <w:p>
            <w:pPr>
              <w:jc w:val="right"/>
              <w:spacing w:after="0"/>
              <w:rPr>
                <w:sz w:val="20"/>
                <w:szCs w:val="20"/>
                <w:color w:val="auto"/>
              </w:rPr>
            </w:pPr>
            <w:r>
              <w:rPr>
                <w:rFonts w:ascii="Arial" w:cs="Arial" w:eastAsia="Arial" w:hAnsi="Arial"/>
                <w:sz w:val="16"/>
                <w:szCs w:val="16"/>
                <w:color w:val="auto"/>
              </w:rPr>
              <w:t>(1,338,498)</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 and other</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64,780</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0"/>
        </w:trPr>
        <w:tc>
          <w:tcPr>
            <w:tcW w:w="4020" w:type="dxa"/>
            <w:vAlign w:val="bottom"/>
          </w:tcPr>
          <w:p>
            <w:pPr>
              <w:ind w:left="180"/>
              <w:spacing w:after="0"/>
              <w:rPr>
                <w:sz w:val="20"/>
                <w:szCs w:val="20"/>
                <w:color w:val="auto"/>
              </w:rPr>
            </w:pPr>
            <w:r>
              <w:rPr>
                <w:rFonts w:ascii="Arial" w:cs="Arial" w:eastAsia="Arial" w:hAnsi="Arial"/>
                <w:sz w:val="17"/>
                <w:szCs w:val="17"/>
                <w:color w:val="auto"/>
              </w:rPr>
              <w:t>Other comprehensive income, net of income taxes</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25"/>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Balance at September 30, 2022</w:t>
            </w:r>
          </w:p>
        </w:tc>
        <w:tc>
          <w:tcPr>
            <w:tcW w:w="11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7,934,594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0"/>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 w:name="page10"/>
    <w:bookmarkEnd w:id="9"/>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w:t>
      </w:r>
    </w:p>
    <w:p>
      <w:pPr>
        <w:spacing w:after="0" w:line="200" w:lineRule="exact"/>
        <w:rPr>
          <w:sz w:val="20"/>
          <w:szCs w:val="20"/>
          <w:color w:val="auto"/>
        </w:rPr>
      </w:pPr>
    </w:p>
    <w:p>
      <w:pPr>
        <w:spacing w:after="0" w:line="302" w:lineRule="exact"/>
        <w:rPr>
          <w:sz w:val="20"/>
          <w:szCs w:val="20"/>
          <w:color w:val="auto"/>
        </w:rPr>
      </w:pPr>
    </w:p>
    <w:p>
      <w:pPr>
        <w:jc w:val="center"/>
        <w:ind w:left="8080"/>
        <w:spacing w:after="0"/>
        <w:rPr>
          <w:sz w:val="20"/>
          <w:szCs w:val="20"/>
          <w:color w:val="auto"/>
        </w:rPr>
      </w:pPr>
      <w:r>
        <w:rPr>
          <w:rFonts w:ascii="Arial" w:cs="Arial" w:eastAsia="Arial" w:hAnsi="Arial"/>
          <w:sz w:val="17"/>
          <w:szCs w:val="17"/>
          <w:b w:val="1"/>
          <w:bCs w:val="1"/>
          <w:color w:val="auto"/>
        </w:rPr>
        <w:t>For the Nine Months Ended September</w:t>
      </w:r>
    </w:p>
    <w:p>
      <w:pPr>
        <w:jc w:val="center"/>
        <w:ind w:left="8080"/>
        <w:spacing w:after="0"/>
        <w:rPr>
          <w:sz w:val="20"/>
          <w:szCs w:val="20"/>
          <w:color w:val="auto"/>
        </w:rPr>
      </w:pPr>
      <w:r>
        <w:rPr>
          <w:rFonts w:ascii="Arial" w:cs="Arial" w:eastAsia="Arial" w:hAnsi="Arial"/>
          <w:sz w:val="17"/>
          <w:szCs w:val="17"/>
          <w:b w:val="1"/>
          <w:bCs w:val="1"/>
          <w:color w:val="auto"/>
        </w:rPr>
        <w:t>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105.4</w:t>
            </w:r>
          </w:p>
        </w:tc>
      </w:tr>
      <w:tr>
        <w:trPr>
          <w:trHeight w:val="220"/>
        </w:trPr>
        <w:tc>
          <w:tcPr>
            <w:tcW w:w="8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MSR valuation adjustments,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Loss on sale of MSRs,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Provision for bad debts (advances and receivables)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(reversal of) indemnification obligations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issuance costs and discount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Amortization of intangibles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Equity-based compensation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Gain on extinguishment of debt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(gain) on valuation of loans held for investment and HMBS-related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Gain on loans held for sale,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Distribution of earnings from equity method investee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Origination and purchase of loans held for sale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(13,489.3)</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and collections of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13,527.6</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Decrease in advances,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101.8</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 in receivables and other assets,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20"/>
        </w:trPr>
        <w:tc>
          <w:tcPr>
            <w:tcW w:w="8100" w:type="dxa"/>
            <w:vAlign w:val="bottom"/>
          </w:tcPr>
          <w:p>
            <w:pPr>
              <w:ind w:left="220"/>
              <w:spacing w:after="0"/>
              <w:rPr>
                <w:sz w:val="20"/>
                <w:szCs w:val="20"/>
                <w:color w:val="auto"/>
              </w:rPr>
            </w:pPr>
            <w:r>
              <w:rPr>
                <w:rFonts w:ascii="Arial" w:cs="Arial" w:eastAsia="Arial" w:hAnsi="Arial"/>
                <w:sz w:val="17"/>
                <w:szCs w:val="17"/>
                <w:color w:val="auto"/>
              </w:rPr>
              <w:t>(Increase) decrease in derivatives,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Decrease in other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20"/>
        </w:trPr>
        <w:tc>
          <w:tcPr>
            <w:tcW w:w="81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13"/>
        </w:trPr>
        <w:tc>
          <w:tcPr>
            <w:tcW w:w="81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cash provided by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270.6</w:t>
            </w:r>
          </w:p>
        </w:tc>
      </w:tr>
      <w:tr>
        <w:trPr>
          <w:trHeight w:val="122"/>
        </w:trPr>
        <w:tc>
          <w:tcPr>
            <w:tcW w:w="8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Origination of loans held for investment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(771.8)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(1,494.0)</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Principal payments received on loans held for investment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1,322.5</w:t>
            </w:r>
          </w:p>
        </w:tc>
      </w:tr>
      <w:tr>
        <w:trPr>
          <w:trHeight w:val="220"/>
        </w:trPr>
        <w:tc>
          <w:tcPr>
            <w:tcW w:w="8100" w:type="dxa"/>
            <w:vAlign w:val="bottom"/>
          </w:tcPr>
          <w:p>
            <w:pPr>
              <w:ind w:left="120"/>
              <w:spacing w:after="0"/>
              <w:rPr>
                <w:sz w:val="20"/>
                <w:szCs w:val="20"/>
                <w:color w:val="auto"/>
              </w:rPr>
            </w:pPr>
            <w:r>
              <w:rPr>
                <w:rFonts w:ascii="Arial" w:cs="Arial" w:eastAsia="Arial" w:hAnsi="Arial"/>
                <w:sz w:val="17"/>
                <w:szCs w:val="17"/>
                <w:color w:val="auto"/>
              </w:rPr>
              <w:t>Acquisition of loans held for investment, net</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reverse mortgage subservicing agreements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Purchase of MSRs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(174.9)</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MSRs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of advances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Additions to premises and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Purchase of real estate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real estate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sale of premises and equipment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 from (investment in) equity method investee,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(220.6)</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advance match funded liabilities, net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(repayment of) mortgage loan financing facilities,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(265.5)</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MSR financing facilities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379.7</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 of MSR financing facilities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(257.8)</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Repurchase and repayment of Senior notes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(23.6)</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Proceeds from other financing liabilities - Sale of MSRs accounted for as secured financing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78.7</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other financing liabilities - Excess Servicing Spread (ESS)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other financing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(82.4)</w:t>
            </w:r>
          </w:p>
        </w:tc>
      </w:tr>
      <w:tr>
        <w:trPr>
          <w:trHeight w:val="168"/>
        </w:trPr>
        <w:tc>
          <w:tcPr>
            <w:tcW w:w="810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6"/>
              </w:rPr>
              <w:t>Proceeds from sale of Home Equity Conversion Mortgages (HECM, or reverse mortgages) accounted for as a</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2"/>
        </w:trPr>
        <w:tc>
          <w:tcPr>
            <w:tcW w:w="81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financing (HMBS-related borrowings)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1,507.6</w:t>
            </w: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Repayment of HMBS-related borrowings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(1,319.8)</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Repurchase of common stock</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r>
      <w:tr>
        <w:trPr>
          <w:trHeight w:val="213"/>
        </w:trPr>
        <w:tc>
          <w:tcPr>
            <w:tcW w:w="81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Net cash provided by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306.7</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(41.6)</w:t>
            </w:r>
          </w:p>
        </w:tc>
      </w:tr>
      <w:tr>
        <w:trPr>
          <w:trHeight w:val="122"/>
        </w:trPr>
        <w:tc>
          <w:tcPr>
            <w:tcW w:w="8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263.4</w:t>
            </w:r>
          </w:p>
        </w:tc>
      </w:tr>
      <w:tr>
        <w:trPr>
          <w:trHeight w:val="213"/>
        </w:trPr>
        <w:tc>
          <w:tcPr>
            <w:tcW w:w="810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08"/>
        </w:trPr>
        <w:tc>
          <w:tcPr>
            <w:tcW w:w="8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b w:val="1"/>
                <w:bCs w:val="1"/>
                <w:color w:val="auto"/>
              </w:rPr>
              <w:t>Supplemental non-cash investing and financing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Recognition (derecognition) of gross right-of-use asset and 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0"/>
        </w:trPr>
        <w:tc>
          <w:tcPr>
            <w:tcW w:w="8100" w:type="dxa"/>
            <w:vAlign w:val="bottom"/>
          </w:tcPr>
          <w:p>
            <w:pPr>
              <w:ind w:left="140"/>
              <w:spacing w:after="0"/>
              <w:rPr>
                <w:sz w:val="20"/>
                <w:szCs w:val="20"/>
                <w:color w:val="auto"/>
              </w:rPr>
            </w:pPr>
            <w:r>
              <w:rPr>
                <w:rFonts w:ascii="Arial" w:cs="Arial" w:eastAsia="Arial" w:hAnsi="Arial"/>
                <w:sz w:val="17"/>
                <w:szCs w:val="17"/>
                <w:color w:val="auto"/>
              </w:rPr>
              <w:t>Right-of-use asset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0"/>
        </w:trPr>
        <w:tc>
          <w:tcPr>
            <w:tcW w:w="81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142"/>
        </w:trPr>
        <w:tc>
          <w:tcPr>
            <w:tcW w:w="8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Transfers of loans held for sale to real estate owned (REO)</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8100" w:type="dxa"/>
            <w:vAlign w:val="bottom"/>
          </w:tcPr>
          <w:p>
            <w:pPr>
              <w:ind w:left="40"/>
              <w:spacing w:after="0"/>
              <w:rPr>
                <w:sz w:val="20"/>
                <w:szCs w:val="20"/>
                <w:color w:val="auto"/>
              </w:rPr>
            </w:pPr>
            <w:r>
              <w:rPr>
                <w:rFonts w:ascii="Arial" w:cs="Arial" w:eastAsia="Arial" w:hAnsi="Arial"/>
                <w:sz w:val="17"/>
                <w:szCs w:val="17"/>
                <w:color w:val="auto"/>
              </w:rPr>
              <w:t>Transfer from loans held for investment to loans held for sale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30.4</w:t>
            </w:r>
          </w:p>
        </w:tc>
      </w:tr>
      <w:tr>
        <w:trPr>
          <w:trHeight w:val="99"/>
        </w:trPr>
        <w:tc>
          <w:tcPr>
            <w:tcW w:w="8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r>
    </w:tbl>
    <w:p>
      <w:pPr>
        <w:sectPr>
          <w:pgSz w:w="11900" w:h="16900" w:orient="portrait"/>
          <w:cols w:equalWidth="0" w:num="1">
            <w:col w:w="11240"/>
          </w:cols>
          <w:pgMar w:left="320" w:top="354"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Derecognition of MSRs and Other financing liabilities, at fair value:</w:t>
            </w:r>
          </w:p>
        </w:tc>
        <w:tc>
          <w:tcPr>
            <w:tcW w:w="58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980" w:type="dxa"/>
            <w:vAlign w:val="bottom"/>
            <w:tcBorders>
              <w:top w:val="single" w:sz="8" w:color="CCEEFF"/>
            </w:tcBorders>
          </w:tcPr>
          <w:p>
            <w:pPr>
              <w:spacing w:after="0"/>
              <w:rPr>
                <w:sz w:val="21"/>
                <w:szCs w:val="21"/>
                <w:color w:val="auto"/>
              </w:rPr>
            </w:pPr>
          </w:p>
        </w:tc>
      </w:tr>
      <w:tr>
        <w:trPr>
          <w:trHeight w:val="220"/>
        </w:trPr>
        <w:tc>
          <w:tcPr>
            <w:tcW w:w="8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MSR, at fair value</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4"/>
              </w:rPr>
              <w:t>(32.5)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20"/>
        </w:trPr>
        <w:tc>
          <w:tcPr>
            <w:tcW w:w="8100" w:type="dxa"/>
            <w:vAlign w:val="bottom"/>
          </w:tcPr>
          <w:p>
            <w:pPr>
              <w:ind w:left="120"/>
              <w:spacing w:after="0"/>
              <w:rPr>
                <w:sz w:val="20"/>
                <w:szCs w:val="20"/>
                <w:color w:val="auto"/>
              </w:rPr>
            </w:pPr>
            <w:r>
              <w:rPr>
                <w:rFonts w:ascii="Arial" w:cs="Arial" w:eastAsia="Arial" w:hAnsi="Arial"/>
                <w:sz w:val="17"/>
                <w:szCs w:val="17"/>
                <w:color w:val="auto"/>
              </w:rPr>
              <w:t>Other financing liability, at fair value - MSR pledged liability</w:t>
            </w:r>
          </w:p>
        </w:tc>
        <w:tc>
          <w:tcPr>
            <w:tcW w:w="580" w:type="dxa"/>
            <w:vAlign w:val="bottom"/>
          </w:tcPr>
          <w:p>
            <w:pPr>
              <w:spacing w:after="0"/>
              <w:rPr>
                <w:sz w:val="19"/>
                <w:szCs w:val="19"/>
                <w:color w:val="auto"/>
              </w:rPr>
            </w:pPr>
          </w:p>
        </w:tc>
        <w:tc>
          <w:tcPr>
            <w:tcW w:w="940" w:type="dxa"/>
            <w:vAlign w:val="bottom"/>
          </w:tcPr>
          <w:p>
            <w:pPr>
              <w:ind w:left="500"/>
              <w:spacing w:after="0"/>
              <w:rPr>
                <w:sz w:val="20"/>
                <w:szCs w:val="20"/>
                <w:color w:val="auto"/>
              </w:rPr>
            </w:pPr>
            <w:r>
              <w:rPr>
                <w:rFonts w:ascii="Arial" w:cs="Arial" w:eastAsia="Arial" w:hAnsi="Arial"/>
                <w:sz w:val="17"/>
                <w:szCs w:val="17"/>
                <w:color w:val="auto"/>
                <w:w w:val="94"/>
              </w:rPr>
              <w:t>(32.5)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(35.9)</w:t>
            </w:r>
          </w:p>
        </w:tc>
      </w:tr>
      <w:tr>
        <w:trPr>
          <w:trHeight w:val="142"/>
        </w:trPr>
        <w:tc>
          <w:tcPr>
            <w:tcW w:w="8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Loans held for investment acquired at fair value</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224.1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HMBS-related borrowings assumed at fair value</w:t>
            </w:r>
          </w:p>
        </w:tc>
        <w:tc>
          <w:tcPr>
            <w:tcW w:w="5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Purchase price holdback</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233"/>
        </w:trPr>
        <w:tc>
          <w:tcPr>
            <w:tcW w:w="810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cash paid to acquire loans held for investment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The following table provides a reconciliation of cash, cash equivalents and restricted cash reported within the unaudited consolidated balance sheets and the unaudited consolidated statements of cash flows: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auto"/>
                <w:w w:val="91"/>
              </w:rPr>
              <w:t>September 30, 2022</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194.0</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226.6</w:t>
            </w:r>
          </w:p>
        </w:tc>
      </w:tr>
      <w:tr>
        <w:trPr>
          <w:trHeight w:val="220"/>
        </w:trPr>
        <w:tc>
          <w:tcPr>
            <w:tcW w:w="8060" w:type="dxa"/>
            <w:vAlign w:val="bottom"/>
          </w:tcPr>
          <w:p>
            <w:pPr>
              <w:ind w:left="20"/>
              <w:spacing w:after="0"/>
              <w:rPr>
                <w:sz w:val="20"/>
                <w:szCs w:val="20"/>
                <w:color w:val="auto"/>
              </w:rPr>
            </w:pPr>
            <w:r>
              <w:rPr>
                <w:rFonts w:ascii="Arial" w:cs="Arial" w:eastAsia="Arial" w:hAnsi="Arial"/>
                <w:sz w:val="17"/>
                <w:szCs w:val="17"/>
                <w:color w:val="auto"/>
              </w:rPr>
              <w:t>Restricted cash and equivalents:</w:t>
            </w: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0"/>
        </w:trPr>
        <w:tc>
          <w:tcPr>
            <w:tcW w:w="8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Debt service accounts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20"/>
        </w:trPr>
        <w:tc>
          <w:tcPr>
            <w:tcW w:w="80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restricted cash</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cash, cash equivalents and restricted cash reported in the statements of cash flows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7"/>
          <w:szCs w:val="17"/>
          <w:b w:val="1"/>
          <w:bCs w:val="1"/>
          <w:color w:val="auto"/>
        </w:rPr>
        <w:t>OCWEN FINANCIAL CORPORATION AND SUBSIDIARIES</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SEPTEMBER 30, 2023</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(Dollars in millions, except per share data and unless otherwise indicated)</w:t>
      </w: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84455</wp:posOffset>
            </wp:positionV>
            <wp:extent cx="6804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w:t>
      </w:r>
    </w:p>
    <w:p>
      <w:pPr>
        <w:spacing w:after="0" w:line="7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w:t>
      </w:r>
    </w:p>
    <w:p>
      <w:pPr>
        <w:spacing w:after="0" w:line="7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perform servicing activities related to our own MSR portfolio (primary) and on behalf of other servicers (subservicing), the largest being Rithm Capital Corp. (Rithm), formerly known as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w:t>
      </w:r>
    </w:p>
    <w:p>
      <w:pPr>
        <w:spacing w:after="0" w:line="7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had a total of approximately 4,600 employees at September 30, 2023 of which approximately 3,100 were located in India and approximately 400 were based in the Philippines. Our operations in India and the Philippines provide internal support services to our loan servicing and originations businesses and our corporate functions.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nine months ended September 30, 2023 are not necessarily indicative of the results that may be expected for any other interim period or for the year ending December 31, 2023. The unaudited consolidated financial statements presented herein should be read in conjunction with the audited consolidated financial statements and related notes thereto included in our Annual Report on Form 10-K for the year ended December 31, 2022.</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Presentation</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Effective in the fourth quarter of 2022, in our consolidated statements of operations we present all fair value gains and losses of Other financing liabilities, at fair value in MSR valuation adjustments, net (previously reported in Pledged MSR liability expense). In addition, effective December 31, 2022, we changed our accounting policy from the nature of the distribution approach to the cumulative earnings approach for classifying distributions from our equity method investee MAV Canopy between operating and investing cash flows. The consolidated statements of operations for the three and nine months ended September 30, 2022, and the consolidated statements of cash flows for the nine months ended September 30, 2022, have been recast to conform to the current presentation policy. For additional information, including the impact on previously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1" w:right="359" w:bottom="1440" w:gutter="0" w:footer="0" w:header="0"/>
        </w:sectPr>
      </w:pPr>
    </w:p>
    <w:bookmarkStart w:id="12" w:name="page13"/>
    <w:bookmarkEnd w:id="12"/>
    <w:p>
      <w:pPr>
        <w:ind w:right="40"/>
        <w:spacing w:after="0" w:line="283" w:lineRule="auto"/>
        <w:rPr>
          <w:sz w:val="20"/>
          <w:szCs w:val="20"/>
          <w:color w:val="auto"/>
        </w:rPr>
      </w:pPr>
      <w:r>
        <w:rPr>
          <w:rFonts w:ascii="Arial" w:cs="Arial" w:eastAsia="Arial" w:hAnsi="Arial"/>
          <w:sz w:val="17"/>
          <w:szCs w:val="17"/>
          <w:color w:val="auto"/>
        </w:rPr>
        <w:t>reported periods, see the “Change in Presentation” section of Note 1 to our audited consolidated financial statements included in our Annual Report on Form 10-K for the year ended December 31, 2022.</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 and Assumptions</w:t>
      </w:r>
    </w:p>
    <w:p>
      <w:pPr>
        <w:spacing w:after="0" w:line="121"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 (Accounting Standards Codification (ASC) 805) - Accounting for Contract Assets and Contract Liabilities (ASU 2021-08)</w:t>
      </w:r>
    </w:p>
    <w:p>
      <w:pPr>
        <w:spacing w:after="0" w:line="13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amendments in this Accounting Standards Update (ASU)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w:t>
      </w:r>
    </w:p>
    <w:p>
      <w:pPr>
        <w:spacing w:after="0" w:line="80" w:lineRule="exact"/>
        <w:rPr>
          <w:sz w:val="20"/>
          <w:szCs w:val="20"/>
          <w:color w:val="auto"/>
        </w:rPr>
      </w:pPr>
    </w:p>
    <w:p>
      <w:pPr>
        <w:ind w:right="2460"/>
        <w:spacing w:after="0" w:line="422" w:lineRule="auto"/>
        <w:rPr>
          <w:sz w:val="20"/>
          <w:szCs w:val="20"/>
          <w:color w:val="auto"/>
        </w:rPr>
      </w:pPr>
      <w:r>
        <w:rPr>
          <w:rFonts w:ascii="Arial" w:cs="Arial" w:eastAsia="Arial" w:hAnsi="Arial"/>
          <w:sz w:val="15"/>
          <w:szCs w:val="15"/>
          <w:color w:val="auto"/>
        </w:rPr>
        <w:t xml:space="preserve">Our adoption of this ASU on January 1, 2023 did not have a material impact on our consolidated financial statements. </w:t>
      </w:r>
      <w:r>
        <w:rPr>
          <w:rFonts w:ascii="Arial" w:cs="Arial" w:eastAsia="Arial" w:hAnsi="Arial"/>
          <w:sz w:val="15"/>
          <w:szCs w:val="15"/>
          <w:b w:val="1"/>
          <w:bCs w:val="1"/>
          <w:color w:val="auto"/>
        </w:rPr>
        <w:t>Financial Instruments—Credit Losses (ASC 326) Troubled Debt Restructurings and Vintage Disclosures (ASU 2022-02)</w:t>
      </w:r>
    </w:p>
    <w:p>
      <w:pPr>
        <w:spacing w:after="0" w:line="1"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amendments in this ASU are related to 1) troubled debt restructurings (TDRs) and 2) vintage disclosures which affect all entities after they have adopted ASU 2016-13. The amendments eliminate the accounting guidance for TDRs by creditors in Subtopic 310-40 Receivables – Troubled Debt Restructurings by Creditors, while enhancing disclosure requirements for certain loan refinancing and restructurings by creditors when a borrower is experiencing financial difficulty.</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Specifically, rather than applying the recognition and measurement guidance for TDRs, an entity must apply the loan refinancing and restructuring guidance in ASC 310-20-35-9 through 35-11 to determine whether a modification results in a new loan or a continuation of an existing loan. The amendments in this ASU also requires an entity to disclose current-period gross write-offs by year of origination for financing receivables and net investments in leases with the scope of ASC 326 – Financial Instruments – Credit Losses – Measured at Amortized Cost.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Our adoption of this ASU on January 1, 2023 did not have a material impact on our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Issued but Not Yet Adopted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 (ASC 842) Common Control Arrangements (ASU 2023-01)</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amendments in this ASU affect 1) all lessees that are a party to a lease between entities under common control in which there are leasehold improvements, and apply to all entities and 2) require leasehold improvements associated with common control leases be a) amortized by the lessee over the useful life of the leasehold improvements to the common group (regardless of lease term) and b) accounted for as a transfer between two entities under common control through an adjustment to equity, if and when the lessee no longer controls the use of the underlying asset.</w:t>
      </w:r>
    </w:p>
    <w:p>
      <w:pPr>
        <w:spacing w:after="0" w:line="73"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The amendments in this ASU are effective for us on January 1, 2024. We do not anticipate that the adoption of this standard will have a material impact on our consolidated financial statements.</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 - Joint Venture Formations (ASC 805-60): Recognition and Initial Measurement (ASU 2023-05)</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amendments in this ASU require a joint venture to apply a new basis of accounting upon formation for the initial contribution of nonmonetary and monetary assets, initially measured at fair value (with exceptions to fair value measurement consistent with business combinations guidance). This ASU does not amend the definition of a joint venture, the accounting by an equity method investor for its investment in a joint venture, or the accounting by a joint venture for contributions received after its 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 w:name="page14"/>
    <w:bookmarkEnd w:id="13"/>
    <w:p>
      <w:pPr>
        <w:jc w:val="both"/>
        <w:ind w:right="140" w:firstLine="155"/>
        <w:spacing w:after="0" w:line="268" w:lineRule="auto"/>
        <w:rPr>
          <w:sz w:val="20"/>
          <w:szCs w:val="20"/>
          <w:color w:val="auto"/>
        </w:rPr>
      </w:pPr>
      <w:r>
        <w:rPr>
          <w:rFonts w:ascii="Arial" w:cs="Arial" w:eastAsia="Arial" w:hAnsi="Arial"/>
          <w:sz w:val="17"/>
          <w:szCs w:val="17"/>
          <w:color w:val="auto"/>
        </w:rPr>
        <w:t>The amendments in this ASU are effective prospectively for all joint venture formations with a formation date on or after January 1, 2025, with early adoption permitted. A joint venture formed before January 1, 2025 may elect to apply the amendments retrospectively if it has sufficient information. We do not anticipate that the adoption of this standard will have a material impact on our consolidated financial statements.</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advances and (3) MSR financings. Financing transactions that do not use SPEs or VIEs are disclosed in Note 12 – Borrowings.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Securitizations of Residential Mortgage Loans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 of Forward Loans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9"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The following table presents a summary of cash flows received from and paid to securitization trusts related to transfers of loans accounted for as sales that were outstanding: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3260" w:type="dxa"/>
            <w:vAlign w:val="bottom"/>
            <w:gridSpan w:val="6"/>
          </w:tcPr>
          <w:p>
            <w:pPr>
              <w:ind w:left="24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25"/>
        </w:trPr>
        <w:tc>
          <w:tcPr>
            <w:tcW w:w="48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received from securitizations</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4,619.0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12,925.3</w:t>
            </w: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Servicing fees collected (1)</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67.2</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0"/>
              </w:rPr>
              <w:t>Purchases of previously transferred assets, net of claims reimbursed</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13"/>
        </w:trPr>
        <w:tc>
          <w:tcPr>
            <w:tcW w:w="4840" w:type="dxa"/>
            <w:vAlign w:val="bottom"/>
          </w:tcPr>
          <w:p>
            <w:pPr>
              <w:spacing w:after="0"/>
              <w:rPr>
                <w:sz w:val="18"/>
                <w:szCs w:val="18"/>
                <w:color w:val="auto"/>
              </w:rPr>
            </w:pP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4,646.0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5,245.5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9,309.0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12,982.1</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380" w:hanging="317"/>
        <w:spacing w:after="0" w:line="251"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89" w:lineRule="exact"/>
        <w:rPr>
          <w:sz w:val="20"/>
          <w:szCs w:val="20"/>
          <w:color w:val="auto"/>
        </w:rPr>
      </w:pPr>
    </w:p>
    <w:p>
      <w:pPr>
        <w:ind w:right="820"/>
        <w:spacing w:after="0" w:line="315" w:lineRule="auto"/>
        <w:rPr>
          <w:sz w:val="20"/>
          <w:szCs w:val="20"/>
          <w:color w:val="auto"/>
        </w:rPr>
      </w:pPr>
      <w:r>
        <w:rPr>
          <w:rFonts w:ascii="Arial" w:cs="Arial" w:eastAsia="Arial" w:hAnsi="Arial"/>
          <w:sz w:val="16"/>
          <w:szCs w:val="16"/>
          <w:color w:val="auto"/>
        </w:rPr>
        <w:t>In connection with these transfers, we retained MSRs of $71.4 million and $134.0 million during the three and nine months ended September 30, 2023, respectively, and $70.2 million and $176.2 million during the three and nine months ended September 30, 2022, respectively.</w:t>
      </w:r>
    </w:p>
    <w:p>
      <w:pPr>
        <w:spacing w:after="0" w:line="34"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20 – Contingencies.</w:t>
      </w:r>
    </w:p>
    <w:p>
      <w:pPr>
        <w:spacing w:after="0" w:line="42" w:lineRule="exact"/>
        <w:rPr>
          <w:sz w:val="20"/>
          <w:szCs w:val="20"/>
          <w:color w:val="auto"/>
        </w:rPr>
      </w:pPr>
    </w:p>
    <w:p>
      <w:pPr>
        <w:ind w:right="620"/>
        <w:spacing w:after="0" w:line="283"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of assets</w:t>
            </w: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MSRs, at fair value</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698.4</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524.3</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Advances</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UPB of loans transferred (1)</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45,093.6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37,571.1</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Maximum exposure to loss (2)</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45,854.2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38,171.2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540" w:hanging="317"/>
        <w:spacing w:after="0" w:line="251" w:lineRule="auto"/>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$9.7 billion and $6.8 billion of loans delivered to Ginnie Mae as of September 30, 2023 and December 31, 2022, respectively, and includes loan modifications repurchased and delivered through the Ginnie Mae Early Buyout Program (EBO).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4" w:name="page15"/>
    <w:bookmarkEnd w:id="14"/>
    <w:p>
      <w:pPr>
        <w:ind w:left="320" w:right="40" w:hanging="317"/>
        <w:spacing w:after="0" w:line="248" w:lineRule="auto"/>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20 – Contingencies.</w:t>
      </w:r>
    </w:p>
    <w:p>
      <w:pPr>
        <w:spacing w:after="0" w:line="7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At September 30, 2023 and December 31, 2022, 2.4% and 2.5%, respectively, of the transferred residential loans that we service were 60 days or more past due, including 60 days or more past due loans under forbearance. This includes 7.2% and 8.3%, respectively, of loans delivered to Ginnie Mae that are 60 days or more past due.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Transfers of Reverse Mortgages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As the transfers of the HECM loans do not qualify for sale accounting, we account for these transfers as financings, with the HECM loans classified as Loans held for investment, at fair value, on our unaudited consolidated balance sheets.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of Loans Held for Sale, Receivables and Other Assets using SPEs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In 2021, we consolidated an SPE (trust) in connection with a warehouse mortgage loan financing facility structured as a gestation repurchase facility whereby Agency mortgage loans are transferred by PMC to the trust for collateralization purposes. As of December 31, 2022, the certificates issued by the trust and pledged as collateral had been reduced to zero. As of September 30, 2023, $150.0 million loans held for sale were pledged as collateral for $150.0 million debt certificates issued by the trust.</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color w:val="auto"/>
        </w:rPr>
        <w:t>In June 2023, we completed a private placement securitization of HECM loans that are insured by the FHA and REO properties, also referred to as reverse mortgage buyouts. The securitized assets include assets originated by PHH and assets acquired in April 2023. The securitization trust, Ocwen Loan Investment Trust 2023-HB1 (OLIT) issued senior and mezzanine class Notes to third party investors. We retain certain mezzanine class Notes and ownership interests and service the underlying assets. We determined we were the primary beneficiary, thus consolidate the securitization trust, OLIT and related depositor. Recourse for the Notes is limited to the assets of OLIT. Also refer to Note 12 – Borrowings</w:t>
      </w:r>
      <w:r>
        <w:rPr>
          <w:rFonts w:ascii="Arial" w:cs="Arial" w:eastAsia="Arial" w:hAnsi="Arial"/>
          <w:sz w:val="17"/>
          <w:szCs w:val="17"/>
          <w:b w:val="1"/>
          <w:bCs w:val="1"/>
          <w:color w:val="auto"/>
        </w:rPr>
        <w:t>.</w:t>
      </w:r>
    </w:p>
    <w:p>
      <w:pPr>
        <w:spacing w:after="0" w:line="7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The table below presents the carrying value and classification of the assets and liabilities reported on our consolidated balance sheet that are associated with the securitized reverse mortgage loans buyouts and financing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3"/>
              </w:rPr>
              <w:t>September 30, 2023</w:t>
            </w:r>
          </w:p>
        </w:tc>
      </w:tr>
      <w:tr>
        <w:trPr>
          <w:trHeight w:val="213"/>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loans (Loans held for sale,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w:t>
            </w:r>
          </w:p>
        </w:tc>
      </w:tr>
      <w:tr>
        <w:trPr>
          <w:trHeight w:val="220"/>
        </w:trPr>
        <w:tc>
          <w:tcPr>
            <w:tcW w:w="936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29.4</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 (Other 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r>
      <w:tr>
        <w:trPr>
          <w:trHeight w:val="220"/>
        </w:trPr>
        <w:tc>
          <w:tcPr>
            <w:tcW w:w="9360" w:type="dxa"/>
            <w:vAlign w:val="bottom"/>
          </w:tcPr>
          <w:p>
            <w:pPr>
              <w:ind w:left="20"/>
              <w:spacing w:after="0"/>
              <w:rPr>
                <w:sz w:val="20"/>
                <w:szCs w:val="20"/>
                <w:color w:val="auto"/>
              </w:rPr>
            </w:pPr>
            <w:r>
              <w:rPr>
                <w:rFonts w:ascii="Arial" w:cs="Arial" w:eastAsia="Arial" w:hAnsi="Arial"/>
                <w:sz w:val="17"/>
                <w:szCs w:val="17"/>
                <w:color w:val="auto"/>
              </w:rPr>
              <w:t>Debt service accounts (Restricted cash)</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 (Mortgage loan financing facilities, net)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w:t>
            </w:r>
          </w:p>
        </w:tc>
      </w:tr>
      <w:tr>
        <w:trPr>
          <w:trHeight w:val="220"/>
        </w:trPr>
        <w:tc>
          <w:tcPr>
            <w:tcW w:w="9360" w:type="dxa"/>
            <w:vAlign w:val="bottom"/>
          </w:tcPr>
          <w:p>
            <w:pPr>
              <w:ind w:left="20"/>
              <w:spacing w:after="0"/>
              <w:rPr>
                <w:sz w:val="20"/>
                <w:szCs w:val="20"/>
                <w:color w:val="auto"/>
              </w:rPr>
            </w:pPr>
            <w:r>
              <w:rPr>
                <w:rFonts w:ascii="Arial" w:cs="Arial" w:eastAsia="Arial" w:hAnsi="Arial"/>
                <w:sz w:val="17"/>
                <w:szCs w:val="17"/>
                <w:color w:val="auto"/>
              </w:rPr>
              <w:t>Unamortized discount and debt issuance costs (Mortgage loan financing facilities,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23.9</w:t>
            </w:r>
          </w:p>
        </w:tc>
      </w:tr>
      <w:tr>
        <w:trPr>
          <w:trHeight w:val="220"/>
        </w:trPr>
        <w:tc>
          <w:tcPr>
            <w:tcW w:w="9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Reserve Account (Restricted cash)</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Financings of Advances using SPEs</w:t>
      </w:r>
    </w:p>
    <w:p>
      <w:pPr>
        <w:spacing w:after="0" w:line="121"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color w:val="auto"/>
        </w:rPr>
        <w:t>Match funded advances, i.e., advances that are pledged as collateral to our advance facilities, result from our transfers of residential loan servicing advances to SPEs - that we include in our consolidate financial statements - in exchange for cash.</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carrying value and classification of the assets and liabilities of the advance financing facilities: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Match funded advances (Advances, net)</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471.4</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Debt service accounts (Restricted cash)</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match funded liabilities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 Financings using SPEs</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consolidate two SPEs (PMC ESR Trusts) in connection with a third-party financing facility secured by certain of PMC’s Fannie Mae and Freddie Mac MSRs (Agency MSRs) and one SPE (PMC PLS ESR Issuer LLC) in connection with our PLS MSR financing facility (Ocwen Excess Spread-Collateralized Notes, Series 2022-PLS1 Class 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table below presents the carrying value and classification of the assets and liabilities of the Agency MSR financing facility and the PLS Notes facility:</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1600" w:type="dxa"/>
            <w:vAlign w:val="bottom"/>
            <w:gridSpan w:val="3"/>
          </w:tcPr>
          <w:p>
            <w:pPr>
              <w:ind w:left="20"/>
              <w:spacing w:after="0"/>
              <w:rPr>
                <w:sz w:val="20"/>
                <w:szCs w:val="20"/>
                <w:color w:val="auto"/>
              </w:rPr>
            </w:pPr>
            <w:r>
              <w:rPr>
                <w:rFonts w:ascii="Arial" w:cs="Arial" w:eastAsia="Arial" w:hAnsi="Arial"/>
                <w:sz w:val="17"/>
                <w:szCs w:val="17"/>
                <w:b w:val="1"/>
                <w:bCs w:val="1"/>
                <w:color w:val="auto"/>
                <w:w w:val="98"/>
              </w:rPr>
              <w:t>September 30, 2023</w:t>
            </w:r>
          </w:p>
        </w:tc>
        <w:tc>
          <w:tcPr>
            <w:tcW w:w="154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MSRs pledged (MSRs, at fair value)</w:t>
            </w:r>
          </w:p>
        </w:tc>
        <w:tc>
          <w:tcPr>
            <w:tcW w:w="58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696.9</w:t>
            </w:r>
          </w:p>
        </w:tc>
      </w:tr>
      <w:tr>
        <w:trPr>
          <w:trHeight w:val="220"/>
        </w:trPr>
        <w:tc>
          <w:tcPr>
            <w:tcW w:w="8080" w:type="dxa"/>
            <w:vAlign w:val="bottom"/>
          </w:tcPr>
          <w:p>
            <w:pPr>
              <w:ind w:left="20"/>
              <w:spacing w:after="0"/>
              <w:rPr>
                <w:sz w:val="20"/>
                <w:szCs w:val="20"/>
                <w:color w:val="auto"/>
              </w:rPr>
            </w:pPr>
            <w:r>
              <w:rPr>
                <w:rFonts w:ascii="Arial" w:cs="Arial" w:eastAsia="Arial" w:hAnsi="Arial"/>
                <w:sz w:val="17"/>
                <w:szCs w:val="17"/>
                <w:color w:val="auto"/>
              </w:rPr>
              <w:t>Debt service account (Restricted cash)</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 (MSR financing facilities, net)</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366.5</w:t>
            </w:r>
          </w:p>
        </w:tc>
      </w:tr>
    </w:tbl>
    <w:p>
      <w:pPr>
        <w:spacing w:after="0" w:line="3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3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60"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620"/>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December 31, 2022</w:t>
            </w:r>
          </w:p>
        </w:tc>
      </w:tr>
      <w:tr>
        <w:trPr>
          <w:trHeight w:val="213"/>
        </w:trPr>
        <w:tc>
          <w:tcPr>
            <w:tcW w:w="434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Loans held for 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sale, at fair value (a) (e)</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3, 2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r>
      <w:tr>
        <w:trPr>
          <w:trHeight w:val="220"/>
        </w:trPr>
        <w:tc>
          <w:tcPr>
            <w:tcW w:w="43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Loans held for sale, at lower of cost or fair value (b)</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38"/>
        </w:trPr>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Loans held for sale</w:t>
            </w: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622.7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4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Loans held for investment,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Loans held for investment - Reverse mortgages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7,777.6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7,777.6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7,504.1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7,504.1</w:t>
            </w:r>
          </w:p>
        </w:tc>
      </w:tr>
      <w:tr>
        <w:trPr>
          <w:trHeight w:val="168"/>
        </w:trPr>
        <w:tc>
          <w:tcPr>
            <w:tcW w:w="434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8"/>
              </w:rPr>
              <w:t>Loans held for investment - Restricted for securitization</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2"/>
        </w:trPr>
        <w:tc>
          <w:tcPr>
            <w:tcW w:w="43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213"/>
        </w:trPr>
        <w:tc>
          <w:tcPr>
            <w:tcW w:w="4340" w:type="dxa"/>
            <w:vAlign w:val="bottom"/>
          </w:tcPr>
          <w:p>
            <w:pPr>
              <w:ind w:left="340"/>
              <w:spacing w:after="0"/>
              <w:rPr>
                <w:sz w:val="20"/>
                <w:szCs w:val="20"/>
                <w:color w:val="auto"/>
              </w:rPr>
            </w:pPr>
            <w:r>
              <w:rPr>
                <w:rFonts w:ascii="Arial" w:cs="Arial" w:eastAsia="Arial" w:hAnsi="Arial"/>
                <w:sz w:val="17"/>
                <w:szCs w:val="17"/>
                <w:color w:val="auto"/>
              </w:rPr>
              <w:t>Total Loans held for investment, at fair value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7,783.5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7,510.8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7,510.8</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1"/>
        </w:trPr>
        <w:tc>
          <w:tcPr>
            <w:tcW w:w="4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Advances, net (c)</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564.6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564.6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718.9</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718.9</w:t>
            </w: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 (c)</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ind w:left="620"/>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Pr>
          <w:p>
            <w:pPr>
              <w:spacing w:after="0"/>
              <w:rPr>
                <w:sz w:val="19"/>
                <w:szCs w:val="19"/>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7"/>
                <w:szCs w:val="17"/>
                <w:b w:val="1"/>
                <w:bCs w:val="1"/>
                <w:color w:val="auto"/>
              </w:rPr>
              <w:t>December 31, 2022</w:t>
            </w:r>
          </w:p>
        </w:tc>
      </w:tr>
      <w:tr>
        <w:trPr>
          <w:trHeight w:val="213"/>
        </w:trPr>
        <w:tc>
          <w:tcPr>
            <w:tcW w:w="434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Level</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Carrying Value</w:t>
            </w: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Fair Value</w:t>
            </w:r>
          </w:p>
        </w:tc>
      </w:tr>
      <w:tr>
        <w:trPr>
          <w:trHeight w:val="213"/>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Advance match funded liabilities (c)</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403.0</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513.7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513.7</w:t>
            </w: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Financing liabilities, at fair value</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HMBS-related borrowings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7,613.6</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7,613.6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7,326.8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7,326.8</w:t>
            </w: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financing liabilities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320"/>
              <w:spacing w:after="0"/>
              <w:rPr>
                <w:sz w:val="20"/>
                <w:szCs w:val="20"/>
                <w:color w:val="auto"/>
              </w:rPr>
            </w:pPr>
            <w:r>
              <w:rPr>
                <w:rFonts w:ascii="Arial" w:cs="Arial" w:eastAsia="Arial" w:hAnsi="Arial"/>
                <w:sz w:val="17"/>
                <w:szCs w:val="17"/>
                <w:color w:val="auto"/>
              </w:rPr>
              <w:t>Financing liability - Pledged MSR liability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1,119.1</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1,119.1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931.7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931.7</w:t>
            </w:r>
          </w:p>
        </w:tc>
      </w:tr>
      <w:tr>
        <w:trPr>
          <w:trHeight w:val="220"/>
        </w:trPr>
        <w:tc>
          <w:tcPr>
            <w:tcW w:w="43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Financing liability - Excess Servicing Spread (ESS)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r>
      <w:tr>
        <w:trPr>
          <w:trHeight w:val="220"/>
        </w:trPr>
        <w:tc>
          <w:tcPr>
            <w:tcW w:w="434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w w:val="97"/>
              </w:rPr>
              <w:t>Financing liability - Owed to securitization investors (a)</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r>
      <w:tr>
        <w:trPr>
          <w:trHeight w:val="212"/>
        </w:trPr>
        <w:tc>
          <w:tcPr>
            <w:tcW w:w="4340" w:type="dxa"/>
            <w:vAlign w:val="bottom"/>
            <w:tcBorders>
              <w:bottom w:val="single" w:sz="8" w:color="CCEEFF"/>
            </w:tcBorders>
            <w:shd w:val="clear" w:color="auto" w:fill="CCEEFF"/>
          </w:tcPr>
          <w:p>
            <w:pPr>
              <w:ind w:left="440"/>
              <w:spacing w:after="0" w:line="187" w:lineRule="exact"/>
              <w:rPr>
                <w:sz w:val="20"/>
                <w:szCs w:val="20"/>
                <w:color w:val="auto"/>
              </w:rPr>
            </w:pPr>
            <w:r>
              <w:rPr>
                <w:rFonts w:ascii="Arial" w:cs="Arial" w:eastAsia="Arial" w:hAnsi="Arial"/>
                <w:sz w:val="17"/>
                <w:szCs w:val="17"/>
                <w:color w:val="auto"/>
              </w:rPr>
              <w:t>Total Other financing liabilities</w:t>
            </w: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1,380.3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4"/>
              <w:spacing w:after="0" w:line="187" w:lineRule="exact"/>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1,380.3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1,137.4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1,137.4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4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20"/>
        </w:trPr>
        <w:tc>
          <w:tcPr>
            <w:tcW w:w="4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financing facilities (c) (d)</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702.7</w:t>
            </w:r>
          </w:p>
        </w:tc>
      </w:tr>
      <w:tr>
        <w:trPr>
          <w:trHeight w:val="220"/>
        </w:trPr>
        <w:tc>
          <w:tcPr>
            <w:tcW w:w="4340" w:type="dxa"/>
            <w:vAlign w:val="bottom"/>
          </w:tcPr>
          <w:p>
            <w:pPr>
              <w:ind w:left="120"/>
              <w:spacing w:after="0"/>
              <w:rPr>
                <w:sz w:val="20"/>
                <w:szCs w:val="20"/>
                <w:color w:val="auto"/>
              </w:rPr>
            </w:pPr>
            <w:r>
              <w:rPr>
                <w:rFonts w:ascii="Arial" w:cs="Arial" w:eastAsia="Arial" w:hAnsi="Arial"/>
                <w:sz w:val="17"/>
                <w:szCs w:val="17"/>
                <w:color w:val="auto"/>
              </w:rPr>
              <w:t>MSR financing facilities (c) (d)</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953.8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932.1</w:t>
            </w: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Senior notes: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4340" w:type="dxa"/>
            <w:vAlign w:val="bottom"/>
          </w:tcPr>
          <w:p>
            <w:pPr>
              <w:ind w:left="220"/>
              <w:spacing w:after="0"/>
              <w:rPr>
                <w:sz w:val="20"/>
                <w:szCs w:val="20"/>
                <w:color w:val="auto"/>
              </w:rPr>
            </w:pPr>
            <w:r>
              <w:rPr>
                <w:rFonts w:ascii="Arial" w:cs="Arial" w:eastAsia="Arial" w:hAnsi="Arial"/>
                <w:sz w:val="17"/>
                <w:szCs w:val="17"/>
                <w:color w:val="auto"/>
              </w:rPr>
              <w:t>PMC Senior secured notes due 2026 (c) (d)</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356.8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324.2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369.4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331.4</w:t>
            </w:r>
          </w:p>
        </w:tc>
      </w:tr>
      <w:tr>
        <w:trPr>
          <w:trHeight w:val="220"/>
        </w:trPr>
        <w:tc>
          <w:tcPr>
            <w:tcW w:w="43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OFC Senior secured notes due 2027 (c) (d)</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w:t>
            </w:r>
          </w:p>
        </w:tc>
      </w:tr>
      <w:tr>
        <w:trPr>
          <w:trHeight w:val="213"/>
        </w:trPr>
        <w:tc>
          <w:tcPr>
            <w:tcW w:w="4340" w:type="dxa"/>
            <w:vAlign w:val="bottom"/>
          </w:tcPr>
          <w:p>
            <w:pPr>
              <w:ind w:left="340"/>
              <w:spacing w:after="0"/>
              <w:rPr>
                <w:sz w:val="20"/>
                <w:szCs w:val="20"/>
                <w:color w:val="auto"/>
              </w:rPr>
            </w:pPr>
            <w:r>
              <w:rPr>
                <w:rFonts w:ascii="Arial" w:cs="Arial" w:eastAsia="Arial" w:hAnsi="Arial"/>
                <w:sz w:val="17"/>
                <w:szCs w:val="17"/>
                <w:color w:val="auto"/>
              </w:rPr>
              <w:t>Total Senior notes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555.2</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1"/>
        </w:trPr>
        <w:tc>
          <w:tcPr>
            <w:tcW w:w="43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220"/>
        </w:trPr>
        <w:tc>
          <w:tcPr>
            <w:tcW w:w="4340" w:type="dxa"/>
            <w:vAlign w:val="bottom"/>
          </w:tcPr>
          <w:p>
            <w:pPr>
              <w:ind w:left="20"/>
              <w:spacing w:after="0"/>
              <w:rPr>
                <w:sz w:val="20"/>
                <w:szCs w:val="20"/>
                <w:color w:val="auto"/>
              </w:rPr>
            </w:pPr>
            <w:r>
              <w:rPr>
                <w:rFonts w:ascii="Arial" w:cs="Arial" w:eastAsia="Arial" w:hAnsi="Arial"/>
                <w:sz w:val="17"/>
                <w:szCs w:val="17"/>
                <w:color w:val="auto"/>
              </w:rPr>
              <w:t>Derivative financial instrument assets (liabilities), net</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rate lock commitments (IRLCs)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Forward sales of loans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168"/>
        </w:trPr>
        <w:tc>
          <w:tcPr>
            <w:tcW w:w="434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w w:val="97"/>
              </w:rPr>
              <w:t>TBA / Forward mortgage-backed securities (MBS) trades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32"/>
        </w:trPr>
        <w:tc>
          <w:tcPr>
            <w:tcW w:w="43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Interest rate swap futures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(13.6)</w:t>
            </w:r>
          </w:p>
        </w:tc>
      </w:tr>
      <w:tr>
        <w:trPr>
          <w:trHeight w:val="220"/>
        </w:trPr>
        <w:tc>
          <w:tcPr>
            <w:tcW w:w="4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TBA forward pipeline trades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r>
      <w:tr>
        <w:trPr>
          <w:trHeight w:val="220"/>
        </w:trPr>
        <w:tc>
          <w:tcPr>
            <w:tcW w:w="4340" w:type="dxa"/>
            <w:vAlign w:val="bottom"/>
          </w:tcPr>
          <w:p>
            <w:pPr>
              <w:ind w:left="140"/>
              <w:spacing w:after="0"/>
              <w:rPr>
                <w:sz w:val="20"/>
                <w:szCs w:val="20"/>
                <w:color w:val="auto"/>
              </w:rPr>
            </w:pPr>
            <w:r>
              <w:rPr>
                <w:rFonts w:ascii="Arial" w:cs="Arial" w:eastAsia="Arial" w:hAnsi="Arial"/>
                <w:sz w:val="17"/>
                <w:szCs w:val="17"/>
                <w:color w:val="auto"/>
              </w:rPr>
              <w:t>Option contracts (a)</w:t>
            </w:r>
          </w:p>
        </w:tc>
        <w:tc>
          <w:tcPr>
            <w:tcW w:w="76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155"/>
        </w:trPr>
        <w:tc>
          <w:tcPr>
            <w:tcW w:w="4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20"/>
        </w:trPr>
        <w:tc>
          <w:tcPr>
            <w:tcW w:w="4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MSRs (a)</w:t>
            </w:r>
          </w:p>
        </w:tc>
        <w:tc>
          <w:tcPr>
            <w:tcW w:w="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2,665.2</w:t>
            </w:r>
          </w:p>
        </w:tc>
      </w:tr>
    </w:tbl>
    <w:p>
      <w:pPr>
        <w:spacing w:after="0" w:line="121"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recurring basis in our financial statements.</w:t>
      </w:r>
    </w:p>
    <w:p>
      <w:pPr>
        <w:spacing w:after="0" w:line="12" w:lineRule="exact"/>
        <w:rPr>
          <w:rFonts w:ascii="Arial" w:cs="Arial" w:eastAsia="Arial" w:hAnsi="Arial"/>
          <w:sz w:val="16"/>
          <w:szCs w:val="16"/>
          <w:color w:val="auto"/>
        </w:rPr>
      </w:pPr>
    </w:p>
    <w:p>
      <w:pPr>
        <w:ind w:left="320" w:hanging="317"/>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Measured at fair value on a non-recurring basis in our financial statements.</w:t>
      </w:r>
    </w:p>
    <w:p>
      <w:pPr>
        <w:spacing w:after="0" w:line="6" w:lineRule="exact"/>
        <w:rPr>
          <w:rFonts w:ascii="Arial" w:cs="Arial" w:eastAsia="Arial" w:hAnsi="Arial"/>
          <w:sz w:val="16"/>
          <w:szCs w:val="16"/>
          <w:color w:val="auto"/>
        </w:rPr>
      </w:pPr>
    </w:p>
    <w:p>
      <w:pPr>
        <w:ind w:left="300" w:hanging="297"/>
        <w:spacing w:after="0" w:line="235" w:lineRule="auto"/>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Disclosed, but not measured at fair value in our financial statements.</w:t>
      </w:r>
    </w:p>
    <w:p>
      <w:pPr>
        <w:ind w:left="320" w:hanging="317"/>
        <w:spacing w:after="0"/>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12 – Borrowings for additional information</w:t>
      </w:r>
      <w:r>
        <w:rPr>
          <w:rFonts w:ascii="Arial" w:cs="Arial" w:eastAsia="Arial" w:hAnsi="Arial"/>
          <w:sz w:val="16"/>
          <w:szCs w:val="16"/>
          <w:b w:val="1"/>
          <w:bCs w:val="1"/>
          <w:color w:val="auto"/>
        </w:rPr>
        <w:t>.</w:t>
      </w:r>
    </w:p>
    <w:p>
      <w:pPr>
        <w:jc w:val="both"/>
        <w:ind w:left="320" w:right="460" w:hanging="317"/>
        <w:spacing w:after="0" w:line="250" w:lineRule="auto"/>
        <w:tabs>
          <w:tab w:leader="none" w:pos="311" w:val="left"/>
        </w:tabs>
        <w:numPr>
          <w:ilvl w:val="0"/>
          <w:numId w:val="8"/>
        </w:numPr>
        <w:rPr>
          <w:rFonts w:ascii="Arial" w:cs="Arial" w:eastAsia="Arial" w:hAnsi="Arial"/>
          <w:sz w:val="16"/>
          <w:szCs w:val="16"/>
          <w:color w:val="auto"/>
        </w:rPr>
      </w:pPr>
      <w:r>
        <w:rPr>
          <w:rFonts w:ascii="Arial" w:cs="Arial" w:eastAsia="Arial" w:hAnsi="Arial"/>
          <w:sz w:val="16"/>
          <w:szCs w:val="16"/>
          <w:color w:val="auto"/>
        </w:rPr>
        <w:t>Loans repurchased from Ginnie Mae securitizations with a fair value of $199.8 million (includes loans which were previously classified as Level 2) and $32.1 million at September 30, 2023 and December 31, 2022, respectively, are classified as Level 3. The newly originated portfolio of loans held for sale pending securitization with the Agencies is classified as Level 2.</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 reconciliation of the changes in fair value of Level 3 assets and liabilities that we measure at fair value on a recurring basis: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87"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Loans Held for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80"/>
              <w:spacing w:after="0" w:line="181" w:lineRule="exact"/>
              <w:rPr>
                <w:sz w:val="20"/>
                <w:szCs w:val="20"/>
                <w:color w:val="auto"/>
              </w:rPr>
            </w:pPr>
            <w:r>
              <w:rPr>
                <w:rFonts w:ascii="Arial" w:cs="Arial" w:eastAsia="Arial" w:hAnsi="Arial"/>
                <w:sz w:val="17"/>
                <w:szCs w:val="17"/>
                <w:b w:val="1"/>
                <w:bCs w:val="1"/>
                <w:color w:val="auto"/>
                <w:w w:val="91"/>
              </w:rPr>
              <w:t>Investment -</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w w:val="92"/>
              </w:rPr>
              <w:t>Financing</w:t>
            </w:r>
          </w:p>
        </w:tc>
        <w:tc>
          <w:tcPr>
            <w:tcW w:w="130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Loans Held for</w:t>
            </w:r>
          </w:p>
        </w:tc>
        <w:tc>
          <w:tcPr>
            <w:tcW w:w="14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8"/>
              </w:rPr>
              <w:t>ESS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1540" w:type="dxa"/>
            <w:vAlign w:val="bottom"/>
            <w:gridSpan w:val="3"/>
          </w:tcPr>
          <w:p>
            <w:pPr>
              <w:jc w:val="center"/>
              <w:ind w:right="100"/>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13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w w:val="93"/>
              </w:rPr>
              <w:t>Sale - Fair</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w w:val="92"/>
              </w:rPr>
              <w:t>Financing</w:t>
            </w:r>
          </w:p>
        </w:tc>
        <w:tc>
          <w:tcPr>
            <w:tcW w:w="180" w:type="dxa"/>
            <w:vAlign w:val="bottom"/>
          </w:tcPr>
          <w:p>
            <w:pPr>
              <w:spacing w:after="0"/>
              <w:rPr>
                <w:sz w:val="15"/>
                <w:szCs w:val="15"/>
                <w:color w:val="auto"/>
              </w:rPr>
            </w:pPr>
          </w:p>
        </w:tc>
        <w:tc>
          <w:tcPr>
            <w:tcW w:w="860" w:type="dxa"/>
            <w:vAlign w:val="bottom"/>
            <w:vMerge w:val="restart"/>
          </w:tcPr>
          <w:p>
            <w:pPr>
              <w:jc w:val="right"/>
              <w:ind w:right="17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0" w:type="dxa"/>
            <w:vAlign w:val="bottom"/>
            <w:vMerge w:val="restart"/>
          </w:tcPr>
          <w:p>
            <w:pPr>
              <w:spacing w:after="0"/>
              <w:rPr>
                <w:sz w:val="20"/>
                <w:szCs w:val="20"/>
                <w:color w:val="auto"/>
              </w:rPr>
            </w:pPr>
            <w:r>
              <w:rPr>
                <w:rFonts w:ascii="Arial" w:cs="Arial" w:eastAsia="Arial" w:hAnsi="Arial"/>
                <w:sz w:val="17"/>
                <w:szCs w:val="17"/>
                <w:b w:val="1"/>
                <w:bCs w:val="1"/>
                <w:color w:val="auto"/>
                <w:w w:val="90"/>
              </w:rPr>
              <w:t>Three months ended September 30, 2023</w:t>
            </w:r>
          </w:p>
        </w:tc>
        <w:tc>
          <w:tcPr>
            <w:tcW w:w="1400" w:type="dxa"/>
            <w:vAlign w:val="bottom"/>
            <w:vMerge w:val="restart"/>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Value</w:t>
            </w:r>
          </w:p>
        </w:tc>
        <w:tc>
          <w:tcPr>
            <w:tcW w:w="14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Liability</w:t>
            </w: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vMerge w:val="continue"/>
          </w:tcPr>
          <w:p>
            <w:pPr>
              <w:spacing w:after="0"/>
              <w:rPr>
                <w:sz w:val="14"/>
                <w:szCs w:val="14"/>
                <w:color w:val="auto"/>
              </w:rPr>
            </w:pPr>
          </w:p>
        </w:tc>
        <w:tc>
          <w:tcPr>
            <w:tcW w:w="140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7"/>
                <w:szCs w:val="17"/>
                <w:color w:val="auto"/>
              </w:rPr>
              <w:t>Purchases, issuances, sales and settlements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Purchases and other</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7"/>
                <w:szCs w:val="17"/>
                <w:color w:val="auto"/>
              </w:rPr>
              <w:t>Issuances (1)</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Sales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7"/>
                <w:szCs w:val="17"/>
                <w:color w:val="auto"/>
              </w:rPr>
              <w:t>Settlements (2)</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Transfers: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7"/>
                <w:szCs w:val="17"/>
                <w:color w:val="auto"/>
              </w:rPr>
              <w:t>Loans held for investment, at fair value</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Loans held for sale, at fair value (1)</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60"/>
              <w:spacing w:after="0"/>
              <w:rPr>
                <w:sz w:val="20"/>
                <w:szCs w:val="20"/>
                <w:color w:val="auto"/>
              </w:rPr>
            </w:pPr>
            <w:r>
              <w:rPr>
                <w:rFonts w:ascii="Arial" w:cs="Arial" w:eastAsia="Arial" w:hAnsi="Arial"/>
                <w:sz w:val="17"/>
                <w:szCs w:val="17"/>
                <w:color w:val="auto"/>
              </w:rPr>
              <w:t>REO (Other assets)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Receivables, net</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rPr>
              <w:t>Capitalization of advances on Ginnie Mae modifications</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7"/>
                <w:szCs w:val="17"/>
                <w:color w:val="auto"/>
              </w:rPr>
              <w:t>Net addition (disposition/derecognition)</w:t>
            </w:r>
          </w:p>
        </w:tc>
        <w:tc>
          <w:tcPr>
            <w:tcW w:w="1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Included in earnings: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gridSpan w:val="2"/>
          </w:tcPr>
          <w:p>
            <w:pPr>
              <w:ind w:left="200"/>
              <w:spacing w:after="0"/>
              <w:rPr>
                <w:sz w:val="20"/>
                <w:szCs w:val="20"/>
                <w:color w:val="auto"/>
              </w:rPr>
            </w:pPr>
            <w:r>
              <w:rPr>
                <w:rFonts w:ascii="Arial" w:cs="Arial" w:eastAsia="Arial" w:hAnsi="Arial"/>
                <w:sz w:val="17"/>
                <w:szCs w:val="17"/>
                <w:color w:val="auto"/>
              </w:rPr>
              <w:t>Change in fair value (1)</w:t>
            </w: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Gain (loss) on sale of loans and other</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Loans Held for</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40"/>
              <w:spacing w:after="0" w:line="181" w:lineRule="exact"/>
              <w:rPr>
                <w:sz w:val="20"/>
                <w:szCs w:val="20"/>
                <w:color w:val="auto"/>
              </w:rPr>
            </w:pPr>
            <w:r>
              <w:rPr>
                <w:rFonts w:ascii="Arial" w:cs="Arial" w:eastAsia="Arial" w:hAnsi="Arial"/>
                <w:sz w:val="17"/>
                <w:szCs w:val="17"/>
                <w:b w:val="1"/>
                <w:bCs w:val="1"/>
                <w:color w:val="auto"/>
                <w:w w:val="91"/>
              </w:rPr>
              <w:t>Investment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120"/>
              <w:spacing w:after="0" w:line="181" w:lineRule="exact"/>
              <w:rPr>
                <w:sz w:val="20"/>
                <w:szCs w:val="20"/>
                <w:color w:val="auto"/>
              </w:rPr>
            </w:pPr>
            <w:r>
              <w:rPr>
                <w:rFonts w:ascii="Arial" w:cs="Arial" w:eastAsia="Arial" w:hAnsi="Arial"/>
                <w:sz w:val="17"/>
                <w:szCs w:val="17"/>
                <w:b w:val="1"/>
                <w:bCs w:val="1"/>
                <w:color w:val="auto"/>
                <w:w w:val="89"/>
              </w:rPr>
              <w:t>Financing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12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3"/>
          </w:tcPr>
          <w:p>
            <w:pPr>
              <w:jc w:val="center"/>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140"/>
              <w:spacing w:after="0" w:line="181" w:lineRule="exact"/>
              <w:rPr>
                <w:sz w:val="20"/>
                <w:szCs w:val="20"/>
                <w:color w:val="auto"/>
              </w:rPr>
            </w:pPr>
            <w:r>
              <w:rPr>
                <w:rFonts w:ascii="Arial" w:cs="Arial" w:eastAsia="Arial" w:hAnsi="Arial"/>
                <w:sz w:val="17"/>
                <w:szCs w:val="17"/>
                <w:b w:val="1"/>
                <w:bCs w:val="1"/>
                <w:color w:val="auto"/>
                <w:w w:val="93"/>
              </w:rPr>
              <w:t>Securitization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120"/>
              <w:spacing w:after="0" w:line="181" w:lineRule="exact"/>
              <w:rPr>
                <w:sz w:val="20"/>
                <w:szCs w:val="20"/>
                <w:color w:val="auto"/>
              </w:rPr>
            </w:pPr>
            <w:r>
              <w:rPr>
                <w:rFonts w:ascii="Arial" w:cs="Arial" w:eastAsia="Arial" w:hAnsi="Arial"/>
                <w:sz w:val="17"/>
                <w:szCs w:val="17"/>
                <w:b w:val="1"/>
                <w:bCs w:val="1"/>
                <w:color w:val="auto"/>
                <w:w w:val="93"/>
              </w:rPr>
              <w:t>Securitization</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3"/>
          </w:tcPr>
          <w:p>
            <w:pPr>
              <w:jc w:val="right"/>
              <w:ind w:right="80"/>
              <w:spacing w:after="0" w:line="181" w:lineRule="exact"/>
              <w:rPr>
                <w:sz w:val="20"/>
                <w:szCs w:val="20"/>
                <w:color w:val="auto"/>
              </w:rPr>
            </w:pPr>
            <w:r>
              <w:rPr>
                <w:rFonts w:ascii="Arial" w:cs="Arial" w:eastAsia="Arial" w:hAnsi="Arial"/>
                <w:sz w:val="17"/>
                <w:szCs w:val="17"/>
                <w:b w:val="1"/>
                <w:bCs w:val="1"/>
                <w:color w:val="auto"/>
                <w:w w:val="99"/>
              </w:rPr>
              <w:t>Loans Held for</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3"/>
          </w:tcPr>
          <w:p>
            <w:pPr>
              <w:jc w:val="right"/>
              <w:ind w:right="80"/>
              <w:spacing w:after="0" w:line="181" w:lineRule="exact"/>
              <w:rPr>
                <w:sz w:val="20"/>
                <w:szCs w:val="20"/>
                <w:color w:val="auto"/>
              </w:rPr>
            </w:pPr>
            <w:r>
              <w:rPr>
                <w:rFonts w:ascii="Arial" w:cs="Arial" w:eastAsia="Arial" w:hAnsi="Arial"/>
                <w:sz w:val="17"/>
                <w:szCs w:val="17"/>
                <w:b w:val="1"/>
                <w:bCs w:val="1"/>
                <w:color w:val="auto"/>
                <w:w w:val="99"/>
              </w:rPr>
              <w:t>ESS Financing</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0"/>
              </w:rPr>
              <w:t>Three months ended September 30, 2022</w:t>
            </w:r>
          </w:p>
        </w:tc>
        <w:tc>
          <w:tcPr>
            <w:tcW w:w="106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b w:val="1"/>
                <w:bCs w:val="1"/>
                <w:color w:val="auto"/>
                <w:w w:val="89"/>
              </w:rPr>
              <w:t>Investors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7"/>
                <w:szCs w:val="17"/>
                <w:b w:val="1"/>
                <w:bCs w:val="1"/>
                <w:color w:val="auto"/>
                <w:w w:val="89"/>
              </w:rPr>
              <w:t>Investors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94"/>
              </w:rPr>
              <w:t>Sale - Fair Value</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7"/>
                <w:szCs w:val="17"/>
                <w:b w:val="1"/>
                <w:bCs w:val="1"/>
                <w:color w:val="auto"/>
              </w:rPr>
              <w:t>Liability</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3000" w:type="dxa"/>
            <w:vAlign w:val="bottom"/>
            <w:tcBorders>
              <w:bottom w:val="single" w:sz="8" w:color="auto"/>
            </w:tcBorders>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(7.3)</w:t>
            </w:r>
          </w:p>
        </w:tc>
        <w:tc>
          <w:tcPr>
            <w:tcW w:w="5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160"/>
              <w:spacing w:after="0"/>
              <w:rPr>
                <w:sz w:val="20"/>
                <w:szCs w:val="20"/>
                <w:color w:val="auto"/>
              </w:rPr>
            </w:pPr>
            <w:r>
              <w:rPr>
                <w:rFonts w:ascii="Arial" w:cs="Arial" w:eastAsia="Arial" w:hAnsi="Arial"/>
                <w:sz w:val="17"/>
                <w:szCs w:val="17"/>
                <w:color w:val="auto"/>
              </w:rPr>
              <w:t>Purchases, issuances, sales and settlements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Purchases and other</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60"/>
              <w:spacing w:after="0"/>
              <w:rPr>
                <w:sz w:val="20"/>
                <w:szCs w:val="20"/>
                <w:color w:val="auto"/>
              </w:rPr>
            </w:pPr>
            <w:r>
              <w:rPr>
                <w:rFonts w:ascii="Arial" w:cs="Arial" w:eastAsia="Arial" w:hAnsi="Arial"/>
                <w:sz w:val="17"/>
                <w:szCs w:val="17"/>
                <w:color w:val="auto"/>
              </w:rPr>
              <w:t>Issuances (1)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60"/>
              <w:spacing w:after="0"/>
              <w:rPr>
                <w:sz w:val="20"/>
                <w:szCs w:val="20"/>
                <w:color w:val="auto"/>
              </w:rPr>
            </w:pPr>
            <w:r>
              <w:rPr>
                <w:rFonts w:ascii="Arial" w:cs="Arial" w:eastAsia="Arial" w:hAnsi="Arial"/>
                <w:sz w:val="17"/>
                <w:szCs w:val="17"/>
                <w:color w:val="auto"/>
              </w:rPr>
              <w:t>Settlements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Transfers: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60"/>
              <w:spacing w:after="0"/>
              <w:rPr>
                <w:sz w:val="20"/>
                <w:szCs w:val="20"/>
                <w:color w:val="auto"/>
              </w:rPr>
            </w:pPr>
            <w:r>
              <w:rPr>
                <w:rFonts w:ascii="Arial" w:cs="Arial" w:eastAsia="Arial" w:hAnsi="Arial"/>
                <w:sz w:val="17"/>
                <w:szCs w:val="17"/>
                <w:color w:val="auto"/>
              </w:rPr>
              <w:t>Loans held for sale, at fair value (1)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Receivables, net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060" w:type="dxa"/>
            <w:vAlign w:val="bottom"/>
            <w:tcBorders>
              <w:bottom w:val="single" w:sz="8" w:color="CCEEFF"/>
            </w:tcBorders>
            <w:gridSpan w:val="3"/>
          </w:tcPr>
          <w:p>
            <w:pPr>
              <w:ind w:left="360"/>
              <w:spacing w:after="0"/>
              <w:rPr>
                <w:sz w:val="20"/>
                <w:szCs w:val="20"/>
                <w:color w:val="auto"/>
              </w:rPr>
            </w:pPr>
            <w:r>
              <w:rPr>
                <w:rFonts w:ascii="Arial" w:cs="Arial" w:eastAsia="Arial" w:hAnsi="Arial"/>
                <w:sz w:val="17"/>
                <w:szCs w:val="17"/>
                <w:color w:val="auto"/>
              </w:rPr>
              <w:t>Net addition (disposition/derecognition)</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(0.5)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(8.7)</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(35.6)</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Change in fair value included in earnings (1)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7"/>
                <w:szCs w:val="17"/>
                <w:color w:val="auto"/>
              </w:rPr>
              <w:t>(6.8)</w:t>
            </w:r>
          </w:p>
        </w:tc>
        <w:tc>
          <w:tcPr>
            <w:tcW w:w="52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30.5</w:t>
            </w: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(36.3)</w:t>
            </w: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4"/>
              </w:rPr>
              <w:t>Loans Held for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300"/>
              <w:spacing w:after="0" w:line="181" w:lineRule="exact"/>
              <w:rPr>
                <w:sz w:val="20"/>
                <w:szCs w:val="20"/>
                <w:color w:val="auto"/>
              </w:rPr>
            </w:pPr>
            <w:r>
              <w:rPr>
                <w:rFonts w:ascii="Arial" w:cs="Arial" w:eastAsia="Arial" w:hAnsi="Arial"/>
                <w:sz w:val="17"/>
                <w:szCs w:val="17"/>
                <w:b w:val="1"/>
                <w:bCs w:val="1"/>
                <w:color w:val="auto"/>
                <w:w w:val="91"/>
              </w:rPr>
              <w:t>Investment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w w:val="92"/>
              </w:rPr>
              <w:t>Financing</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20" w:type="dxa"/>
            <w:vAlign w:val="bottom"/>
          </w:tcPr>
          <w:p>
            <w:pPr>
              <w:spacing w:after="0"/>
              <w:rPr>
                <w:sz w:val="14"/>
                <w:szCs w:val="14"/>
                <w:color w:val="auto"/>
              </w:rPr>
            </w:pPr>
          </w:p>
        </w:tc>
        <w:tc>
          <w:tcPr>
            <w:tcW w:w="1500" w:type="dxa"/>
            <w:vAlign w:val="bottom"/>
            <w:gridSpan w:val="4"/>
          </w:tcPr>
          <w:p>
            <w:pPr>
              <w:jc w:val="center"/>
              <w:ind w:right="60"/>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Loans Held for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7"/>
                <w:szCs w:val="17"/>
                <w:b w:val="1"/>
                <w:bCs w:val="1"/>
                <w:color w:val="auto"/>
                <w:w w:val="94"/>
              </w:rPr>
              <w:t>ESS Financing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8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60"/>
              <w:spacing w:after="0" w:line="168" w:lineRule="exact"/>
              <w:rPr>
                <w:sz w:val="20"/>
                <w:szCs w:val="20"/>
                <w:color w:val="auto"/>
              </w:rPr>
            </w:pPr>
            <w:r>
              <w:rPr>
                <w:rFonts w:ascii="Arial" w:cs="Arial" w:eastAsia="Arial" w:hAnsi="Arial"/>
                <w:sz w:val="17"/>
                <w:szCs w:val="17"/>
                <w:b w:val="1"/>
                <w:bCs w:val="1"/>
                <w:color w:val="auto"/>
                <w:w w:val="91"/>
              </w:rPr>
              <w:t>Securitization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60" w:type="dxa"/>
            <w:vAlign w:val="bottom"/>
            <w:vMerge w:val="restart"/>
          </w:tcPr>
          <w:p>
            <w:pPr>
              <w:spacing w:after="0"/>
              <w:rPr>
                <w:sz w:val="20"/>
                <w:szCs w:val="20"/>
                <w:color w:val="auto"/>
              </w:rPr>
            </w:pPr>
            <w:r>
              <w:rPr>
                <w:rFonts w:ascii="Arial" w:cs="Arial" w:eastAsia="Arial" w:hAnsi="Arial"/>
                <w:sz w:val="17"/>
                <w:szCs w:val="17"/>
                <w:b w:val="1"/>
                <w:bCs w:val="1"/>
                <w:color w:val="auto"/>
                <w:w w:val="91"/>
              </w:rPr>
              <w:t>Nine Months Ended September 30, 2023</w:t>
            </w:r>
          </w:p>
        </w:tc>
        <w:tc>
          <w:tcPr>
            <w:tcW w:w="1100" w:type="dxa"/>
            <w:vAlign w:val="bottom"/>
            <w:gridSpan w:val="2"/>
            <w:vMerge w:val="restart"/>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Investors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Investors</w:t>
            </w:r>
          </w:p>
        </w:tc>
        <w:tc>
          <w:tcPr>
            <w:tcW w:w="40" w:type="dxa"/>
            <w:vAlign w:val="bottom"/>
          </w:tcPr>
          <w:p>
            <w:pPr>
              <w:spacing w:after="0"/>
              <w:rPr>
                <w:sz w:val="20"/>
                <w:szCs w:val="20"/>
                <w:color w:val="auto"/>
              </w:rPr>
            </w:pPr>
          </w:p>
        </w:tc>
        <w:tc>
          <w:tcPr>
            <w:tcW w:w="1340" w:type="dxa"/>
            <w:vAlign w:val="bottom"/>
            <w:gridSpan w:val="4"/>
          </w:tcPr>
          <w:p>
            <w:pPr>
              <w:jc w:val="right"/>
              <w:ind w:right="100"/>
              <w:spacing w:after="0"/>
              <w:rPr>
                <w:sz w:val="20"/>
                <w:szCs w:val="20"/>
                <w:color w:val="auto"/>
              </w:rPr>
            </w:pPr>
            <w:r>
              <w:rPr>
                <w:rFonts w:ascii="Arial" w:cs="Arial" w:eastAsia="Arial" w:hAnsi="Arial"/>
                <w:sz w:val="17"/>
                <w:szCs w:val="17"/>
                <w:b w:val="1"/>
                <w:bCs w:val="1"/>
                <w:color w:val="auto"/>
                <w:w w:val="92"/>
              </w:rPr>
              <w:t>Sale - Fair Value</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Liability</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1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120"/>
              <w:spacing w:after="0"/>
              <w:rPr>
                <w:sz w:val="20"/>
                <w:szCs w:val="20"/>
                <w:color w:val="auto"/>
              </w:rPr>
            </w:pPr>
            <w:r>
              <w:rPr>
                <w:rFonts w:ascii="Arial" w:cs="Arial" w:eastAsia="Arial" w:hAnsi="Arial"/>
                <w:sz w:val="17"/>
                <w:szCs w:val="17"/>
                <w:color w:val="auto"/>
              </w:rPr>
              <w:t>Purchases, issuances, sales and settlements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Purchases and other</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7"/>
                <w:szCs w:val="17"/>
                <w:color w:val="auto"/>
              </w:rPr>
              <w:t>Issuances (1)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Sales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7"/>
                <w:szCs w:val="17"/>
                <w:color w:val="auto"/>
              </w:rPr>
              <w:t>Settlements (2)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Transfers: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7"/>
                <w:szCs w:val="17"/>
                <w:color w:val="auto"/>
              </w:rPr>
              <w:t>Loans held for investment, at fair value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Loans held for sale, at fair value (1)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7"/>
                <w:szCs w:val="17"/>
                <w:color w:val="auto"/>
              </w:rPr>
              <w:t>REO (Other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Receivables, net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60" w:type="dxa"/>
            <w:vAlign w:val="bottom"/>
            <w:gridSpan w:val="3"/>
          </w:tcPr>
          <w:p>
            <w:pPr>
              <w:ind w:left="160"/>
              <w:spacing w:after="0" w:line="168" w:lineRule="exact"/>
              <w:rPr>
                <w:sz w:val="20"/>
                <w:szCs w:val="20"/>
                <w:color w:val="auto"/>
              </w:rPr>
            </w:pPr>
            <w:r>
              <w:rPr>
                <w:rFonts w:ascii="Arial" w:cs="Arial" w:eastAsia="Arial" w:hAnsi="Arial"/>
                <w:sz w:val="17"/>
                <w:szCs w:val="17"/>
                <w:color w:val="auto"/>
              </w:rPr>
              <w:t>Capitalization of advances on Ginnie Mae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60" w:type="dxa"/>
            <w:vAlign w:val="bottom"/>
            <w:gridSpan w:val="3"/>
          </w:tcPr>
          <w:p>
            <w:pPr>
              <w:ind w:left="240"/>
              <w:spacing w:after="0"/>
              <w:rPr>
                <w:sz w:val="20"/>
                <w:szCs w:val="20"/>
                <w:color w:val="auto"/>
              </w:rPr>
            </w:pPr>
            <w:r>
              <w:rPr>
                <w:rFonts w:ascii="Arial" w:cs="Arial" w:eastAsia="Arial" w:hAnsi="Arial"/>
                <w:sz w:val="17"/>
                <w:szCs w:val="17"/>
                <w:color w:val="auto"/>
              </w:rPr>
              <w:t>modifications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60" w:type="dxa"/>
            <w:vAlign w:val="bottom"/>
            <w:gridSpan w:val="3"/>
          </w:tcPr>
          <w:p>
            <w:pPr>
              <w:ind w:left="360"/>
              <w:spacing w:after="0"/>
              <w:rPr>
                <w:sz w:val="20"/>
                <w:szCs w:val="20"/>
                <w:color w:val="auto"/>
              </w:rPr>
            </w:pPr>
            <w:r>
              <w:rPr>
                <w:rFonts w:ascii="Arial" w:cs="Arial" w:eastAsia="Arial" w:hAnsi="Arial"/>
                <w:sz w:val="17"/>
                <w:szCs w:val="17"/>
                <w:color w:val="auto"/>
              </w:rPr>
              <w:t>Net addition (disposition/derecognition)</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Included in earnings: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60" w:type="dxa"/>
            <w:vAlign w:val="bottom"/>
            <w:gridSpan w:val="3"/>
          </w:tcPr>
          <w:p>
            <w:pPr>
              <w:ind w:left="200"/>
              <w:spacing w:after="0"/>
              <w:rPr>
                <w:sz w:val="20"/>
                <w:szCs w:val="20"/>
                <w:color w:val="auto"/>
              </w:rPr>
            </w:pPr>
            <w:r>
              <w:rPr>
                <w:rFonts w:ascii="Arial" w:cs="Arial" w:eastAsia="Arial" w:hAnsi="Arial"/>
                <w:sz w:val="17"/>
                <w:szCs w:val="17"/>
                <w:color w:val="auto"/>
              </w:rPr>
              <w:t>Change in fair value (1)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6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Gain (loss) on sale of loans and other</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9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06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5"/>
          </w:tcPr>
          <w:p>
            <w:pPr>
              <w:jc w:val="right"/>
              <w:ind w:right="14"/>
              <w:spacing w:after="0"/>
              <w:rPr>
                <w:sz w:val="20"/>
                <w:szCs w:val="20"/>
                <w:color w:val="auto"/>
              </w:rPr>
            </w:pPr>
            <w:r>
              <w:rPr>
                <w:rFonts w:ascii="Arial" w:cs="Arial" w:eastAsia="Arial" w:hAnsi="Arial"/>
                <w:sz w:val="17"/>
                <w:szCs w:val="17"/>
                <w:color w:val="auto"/>
              </w:rPr>
              <w:t>17</w:t>
            </w: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8"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 for</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w w:val="93"/>
              </w:rPr>
              <w:t>Investment -</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w w:val="89"/>
              </w:rPr>
              <w:t>Financing</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2"/>
              </w:rPr>
              <w:t>Restricted for</w:t>
            </w:r>
          </w:p>
        </w:tc>
        <w:tc>
          <w:tcPr>
            <w:tcW w:w="1540" w:type="dxa"/>
            <w:vAlign w:val="bottom"/>
            <w:gridSpan w:val="3"/>
          </w:tcPr>
          <w:p>
            <w:pPr>
              <w:jc w:val="center"/>
              <w:ind w:right="100"/>
              <w:spacing w:after="0" w:line="168" w:lineRule="exact"/>
              <w:rPr>
                <w:sz w:val="20"/>
                <w:szCs w:val="20"/>
                <w:color w:val="auto"/>
              </w:rPr>
            </w:pPr>
            <w:r>
              <w:rPr>
                <w:rFonts w:ascii="Arial" w:cs="Arial" w:eastAsia="Arial" w:hAnsi="Arial"/>
                <w:sz w:val="17"/>
                <w:szCs w:val="17"/>
                <w:b w:val="1"/>
                <w:bCs w:val="1"/>
                <w:color w:val="auto"/>
                <w:w w:val="95"/>
              </w:rPr>
              <w:t>Liability - Owed to</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line="181" w:lineRule="exact"/>
              <w:rPr>
                <w:sz w:val="20"/>
                <w:szCs w:val="20"/>
                <w:color w:val="auto"/>
              </w:rPr>
            </w:pPr>
            <w:r>
              <w:rPr>
                <w:rFonts w:ascii="Arial" w:cs="Arial" w:eastAsia="Arial" w:hAnsi="Arial"/>
                <w:sz w:val="17"/>
                <w:szCs w:val="17"/>
                <w:b w:val="1"/>
                <w:bCs w:val="1"/>
                <w:color w:val="auto"/>
                <w:w w:val="91"/>
              </w:rPr>
              <w:t>Securitization</w:t>
            </w:r>
          </w:p>
        </w:tc>
        <w:tc>
          <w:tcPr>
            <w:tcW w:w="160" w:type="dxa"/>
            <w:vAlign w:val="bottom"/>
          </w:tcPr>
          <w:p>
            <w:pPr>
              <w:spacing w:after="0"/>
              <w:rPr>
                <w:sz w:val="15"/>
                <w:szCs w:val="15"/>
                <w:color w:val="auto"/>
              </w:rPr>
            </w:pPr>
          </w:p>
        </w:tc>
        <w:tc>
          <w:tcPr>
            <w:tcW w:w="1380" w:type="dxa"/>
            <w:vAlign w:val="bottom"/>
            <w:gridSpan w:val="2"/>
          </w:tcPr>
          <w:p>
            <w:pPr>
              <w:jc w:val="center"/>
              <w:ind w:right="260"/>
              <w:spacing w:after="0" w:line="181" w:lineRule="exact"/>
              <w:rPr>
                <w:sz w:val="20"/>
                <w:szCs w:val="20"/>
                <w:color w:val="auto"/>
              </w:rPr>
            </w:pPr>
            <w:r>
              <w:rPr>
                <w:rFonts w:ascii="Arial" w:cs="Arial" w:eastAsia="Arial" w:hAnsi="Arial"/>
                <w:sz w:val="17"/>
                <w:szCs w:val="17"/>
                <w:b w:val="1"/>
                <w:bCs w:val="1"/>
                <w:color w:val="auto"/>
                <w:w w:val="93"/>
              </w:rPr>
              <w:t>Securitization</w:t>
            </w:r>
          </w:p>
        </w:tc>
        <w:tc>
          <w:tcPr>
            <w:tcW w:w="1380" w:type="dxa"/>
            <w:vAlign w:val="bottom"/>
            <w:gridSpan w:val="3"/>
          </w:tcPr>
          <w:p>
            <w:pPr>
              <w:ind w:left="80"/>
              <w:spacing w:after="0" w:line="181" w:lineRule="exact"/>
              <w:rPr>
                <w:sz w:val="20"/>
                <w:szCs w:val="20"/>
                <w:color w:val="auto"/>
              </w:rPr>
            </w:pPr>
            <w:r>
              <w:rPr>
                <w:rFonts w:ascii="Arial" w:cs="Arial" w:eastAsia="Arial" w:hAnsi="Arial"/>
                <w:sz w:val="17"/>
                <w:szCs w:val="17"/>
                <w:b w:val="1"/>
                <w:bCs w:val="1"/>
                <w:color w:val="auto"/>
              </w:rPr>
              <w:t>Loans Held for</w:t>
            </w:r>
          </w:p>
        </w:tc>
        <w:tc>
          <w:tcPr>
            <w:tcW w:w="100" w:type="dxa"/>
            <w:vAlign w:val="bottom"/>
          </w:tcPr>
          <w:p>
            <w:pPr>
              <w:spacing w:after="0"/>
              <w:rPr>
                <w:sz w:val="15"/>
                <w:szCs w:val="15"/>
                <w:color w:val="auto"/>
              </w:rPr>
            </w:pPr>
          </w:p>
        </w:tc>
        <w:tc>
          <w:tcPr>
            <w:tcW w:w="1300" w:type="dxa"/>
            <w:vAlign w:val="bottom"/>
            <w:gridSpan w:val="2"/>
          </w:tcPr>
          <w:p>
            <w:pPr>
              <w:jc w:val="center"/>
              <w:ind w:right="200"/>
              <w:spacing w:after="0" w:line="181" w:lineRule="exact"/>
              <w:rPr>
                <w:sz w:val="20"/>
                <w:szCs w:val="20"/>
                <w:color w:val="auto"/>
              </w:rPr>
            </w:pPr>
            <w:r>
              <w:rPr>
                <w:rFonts w:ascii="Arial" w:cs="Arial" w:eastAsia="Arial" w:hAnsi="Arial"/>
                <w:sz w:val="17"/>
                <w:szCs w:val="17"/>
                <w:b w:val="1"/>
                <w:bCs w:val="1"/>
                <w:color w:val="auto"/>
                <w:w w:val="92"/>
              </w:rPr>
              <w:t>ESS Financing</w:t>
            </w:r>
          </w:p>
        </w:tc>
        <w:tc>
          <w:tcPr>
            <w:tcW w:w="240" w:type="dxa"/>
            <w:vAlign w:val="bottom"/>
          </w:tcPr>
          <w:p>
            <w:pPr>
              <w:spacing w:after="0"/>
              <w:rPr>
                <w:sz w:val="15"/>
                <w:szCs w:val="15"/>
                <w:color w:val="auto"/>
              </w:rPr>
            </w:pPr>
          </w:p>
        </w:tc>
        <w:tc>
          <w:tcPr>
            <w:tcW w:w="1020" w:type="dxa"/>
            <w:vAlign w:val="bottom"/>
            <w:vMerge w:val="restart"/>
          </w:tcPr>
          <w:p>
            <w:pPr>
              <w:jc w:val="right"/>
              <w:ind w:right="294"/>
              <w:spacing w:after="0"/>
              <w:rPr>
                <w:sz w:val="20"/>
                <w:szCs w:val="20"/>
                <w:color w:val="auto"/>
              </w:rPr>
            </w:pPr>
            <w:r>
              <w:rPr>
                <w:rFonts w:ascii="Arial" w:cs="Arial" w:eastAsia="Arial" w:hAnsi="Arial"/>
                <w:sz w:val="17"/>
                <w:szCs w:val="17"/>
                <w:b w:val="1"/>
                <w:bCs w:val="1"/>
                <w:color w:val="auto"/>
              </w:rPr>
              <w:t>IRLCs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60" w:type="dxa"/>
            <w:vAlign w:val="bottom"/>
            <w:vMerge w:val="restart"/>
          </w:tcPr>
          <w:p>
            <w:pPr>
              <w:spacing w:after="0"/>
              <w:rPr>
                <w:sz w:val="20"/>
                <w:szCs w:val="20"/>
                <w:color w:val="auto"/>
              </w:rPr>
            </w:pPr>
            <w:r>
              <w:rPr>
                <w:rFonts w:ascii="Arial" w:cs="Arial" w:eastAsia="Arial" w:hAnsi="Arial"/>
                <w:sz w:val="17"/>
                <w:szCs w:val="17"/>
                <w:b w:val="1"/>
                <w:bCs w:val="1"/>
                <w:color w:val="auto"/>
                <w:w w:val="91"/>
              </w:rPr>
              <w:t>Nine Months Ended September 30, 2022</w:t>
            </w:r>
          </w:p>
        </w:tc>
        <w:tc>
          <w:tcPr>
            <w:tcW w:w="11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Investors</w:t>
            </w:r>
          </w:p>
        </w:tc>
        <w:tc>
          <w:tcPr>
            <w:tcW w:w="1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Investors</w:t>
            </w:r>
          </w:p>
        </w:tc>
        <w:tc>
          <w:tcPr>
            <w:tcW w:w="1380" w:type="dxa"/>
            <w:vAlign w:val="bottom"/>
            <w:gridSpan w:val="3"/>
          </w:tcPr>
          <w:p>
            <w:pPr>
              <w:ind w:left="20"/>
              <w:spacing w:after="0"/>
              <w:rPr>
                <w:sz w:val="20"/>
                <w:szCs w:val="20"/>
                <w:color w:val="auto"/>
              </w:rPr>
            </w:pPr>
            <w:r>
              <w:rPr>
                <w:rFonts w:ascii="Arial" w:cs="Arial" w:eastAsia="Arial" w:hAnsi="Arial"/>
                <w:sz w:val="17"/>
                <w:szCs w:val="17"/>
                <w:b w:val="1"/>
                <w:bCs w:val="1"/>
                <w:color w:val="auto"/>
              </w:rPr>
              <w:t>Sale - Fair Value</w:t>
            </w:r>
          </w:p>
        </w:tc>
        <w:tc>
          <w:tcPr>
            <w:tcW w:w="10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6"/>
              </w:rPr>
              <w:t>Liability</w:t>
            </w: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7"/>
                <w:szCs w:val="17"/>
                <w:color w:val="auto"/>
              </w:rPr>
              <w:t>Purchases, issuances, sales and settlements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Purchases and other</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Issuances (1)</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Settlements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Transfers: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gridSpan w:val="2"/>
          </w:tcPr>
          <w:p>
            <w:pPr>
              <w:ind w:left="200"/>
              <w:spacing w:after="0"/>
              <w:rPr>
                <w:sz w:val="20"/>
                <w:szCs w:val="20"/>
                <w:color w:val="auto"/>
              </w:rPr>
            </w:pPr>
            <w:r>
              <w:rPr>
                <w:rFonts w:ascii="Arial" w:cs="Arial" w:eastAsia="Arial" w:hAnsi="Arial"/>
                <w:sz w:val="17"/>
                <w:szCs w:val="17"/>
                <w:color w:val="auto"/>
              </w:rPr>
              <w:t>Loans held for sale, at fair value (1)</w:t>
            </w: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(36.2)</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Receivables, net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080" w:type="dxa"/>
            <w:vAlign w:val="bottom"/>
            <w:tcBorders>
              <w:bottom w:val="single" w:sz="8" w:color="CCEEFF"/>
            </w:tcBorders>
            <w:gridSpan w:val="2"/>
          </w:tcPr>
          <w:p>
            <w:pPr>
              <w:ind w:left="360"/>
              <w:spacing w:after="0"/>
              <w:rPr>
                <w:sz w:val="20"/>
                <w:szCs w:val="20"/>
                <w:color w:val="auto"/>
              </w:rPr>
            </w:pPr>
            <w:r>
              <w:rPr>
                <w:rFonts w:ascii="Arial" w:cs="Arial" w:eastAsia="Arial" w:hAnsi="Arial"/>
                <w:sz w:val="17"/>
                <w:szCs w:val="17"/>
                <w:color w:val="auto"/>
              </w:rPr>
              <w:t>Net addition (disposition/derecognition)</w:t>
            </w: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(183.8)</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0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Change in fair value included in earnings (1)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line="245"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IRLC activity (issuances and transfers) represent changes in fair value included in earnings. This activity is presented on a gross basis in the table for disclosure purposes. Total net change in fair value included in earnings attributed to IRLCs is a gain (loss) of $(2.6) million and $(0.4) million for the three and nine months ended September 30, 2023, respectively, and $(17.9) million and $(30.3) million for the three and nine months ended September 30, 2022, respectively. See Note 14 – Derivative Financial Instruments and Hedging Activities</w:t>
      </w:r>
    </w:p>
    <w:p>
      <w:pPr>
        <w:ind w:left="320" w:hanging="317"/>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Settlements related to the ESS financing liability are recorded in earnings as MSR valuation adjustments</w:t>
      </w:r>
      <w:r>
        <w:rPr>
          <w:rFonts w:ascii="Arial" w:cs="Arial" w:eastAsia="Arial" w:hAnsi="Arial"/>
          <w:sz w:val="17"/>
          <w:szCs w:val="17"/>
          <w:color w:val="auto"/>
        </w:rPr>
        <w:t>, net</w:t>
      </w:r>
      <w:r>
        <w:rPr>
          <w:rFonts w:ascii="Arial" w:cs="Arial" w:eastAsia="Arial" w:hAnsi="Arial"/>
          <w:sz w:val="16"/>
          <w:szCs w:val="16"/>
          <w:color w:val="auto"/>
        </w:rPr>
        <w:t>. See Note 7 – Mortgage Servicing</w:t>
      </w:r>
    </w:p>
    <w:p>
      <w:pPr>
        <w:spacing w:after="0" w:line="95"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7"/>
          <w:szCs w:val="17"/>
          <w:color w:val="auto"/>
        </w:rPr>
        <w:t>reconciliation from the beginning balances to the ending balances of Loans Held for Investment and HMBS-related borrowings, MSRs and Pledged MSR</w:t>
      </w:r>
      <w:r>
        <w:rPr>
          <w:rFonts w:ascii="Arial" w:cs="Arial" w:eastAsia="Arial" w:hAnsi="Arial"/>
          <w:sz w:val="16"/>
          <w:szCs w:val="16"/>
          <w:color w:val="auto"/>
        </w:rPr>
        <w:t xml:space="preserve"> </w:t>
      </w:r>
      <w:r>
        <w:rPr>
          <w:rFonts w:ascii="Arial" w:cs="Arial" w:eastAsia="Arial" w:hAnsi="Arial"/>
          <w:sz w:val="17"/>
          <w:szCs w:val="17"/>
          <w:color w:val="auto"/>
        </w:rPr>
        <w:t>liabilities that we measure at fair value on a recurring basis is disclosed in Note 5 - Reverse Mortgages, Note 7 – Mortgage Servicing and Note 8 — Other Financing Liabilities, at Fair Value, respectively.</w:t>
      </w:r>
    </w:p>
    <w:p>
      <w:pPr>
        <w:spacing w:after="0" w:line="69"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significant unobservable assumptions that we make to estimate the fair value of certain assets and liabilities classified as Level 3 and measured at fair value on a recurring basis are provided below.</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Sale</w:t>
      </w:r>
    </w:p>
    <w:p>
      <w:pPr>
        <w:spacing w:after="0" w:line="159" w:lineRule="exact"/>
        <w:rPr>
          <w:sz w:val="20"/>
          <w:szCs w:val="20"/>
          <w:color w:val="auto"/>
        </w:rPr>
      </w:pPr>
    </w:p>
    <w:p>
      <w:pPr>
        <w:jc w:val="both"/>
        <w:ind w:right="20"/>
        <w:spacing w:after="0" w:line="320" w:lineRule="auto"/>
        <w:rPr>
          <w:sz w:val="20"/>
          <w:szCs w:val="20"/>
          <w:color w:val="auto"/>
        </w:rPr>
      </w:pPr>
      <w:r>
        <w:rPr>
          <w:rFonts w:ascii="Arial" w:cs="Arial" w:eastAsia="Arial" w:hAnsi="Arial"/>
          <w:sz w:val="15"/>
          <w:szCs w:val="15"/>
          <w:color w:val="auto"/>
        </w:rPr>
        <w:t>The fair value of loans we purchased from Ginnie Mae guaranteed securitizations is estimated using both observable and unobservable inputs, including published forward and reverse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Investment - Reverse Mortgages</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760" w:type="dxa"/>
            <w:vAlign w:val="bottom"/>
            <w:gridSpan w:val="2"/>
          </w:tcPr>
          <w:p>
            <w:pPr>
              <w:ind w:left="300"/>
              <w:spacing w:after="0"/>
              <w:rPr>
                <w:sz w:val="20"/>
                <w:szCs w:val="20"/>
                <w:color w:val="auto"/>
              </w:rPr>
            </w:pPr>
            <w:r>
              <w:rPr>
                <w:rFonts w:ascii="Arial" w:cs="Arial" w:eastAsia="Arial" w:hAnsi="Arial"/>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r>
      <w:tr>
        <w:trPr>
          <w:trHeight w:val="23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0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Range</w:t>
            </w: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0.8 to 7.5</w:t>
            </w:r>
          </w:p>
        </w:tc>
        <w:tc>
          <w:tcPr>
            <w:tcW w:w="1660" w:type="dxa"/>
            <w:vAlign w:val="bottom"/>
          </w:tcPr>
          <w:p>
            <w:pPr>
              <w:jc w:val="right"/>
              <w:spacing w:after="0"/>
              <w:rPr>
                <w:sz w:val="20"/>
                <w:szCs w:val="20"/>
                <w:color w:val="auto"/>
              </w:rPr>
            </w:pPr>
            <w:r>
              <w:rPr>
                <w:rFonts w:ascii="Arial" w:cs="Arial" w:eastAsia="Arial" w:hAnsi="Arial"/>
                <w:sz w:val="17"/>
                <w:szCs w:val="17"/>
                <w:color w:val="auto"/>
              </w:rPr>
              <w:t>1.0 to 7.6</w:t>
            </w: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Conditional prepayment rate, including voluntary and involuntary prepayments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 to 40.7%</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 to 45.0%</w:t>
            </w: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Weighted average</w:t>
            </w:r>
          </w:p>
        </w:tc>
        <w:tc>
          <w:tcPr>
            <w:tcW w:w="1660" w:type="dxa"/>
            <w:vAlign w:val="bottom"/>
          </w:tcPr>
          <w:p>
            <w:pPr>
              <w:jc w:val="right"/>
              <w:spacing w:after="0"/>
              <w:rPr>
                <w:sz w:val="20"/>
                <w:szCs w:val="20"/>
                <w:color w:val="auto"/>
              </w:rPr>
            </w:pPr>
            <w:r>
              <w:rPr>
                <w:rFonts w:ascii="Arial" w:cs="Arial" w:eastAsia="Arial" w:hAnsi="Arial"/>
                <w:sz w:val="17"/>
                <w:szCs w:val="17"/>
                <w:color w:val="auto"/>
              </w:rPr>
              <w:t>18.3 %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18.0 %</w:t>
            </w: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r>
    </w:tbl>
    <w:p>
      <w:pPr>
        <w:spacing w:after="0" w:line="16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MSRs</w:t>
      </w:r>
    </w:p>
    <w:p>
      <w:pPr>
        <w:spacing w:after="0" w:line="12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w:t>
      </w:r>
    </w:p>
    <w:p>
      <w:pPr>
        <w:spacing w:after="0" w:line="6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We evaluate the reasonableness of our third-party experts’ assumptions using historical experience adjusted for prevailing market conditions and benchmarks of assumptions and value estimates.</w:t>
      </w:r>
    </w:p>
    <w:p>
      <w:pPr>
        <w:spacing w:after="0" w:line="6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In addition, changes in market interest rates impact float income. The significant unobservable assumptions used in the valuation of these MSRs include prepayment speeds, delinquency rates, cost to service and discount rates.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7"/>
                <w:szCs w:val="17"/>
                <w:b w:val="1"/>
                <w:bCs w:val="1"/>
                <w:color w:val="auto"/>
              </w:rPr>
              <w:t>September 30, 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7"/>
                <w:szCs w:val="17"/>
                <w:b w:val="1"/>
                <w:bCs w:val="1"/>
                <w:color w:val="auto"/>
              </w:rPr>
              <w:t>December 31, 2022</w:t>
            </w:r>
          </w:p>
        </w:tc>
      </w:tr>
      <w:tr>
        <w:trPr>
          <w:trHeight w:val="238"/>
        </w:trPr>
        <w:tc>
          <w:tcPr>
            <w:tcW w:w="4480" w:type="dxa"/>
            <w:vAlign w:val="bottom"/>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b w:val="1"/>
                <w:bCs w:val="1"/>
                <w:color w:val="auto"/>
              </w:rPr>
              <w:t>Agency</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7"/>
                <w:szCs w:val="17"/>
                <w:b w:val="1"/>
                <w:bCs w:val="1"/>
                <w:color w:val="auto"/>
              </w:rPr>
              <w:t>Non-Agency</w:t>
            </w:r>
          </w:p>
        </w:tc>
        <w:tc>
          <w:tcPr>
            <w:tcW w:w="300" w:type="dxa"/>
            <w:vAlign w:val="bottom"/>
          </w:tcPr>
          <w:p>
            <w:pPr>
              <w:spacing w:after="0"/>
              <w:rPr>
                <w:sz w:val="20"/>
                <w:szCs w:val="20"/>
                <w:color w:val="auto"/>
              </w:rPr>
            </w:pPr>
          </w:p>
        </w:tc>
        <w:tc>
          <w:tcPr>
            <w:tcW w:w="1400" w:type="dxa"/>
            <w:vAlign w:val="bottom"/>
            <w:gridSpan w:val="2"/>
          </w:tcPr>
          <w:p>
            <w:pPr>
              <w:ind w:left="220"/>
              <w:spacing w:after="0"/>
              <w:rPr>
                <w:sz w:val="20"/>
                <w:szCs w:val="20"/>
                <w:color w:val="auto"/>
              </w:rPr>
            </w:pPr>
            <w:r>
              <w:rPr>
                <w:rFonts w:ascii="Arial" w:cs="Arial" w:eastAsia="Arial" w:hAnsi="Arial"/>
                <w:sz w:val="17"/>
                <w:szCs w:val="17"/>
                <w:b w:val="1"/>
                <w:bCs w:val="1"/>
                <w:color w:val="auto"/>
              </w:rPr>
              <w:t>Agency</w:t>
            </w:r>
          </w:p>
        </w:tc>
        <w:tc>
          <w:tcPr>
            <w:tcW w:w="220" w:type="dxa"/>
            <w:vAlign w:val="bottom"/>
          </w:tcPr>
          <w:p>
            <w:pPr>
              <w:spacing w:after="0"/>
              <w:rPr>
                <w:sz w:val="20"/>
                <w:szCs w:val="20"/>
                <w:color w:val="auto"/>
              </w:rPr>
            </w:pPr>
          </w:p>
        </w:tc>
        <w:tc>
          <w:tcPr>
            <w:tcW w:w="1360" w:type="dxa"/>
            <w:vAlign w:val="bottom"/>
          </w:tcPr>
          <w:p>
            <w:pPr>
              <w:jc w:val="right"/>
              <w:ind w:right="254"/>
              <w:spacing w:after="0"/>
              <w:rPr>
                <w:sz w:val="20"/>
                <w:szCs w:val="20"/>
                <w:color w:val="auto"/>
              </w:rPr>
            </w:pPr>
            <w:r>
              <w:rPr>
                <w:rFonts w:ascii="Arial" w:cs="Arial" w:eastAsia="Arial" w:hAnsi="Arial"/>
                <w:sz w:val="17"/>
                <w:szCs w:val="17"/>
                <w:b w:val="1"/>
                <w:bCs w:val="1"/>
                <w:color w:val="auto"/>
                <w:w w:val="99"/>
              </w:rPr>
              <w:t>Non-Agency</w:t>
            </w:r>
          </w:p>
        </w:tc>
      </w:tr>
      <w:tr>
        <w:trPr>
          <w:trHeight w:val="213"/>
        </w:trPr>
        <w:tc>
          <w:tcPr>
            <w:tcW w:w="44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Weighted average prepayment speed</w:t>
            </w: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7.8 %</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6.9 %</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7.9 %</w:t>
            </w: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color w:val="auto"/>
              </w:rPr>
              <w:t>Weighted average lifetime delinquency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10.1 %</w:t>
            </w:r>
          </w:p>
        </w:tc>
      </w:tr>
      <w:tr>
        <w:trPr>
          <w:trHeight w:val="220"/>
        </w:trPr>
        <w:tc>
          <w:tcPr>
            <w:tcW w:w="44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discount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10.6 %</w:t>
            </w:r>
          </w:p>
        </w:tc>
      </w:tr>
      <w:tr>
        <w:trPr>
          <w:trHeight w:val="220"/>
        </w:trPr>
        <w:tc>
          <w:tcPr>
            <w:tcW w:w="4480" w:type="dxa"/>
            <w:vAlign w:val="bottom"/>
          </w:tcPr>
          <w:p>
            <w:pPr>
              <w:ind w:left="140"/>
              <w:spacing w:after="0"/>
              <w:rPr>
                <w:sz w:val="20"/>
                <w:szCs w:val="20"/>
                <w:color w:val="auto"/>
              </w:rPr>
            </w:pPr>
            <w:r>
              <w:rPr>
                <w:rFonts w:ascii="Arial" w:cs="Arial" w:eastAsia="Arial" w:hAnsi="Arial"/>
                <w:sz w:val="17"/>
                <w:szCs w:val="17"/>
                <w:color w:val="auto"/>
              </w:rPr>
              <w:t>Weighted average cost to service (in dollars)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201</w:t>
            </w:r>
          </w:p>
        </w:tc>
      </w:tr>
    </w:tbl>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1" w:name="page22"/>
    <w:bookmarkEnd w:id="21"/>
    <w:p>
      <w:pPr>
        <w:ind w:right="820"/>
        <w:spacing w:after="0" w:line="283" w:lineRule="auto"/>
        <w:rPr>
          <w:sz w:val="20"/>
          <w:szCs w:val="20"/>
          <w:color w:val="auto"/>
        </w:rPr>
      </w:pPr>
      <w:r>
        <w:rPr>
          <w:rFonts w:ascii="Arial" w:cs="Arial" w:eastAsia="Arial" w:hAnsi="Arial"/>
          <w:sz w:val="17"/>
          <w:szCs w:val="17"/>
          <w:color w:val="auto"/>
        </w:rPr>
        <w:t>availability (as prepayments decrease). The following table summarizes the estimated change in the value of the MSRs as of September 30, 2023 given hypothetical increases in lifetime prepayments and yield assumptions: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Adverse change in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weighted average prepayment speeds (in percentage points)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color w:val="auto"/>
              </w:rPr>
              <w:t>Change in fair value due to change in weighted average prepayment speeds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(121.8)</w:t>
            </w:r>
          </w:p>
        </w:tc>
      </w:tr>
      <w:tr>
        <w:trPr>
          <w:trHeight w:val="220"/>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weighted average discount rate (in percentage points)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8000" w:type="dxa"/>
            <w:vAlign w:val="bottom"/>
          </w:tcPr>
          <w:p>
            <w:pPr>
              <w:ind w:left="20"/>
              <w:spacing w:after="0"/>
              <w:rPr>
                <w:sz w:val="20"/>
                <w:szCs w:val="20"/>
                <w:color w:val="auto"/>
              </w:rPr>
            </w:pPr>
            <w:r>
              <w:rPr>
                <w:rFonts w:ascii="Arial" w:cs="Arial" w:eastAsia="Arial" w:hAnsi="Arial"/>
                <w:sz w:val="17"/>
                <w:szCs w:val="17"/>
                <w:color w:val="auto"/>
              </w:rPr>
              <w:t>Change in fair value due to change in weighted average discount rate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(149.1)</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HMBS-Related Borrowings</w:t>
      </w:r>
    </w:p>
    <w:p>
      <w:pPr>
        <w:spacing w:after="0" w:line="24" w:lineRule="exact"/>
        <w:rPr>
          <w:sz w:val="20"/>
          <w:szCs w:val="20"/>
          <w:color w:val="auto"/>
        </w:rPr>
      </w:pPr>
    </w:p>
    <w:p>
      <w:pPr>
        <w:ind w:right="580"/>
        <w:spacing w:after="0" w:line="284" w:lineRule="auto"/>
        <w:rPr>
          <w:sz w:val="20"/>
          <w:szCs w:val="20"/>
          <w:color w:val="auto"/>
        </w:rPr>
      </w:pPr>
      <w:r>
        <w:rPr>
          <w:rFonts w:ascii="Arial" w:cs="Arial" w:eastAsia="Arial" w:hAnsi="Arial"/>
          <w:sz w:val="16"/>
          <w:szCs w:val="16"/>
          <w:color w:val="auto"/>
        </w:rPr>
        <w:t>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w:t>
      </w:r>
    </w:p>
    <w:p>
      <w:pPr>
        <w:spacing w:after="0" w:line="5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w:t>
      </w:r>
    </w:p>
    <w:p>
      <w:pPr>
        <w:spacing w:after="0" w:line="52"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Significant unobservable assumptions include yield spread and discount rate. The yield spread and discount rate assumption for these liabilities are primarily based on an assessment of current market yields for newly issued HMBS, expected duration and current market interest rates.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1760" w:type="dxa"/>
            <w:vAlign w:val="bottom"/>
            <w:gridSpan w:val="2"/>
          </w:tcPr>
          <w:p>
            <w:pPr>
              <w:ind w:left="300"/>
              <w:spacing w:after="0"/>
              <w:rPr>
                <w:sz w:val="20"/>
                <w:szCs w:val="20"/>
                <w:color w:val="auto"/>
              </w:rPr>
            </w:pPr>
            <w:r>
              <w:rPr>
                <w:rFonts w:ascii="Arial" w:cs="Arial" w:eastAsia="Arial" w:hAnsi="Arial"/>
                <w:sz w:val="17"/>
                <w:szCs w:val="17"/>
                <w:b w:val="1"/>
                <w:bCs w:val="1"/>
                <w:color w:val="auto"/>
              </w:rPr>
              <w:t>September 30,</w:t>
            </w:r>
          </w:p>
        </w:tc>
        <w:tc>
          <w:tcPr>
            <w:tcW w:w="1660" w:type="dxa"/>
            <w:vAlign w:val="bottom"/>
          </w:tcPr>
          <w:p>
            <w:pPr>
              <w:jc w:val="right"/>
              <w:ind w:right="254"/>
              <w:spacing w:after="0"/>
              <w:rPr>
                <w:sz w:val="20"/>
                <w:szCs w:val="20"/>
                <w:color w:val="auto"/>
              </w:rPr>
            </w:pPr>
            <w:r>
              <w:rPr>
                <w:rFonts w:ascii="Arial" w:cs="Arial" w:eastAsia="Arial" w:hAnsi="Arial"/>
                <w:sz w:val="17"/>
                <w:szCs w:val="17"/>
                <w:b w:val="1"/>
                <w:bCs w:val="1"/>
                <w:color w:val="auto"/>
              </w:rPr>
              <w:t>December 31,</w:t>
            </w:r>
          </w:p>
        </w:tc>
      </w:tr>
      <w:tr>
        <w:trPr>
          <w:trHeight w:val="23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0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Life in years</w:t>
            </w: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Range</w:t>
            </w:r>
          </w:p>
        </w:tc>
        <w:tc>
          <w:tcPr>
            <w:tcW w:w="1760" w:type="dxa"/>
            <w:vAlign w:val="bottom"/>
            <w:gridSpan w:val="2"/>
          </w:tcPr>
          <w:p>
            <w:pPr>
              <w:jc w:val="right"/>
              <w:ind w:right="120"/>
              <w:spacing w:after="0"/>
              <w:rPr>
                <w:sz w:val="20"/>
                <w:szCs w:val="20"/>
                <w:color w:val="auto"/>
              </w:rPr>
            </w:pPr>
            <w:r>
              <w:rPr>
                <w:rFonts w:ascii="Arial" w:cs="Arial" w:eastAsia="Arial" w:hAnsi="Arial"/>
                <w:sz w:val="17"/>
                <w:szCs w:val="17"/>
                <w:color w:val="auto"/>
              </w:rPr>
              <w:t>0.8 to 7.5</w:t>
            </w:r>
          </w:p>
        </w:tc>
        <w:tc>
          <w:tcPr>
            <w:tcW w:w="1660" w:type="dxa"/>
            <w:vAlign w:val="bottom"/>
          </w:tcPr>
          <w:p>
            <w:pPr>
              <w:jc w:val="right"/>
              <w:spacing w:after="0"/>
              <w:rPr>
                <w:sz w:val="20"/>
                <w:szCs w:val="20"/>
                <w:color w:val="auto"/>
              </w:rPr>
            </w:pPr>
            <w:r>
              <w:rPr>
                <w:rFonts w:ascii="Arial" w:cs="Arial" w:eastAsia="Arial" w:hAnsi="Arial"/>
                <w:sz w:val="17"/>
                <w:szCs w:val="17"/>
                <w:color w:val="auto"/>
              </w:rPr>
              <w:t>1.0 to 7.6</w:t>
            </w: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Weighted average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Conditional prepayment rate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0"/>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Range</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 to 40.7%</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 to 45.0%</w:t>
            </w:r>
          </w:p>
        </w:tc>
      </w:tr>
      <w:tr>
        <w:trPr>
          <w:trHeight w:val="220"/>
        </w:trPr>
        <w:tc>
          <w:tcPr>
            <w:tcW w:w="7800" w:type="dxa"/>
            <w:vAlign w:val="bottom"/>
          </w:tcPr>
          <w:p>
            <w:pPr>
              <w:ind w:left="220"/>
              <w:spacing w:after="0"/>
              <w:rPr>
                <w:sz w:val="20"/>
                <w:szCs w:val="20"/>
                <w:color w:val="auto"/>
              </w:rPr>
            </w:pPr>
            <w:r>
              <w:rPr>
                <w:rFonts w:ascii="Arial" w:cs="Arial" w:eastAsia="Arial" w:hAnsi="Arial"/>
                <w:sz w:val="17"/>
                <w:szCs w:val="17"/>
                <w:color w:val="auto"/>
              </w:rPr>
              <w:t>Weighted average</w:t>
            </w:r>
          </w:p>
        </w:tc>
        <w:tc>
          <w:tcPr>
            <w:tcW w:w="1660" w:type="dxa"/>
            <w:vAlign w:val="bottom"/>
          </w:tcPr>
          <w:p>
            <w:pPr>
              <w:jc w:val="right"/>
              <w:spacing w:after="0"/>
              <w:rPr>
                <w:sz w:val="20"/>
                <w:szCs w:val="20"/>
                <w:color w:val="auto"/>
              </w:rPr>
            </w:pPr>
            <w:r>
              <w:rPr>
                <w:rFonts w:ascii="Arial" w:cs="Arial" w:eastAsia="Arial" w:hAnsi="Arial"/>
                <w:sz w:val="17"/>
                <w:szCs w:val="17"/>
                <w:color w:val="auto"/>
              </w:rPr>
              <w:t>18.3 %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18.0 %</w:t>
            </w: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r>
    </w:tbl>
    <w:p>
      <w:pPr>
        <w:spacing w:after="0" w:line="181"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Pledged MSR Liabilities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Pledged MSR liabilities are carried at fair value and classified as Level 3 within the valuation hierarchy. We determine the fair value of the pledged MSR liability consistent with the prices provided by third-party valuation experts for the related MSR, considering contractually retained cash flows and expected life of subservicing agreements, when applicable.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7"/>
                <w:szCs w:val="17"/>
                <w:b w:val="1"/>
                <w:bCs w:val="1"/>
                <w:color w:val="auto"/>
              </w:rPr>
              <w:t>September 30,</w:t>
            </w:r>
          </w:p>
        </w:tc>
        <w:tc>
          <w:tcPr>
            <w:tcW w:w="200" w:type="dxa"/>
            <w:vAlign w:val="bottom"/>
          </w:tcPr>
          <w:p>
            <w:pPr>
              <w:spacing w:after="0"/>
              <w:rPr>
                <w:sz w:val="16"/>
                <w:szCs w:val="16"/>
                <w:color w:val="auto"/>
              </w:rPr>
            </w:pPr>
          </w:p>
        </w:tc>
        <w:tc>
          <w:tcPr>
            <w:tcW w:w="1440" w:type="dxa"/>
            <w:vAlign w:val="bottom"/>
          </w:tcPr>
          <w:p>
            <w:pPr>
              <w:jc w:val="right"/>
              <w:ind w:right="234"/>
              <w:spacing w:after="0"/>
              <w:rPr>
                <w:sz w:val="20"/>
                <w:szCs w:val="20"/>
                <w:color w:val="auto"/>
              </w:rPr>
            </w:pPr>
            <w:r>
              <w:rPr>
                <w:rFonts w:ascii="Arial" w:cs="Arial" w:eastAsia="Arial" w:hAnsi="Arial"/>
                <w:sz w:val="17"/>
                <w:szCs w:val="17"/>
                <w:b w:val="1"/>
                <w:bCs w:val="1"/>
                <w:color w:val="auto"/>
                <w:w w:val="99"/>
              </w:rPr>
              <w:t>December 31,</w:t>
            </w:r>
          </w:p>
        </w:tc>
      </w:tr>
      <w:tr>
        <w:trPr>
          <w:trHeight w:val="225"/>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Significant unobservable assumptions</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prepayment speed</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7.6 %</w:t>
            </w: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Weighted average delinquency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7.1 %</w:t>
            </w: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subservicing life (in years)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5.6</w:t>
            </w:r>
          </w:p>
        </w:tc>
      </w:tr>
      <w:tr>
        <w:trPr>
          <w:trHeight w:val="220"/>
        </w:trPr>
        <w:tc>
          <w:tcPr>
            <w:tcW w:w="7800" w:type="dxa"/>
            <w:vAlign w:val="bottom"/>
          </w:tcPr>
          <w:p>
            <w:pPr>
              <w:ind w:left="140"/>
              <w:spacing w:after="0"/>
              <w:rPr>
                <w:sz w:val="20"/>
                <w:szCs w:val="20"/>
                <w:color w:val="auto"/>
              </w:rPr>
            </w:pPr>
            <w:r>
              <w:rPr>
                <w:rFonts w:ascii="Arial" w:cs="Arial" w:eastAsia="Arial" w:hAnsi="Arial"/>
                <w:sz w:val="17"/>
                <w:szCs w:val="17"/>
                <w:color w:val="auto"/>
              </w:rPr>
              <w:t>Weighted average discount rate</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10.1 %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10.2 %</w:t>
            </w:r>
          </w:p>
        </w:tc>
      </w:tr>
      <w:tr>
        <w:trPr>
          <w:trHeight w:val="220"/>
        </w:trPr>
        <w:tc>
          <w:tcPr>
            <w:tcW w:w="78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cost to service (in dollars)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174</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Significant increases or decreases in these assumptions in isolation would result in a significantly higher or lower fair value.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i w:val="1"/>
          <w:iCs w:val="1"/>
          <w:color w:val="auto"/>
        </w:rPr>
        <w:t>ESS Financing Liability</w:t>
      </w:r>
    </w:p>
    <w:p>
      <w:pPr>
        <w:spacing w:after="0" w:line="115"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based on the change in discount rate of the underlying MSR or other factors, as provided by third-party valuation expert. At September 30, 2023 and December 31, 2022, the weighted average discount rate of the ESS financing liability was 9.5% and 7.6%, respectively. Refer to MSRs above for a description of other significant unobservable assumptions. Also see Note 8 — Other Financing Liabilities, at Fair Value.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IRLCs are classified as Level 3 assets as fallout rates were determined to be significant unobservable assumptions.</w:t>
      </w: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4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7"/>
                <w:szCs w:val="17"/>
                <w:b w:val="1"/>
                <w:bCs w:val="1"/>
                <w:color w:val="auto"/>
                <w:w w:val="93"/>
              </w:rPr>
              <w:t>Three Months Ended September 30,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Loans Held for Sale - Fair Value</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917.5</w:t>
            </w:r>
          </w:p>
        </w:tc>
        <w:tc>
          <w:tcPr>
            <w:tcW w:w="0" w:type="dxa"/>
            <w:vAlign w:val="bottom"/>
          </w:tcPr>
          <w:p>
            <w:pPr>
              <w:spacing w:after="0"/>
              <w:rPr>
                <w:sz w:val="1"/>
                <w:szCs w:val="1"/>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Originations and purchases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4,418.0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13,489.3</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sales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(13,365.8)</w:t>
            </w:r>
          </w:p>
        </w:tc>
        <w:tc>
          <w:tcPr>
            <w:tcW w:w="0" w:type="dxa"/>
            <w:vAlign w:val="bottom"/>
          </w:tcPr>
          <w:p>
            <w:pPr>
              <w:spacing w:after="0"/>
              <w:rPr>
                <w:sz w:val="1"/>
                <w:szCs w:val="1"/>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Principal collections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(155.9)</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Transfers from (to):</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7"/>
                <w:szCs w:val="17"/>
                <w:color w:val="auto"/>
              </w:rPr>
              <w:t>Loans held for investment, at fair value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30.4</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Receivables,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7"/>
                <w:szCs w:val="17"/>
                <w:color w:val="auto"/>
              </w:rPr>
              <w:t>REO (Other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Capitalization of advances on Ginnie Mae modifications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Realized loss on sale of loans (1)</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Fair value gain (loss) on loans held for sale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3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UPB</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40" w:type="dxa"/>
            <w:vAlign w:val="bottom"/>
            <w:vMerge w:val="continue"/>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line="191" w:lineRule="exact"/>
              <w:rPr>
                <w:sz w:val="20"/>
                <w:szCs w:val="20"/>
                <w:color w:val="auto"/>
              </w:rPr>
            </w:pPr>
            <w:r>
              <w:rPr>
                <w:rFonts w:ascii="Arial" w:cs="Arial" w:eastAsia="Arial" w:hAnsi="Arial"/>
                <w:sz w:val="17"/>
                <w:szCs w:val="17"/>
                <w:color w:val="auto"/>
              </w:rPr>
              <w:t>964.4</w:t>
            </w:r>
          </w:p>
        </w:tc>
        <w:tc>
          <w:tcPr>
            <w:tcW w:w="100" w:type="dxa"/>
            <w:vAlign w:val="bottom"/>
          </w:tcPr>
          <w:p>
            <w:pPr>
              <w:spacing w:after="0"/>
              <w:rPr>
                <w:sz w:val="16"/>
                <w:szCs w:val="16"/>
                <w:color w:val="auto"/>
              </w:rPr>
            </w:pPr>
          </w:p>
        </w:tc>
        <w:tc>
          <w:tcPr>
            <w:tcW w:w="360" w:type="dxa"/>
            <w:vAlign w:val="bottom"/>
          </w:tcPr>
          <w:p>
            <w:pPr>
              <w:jc w:val="right"/>
              <w:ind w:right="174"/>
              <w:spacing w:after="0" w:line="191" w:lineRule="exact"/>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line="191" w:lineRule="exact"/>
              <w:rPr>
                <w:sz w:val="20"/>
                <w:szCs w:val="20"/>
                <w:color w:val="auto"/>
              </w:rPr>
            </w:pPr>
            <w:r>
              <w:rPr>
                <w:rFonts w:ascii="Arial" w:cs="Arial" w:eastAsia="Arial" w:hAnsi="Arial"/>
                <w:sz w:val="17"/>
                <w:szCs w:val="17"/>
                <w:color w:val="auto"/>
              </w:rPr>
              <w:t>751.8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Premium (discount)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Fair value adjustment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Excludes retained MSR and gain (loss) on economic hedge instruments.</w:t>
      </w: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of Loans held for sale, at fair value by type: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40" w:type="dxa"/>
            <w:vAlign w:val="bottom"/>
            <w:tcBorders>
              <w:bottom w:val="single" w:sz="8" w:color="CCEEFF"/>
            </w:tcBorders>
          </w:tcPr>
          <w:p>
            <w:pPr>
              <w:spacing w:after="0"/>
              <w:rPr>
                <w:sz w:val="19"/>
                <w:szCs w:val="19"/>
                <w:color w:val="auto"/>
              </w:rPr>
            </w:pPr>
          </w:p>
        </w:tc>
        <w:tc>
          <w:tcPr>
            <w:tcW w:w="276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September 30, 2023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c>
          <w:tcPr>
            <w:tcW w:w="0" w:type="dxa"/>
            <w:vAlign w:val="bottom"/>
          </w:tcPr>
          <w:p>
            <w:pPr>
              <w:spacing w:after="0"/>
              <w:rPr>
                <w:sz w:val="1"/>
                <w:szCs w:val="1"/>
                <w:color w:val="auto"/>
              </w:rPr>
            </w:pPr>
          </w:p>
        </w:tc>
      </w:tr>
      <w:tr>
        <w:trPr>
          <w:trHeight w:val="213"/>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GSE loans</w:t>
            </w:r>
          </w:p>
        </w:tc>
        <w:tc>
          <w:tcPr>
            <w:tcW w:w="3360" w:type="dxa"/>
            <w:vAlign w:val="bottom"/>
            <w:gridSpan w:val="2"/>
            <w:shd w:val="clear" w:color="auto" w:fill="CCEEFF"/>
          </w:tcPr>
          <w:p>
            <w:pPr>
              <w:jc w:val="right"/>
              <w:ind w:right="41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318.3</w:t>
            </w:r>
          </w:p>
        </w:tc>
        <w:tc>
          <w:tcPr>
            <w:tcW w:w="0" w:type="dxa"/>
            <w:vAlign w:val="bottom"/>
          </w:tcPr>
          <w:p>
            <w:pPr>
              <w:spacing w:after="0"/>
              <w:rPr>
                <w:sz w:val="1"/>
                <w:szCs w:val="1"/>
                <w:color w:val="auto"/>
              </w:rPr>
            </w:pPr>
          </w:p>
        </w:tc>
      </w:tr>
      <w:tr>
        <w:trPr>
          <w:trHeight w:val="220"/>
        </w:trPr>
        <w:tc>
          <w:tcPr>
            <w:tcW w:w="5340" w:type="dxa"/>
            <w:vAlign w:val="bottom"/>
          </w:tcPr>
          <w:p>
            <w:pPr>
              <w:ind w:left="40"/>
              <w:spacing w:after="0"/>
              <w:rPr>
                <w:sz w:val="20"/>
                <w:szCs w:val="20"/>
                <w:color w:val="auto"/>
              </w:rPr>
            </w:pPr>
            <w:r>
              <w:rPr>
                <w:rFonts w:ascii="Arial" w:cs="Arial" w:eastAsia="Arial" w:hAnsi="Arial"/>
                <w:sz w:val="17"/>
                <w:szCs w:val="17"/>
                <w:color w:val="auto"/>
              </w:rPr>
              <w:t>Government- Forward loans</w:t>
            </w:r>
          </w:p>
        </w:tc>
        <w:tc>
          <w:tcPr>
            <w:tcW w:w="2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150.2</w:t>
            </w:r>
          </w:p>
        </w:tc>
        <w:tc>
          <w:tcPr>
            <w:tcW w:w="0" w:type="dxa"/>
            <w:vAlign w:val="bottom"/>
          </w:tcPr>
          <w:p>
            <w:pPr>
              <w:spacing w:after="0"/>
              <w:rPr>
                <w:sz w:val="1"/>
                <w:szCs w:val="1"/>
                <w:color w:val="auto"/>
              </w:rPr>
            </w:pPr>
          </w:p>
        </w:tc>
      </w:tr>
      <w:tr>
        <w:trPr>
          <w:trHeight w:val="220"/>
        </w:trPr>
        <w:tc>
          <w:tcPr>
            <w:tcW w:w="53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Forward loans repurchased from Ginnie Mae guaranteed securitization (1)</w:t>
            </w:r>
          </w:p>
        </w:tc>
        <w:tc>
          <w:tcPr>
            <w:tcW w:w="2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20"/>
        </w:trPr>
        <w:tc>
          <w:tcPr>
            <w:tcW w:w="5340" w:type="dxa"/>
            <w:vAlign w:val="bottom"/>
          </w:tcPr>
          <w:p>
            <w:pPr>
              <w:ind w:left="40"/>
              <w:spacing w:after="0"/>
              <w:rPr>
                <w:sz w:val="20"/>
                <w:szCs w:val="20"/>
                <w:color w:val="auto"/>
              </w:rPr>
            </w:pPr>
            <w:r>
              <w:rPr>
                <w:rFonts w:ascii="Arial" w:cs="Arial" w:eastAsia="Arial" w:hAnsi="Arial"/>
                <w:sz w:val="17"/>
                <w:szCs w:val="17"/>
                <w:color w:val="auto"/>
              </w:rPr>
              <w:t>Reverse loans (1) (2)</w:t>
            </w:r>
          </w:p>
        </w:tc>
        <w:tc>
          <w:tcPr>
            <w:tcW w:w="2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102.5</w:t>
            </w:r>
          </w:p>
        </w:tc>
        <w:tc>
          <w:tcPr>
            <w:tcW w:w="0" w:type="dxa"/>
            <w:vAlign w:val="bottom"/>
          </w:tcPr>
          <w:p>
            <w:pPr>
              <w:spacing w:after="0"/>
              <w:rPr>
                <w:sz w:val="1"/>
                <w:szCs w:val="1"/>
                <w:color w:val="auto"/>
              </w:rPr>
            </w:pPr>
          </w:p>
        </w:tc>
      </w:tr>
      <w:tr>
        <w:trPr>
          <w:trHeight w:val="220"/>
        </w:trPr>
        <w:tc>
          <w:tcPr>
            <w:tcW w:w="5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residential mortgage loans</w:t>
            </w:r>
          </w:p>
        </w:tc>
        <w:tc>
          <w:tcPr>
            <w:tcW w:w="27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13"/>
        </w:trPr>
        <w:tc>
          <w:tcPr>
            <w:tcW w:w="5340" w:type="dxa"/>
            <w:vAlign w:val="bottom"/>
          </w:tcPr>
          <w:p>
            <w:pPr>
              <w:ind w:left="120"/>
              <w:spacing w:after="0"/>
              <w:rPr>
                <w:sz w:val="20"/>
                <w:szCs w:val="20"/>
                <w:color w:val="auto"/>
              </w:rPr>
            </w:pPr>
            <w:r>
              <w:rPr>
                <w:rFonts w:ascii="Arial" w:cs="Arial" w:eastAsia="Arial" w:hAnsi="Arial"/>
                <w:sz w:val="17"/>
                <w:szCs w:val="17"/>
                <w:color w:val="auto"/>
              </w:rPr>
              <w:t>Total</w:t>
            </w:r>
          </w:p>
        </w:tc>
        <w:tc>
          <w:tcPr>
            <w:tcW w:w="3360" w:type="dxa"/>
            <w:vAlign w:val="bottom"/>
            <w:gridSpan w:val="2"/>
          </w:tcPr>
          <w:p>
            <w:pPr>
              <w:jc w:val="right"/>
              <w:ind w:right="41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944.7</w:t>
            </w:r>
          </w:p>
        </w:tc>
        <w:tc>
          <w:tcPr>
            <w:tcW w:w="100" w:type="dxa"/>
            <w:vAlign w:val="bottom"/>
          </w:tcPr>
          <w:p>
            <w:pPr>
              <w:spacing w:after="0"/>
              <w:rPr>
                <w:sz w:val="18"/>
                <w:szCs w:val="18"/>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617.8</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760" w:type="dxa"/>
            <w:vAlign w:val="bottom"/>
            <w:vMerge w:val="restart"/>
          </w:tcPr>
          <w:p>
            <w:pPr>
              <w:jc w:val="right"/>
              <w:ind w:right="2294"/>
              <w:spacing w:after="0"/>
              <w:rPr>
                <w:sz w:val="20"/>
                <w:szCs w:val="20"/>
                <w:color w:val="auto"/>
              </w:rPr>
            </w:pPr>
            <w:r>
              <w:rPr>
                <w:rFonts w:ascii="Arial" w:cs="Arial" w:eastAsia="Arial" w:hAnsi="Arial"/>
                <w:sz w:val="17"/>
                <w:szCs w:val="17"/>
                <w:color w:val="auto"/>
              </w:rPr>
              <w:t>21</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9"/>
        </w:trPr>
        <w:tc>
          <w:tcPr>
            <w:tcW w:w="534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340" w:type="dxa"/>
            <w:vAlign w:val="bottom"/>
            <w:tcBorders>
              <w:bottom w:val="single" w:sz="8" w:color="9A9A9A"/>
            </w:tcBorders>
          </w:tcPr>
          <w:p>
            <w:pPr>
              <w:spacing w:after="0"/>
              <w:rPr>
                <w:sz w:val="9"/>
                <w:szCs w:val="9"/>
                <w:color w:val="auto"/>
              </w:rPr>
            </w:pPr>
          </w:p>
        </w:tc>
        <w:tc>
          <w:tcPr>
            <w:tcW w:w="27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3" w:name="page24"/>
    <w:bookmarkEnd w:id="23"/>
    <w:p>
      <w:pPr>
        <w:ind w:left="320" w:hanging="317"/>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Ginnie Mae servicing guidelines.</w:t>
      </w:r>
    </w:p>
    <w:p>
      <w:pPr>
        <w:spacing w:after="0" w:line="8" w:lineRule="exact"/>
        <w:rPr>
          <w:rFonts w:ascii="Arial" w:cs="Arial" w:eastAsia="Arial" w:hAnsi="Arial"/>
          <w:sz w:val="16"/>
          <w:szCs w:val="16"/>
          <w:color w:val="auto"/>
        </w:rPr>
      </w:pPr>
    </w:p>
    <w:p>
      <w:pPr>
        <w:ind w:left="320" w:right="20" w:hanging="317"/>
        <w:spacing w:after="0" w:line="253"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inactive reverse mortgage loans purchased from Ginnie Mae securitization pools that reached the 98% of maximum claim amount and are generally liquidated through foreclosure and subsequent sale of the REO properties.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September 30,</w:t>
            </w:r>
          </w:p>
        </w:tc>
        <w:tc>
          <w:tcPr>
            <w:tcW w:w="1000" w:type="dxa"/>
            <w:vAlign w:val="bottom"/>
            <w:tcBorders>
              <w:bottom w:val="single" w:sz="8" w:color="auto"/>
            </w:tcBorders>
          </w:tcPr>
          <w:p>
            <w:pPr>
              <w:spacing w:after="0"/>
              <w:rPr>
                <w:sz w:val="19"/>
                <w:szCs w:val="19"/>
                <w:color w:val="auto"/>
              </w:rPr>
            </w:pPr>
          </w:p>
        </w:tc>
      </w:tr>
      <w:tr>
        <w:trPr>
          <w:trHeight w:val="22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Loans Held for Sale - Lower of Cost or Fair Value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r>
      <w:tr>
        <w:trPr>
          <w:trHeight w:val="213"/>
        </w:trPr>
        <w:tc>
          <w:tcPr>
            <w:tcW w:w="8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amount before valuation allowance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center"/>
              <w:ind w:left="734"/>
              <w:spacing w:after="0"/>
              <w:rPr>
                <w:sz w:val="20"/>
                <w:szCs w:val="20"/>
                <w:color w:val="auto"/>
              </w:rPr>
            </w:pPr>
            <w:r>
              <w:rPr>
                <w:rFonts w:ascii="Arial" w:cs="Arial" w:eastAsia="Arial" w:hAnsi="Arial"/>
                <w:sz w:val="17"/>
                <w:szCs w:val="17"/>
                <w:color w:val="auto"/>
                <w:w w:val="84"/>
              </w:rPr>
              <w:t>7.2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center"/>
              <w:ind w:left="534"/>
              <w:spacing w:after="0"/>
              <w:rPr>
                <w:sz w:val="20"/>
                <w:szCs w:val="20"/>
                <w:color w:val="auto"/>
              </w:rPr>
            </w:pPr>
            <w:r>
              <w:rPr>
                <w:rFonts w:ascii="Arial" w:cs="Arial" w:eastAsia="Arial" w:hAnsi="Arial"/>
                <w:sz w:val="17"/>
                <w:szCs w:val="17"/>
                <w:color w:val="auto"/>
                <w:w w:val="92"/>
              </w:rPr>
              <w:t>8.2</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Valuation allowance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714"/>
              <w:spacing w:after="0"/>
              <w:rPr>
                <w:sz w:val="20"/>
                <w:szCs w:val="20"/>
                <w:color w:val="auto"/>
              </w:rPr>
            </w:pPr>
            <w:r>
              <w:rPr>
                <w:rFonts w:ascii="Arial" w:cs="Arial" w:eastAsia="Arial" w:hAnsi="Arial"/>
                <w:sz w:val="17"/>
                <w:szCs w:val="17"/>
                <w:color w:val="auto"/>
                <w:w w:val="97"/>
              </w:rPr>
              <w:t>(3.6)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514"/>
              <w:spacing w:after="0"/>
              <w:rPr>
                <w:sz w:val="20"/>
                <w:szCs w:val="20"/>
                <w:color w:val="auto"/>
              </w:rPr>
            </w:pPr>
            <w:r>
              <w:rPr>
                <w:rFonts w:ascii="Arial" w:cs="Arial" w:eastAsia="Arial" w:hAnsi="Arial"/>
                <w:sz w:val="17"/>
                <w:szCs w:val="17"/>
                <w:color w:val="auto"/>
                <w:w w:val="91"/>
              </w:rPr>
              <w:t>(3.7)</w:t>
            </w:r>
          </w:p>
        </w:tc>
      </w:tr>
      <w:tr>
        <w:trPr>
          <w:trHeight w:val="23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Ending balance, net</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center"/>
              <w:ind w:left="734"/>
              <w:spacing w:after="0"/>
              <w:rPr>
                <w:sz w:val="20"/>
                <w:szCs w:val="20"/>
                <w:color w:val="auto"/>
              </w:rPr>
            </w:pPr>
            <w:r>
              <w:rPr>
                <w:rFonts w:ascii="Arial" w:cs="Arial" w:eastAsia="Arial" w:hAnsi="Arial"/>
                <w:sz w:val="17"/>
                <w:szCs w:val="17"/>
                <w:color w:val="auto"/>
                <w:w w:val="84"/>
              </w:rPr>
              <w:t>3.6</w:t>
            </w:r>
          </w:p>
        </w:tc>
        <w:tc>
          <w:tcPr>
            <w:tcW w:w="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7"/>
                <w:szCs w:val="17"/>
                <w:color w:val="auto"/>
                <w:w w:val="92"/>
              </w:rPr>
              <w:t>4.4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Gain (Loss) on Loans Held for Sale, Net</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on sales of loans, net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40" w:type="dxa"/>
            <w:vAlign w:val="bottom"/>
          </w:tcPr>
          <w:p>
            <w:pPr>
              <w:ind w:left="140"/>
              <w:spacing w:after="0"/>
              <w:rPr>
                <w:sz w:val="20"/>
                <w:szCs w:val="20"/>
                <w:color w:val="auto"/>
              </w:rPr>
            </w:pPr>
            <w:r>
              <w:rPr>
                <w:rFonts w:ascii="Arial" w:cs="Arial" w:eastAsia="Arial" w:hAnsi="Arial"/>
                <w:sz w:val="17"/>
                <w:szCs w:val="17"/>
                <w:color w:val="auto"/>
              </w:rPr>
              <w:t>MSRs retained on transfers of forward mortgage loans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71.4</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134.0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176.2</w:t>
            </w:r>
          </w:p>
        </w:tc>
      </w:tr>
      <w:tr>
        <w:trPr>
          <w:trHeight w:val="220"/>
        </w:trPr>
        <w:tc>
          <w:tcPr>
            <w:tcW w:w="4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Gain (loss) on sale of forward mortgage loans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w:t>
            </w:r>
          </w:p>
        </w:tc>
      </w:tr>
      <w:tr>
        <w:trPr>
          <w:trHeight w:val="220"/>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Gain (loss) on sale of repurchased Ginnie Mae loans (1) (2)</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4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Change in fair value of IRLCs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(28.9)</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loans held for sale (3)</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Gain (loss) on economic hedge instruments (4)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124.6</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3"/>
        </w:trPr>
        <w:tc>
          <w:tcPr>
            <w:tcW w:w="4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Realized gain (loss) on sale of loans, excluding retained MSRs.</w:t>
      </w:r>
    </w:p>
    <w:p>
      <w:pPr>
        <w:spacing w:after="0" w:line="8" w:lineRule="exact"/>
        <w:rPr>
          <w:rFonts w:ascii="Arial" w:cs="Arial" w:eastAsia="Arial" w:hAnsi="Arial"/>
          <w:sz w:val="16"/>
          <w:szCs w:val="16"/>
          <w:color w:val="auto"/>
        </w:rPr>
      </w:pPr>
    </w:p>
    <w:p>
      <w:pPr>
        <w:ind w:left="320" w:right="60" w:hanging="317"/>
        <w:spacing w:after="0" w:line="235"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Activity for the nine months ended September 30,2022 includes an $8.8 million loss during the three months ended June 30, 2022 on certain delinquent and aged loans repurchased (net of the associated Ginnie Mae MSR fair value adjustment) in connection with the Ginnie Mae EBO program with an aggregated UPB of $299.7 million, net of the associated MSR fair value adjustment.</w:t>
      </w:r>
    </w:p>
    <w:p>
      <w:pPr>
        <w:spacing w:after="0" w:line="2" w:lineRule="exact"/>
        <w:rPr>
          <w:rFonts w:ascii="Arial" w:cs="Arial" w:eastAsia="Arial" w:hAnsi="Arial"/>
          <w:sz w:val="16"/>
          <w:szCs w:val="16"/>
          <w:color w:val="auto"/>
        </w:rPr>
      </w:pPr>
    </w:p>
    <w:p>
      <w:pPr>
        <w:ind w:left="320" w:right="400" w:hanging="317"/>
        <w:spacing w:after="0" w:line="231"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Activity for the nine months ended September 30,2023 includes a $10.9 million unrealized gain during the three months ended June 30, 2023 related to the revaluation of inactive HECM loan buyouts opportunistically acquired at a discount and securitized in a private placement transaction completed in June 2023. Also see Note 2 – Securitizations and Variable Interest Entities.</w:t>
      </w:r>
    </w:p>
    <w:p>
      <w:pPr>
        <w:spacing w:after="0" w:line="1" w:lineRule="exact"/>
        <w:rPr>
          <w:rFonts w:ascii="Arial" w:cs="Arial" w:eastAsia="Arial" w:hAnsi="Arial"/>
          <w:sz w:val="16"/>
          <w:szCs w:val="16"/>
          <w:color w:val="auto"/>
        </w:rPr>
      </w:pPr>
    </w:p>
    <w:p>
      <w:pPr>
        <w:ind w:left="320" w:right="160" w:hanging="317"/>
        <w:spacing w:after="0" w:line="243"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gains of $2.0 million and $15.4 million during the three and nine months ended September 30, 2022, respectively, on inter-segment economic hedge derivatives presented within MSR valuation adjustments, net. No such gains or losses were recognized during the three and nine months ended September 30, 2023.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and are eliminated in the consolidated financial statements. Refer to Note 17 – Business Segment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7"/>
          <w:szCs w:val="17"/>
          <w:b w:val="1"/>
          <w:bCs w:val="1"/>
          <w:color w:val="auto"/>
        </w:rPr>
        <w:t>Note 5 - Reverse Mortgages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0891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7"/>
                <w:szCs w:val="17"/>
                <w:b w:val="1"/>
                <w:bCs w:val="1"/>
                <w:color w:val="auto"/>
                <w:w w:val="94"/>
              </w:rPr>
              <w:t>Three Months Ended September 30,</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right="54"/>
              <w:spacing w:after="0" w:line="161" w:lineRule="exact"/>
              <w:rPr>
                <w:sz w:val="20"/>
                <w:szCs w:val="20"/>
                <w:color w:val="auto"/>
              </w:rPr>
            </w:pPr>
            <w:r>
              <w:rPr>
                <w:rFonts w:ascii="Arial" w:cs="Arial" w:eastAsia="Arial" w:hAnsi="Arial"/>
                <w:sz w:val="17"/>
                <w:szCs w:val="17"/>
                <w:b w:val="1"/>
                <w:bCs w:val="1"/>
                <w:color w:val="auto"/>
                <w:w w:val="94"/>
              </w:rPr>
              <w:t>Loans Held for</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6"/>
              </w:rPr>
              <w:t>HMBS - Related</w:t>
            </w:r>
          </w:p>
        </w:tc>
        <w:tc>
          <w:tcPr>
            <w:tcW w:w="160" w:type="dxa"/>
            <w:vAlign w:val="bottom"/>
          </w:tcPr>
          <w:p>
            <w:pPr>
              <w:spacing w:after="0"/>
              <w:rPr>
                <w:sz w:val="13"/>
                <w:szCs w:val="13"/>
                <w:color w:val="auto"/>
              </w:rPr>
            </w:pPr>
          </w:p>
        </w:tc>
        <w:tc>
          <w:tcPr>
            <w:tcW w:w="1360" w:type="dxa"/>
            <w:vAlign w:val="bottom"/>
          </w:tcPr>
          <w:p>
            <w:pPr>
              <w:jc w:val="center"/>
              <w:ind w:right="54"/>
              <w:spacing w:after="0" w:line="161" w:lineRule="exact"/>
              <w:rPr>
                <w:sz w:val="20"/>
                <w:szCs w:val="20"/>
                <w:color w:val="auto"/>
              </w:rPr>
            </w:pPr>
            <w:r>
              <w:rPr>
                <w:rFonts w:ascii="Arial" w:cs="Arial" w:eastAsia="Arial" w:hAnsi="Arial"/>
                <w:sz w:val="17"/>
                <w:szCs w:val="17"/>
                <w:b w:val="1"/>
                <w:bCs w:val="1"/>
                <w:color w:val="auto"/>
                <w:w w:val="92"/>
              </w:rPr>
              <w:t>Loans Held for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4"/>
              </w:rPr>
              <w:t>HMBS - Related</w:t>
            </w: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4"/>
              <w:spacing w:after="0" w:line="168" w:lineRule="exact"/>
              <w:rPr>
                <w:sz w:val="20"/>
                <w:szCs w:val="20"/>
                <w:color w:val="auto"/>
              </w:rPr>
            </w:pPr>
            <w:r>
              <w:rPr>
                <w:rFonts w:ascii="Arial" w:cs="Arial" w:eastAsia="Arial" w:hAnsi="Arial"/>
                <w:sz w:val="17"/>
                <w:szCs w:val="17"/>
                <w:b w:val="1"/>
                <w:bCs w:val="1"/>
                <w:color w:val="auto"/>
                <w:w w:val="91"/>
              </w:rPr>
              <w:t>Investment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4"/>
              <w:spacing w:after="0" w:line="168" w:lineRule="exact"/>
              <w:rPr>
                <w:sz w:val="20"/>
                <w:szCs w:val="20"/>
                <w:color w:val="auto"/>
              </w:rPr>
            </w:pPr>
            <w:r>
              <w:rPr>
                <w:rFonts w:ascii="Arial" w:cs="Arial" w:eastAsia="Arial" w:hAnsi="Arial"/>
                <w:sz w:val="17"/>
                <w:szCs w:val="17"/>
                <w:b w:val="1"/>
                <w:bCs w:val="1"/>
                <w:color w:val="auto"/>
                <w:w w:val="91"/>
              </w:rPr>
              <w:t>Investment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8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Reverse Mortgages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0"/>
              </w:rPr>
              <w:t>Borrowings</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Reverse Mortgages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Borrowings</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(7,155.3)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4880" w:type="dxa"/>
            <w:vAlign w:val="bottom"/>
            <w:shd w:val="clear" w:color="auto" w:fill="CCEEFF"/>
          </w:tcPr>
          <w:p>
            <w:pPr>
              <w:ind w:left="120"/>
              <w:spacing w:after="0" w:line="168" w:lineRule="exact"/>
              <w:rPr>
                <w:sz w:val="20"/>
                <w:szCs w:val="20"/>
                <w:color w:val="auto"/>
              </w:rPr>
            </w:pPr>
            <w:r>
              <w:rPr>
                <w:rFonts w:ascii="Arial" w:cs="Arial" w:eastAsia="Arial" w:hAnsi="Arial"/>
                <w:sz w:val="17"/>
                <w:szCs w:val="17"/>
                <w:color w:val="auto"/>
              </w:rPr>
              <w:t>Securitization of HECM loans accounted for as a financing</w:t>
            </w: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8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(including realized fair value changes)</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(357.7)</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w w:val="98"/>
              </w:rPr>
              <w:t>Additional proceeds from securitization of HECM loans and tails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Repayments (principal payments received)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326.3</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Transfers to:</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sale, at fair value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Arial" w:cs="Arial" w:eastAsia="Arial" w:hAnsi="Arial"/>
                <w:sz w:val="17"/>
                <w:szCs w:val="17"/>
                <w:color w:val="auto"/>
              </w:rPr>
              <w:t>Receivables, net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REO (Other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Change in fair value included in earnings (1)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33"/>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7,777.6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(7,613.6)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(7,208.4)</w:t>
            </w:r>
          </w:p>
        </w:tc>
        <w:tc>
          <w:tcPr>
            <w:tcW w:w="0" w:type="dxa"/>
            <w:vAlign w:val="bottom"/>
          </w:tcPr>
          <w:p>
            <w:pPr>
              <w:spacing w:after="0"/>
              <w:rPr>
                <w:sz w:val="1"/>
                <w:szCs w:val="1"/>
                <w:color w:val="auto"/>
              </w:rPr>
            </w:pPr>
          </w:p>
        </w:tc>
      </w:tr>
      <w:tr>
        <w:trPr>
          <w:trHeight w:val="20"/>
        </w:trPr>
        <w:tc>
          <w:tcPr>
            <w:tcW w:w="4880" w:type="dxa"/>
            <w:vAlign w:val="bottom"/>
            <w:vMerge w:val="restart"/>
          </w:tcPr>
          <w:p>
            <w:pPr>
              <w:ind w:left="120"/>
              <w:spacing w:after="0"/>
              <w:rPr>
                <w:sz w:val="20"/>
                <w:szCs w:val="20"/>
                <w:color w:val="auto"/>
              </w:rPr>
            </w:pPr>
            <w:r>
              <w:rPr>
                <w:rFonts w:ascii="Arial" w:cs="Arial" w:eastAsia="Arial" w:hAnsi="Arial"/>
                <w:sz w:val="17"/>
                <w:szCs w:val="17"/>
                <w:color w:val="auto"/>
              </w:rPr>
              <w:t>Securitized loans (pledged to HMBS-related borrowings)</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80" w:type="dxa"/>
            <w:vAlign w:val="bottom"/>
            <w:vMerge w:val="continue"/>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line="191" w:lineRule="exact"/>
              <w:rPr>
                <w:sz w:val="20"/>
                <w:szCs w:val="20"/>
                <w:color w:val="auto"/>
              </w:rPr>
            </w:pPr>
            <w:r>
              <w:rPr>
                <w:rFonts w:ascii="Arial" w:cs="Arial" w:eastAsia="Arial" w:hAnsi="Arial"/>
                <w:sz w:val="17"/>
                <w:szCs w:val="17"/>
                <w:color w:val="auto"/>
              </w:rPr>
              <w:t>7,671.1</w:t>
            </w:r>
          </w:p>
        </w:tc>
        <w:tc>
          <w:tcPr>
            <w:tcW w:w="24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91" w:lineRule="exact"/>
              <w:rPr>
                <w:sz w:val="20"/>
                <w:szCs w:val="20"/>
                <w:color w:val="auto"/>
              </w:rPr>
            </w:pPr>
            <w:r>
              <w:rPr>
                <w:rFonts w:ascii="Arial" w:cs="Arial" w:eastAsia="Arial" w:hAnsi="Arial"/>
                <w:sz w:val="17"/>
                <w:szCs w:val="17"/>
                <w:color w:val="auto"/>
              </w:rPr>
              <w:t>(7,613.6)</w:t>
            </w:r>
          </w:p>
        </w:tc>
        <w:tc>
          <w:tcPr>
            <w:tcW w:w="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line="191" w:lineRule="exact"/>
              <w:rPr>
                <w:sz w:val="20"/>
                <w:szCs w:val="20"/>
                <w:color w:val="auto"/>
              </w:rPr>
            </w:pPr>
            <w:r>
              <w:rPr>
                <w:rFonts w:ascii="Arial" w:cs="Arial" w:eastAsia="Arial" w:hAnsi="Arial"/>
                <w:sz w:val="17"/>
                <w:szCs w:val="17"/>
                <w:color w:val="auto"/>
              </w:rPr>
              <w:t>7,268.0</w:t>
            </w:r>
          </w:p>
        </w:tc>
        <w:tc>
          <w:tcPr>
            <w:tcW w:w="24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91" w:lineRule="exact"/>
              <w:rPr>
                <w:sz w:val="20"/>
                <w:szCs w:val="20"/>
                <w:color w:val="auto"/>
              </w:rPr>
            </w:pPr>
            <w:r>
              <w:rPr>
                <w:rFonts w:ascii="Arial" w:cs="Arial" w:eastAsia="Arial" w:hAnsi="Arial"/>
                <w:sz w:val="17"/>
                <w:szCs w:val="17"/>
                <w:color w:val="auto"/>
              </w:rPr>
              <w:t>(7,208.4)</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Unsecuritized loans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8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2023</w:t>
            </w:r>
          </w:p>
        </w:tc>
        <w:tc>
          <w:tcPr>
            <w:tcW w:w="1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2022</w:t>
            </w: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54"/>
              <w:spacing w:after="0" w:line="168" w:lineRule="exact"/>
              <w:rPr>
                <w:sz w:val="20"/>
                <w:szCs w:val="20"/>
                <w:color w:val="auto"/>
              </w:rPr>
            </w:pPr>
            <w:r>
              <w:rPr>
                <w:rFonts w:ascii="Arial" w:cs="Arial" w:eastAsia="Arial" w:hAnsi="Arial"/>
                <w:sz w:val="17"/>
                <w:szCs w:val="17"/>
                <w:b w:val="1"/>
                <w:bCs w:val="1"/>
                <w:color w:val="auto"/>
                <w:w w:val="94"/>
              </w:rPr>
              <w:t>Loans Held for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96"/>
              </w:rPr>
              <w:t>HMBS - Related</w:t>
            </w:r>
          </w:p>
        </w:tc>
        <w:tc>
          <w:tcPr>
            <w:tcW w:w="160" w:type="dxa"/>
            <w:vAlign w:val="bottom"/>
          </w:tcPr>
          <w:p>
            <w:pPr>
              <w:spacing w:after="0"/>
              <w:rPr>
                <w:sz w:val="14"/>
                <w:szCs w:val="14"/>
                <w:color w:val="auto"/>
              </w:rPr>
            </w:pPr>
          </w:p>
        </w:tc>
        <w:tc>
          <w:tcPr>
            <w:tcW w:w="1360" w:type="dxa"/>
            <w:vAlign w:val="bottom"/>
          </w:tcPr>
          <w:p>
            <w:pPr>
              <w:jc w:val="center"/>
              <w:ind w:right="54"/>
              <w:spacing w:after="0" w:line="168" w:lineRule="exact"/>
              <w:rPr>
                <w:sz w:val="20"/>
                <w:szCs w:val="20"/>
                <w:color w:val="auto"/>
              </w:rPr>
            </w:pPr>
            <w:r>
              <w:rPr>
                <w:rFonts w:ascii="Arial" w:cs="Arial" w:eastAsia="Arial" w:hAnsi="Arial"/>
                <w:sz w:val="17"/>
                <w:szCs w:val="17"/>
                <w:b w:val="1"/>
                <w:bCs w:val="1"/>
                <w:color w:val="auto"/>
                <w:w w:val="92"/>
              </w:rPr>
              <w:t>Loans Held for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vMerge w:val="restart"/>
          </w:tcPr>
          <w:p>
            <w:pPr>
              <w:jc w:val="center"/>
              <w:ind w:right="54"/>
              <w:spacing w:after="0"/>
              <w:rPr>
                <w:sz w:val="20"/>
                <w:szCs w:val="20"/>
                <w:color w:val="auto"/>
              </w:rPr>
            </w:pPr>
            <w:r>
              <w:rPr>
                <w:rFonts w:ascii="Arial" w:cs="Arial" w:eastAsia="Arial" w:hAnsi="Arial"/>
                <w:sz w:val="17"/>
                <w:szCs w:val="17"/>
                <w:b w:val="1"/>
                <w:bCs w:val="1"/>
                <w:color w:val="auto"/>
                <w:w w:val="94"/>
              </w:rPr>
              <w:t>HMBS - Related</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right="54"/>
              <w:spacing w:after="0" w:line="173" w:lineRule="exact"/>
              <w:rPr>
                <w:sz w:val="20"/>
                <w:szCs w:val="20"/>
                <w:color w:val="auto"/>
              </w:rPr>
            </w:pPr>
            <w:r>
              <w:rPr>
                <w:rFonts w:ascii="Arial" w:cs="Arial" w:eastAsia="Arial" w:hAnsi="Arial"/>
                <w:sz w:val="17"/>
                <w:szCs w:val="17"/>
                <w:b w:val="1"/>
                <w:bCs w:val="1"/>
                <w:color w:val="auto"/>
                <w:w w:val="91"/>
              </w:rPr>
              <w:t>Investment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center"/>
              <w:ind w:right="74"/>
              <w:spacing w:after="0" w:line="173" w:lineRule="exact"/>
              <w:rPr>
                <w:sz w:val="20"/>
                <w:szCs w:val="20"/>
                <w:color w:val="auto"/>
              </w:rPr>
            </w:pPr>
            <w:r>
              <w:rPr>
                <w:rFonts w:ascii="Arial" w:cs="Arial" w:eastAsia="Arial" w:hAnsi="Arial"/>
                <w:sz w:val="17"/>
                <w:szCs w:val="17"/>
                <w:b w:val="1"/>
                <w:bCs w:val="1"/>
                <w:color w:val="auto"/>
                <w:w w:val="91"/>
              </w:rPr>
              <w:t>Investment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Reverse Mortgages</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0"/>
              </w:rPr>
              <w:t>Borrowings</w:t>
            </w:r>
          </w:p>
        </w:tc>
        <w:tc>
          <w:tcPr>
            <w:tcW w:w="8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0"/>
              </w:rPr>
              <w:t>Reverse Mortgages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Borrowings</w:t>
            </w:r>
          </w:p>
        </w:tc>
        <w:tc>
          <w:tcPr>
            <w:tcW w:w="0" w:type="dxa"/>
            <w:vAlign w:val="bottom"/>
          </w:tcPr>
          <w:p>
            <w:pPr>
              <w:spacing w:after="0"/>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(6,885.0)</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Originations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1,494.0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4880" w:type="dxa"/>
            <w:vAlign w:val="bottom"/>
            <w:shd w:val="clear" w:color="auto" w:fill="CCEEFF"/>
          </w:tcPr>
          <w:p>
            <w:pPr>
              <w:ind w:left="120"/>
              <w:spacing w:after="0" w:line="181" w:lineRule="exact"/>
              <w:rPr>
                <w:sz w:val="20"/>
                <w:szCs w:val="20"/>
                <w:color w:val="auto"/>
              </w:rPr>
            </w:pPr>
            <w:r>
              <w:rPr>
                <w:rFonts w:ascii="Arial" w:cs="Arial" w:eastAsia="Arial" w:hAnsi="Arial"/>
                <w:sz w:val="17"/>
                <w:szCs w:val="17"/>
                <w:color w:val="auto"/>
              </w:rPr>
              <w:t>Securitization of HECM loans accounted for as a financing</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(including realized fair value changes)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(1,507.6)</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w w:val="98"/>
              </w:rPr>
              <w:t>Additional proceeds from securitization of HECM loans and tails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Repayments (principal payments received)</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(1,321.4)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1,319.8</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Transfers to:</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Arial" w:cs="Arial" w:eastAsia="Arial" w:hAnsi="Arial"/>
                <w:sz w:val="17"/>
                <w:szCs w:val="17"/>
                <w:color w:val="auto"/>
              </w:rPr>
              <w:t>Loans held for sale, at fair value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Receivables,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tcPr>
          <w:p>
            <w:pPr>
              <w:ind w:left="220"/>
              <w:spacing w:after="0"/>
              <w:rPr>
                <w:sz w:val="20"/>
                <w:szCs w:val="20"/>
                <w:color w:val="auto"/>
              </w:rPr>
            </w:pPr>
            <w:r>
              <w:rPr>
                <w:rFonts w:ascii="Arial" w:cs="Arial" w:eastAsia="Arial" w:hAnsi="Arial"/>
                <w:sz w:val="17"/>
                <w:szCs w:val="17"/>
                <w:color w:val="auto"/>
              </w:rPr>
              <w:t>REO (Other assets)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 in fair value included in earnings (1)</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7,777.6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(7,613.6)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7,395.5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(7,208.4)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Securitized loans (pledged to HMBS-related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(7,208.4)</w:t>
            </w:r>
          </w:p>
        </w:tc>
        <w:tc>
          <w:tcPr>
            <w:tcW w:w="0" w:type="dxa"/>
            <w:vAlign w:val="bottom"/>
          </w:tcPr>
          <w:p>
            <w:pPr>
              <w:spacing w:after="0"/>
              <w:rPr>
                <w:sz w:val="1"/>
                <w:szCs w:val="1"/>
                <w:color w:val="auto"/>
              </w:rPr>
            </w:pPr>
          </w:p>
        </w:tc>
      </w:tr>
      <w:tr>
        <w:trPr>
          <w:trHeight w:val="220"/>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Unsecuritized loans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7,777.6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further breakdown of the net gain (loss) in the table below.</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5"/>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w w:val="95"/>
              </w:rPr>
              <w:t>Gain (Loss) on Reverse Loans Held for Investment and HMBS-</w:t>
            </w: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3"/>
        </w:trPr>
        <w:tc>
          <w:tcPr>
            <w:tcW w:w="4840" w:type="dxa"/>
            <w:vAlign w:val="bottom"/>
          </w:tcPr>
          <w:p>
            <w:pPr>
              <w:ind w:left="180"/>
              <w:spacing w:after="0"/>
              <w:rPr>
                <w:sz w:val="20"/>
                <w:szCs w:val="20"/>
                <w:color w:val="auto"/>
              </w:rPr>
            </w:pPr>
            <w:r>
              <w:rPr>
                <w:rFonts w:ascii="Arial" w:cs="Arial" w:eastAsia="Arial" w:hAnsi="Arial"/>
                <w:sz w:val="17"/>
                <w:szCs w:val="17"/>
                <w:b w:val="1"/>
                <w:bCs w:val="1"/>
                <w:color w:val="auto"/>
              </w:rPr>
              <w:t>related Borrowings, Net</w:t>
            </w:r>
          </w:p>
        </w:tc>
        <w:tc>
          <w:tcPr>
            <w:tcW w:w="180" w:type="dxa"/>
            <w:vAlign w:val="bottom"/>
          </w:tcPr>
          <w:p>
            <w:pPr>
              <w:spacing w:after="0"/>
              <w:rPr>
                <w:sz w:val="20"/>
                <w:szCs w:val="20"/>
                <w:color w:val="auto"/>
              </w:rPr>
            </w:pPr>
          </w:p>
        </w:tc>
        <w:tc>
          <w:tcPr>
            <w:tcW w:w="3080" w:type="dxa"/>
            <w:vAlign w:val="bottom"/>
            <w:gridSpan w:val="5"/>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200" w:type="dxa"/>
            <w:vAlign w:val="bottom"/>
          </w:tcPr>
          <w:p>
            <w:pPr>
              <w:spacing w:after="0"/>
              <w:rPr>
                <w:sz w:val="20"/>
                <w:szCs w:val="20"/>
                <w:color w:val="auto"/>
              </w:rPr>
            </w:pPr>
          </w:p>
        </w:tc>
        <w:tc>
          <w:tcPr>
            <w:tcW w:w="294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4"/>
              </w:rPr>
              <w:t>Nine Months Ended September 30,</w:t>
            </w:r>
          </w:p>
        </w:tc>
      </w:tr>
      <w:tr>
        <w:trPr>
          <w:trHeight w:val="213"/>
        </w:trPr>
        <w:tc>
          <w:tcPr>
            <w:tcW w:w="48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new originations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Gain on tail securitizations (2)</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 (servicing fee) (3)</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168"/>
        </w:trPr>
        <w:tc>
          <w:tcPr>
            <w:tcW w:w="4840" w:type="dxa"/>
            <w:vAlign w:val="bottom"/>
          </w:tcPr>
          <w:p>
            <w:pPr>
              <w:ind w:left="20"/>
              <w:spacing w:after="0" w:line="168" w:lineRule="exact"/>
              <w:rPr>
                <w:sz w:val="20"/>
                <w:szCs w:val="20"/>
                <w:color w:val="auto"/>
              </w:rPr>
            </w:pPr>
            <w:r>
              <w:rPr>
                <w:rFonts w:ascii="Arial" w:cs="Arial" w:eastAsia="Arial" w:hAnsi="Arial"/>
                <w:sz w:val="17"/>
                <w:szCs w:val="17"/>
                <w:color w:val="auto"/>
                <w:w w:val="97"/>
              </w:rPr>
              <w:t>Other change in fair value of securitized loans held for investment</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2"/>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and HMBS-related borrowings, net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(60.1)</w:t>
            </w:r>
          </w:p>
        </w:tc>
      </w:tr>
      <w:tr>
        <w:trPr>
          <w:trHeight w:val="213"/>
        </w:trPr>
        <w:tc>
          <w:tcPr>
            <w:tcW w:w="48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Fair value gains (losses) included in earnings (2)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Loan fees and 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the changes in fair value of newly originated loans held for investment in the period from interest rate lock commitment date through securitization date.</w:t>
      </w:r>
    </w:p>
    <w:p>
      <w:pPr>
        <w:spacing w:after="0" w:line="31" w:lineRule="exact"/>
        <w:rPr>
          <w:rFonts w:ascii="Arial" w:cs="Arial" w:eastAsia="Arial" w:hAnsi="Arial"/>
          <w:sz w:val="14"/>
          <w:szCs w:val="14"/>
          <w:color w:val="auto"/>
        </w:rPr>
      </w:pPr>
    </w:p>
    <w:p>
      <w:pPr>
        <w:ind w:left="320" w:right="180" w:hanging="317"/>
        <w:spacing w:after="0" w:line="238"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cash realized gains upon securitization of tails (previously reported within Other change in fair value of securitized loans held for investment and HMBS-related borrowings, net in the table above).</w:t>
      </w:r>
    </w:p>
    <w:p>
      <w:pPr>
        <w:ind w:left="320" w:right="100" w:hanging="317"/>
        <w:spacing w:after="0" w:line="250"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interest income on loans held for investment less the interest expense on HMBS-related borrowings (previously reported within Other change in fair value of securitized loans held for investment and HMBS-related borrowings, net in the table above). The net interest income includes the servicing fee Ocwen is contractually entitled to on securitized loans.</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5"/>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60" w:type="dxa"/>
            <w:vAlign w:val="bottom"/>
          </w:tcPr>
          <w:p>
            <w:pPr>
              <w:spacing w:after="0"/>
              <w:rPr>
                <w:sz w:val="19"/>
                <w:szCs w:val="19"/>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w w:val="90"/>
              </w:rPr>
              <w:t>December 31, 2022</w:t>
            </w: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Principal and interest</w:t>
            </w: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Taxes and insurance</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250.5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Foreclosures, bankruptcy, REO and other</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Allowance for losses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Advances, net</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7"/>
                <w:szCs w:val="17"/>
                <w:color w:val="auto"/>
              </w:rPr>
              <w:t>The following table summarizes the activity in net advances:</w:t>
            </w: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7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320" w:type="dxa"/>
            <w:vAlign w:val="bottom"/>
            <w:gridSpan w:val="6"/>
          </w:tcPr>
          <w:p>
            <w:pPr>
              <w:ind w:left="320"/>
              <w:spacing w:after="0"/>
              <w:rPr>
                <w:sz w:val="20"/>
                <w:szCs w:val="20"/>
                <w:color w:val="auto"/>
              </w:rPr>
            </w:pPr>
            <w:r>
              <w:rPr>
                <w:rFonts w:ascii="Arial" w:cs="Arial" w:eastAsia="Arial" w:hAnsi="Arial"/>
                <w:sz w:val="17"/>
                <w:szCs w:val="17"/>
                <w:b w:val="1"/>
                <w:bCs w:val="1"/>
                <w:color w:val="auto"/>
              </w:rPr>
              <w:t>Three Months Ended September 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7"/>
          </w:tcPr>
          <w:p>
            <w:pPr>
              <w:jc w:val="right"/>
              <w:ind w:right="280"/>
              <w:spacing w:after="0"/>
              <w:rPr>
                <w:sz w:val="20"/>
                <w:szCs w:val="20"/>
                <w:color w:val="auto"/>
              </w:rPr>
            </w:pPr>
            <w:r>
              <w:rPr>
                <w:rFonts w:ascii="Arial" w:cs="Arial" w:eastAsia="Arial" w:hAnsi="Arial"/>
                <w:sz w:val="17"/>
                <w:szCs w:val="17"/>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 before Allowance for Losses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653.8</w:t>
            </w:r>
          </w:p>
        </w:tc>
        <w:tc>
          <w:tcPr>
            <w:tcW w:w="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725.1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rPr>
              <w:t>New advances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145.6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480.9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Transfer from (to) Receivables</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7"/>
                <w:szCs w:val="17"/>
                <w:color w:val="auto"/>
              </w:rPr>
              <w:t>Sales of advances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Collections of advances and other</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(182.6)</w:t>
            </w:r>
          </w:p>
        </w:tc>
        <w:tc>
          <w:tcPr>
            <w:tcW w:w="3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(639.3)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Ending balance - before Allowance for Losses</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571.8</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571.8</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7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Arial" w:cs="Arial" w:eastAsia="Arial" w:hAnsi="Arial"/>
                <w:sz w:val="17"/>
                <w:szCs w:val="17"/>
                <w:b w:val="1"/>
                <w:bCs w:val="1"/>
                <w:color w:val="auto"/>
              </w:rPr>
              <w:t>Beginning balance - Allowance for Losses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(7.4)</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(6.2)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expense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Net charge-offs and other</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 Allowance for Losses</w:t>
            </w:r>
          </w:p>
        </w:tc>
        <w:tc>
          <w:tcPr>
            <w:tcW w:w="9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2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net</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26" w:name="page27"/>
    <w:bookmarkEnd w:id="26"/>
    <w:p>
      <w:pPr>
        <w:ind w:left="17"/>
        <w:spacing w:after="0"/>
        <w:rPr>
          <w:sz w:val="20"/>
          <w:szCs w:val="20"/>
          <w:color w:val="auto"/>
        </w:rPr>
      </w:pPr>
      <w:r>
        <w:rPr>
          <w:rFonts w:ascii="Arial" w:cs="Arial" w:eastAsia="Arial" w:hAnsi="Arial"/>
          <w:sz w:val="17"/>
          <w:szCs w:val="17"/>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2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66" w:lineRule="exact"/>
        <w:rPr>
          <w:sz w:val="20"/>
          <w:szCs w:val="20"/>
          <w:color w:val="auto"/>
        </w:rPr>
      </w:pPr>
    </w:p>
    <w:tbl>
      <w:tblPr>
        <w:tblLayout w:type="fixed"/>
        <w:tblInd w:w="17" w:type="dxa"/>
        <w:tblCellMar>
          <w:top w:w="0" w:type="dxa"/>
          <w:left w:w="0" w:type="dxa"/>
          <w:bottom w:w="0" w:type="dxa"/>
          <w:right w:w="0" w:type="dxa"/>
        </w:tblCellMar>
      </w:tblPr>
      <w:tr>
        <w:trPr>
          <w:trHeight w:val="225"/>
        </w:trPr>
        <w:tc>
          <w:tcPr>
            <w:tcW w:w="2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MSRs – At Fair Value</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10"/>
          </w:tcPr>
          <w:p>
            <w:pPr>
              <w:ind w:left="20"/>
              <w:spacing w:after="0"/>
              <w:rPr>
                <w:sz w:val="20"/>
                <w:szCs w:val="20"/>
                <w:color w:val="auto"/>
              </w:rPr>
            </w:pPr>
            <w:r>
              <w:rPr>
                <w:rFonts w:ascii="Arial" w:cs="Arial" w:eastAsia="Arial" w:hAnsi="Arial"/>
                <w:sz w:val="17"/>
                <w:szCs w:val="17"/>
                <w:b w:val="1"/>
                <w:bCs w:val="1"/>
                <w:color w:val="auto"/>
                <w:w w:val="96"/>
              </w:rPr>
              <w:t>Three Months Ended September 30,</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restart"/>
          </w:tcPr>
          <w:p>
            <w:pPr>
              <w:jc w:val="center"/>
              <w:ind w:right="74"/>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ind w:left="100"/>
              <w:spacing w:after="0"/>
              <w:rPr>
                <w:sz w:val="20"/>
                <w:szCs w:val="20"/>
                <w:color w:val="auto"/>
              </w:rPr>
            </w:pPr>
            <w:r>
              <w:rPr>
                <w:rFonts w:ascii="Arial" w:cs="Arial" w:eastAsia="Arial" w:hAnsi="Arial"/>
                <w:sz w:val="17"/>
                <w:szCs w:val="17"/>
                <w:b w:val="1"/>
                <w:bCs w:val="1"/>
                <w:color w:val="auto"/>
              </w:rPr>
              <w:t>Agency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rPr>
              <w:t>Non-Agency</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ind w:left="120"/>
              <w:spacing w:after="0"/>
              <w:rPr>
                <w:sz w:val="20"/>
                <w:szCs w:val="20"/>
                <w:color w:val="auto"/>
              </w:rPr>
            </w:pPr>
            <w:r>
              <w:rPr>
                <w:rFonts w:ascii="Arial" w:cs="Arial" w:eastAsia="Arial" w:hAnsi="Arial"/>
                <w:sz w:val="17"/>
                <w:szCs w:val="17"/>
                <w:b w:val="1"/>
                <w:bCs w:val="1"/>
                <w:color w:val="auto"/>
              </w:rPr>
              <w:t>Agency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Non-Agency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1,967.4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708.4</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2,675.7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2,485.7</w:t>
            </w: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7"/>
                <w:szCs w:val="17"/>
                <w:color w:val="auto"/>
              </w:rPr>
              <w:t>Sales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740" w:type="dxa"/>
            <w:vAlign w:val="bottom"/>
          </w:tcPr>
          <w:p>
            <w:pPr>
              <w:ind w:left="120"/>
              <w:spacing w:after="0" w:line="168" w:lineRule="exact"/>
              <w:rPr>
                <w:sz w:val="20"/>
                <w:szCs w:val="20"/>
                <w:color w:val="auto"/>
              </w:rPr>
            </w:pPr>
            <w:r>
              <w:rPr>
                <w:rFonts w:ascii="Arial" w:cs="Arial" w:eastAsia="Arial" w:hAnsi="Arial"/>
                <w:sz w:val="17"/>
                <w:szCs w:val="17"/>
                <w:color w:val="auto"/>
                <w:w w:val="93"/>
              </w:rPr>
              <w:t>Recognized on the sale of residential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740" w:type="dxa"/>
            <w:vAlign w:val="bottom"/>
          </w:tcPr>
          <w:p>
            <w:pPr>
              <w:ind w:left="200"/>
              <w:spacing w:after="0"/>
              <w:rPr>
                <w:sz w:val="20"/>
                <w:szCs w:val="20"/>
                <w:color w:val="auto"/>
              </w:rPr>
            </w:pPr>
            <w:r>
              <w:rPr>
                <w:rFonts w:ascii="Arial" w:cs="Arial" w:eastAsia="Arial" w:hAnsi="Arial"/>
                <w:sz w:val="17"/>
                <w:szCs w:val="17"/>
                <w:color w:val="auto"/>
              </w:rPr>
              <w:t>mortgage loans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71.4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70.2</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Purchases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68"/>
        </w:trPr>
        <w:tc>
          <w:tcPr>
            <w:tcW w:w="2740" w:type="dxa"/>
            <w:vAlign w:val="bottom"/>
          </w:tcPr>
          <w:p>
            <w:pPr>
              <w:ind w:left="20"/>
              <w:spacing w:after="0" w:line="168" w:lineRule="exact"/>
              <w:rPr>
                <w:sz w:val="20"/>
                <w:szCs w:val="20"/>
                <w:color w:val="auto"/>
              </w:rPr>
            </w:pPr>
            <w:r>
              <w:rPr>
                <w:rFonts w:ascii="Arial" w:cs="Arial" w:eastAsia="Arial" w:hAnsi="Arial"/>
                <w:sz w:val="17"/>
                <w:szCs w:val="17"/>
                <w:color w:val="auto"/>
                <w:w w:val="99"/>
              </w:rPr>
              <w:t>Servicing transfers and adjustments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Net additions (sales)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w:t>
            </w:r>
          </w:p>
        </w:tc>
        <w:tc>
          <w:tcPr>
            <w:tcW w:w="0" w:type="dxa"/>
            <w:vAlign w:val="bottom"/>
          </w:tcPr>
          <w:p>
            <w:pPr>
              <w:spacing w:after="0"/>
              <w:rPr>
                <w:sz w:val="1"/>
                <w:szCs w:val="1"/>
                <w:color w:val="auto"/>
              </w:rPr>
            </w:pPr>
          </w:p>
        </w:tc>
      </w:tr>
      <w:tr>
        <w:trPr>
          <w:trHeight w:val="148"/>
        </w:trPr>
        <w:tc>
          <w:tcPr>
            <w:tcW w:w="2740" w:type="dxa"/>
            <w:vAlign w:val="bottom"/>
          </w:tcPr>
          <w:p>
            <w:pPr>
              <w:ind w:left="20"/>
              <w:spacing w:after="0" w:line="149" w:lineRule="exact"/>
              <w:rPr>
                <w:sz w:val="20"/>
                <w:szCs w:val="20"/>
                <w:color w:val="auto"/>
              </w:rPr>
            </w:pPr>
            <w:r>
              <w:rPr>
                <w:rFonts w:ascii="Arial" w:cs="Arial" w:eastAsia="Arial" w:hAnsi="Arial"/>
                <w:sz w:val="17"/>
                <w:szCs w:val="17"/>
                <w:color w:val="auto"/>
              </w:rPr>
              <w:t>Changes in fair value recognized in</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740" w:type="dxa"/>
            <w:vAlign w:val="bottom"/>
          </w:tcPr>
          <w:p>
            <w:pPr>
              <w:ind w:left="100"/>
              <w:spacing w:after="0"/>
              <w:rPr>
                <w:sz w:val="20"/>
                <w:szCs w:val="20"/>
                <w:color w:val="auto"/>
              </w:rPr>
            </w:pPr>
            <w:r>
              <w:rPr>
                <w:rFonts w:ascii="Arial" w:cs="Arial" w:eastAsia="Arial" w:hAnsi="Arial"/>
                <w:sz w:val="17"/>
                <w:szCs w:val="17"/>
                <w:color w:val="auto"/>
              </w:rPr>
              <w:t>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140"/>
              <w:spacing w:after="0" w:line="175" w:lineRule="exact"/>
              <w:rPr>
                <w:sz w:val="20"/>
                <w:szCs w:val="20"/>
                <w:color w:val="auto"/>
              </w:rPr>
            </w:pPr>
            <w:r>
              <w:rPr>
                <w:rFonts w:ascii="Arial" w:cs="Arial" w:eastAsia="Arial" w:hAnsi="Arial"/>
                <w:sz w:val="17"/>
                <w:szCs w:val="17"/>
                <w:color w:val="auto"/>
              </w:rPr>
              <w:t>Changes in valuation inputs or</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jc w:val="right"/>
              <w:ind w:right="1514"/>
              <w:spacing w:after="0"/>
              <w:rPr>
                <w:sz w:val="20"/>
                <w:szCs w:val="20"/>
                <w:color w:val="auto"/>
              </w:rPr>
            </w:pPr>
            <w:r>
              <w:rPr>
                <w:rFonts w:ascii="Arial" w:cs="Arial" w:eastAsia="Arial" w:hAnsi="Arial"/>
                <w:sz w:val="17"/>
                <w:szCs w:val="17"/>
                <w:color w:val="auto"/>
              </w:rPr>
              <w:t>assumptions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190.6</w:t>
            </w:r>
          </w:p>
        </w:tc>
        <w:tc>
          <w:tcPr>
            <w:tcW w:w="0" w:type="dxa"/>
            <w:vAlign w:val="bottom"/>
          </w:tcPr>
          <w:p>
            <w:pPr>
              <w:spacing w:after="0"/>
              <w:rPr>
                <w:sz w:val="1"/>
                <w:szCs w:val="1"/>
                <w:color w:val="auto"/>
              </w:rPr>
            </w:pPr>
          </w:p>
        </w:tc>
      </w:tr>
      <w:tr>
        <w:trPr>
          <w:trHeight w:val="220"/>
        </w:trPr>
        <w:tc>
          <w:tcPr>
            <w:tcW w:w="27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w w:val="98"/>
              </w:rPr>
              <w:t>Realization of expected cash flows</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54"/>
              <w:spacing w:after="0"/>
              <w:rPr>
                <w:sz w:val="20"/>
                <w:szCs w:val="20"/>
                <w:color w:val="auto"/>
              </w:rPr>
            </w:pPr>
            <w:r>
              <w:rPr>
                <w:rFonts w:ascii="Arial" w:cs="Arial" w:eastAsia="Arial" w:hAnsi="Arial"/>
                <w:sz w:val="17"/>
                <w:szCs w:val="17"/>
                <w:color w:val="auto"/>
                <w:w w:val="91"/>
              </w:rPr>
              <w:t>(8.3)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ind w:left="240"/>
              <w:spacing w:after="0" w:line="149" w:lineRule="exact"/>
              <w:rPr>
                <w:sz w:val="20"/>
                <w:szCs w:val="20"/>
                <w:color w:val="auto"/>
              </w:rPr>
            </w:pPr>
            <w:r>
              <w:rPr>
                <w:rFonts w:ascii="Arial" w:cs="Arial" w:eastAsia="Arial" w:hAnsi="Arial"/>
                <w:sz w:val="17"/>
                <w:szCs w:val="17"/>
                <w:color w:val="auto"/>
                <w:w w:val="91"/>
              </w:rPr>
              <w:t>Fair value gains (losses) recognized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jc w:val="right"/>
              <w:ind w:right="1514"/>
              <w:spacing w:after="0"/>
              <w:rPr>
                <w:sz w:val="20"/>
                <w:szCs w:val="20"/>
                <w:color w:val="auto"/>
              </w:rPr>
            </w:pPr>
            <w:r>
              <w:rPr>
                <w:rFonts w:ascii="Arial" w:cs="Arial" w:eastAsia="Arial" w:hAnsi="Arial"/>
                <w:sz w:val="17"/>
                <w:szCs w:val="17"/>
                <w:color w:val="auto"/>
              </w:rPr>
              <w:t>in earnings</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135"/>
        </w:trPr>
        <w:tc>
          <w:tcPr>
            <w:tcW w:w="27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2,149.9</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2,714.2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7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MSRs – At Fair Value</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80"/>
              <w:spacing w:after="0"/>
              <w:rPr>
                <w:sz w:val="20"/>
                <w:szCs w:val="20"/>
                <w:color w:val="auto"/>
              </w:rPr>
            </w:pPr>
            <w:r>
              <w:rPr>
                <w:rFonts w:ascii="Arial" w:cs="Arial" w:eastAsia="Arial" w:hAnsi="Arial"/>
                <w:sz w:val="17"/>
                <w:szCs w:val="17"/>
                <w:b w:val="1"/>
                <w:bCs w:val="1"/>
                <w:color w:val="auto"/>
                <w:w w:val="96"/>
              </w:rPr>
              <w:t>Nine Months Ended September 30,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2023</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vMerge w:val="restart"/>
          </w:tcPr>
          <w:p>
            <w:pPr>
              <w:jc w:val="center"/>
              <w:ind w:right="34"/>
              <w:spacing w:after="0"/>
              <w:rPr>
                <w:sz w:val="20"/>
                <w:szCs w:val="20"/>
                <w:color w:val="auto"/>
              </w:rPr>
            </w:pPr>
            <w:r>
              <w:rPr>
                <w:rFonts w:ascii="Arial" w:cs="Arial" w:eastAsia="Arial" w:hAnsi="Arial"/>
                <w:sz w:val="17"/>
                <w:szCs w:val="17"/>
                <w:b w:val="1"/>
                <w:bCs w:val="1"/>
                <w:color w:val="auto"/>
                <w:w w:val="95"/>
              </w:rPr>
              <w:t>2022</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Agency</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Non-Agency</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Agency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7"/>
                <w:szCs w:val="17"/>
                <w:b w:val="1"/>
                <w:bCs w:val="1"/>
                <w:color w:val="auto"/>
                <w:w w:val="91"/>
              </w:rPr>
              <w:t>Non-Agency</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2,665.2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2,250.1</w:t>
            </w:r>
          </w:p>
        </w:tc>
        <w:tc>
          <w:tcPr>
            <w:tcW w:w="0" w:type="dxa"/>
            <w:vAlign w:val="bottom"/>
          </w:tcPr>
          <w:p>
            <w:pPr>
              <w:spacing w:after="0"/>
              <w:rPr>
                <w:sz w:val="1"/>
                <w:szCs w:val="1"/>
                <w:color w:val="auto"/>
              </w:rPr>
            </w:pPr>
          </w:p>
        </w:tc>
      </w:tr>
      <w:tr>
        <w:trPr>
          <w:trHeight w:val="220"/>
        </w:trPr>
        <w:tc>
          <w:tcPr>
            <w:tcW w:w="2740" w:type="dxa"/>
            <w:vAlign w:val="bottom"/>
          </w:tcPr>
          <w:p>
            <w:pPr>
              <w:ind w:left="20"/>
              <w:spacing w:after="0"/>
              <w:rPr>
                <w:sz w:val="20"/>
                <w:szCs w:val="20"/>
                <w:color w:val="auto"/>
              </w:rPr>
            </w:pPr>
            <w:r>
              <w:rPr>
                <w:rFonts w:ascii="Arial" w:cs="Arial" w:eastAsia="Arial" w:hAnsi="Arial"/>
                <w:sz w:val="17"/>
                <w:szCs w:val="17"/>
                <w:color w:val="auto"/>
              </w:rPr>
              <w:t>Sales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(149.4)</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40" w:type="dxa"/>
            <w:vAlign w:val="bottom"/>
          </w:tcPr>
          <w:p>
            <w:pPr>
              <w:ind w:left="180"/>
              <w:spacing w:after="0" w:line="181" w:lineRule="exact"/>
              <w:rPr>
                <w:sz w:val="20"/>
                <w:szCs w:val="20"/>
                <w:color w:val="auto"/>
              </w:rPr>
            </w:pPr>
            <w:r>
              <w:rPr>
                <w:rFonts w:ascii="Arial" w:cs="Arial" w:eastAsia="Arial" w:hAnsi="Arial"/>
                <w:sz w:val="17"/>
                <w:szCs w:val="17"/>
                <w:color w:val="auto"/>
                <w:w w:val="91"/>
              </w:rPr>
              <w:t>Recognized on the sale of residential</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260"/>
              <w:spacing w:after="0"/>
              <w:rPr>
                <w:sz w:val="20"/>
                <w:szCs w:val="20"/>
                <w:color w:val="auto"/>
              </w:rPr>
            </w:pPr>
            <w:r>
              <w:rPr>
                <w:rFonts w:ascii="Arial" w:cs="Arial" w:eastAsia="Arial" w:hAnsi="Arial"/>
                <w:sz w:val="17"/>
                <w:szCs w:val="17"/>
                <w:color w:val="auto"/>
              </w:rPr>
              <w:t>mortgage loans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20"/>
        </w:trPr>
        <w:tc>
          <w:tcPr>
            <w:tcW w:w="2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0" w:type="dxa"/>
            <w:vAlign w:val="bottom"/>
          </w:tcPr>
          <w:p>
            <w:pPr>
              <w:spacing w:after="0"/>
              <w:rPr>
                <w:sz w:val="1"/>
                <w:szCs w:val="1"/>
                <w:color w:val="auto"/>
              </w:rPr>
            </w:pPr>
          </w:p>
        </w:tc>
      </w:tr>
      <w:tr>
        <w:trPr>
          <w:trHeight w:val="22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1"/>
              </w:rPr>
              <w:t>Servicing transfers and adjustments (1)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(32.6)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(32.6)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additions (sales)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160.7</w:t>
            </w:r>
          </w:p>
        </w:tc>
        <w:tc>
          <w:tcPr>
            <w:tcW w:w="0" w:type="dxa"/>
            <w:vAlign w:val="bottom"/>
          </w:tcPr>
          <w:p>
            <w:pPr>
              <w:spacing w:after="0"/>
              <w:rPr>
                <w:sz w:val="1"/>
                <w:szCs w:val="1"/>
                <w:color w:val="auto"/>
              </w:rPr>
            </w:pPr>
          </w:p>
        </w:tc>
      </w:tr>
      <w:tr>
        <w:trPr>
          <w:trHeight w:val="161"/>
        </w:trPr>
        <w:tc>
          <w:tcPr>
            <w:tcW w:w="2740" w:type="dxa"/>
            <w:vAlign w:val="bottom"/>
          </w:tcPr>
          <w:p>
            <w:pPr>
              <w:ind w:left="20"/>
              <w:spacing w:after="0" w:line="162" w:lineRule="exact"/>
              <w:rPr>
                <w:sz w:val="20"/>
                <w:szCs w:val="20"/>
                <w:color w:val="auto"/>
              </w:rPr>
            </w:pPr>
            <w:r>
              <w:rPr>
                <w:rFonts w:ascii="Arial" w:cs="Arial" w:eastAsia="Arial" w:hAnsi="Arial"/>
                <w:sz w:val="17"/>
                <w:szCs w:val="17"/>
                <w:color w:val="auto"/>
              </w:rPr>
              <w:t>Changes in fair value recognized in</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40" w:type="dxa"/>
            <w:vAlign w:val="bottom"/>
          </w:tcPr>
          <w:p>
            <w:pPr>
              <w:ind w:left="100"/>
              <w:spacing w:after="0"/>
              <w:rPr>
                <w:sz w:val="20"/>
                <w:szCs w:val="20"/>
                <w:color w:val="auto"/>
              </w:rPr>
            </w:pPr>
            <w:r>
              <w:rPr>
                <w:rFonts w:ascii="Arial" w:cs="Arial" w:eastAsia="Arial" w:hAnsi="Arial"/>
                <w:sz w:val="17"/>
                <w:szCs w:val="17"/>
                <w:color w:val="auto"/>
              </w:rPr>
              <w:t>earnings: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40" w:type="dxa"/>
            <w:vAlign w:val="bottom"/>
            <w:shd w:val="clear" w:color="auto" w:fill="CCEEFF"/>
          </w:tcPr>
          <w:p>
            <w:pPr>
              <w:ind w:left="180"/>
              <w:spacing w:after="0" w:line="181" w:lineRule="exact"/>
              <w:rPr>
                <w:sz w:val="20"/>
                <w:szCs w:val="20"/>
                <w:color w:val="auto"/>
              </w:rPr>
            </w:pPr>
            <w:r>
              <w:rPr>
                <w:rFonts w:ascii="Arial" w:cs="Arial" w:eastAsia="Arial" w:hAnsi="Arial"/>
                <w:sz w:val="17"/>
                <w:szCs w:val="17"/>
                <w:color w:val="auto"/>
              </w:rPr>
              <w:t>Changes in valuation inputs or</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assumptions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0" w:type="dxa"/>
            <w:vAlign w:val="bottom"/>
          </w:tcPr>
          <w:p>
            <w:pPr>
              <w:spacing w:after="0"/>
              <w:rPr>
                <w:sz w:val="1"/>
                <w:szCs w:val="1"/>
                <w:color w:val="auto"/>
              </w:rPr>
            </w:pPr>
          </w:p>
        </w:tc>
      </w:tr>
      <w:tr>
        <w:trPr>
          <w:trHeight w:val="220"/>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7"/>
              </w:rPr>
              <w:t>Realization of expected cash flows</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(152.3)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left="634"/>
              <w:spacing w:after="0"/>
              <w:rPr>
                <w:sz w:val="20"/>
                <w:szCs w:val="20"/>
                <w:color w:val="auto"/>
              </w:rPr>
            </w:pPr>
            <w:r>
              <w:rPr>
                <w:rFonts w:ascii="Arial" w:cs="Arial" w:eastAsia="Arial" w:hAnsi="Arial"/>
                <w:sz w:val="17"/>
                <w:szCs w:val="17"/>
                <w:color w:val="auto"/>
                <w:w w:val="94"/>
              </w:rPr>
              <w:t>(25.2)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(177.5)</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(137.6)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(209.1)</w:t>
            </w:r>
          </w:p>
        </w:tc>
        <w:tc>
          <w:tcPr>
            <w:tcW w:w="0" w:type="dxa"/>
            <w:vAlign w:val="bottom"/>
          </w:tcPr>
          <w:p>
            <w:pPr>
              <w:spacing w:after="0"/>
              <w:rPr>
                <w:sz w:val="1"/>
                <w:szCs w:val="1"/>
                <w:color w:val="auto"/>
              </w:rPr>
            </w:pPr>
          </w:p>
        </w:tc>
      </w:tr>
      <w:tr>
        <w:trPr>
          <w:trHeight w:val="161"/>
        </w:trPr>
        <w:tc>
          <w:tcPr>
            <w:tcW w:w="2740" w:type="dxa"/>
            <w:vAlign w:val="bottom"/>
            <w:shd w:val="clear" w:color="auto" w:fill="CCEEFF"/>
          </w:tcPr>
          <w:p>
            <w:pPr>
              <w:ind w:left="240"/>
              <w:spacing w:after="0" w:line="162" w:lineRule="exact"/>
              <w:rPr>
                <w:sz w:val="20"/>
                <w:szCs w:val="20"/>
                <w:color w:val="auto"/>
              </w:rPr>
            </w:pPr>
            <w:r>
              <w:rPr>
                <w:rFonts w:ascii="Arial" w:cs="Arial" w:eastAsia="Arial" w:hAnsi="Arial"/>
                <w:sz w:val="17"/>
                <w:szCs w:val="17"/>
                <w:color w:val="auto"/>
                <w:w w:val="91"/>
              </w:rPr>
              <w:t>Fair value gains (losses) recognized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jc w:val="right"/>
              <w:ind w:right="1514"/>
              <w:spacing w:after="0"/>
              <w:rPr>
                <w:sz w:val="20"/>
                <w:szCs w:val="20"/>
                <w:color w:val="auto"/>
              </w:rPr>
            </w:pPr>
            <w:r>
              <w:rPr>
                <w:rFonts w:ascii="Arial" w:cs="Arial" w:eastAsia="Arial" w:hAnsi="Arial"/>
                <w:sz w:val="17"/>
                <w:szCs w:val="17"/>
                <w:color w:val="auto"/>
              </w:rPr>
              <w:t>in earnings</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center"/>
              <w:ind w:left="634"/>
              <w:spacing w:after="0"/>
              <w:rPr>
                <w:sz w:val="20"/>
                <w:szCs w:val="20"/>
                <w:color w:val="auto"/>
              </w:rPr>
            </w:pPr>
            <w:r>
              <w:rPr>
                <w:rFonts w:ascii="Arial" w:cs="Arial" w:eastAsia="Arial" w:hAnsi="Arial"/>
                <w:sz w:val="17"/>
                <w:szCs w:val="17"/>
                <w:color w:val="auto"/>
                <w:w w:val="94"/>
              </w:rPr>
              <w:t>(23.5)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303.4</w:t>
            </w:r>
          </w:p>
        </w:tc>
        <w:tc>
          <w:tcPr>
            <w:tcW w:w="0" w:type="dxa"/>
            <w:vAlign w:val="bottom"/>
          </w:tcPr>
          <w:p>
            <w:pPr>
              <w:spacing w:after="0"/>
              <w:rPr>
                <w:sz w:val="1"/>
                <w:szCs w:val="1"/>
                <w:color w:val="auto"/>
              </w:rPr>
            </w:pPr>
          </w:p>
        </w:tc>
      </w:tr>
      <w:tr>
        <w:trPr>
          <w:trHeight w:val="135"/>
        </w:trPr>
        <w:tc>
          <w:tcPr>
            <w:tcW w:w="27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2,149.9</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709.9</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2,859.8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1,975.4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2,714.2</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17" w:right="140" w:hanging="317"/>
        <w:spacing w:after="0" w:line="258" w:lineRule="auto"/>
        <w:tabs>
          <w:tab w:leader="none" w:pos="3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nine months ended September 30, 2023 and 2022, we derecognized $32.5 million and $39.0 million, respectively, of Agency MSRs previously sold to MAV in transactions which did not qualify for sale accounting treatment. We derecognized the MSRs with a UPB of $2.3 billion and $2.9 billion, respectively, from our balance sheet together with the associated Pledged MSR liability upon the sale of the MSRs by MAV to a third party. See Note 8 — Other Financing Liabilities, at Fair Value for further information.</w:t>
      </w:r>
    </w:p>
    <w:p>
      <w:pPr>
        <w:spacing w:after="0" w:line="200" w:lineRule="exact"/>
        <w:rPr>
          <w:sz w:val="20"/>
          <w:szCs w:val="20"/>
          <w:color w:val="auto"/>
        </w:rPr>
      </w:pPr>
    </w:p>
    <w:p>
      <w:pPr>
        <w:spacing w:after="0" w:line="400"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17"/>
          </w:cols>
          <w:pgMar w:left="323" w:top="1258" w:right="359" w:bottom="1440" w:gutter="0" w:footer="0" w:header="0"/>
        </w:sectPr>
      </w:pPr>
    </w:p>
    <w:bookmarkStart w:id="27" w:name="page28"/>
    <w:bookmarkEnd w:id="27"/>
    <w:p>
      <w:pPr>
        <w:ind w:left="620"/>
        <w:spacing w:after="0"/>
        <w:rPr>
          <w:sz w:val="20"/>
          <w:szCs w:val="20"/>
          <w:color w:val="auto"/>
        </w:rPr>
      </w:pPr>
      <w:r>
        <w:rPr>
          <w:rFonts w:ascii="Arial" w:cs="Arial" w:eastAsia="Arial" w:hAnsi="Arial"/>
          <w:sz w:val="17"/>
          <w:szCs w:val="17"/>
          <w:color w:val="auto"/>
        </w:rPr>
        <w:t>The following table summarizes delinquency status of the loans underlying our MSRs: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7"/>
          </w:tcPr>
          <w:p>
            <w:pPr>
              <w:ind w:left="20"/>
              <w:spacing w:after="0"/>
              <w:rPr>
                <w:sz w:val="20"/>
                <w:szCs w:val="20"/>
                <w:color w:val="auto"/>
              </w:rPr>
            </w:pPr>
            <w:r>
              <w:rPr>
                <w:rFonts w:ascii="Arial" w:cs="Arial" w:eastAsia="Arial" w:hAnsi="Arial"/>
                <w:sz w:val="17"/>
                <w:szCs w:val="17"/>
                <w:b w:val="1"/>
                <w:bCs w:val="1"/>
                <w:color w:val="auto"/>
              </w:rPr>
              <w:t>September 30, 2023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b w:val="1"/>
                <w:bCs w:val="1"/>
                <w:color w:val="auto"/>
                <w:w w:val="96"/>
              </w:rPr>
              <w:t>December 31, 2022</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Delinquent loans</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Agency</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Non - Agency</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Total</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Agency</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7"/>
                <w:szCs w:val="17"/>
                <w:b w:val="1"/>
                <w:bCs w:val="1"/>
                <w:color w:val="auto"/>
                <w:w w:val="96"/>
              </w:rPr>
              <w:t>Non - Agency</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2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xml:space="preserve">Total UPB </w:t>
            </w:r>
            <w:r>
              <w:rPr>
                <w:rFonts w:ascii="Arial" w:cs="Arial" w:eastAsia="Arial" w:hAnsi="Arial"/>
                <w:sz w:val="17"/>
                <w:szCs w:val="17"/>
                <w:i w:val="1"/>
                <w:iCs w:val="1"/>
                <w:color w:val="auto"/>
              </w:rPr>
              <w:t>(in billions)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143.1</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201.1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137.6</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199.6</w:t>
            </w:r>
          </w:p>
        </w:tc>
        <w:tc>
          <w:tcPr>
            <w:tcW w:w="0" w:type="dxa"/>
            <w:vAlign w:val="bottom"/>
          </w:tcPr>
          <w:p>
            <w:pPr>
              <w:spacing w:after="0"/>
              <w:rPr>
                <w:sz w:val="1"/>
                <w:szCs w:val="1"/>
                <w:color w:val="auto"/>
              </w:rPr>
            </w:pPr>
          </w:p>
        </w:tc>
      </w:tr>
      <w:tr>
        <w:trPr>
          <w:trHeight w:val="155"/>
        </w:trPr>
        <w:tc>
          <w:tcPr>
            <w:tcW w:w="2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30 days</w:t>
            </w: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0" w:type="dxa"/>
            <w:vAlign w:val="bottom"/>
          </w:tcPr>
          <w:p>
            <w:pPr>
              <w:spacing w:after="0"/>
              <w:rPr>
                <w:sz w:val="1"/>
                <w:szCs w:val="1"/>
                <w:color w:val="auto"/>
              </w:rPr>
            </w:pPr>
          </w:p>
        </w:tc>
      </w:tr>
      <w:tr>
        <w:trPr>
          <w:trHeight w:val="220"/>
        </w:trPr>
        <w:tc>
          <w:tcPr>
            <w:tcW w:w="2100" w:type="dxa"/>
            <w:vAlign w:val="bottom"/>
          </w:tcPr>
          <w:p>
            <w:pPr>
              <w:ind w:left="120"/>
              <w:spacing w:after="0"/>
              <w:rPr>
                <w:sz w:val="20"/>
                <w:szCs w:val="20"/>
                <w:color w:val="auto"/>
              </w:rPr>
            </w:pPr>
            <w:r>
              <w:rPr>
                <w:rFonts w:ascii="Arial" w:cs="Arial" w:eastAsia="Arial" w:hAnsi="Arial"/>
                <w:sz w:val="17"/>
                <w:szCs w:val="17"/>
                <w:color w:val="auto"/>
              </w:rPr>
              <w:t>60 days</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134"/>
              <w:spacing w:after="0"/>
              <w:rPr>
                <w:sz w:val="20"/>
                <w:szCs w:val="20"/>
                <w:color w:val="auto"/>
              </w:rPr>
            </w:pPr>
            <w:r>
              <w:rPr>
                <w:rFonts w:ascii="Arial" w:cs="Arial" w:eastAsia="Arial" w:hAnsi="Arial"/>
                <w:sz w:val="17"/>
                <w:szCs w:val="17"/>
                <w:color w:val="auto"/>
              </w:rPr>
              <w:t>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90 days or more</w:t>
            </w: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3"/>
        </w:trPr>
        <w:tc>
          <w:tcPr>
            <w:tcW w:w="2100" w:type="dxa"/>
            <w:vAlign w:val="bottom"/>
          </w:tcPr>
          <w:p>
            <w:pPr>
              <w:ind w:left="120"/>
              <w:spacing w:after="0"/>
              <w:rPr>
                <w:sz w:val="20"/>
                <w:szCs w:val="20"/>
                <w:color w:val="auto"/>
              </w:rPr>
            </w:pPr>
            <w:r>
              <w:rPr>
                <w:rFonts w:ascii="Arial" w:cs="Arial" w:eastAsia="Arial" w:hAnsi="Arial"/>
                <w:sz w:val="17"/>
                <w:szCs w:val="17"/>
                <w:color w:val="auto"/>
                <w:w w:val="91"/>
              </w:rPr>
              <w:t>Total 30-60-90 days or more</w:t>
            </w: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22.0 %</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20.4 %</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11.1 %</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Arial" w:cs="Arial" w:eastAsia="Arial" w:hAnsi="Arial"/>
                <w:sz w:val="17"/>
                <w:szCs w:val="17"/>
                <w:b w:val="1"/>
                <w:bCs w:val="1"/>
                <w:color w:val="auto"/>
              </w:rPr>
              <w:t>MSR UPB and Fair Value</w:t>
            </w: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1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7"/>
                <w:szCs w:val="17"/>
                <w:b w:val="1"/>
                <w:bCs w:val="1"/>
                <w:color w:val="auto"/>
              </w:rPr>
              <w:t>September 30, 2023</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7"/>
                <w:szCs w:val="17"/>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September 30, 2022</w:t>
            </w:r>
          </w:p>
        </w:tc>
        <w:tc>
          <w:tcPr>
            <w:tcW w:w="0" w:type="dxa"/>
            <w:vAlign w:val="bottom"/>
          </w:tcPr>
          <w:p>
            <w:pPr>
              <w:spacing w:after="0"/>
              <w:rPr>
                <w:sz w:val="1"/>
                <w:szCs w:val="1"/>
                <w:color w:val="auto"/>
              </w:rPr>
            </w:pPr>
          </w:p>
        </w:tc>
      </w:tr>
      <w:tr>
        <w:trPr>
          <w:trHeight w:val="213"/>
        </w:trPr>
        <w:tc>
          <w:tcPr>
            <w:tcW w:w="2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w w:val="95"/>
              </w:rPr>
              <w:t>Fair Value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rPr>
              <w:t>UPB ($ billions)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auto"/>
                <w:w w:val="93"/>
              </w:rPr>
              <w:t>UPB ($ billions)</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rPr>
              <w:t>Fair Value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3"/>
              </w:rPr>
              <w:t>UPB ($ billions)</w:t>
            </w:r>
          </w:p>
        </w:tc>
        <w:tc>
          <w:tcPr>
            <w:tcW w:w="0" w:type="dxa"/>
            <w:vAlign w:val="bottom"/>
          </w:tcPr>
          <w:p>
            <w:pPr>
              <w:spacing w:after="0"/>
              <w:rPr>
                <w:sz w:val="1"/>
                <w:szCs w:val="1"/>
                <w:color w:val="auto"/>
              </w:rPr>
            </w:pPr>
          </w:p>
        </w:tc>
      </w:tr>
      <w:tr>
        <w:trPr>
          <w:trHeight w:val="213"/>
        </w:trPr>
        <w:tc>
          <w:tcPr>
            <w:tcW w:w="2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Owned MSRs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1,717.6</w:t>
            </w:r>
          </w:p>
        </w:tc>
        <w:tc>
          <w:tcPr>
            <w:tcW w:w="102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89"/>
              </w:rPr>
              <w:t>119.4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1,710.6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126.2</w:t>
            </w:r>
          </w:p>
        </w:tc>
        <w:tc>
          <w:tcPr>
            <w:tcW w:w="36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1,743.0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123.4</w:t>
            </w:r>
          </w:p>
        </w:tc>
        <w:tc>
          <w:tcPr>
            <w:tcW w:w="0" w:type="dxa"/>
            <w:vAlign w:val="bottom"/>
          </w:tcPr>
          <w:p>
            <w:pPr>
              <w:spacing w:after="0"/>
              <w:rPr>
                <w:sz w:val="1"/>
                <w:szCs w:val="1"/>
                <w:color w:val="auto"/>
              </w:rPr>
            </w:pPr>
          </w:p>
        </w:tc>
      </w:tr>
      <w:tr>
        <w:trPr>
          <w:trHeight w:val="168"/>
        </w:trPr>
        <w:tc>
          <w:tcPr>
            <w:tcW w:w="2100" w:type="dxa"/>
            <w:vAlign w:val="bottom"/>
          </w:tcPr>
          <w:p>
            <w:pPr>
              <w:ind w:left="40"/>
              <w:spacing w:after="0" w:line="168" w:lineRule="exact"/>
              <w:rPr>
                <w:sz w:val="20"/>
                <w:szCs w:val="20"/>
                <w:color w:val="auto"/>
              </w:rPr>
            </w:pPr>
            <w:r>
              <w:rPr>
                <w:rFonts w:ascii="Arial" w:cs="Arial" w:eastAsia="Arial" w:hAnsi="Arial"/>
                <w:sz w:val="17"/>
                <w:szCs w:val="17"/>
                <w:color w:val="auto"/>
                <w:w w:val="94"/>
              </w:rPr>
              <w:t>Rithm and others transferred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100" w:type="dxa"/>
            <w:vAlign w:val="bottom"/>
          </w:tcPr>
          <w:p>
            <w:pPr>
              <w:ind w:left="180"/>
              <w:spacing w:after="0"/>
              <w:rPr>
                <w:sz w:val="20"/>
                <w:szCs w:val="20"/>
                <w:color w:val="auto"/>
              </w:rPr>
            </w:pPr>
            <w:r>
              <w:rPr>
                <w:rFonts w:ascii="Arial" w:cs="Arial" w:eastAsia="Arial" w:hAnsi="Arial"/>
                <w:sz w:val="17"/>
                <w:szCs w:val="17"/>
                <w:color w:val="auto"/>
              </w:rPr>
              <w:t>MSRs (1) (2)</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709.1</w:t>
            </w:r>
          </w:p>
        </w:tc>
        <w:tc>
          <w:tcPr>
            <w:tcW w:w="102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601.2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47.3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604.7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48.4</w:t>
            </w:r>
          </w:p>
        </w:tc>
        <w:tc>
          <w:tcPr>
            <w:tcW w:w="0" w:type="dxa"/>
            <w:vAlign w:val="bottom"/>
          </w:tcPr>
          <w:p>
            <w:pPr>
              <w:spacing w:after="0"/>
              <w:rPr>
                <w:sz w:val="1"/>
                <w:szCs w:val="1"/>
                <w:color w:val="auto"/>
              </w:rPr>
            </w:pPr>
          </w:p>
        </w:tc>
      </w:tr>
      <w:tr>
        <w:trPr>
          <w:trHeight w:val="220"/>
        </w:trPr>
        <w:tc>
          <w:tcPr>
            <w:tcW w:w="2100" w:type="dxa"/>
            <w:vAlign w:val="bottom"/>
            <w:shd w:val="clear" w:color="auto" w:fill="CCEEFF"/>
          </w:tcPr>
          <w:p>
            <w:pPr>
              <w:ind w:left="40"/>
              <w:spacing w:after="0"/>
              <w:rPr>
                <w:sz w:val="20"/>
                <w:szCs w:val="20"/>
                <w:color w:val="auto"/>
              </w:rPr>
            </w:pPr>
            <w:r>
              <w:rPr>
                <w:rFonts w:ascii="Arial" w:cs="Arial" w:eastAsia="Arial" w:hAnsi="Arial"/>
                <w:sz w:val="17"/>
                <w:szCs w:val="17"/>
                <w:color w:val="auto"/>
              </w:rPr>
              <w:t>MAV transferred MSRs (1)</w:t>
            </w:r>
          </w:p>
        </w:tc>
        <w:tc>
          <w:tcPr>
            <w:tcW w:w="4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433.1</w:t>
            </w:r>
          </w:p>
        </w:tc>
        <w:tc>
          <w:tcPr>
            <w:tcW w:w="10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353.4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13"/>
        </w:trPr>
        <w:tc>
          <w:tcPr>
            <w:tcW w:w="2100" w:type="dxa"/>
            <w:vAlign w:val="bottom"/>
          </w:tcPr>
          <w:p>
            <w:pPr>
              <w:ind w:left="140"/>
              <w:spacing w:after="0"/>
              <w:rPr>
                <w:sz w:val="20"/>
                <w:szCs w:val="20"/>
                <w:color w:val="auto"/>
              </w:rPr>
            </w:pPr>
            <w:r>
              <w:rPr>
                <w:rFonts w:ascii="Arial" w:cs="Arial" w:eastAsia="Arial" w:hAnsi="Arial"/>
                <w:sz w:val="17"/>
                <w:szCs w:val="17"/>
                <w:color w:val="auto"/>
              </w:rPr>
              <w:t>Total MSRs</w:t>
            </w:r>
          </w:p>
        </w:tc>
        <w:tc>
          <w:tcPr>
            <w:tcW w:w="4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gridSpan w:val="4"/>
          </w:tcPr>
          <w:p>
            <w:pPr>
              <w:jc w:val="right"/>
              <w:ind w:right="20"/>
              <w:spacing w:after="0"/>
              <w:rPr>
                <w:sz w:val="20"/>
                <w:szCs w:val="20"/>
                <w:color w:val="auto"/>
              </w:rPr>
            </w:pPr>
            <w:r>
              <w:rPr>
                <w:rFonts w:ascii="Arial" w:cs="Arial" w:eastAsia="Arial" w:hAnsi="Arial"/>
                <w:sz w:val="17"/>
                <w:szCs w:val="17"/>
                <w:color w:val="auto"/>
              </w:rPr>
              <w:t>2,859.8</w:t>
            </w:r>
          </w:p>
        </w:tc>
        <w:tc>
          <w:tcPr>
            <w:tcW w:w="102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w w:val="89"/>
              </w:rPr>
              <w:t>201.1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2,665.2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199.6</w:t>
            </w:r>
          </w:p>
        </w:tc>
        <w:tc>
          <w:tcPr>
            <w:tcW w:w="36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2,714.2</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198.0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MSRs subject to sale agreements that do not meet sale accounting criteria. See Note 8 — Other Financing Liabilities, at Fair Value.</w:t>
      </w:r>
    </w:p>
    <w:p>
      <w:pPr>
        <w:spacing w:after="0" w:line="12" w:lineRule="exact"/>
        <w:rPr>
          <w:rFonts w:ascii="Arial" w:cs="Arial" w:eastAsia="Arial" w:hAnsi="Arial"/>
          <w:sz w:val="16"/>
          <w:szCs w:val="16"/>
          <w:color w:val="auto"/>
        </w:rPr>
      </w:pPr>
    </w:p>
    <w:p>
      <w:pPr>
        <w:ind w:left="320" w:hanging="317"/>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September 30, 2023, the UPB of MSRs transferred to Rithm for which title is retained by Ocwen was $10.1 billion.</w:t>
      </w:r>
    </w:p>
    <w:p>
      <w:pPr>
        <w:spacing w:after="0" w:line="94" w:lineRule="exact"/>
        <w:rPr>
          <w:sz w:val="20"/>
          <w:szCs w:val="20"/>
          <w:color w:val="auto"/>
        </w:rPr>
      </w:pPr>
    </w:p>
    <w:p>
      <w:pPr>
        <w:jc w:val="both"/>
        <w:ind w:right="480"/>
        <w:spacing w:after="0" w:line="268" w:lineRule="auto"/>
        <w:rPr>
          <w:sz w:val="20"/>
          <w:szCs w:val="20"/>
          <w:color w:val="auto"/>
        </w:rPr>
      </w:pPr>
      <w:r>
        <w:rPr>
          <w:rFonts w:ascii="Arial" w:cs="Arial" w:eastAsia="Arial" w:hAnsi="Arial"/>
          <w:sz w:val="17"/>
          <w:szCs w:val="17"/>
          <w:color w:val="auto"/>
        </w:rPr>
        <w:t>We purchased MSRs with a UPB of $6.9 billion and $13.7 billion from unrelated third-parties during the nine months ended September 30, 2023 and 2022, respectively. We sold MSRs, servicing released, with a UPB of $40.7 million and $11.1 billion during the nine months ended September 30, 2023 and 2022, respectively, to unrelated third parties.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Servicing Revenue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40" w:type="dxa"/>
            <w:vAlign w:val="bottom"/>
            <w:gridSpan w:val="5"/>
          </w:tcPr>
          <w:p>
            <w:pPr>
              <w:ind w:left="60"/>
              <w:spacing w:after="0"/>
              <w:rPr>
                <w:sz w:val="20"/>
                <w:szCs w:val="20"/>
                <w:color w:val="auto"/>
              </w:rPr>
            </w:pPr>
            <w:r>
              <w:rPr>
                <w:rFonts w:ascii="Arial" w:cs="Arial" w:eastAsia="Arial" w:hAnsi="Arial"/>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4"/>
              </w:rPr>
              <w:t>Nine Months Ended September 30,</w:t>
            </w:r>
          </w:p>
        </w:tc>
      </w:tr>
      <w:tr>
        <w:trPr>
          <w:trHeight w:val="225"/>
        </w:trPr>
        <w:tc>
          <w:tcPr>
            <w:tcW w:w="48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and subservicing fees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252.8</w:t>
            </w:r>
          </w:p>
        </w:tc>
      </w:tr>
      <w:tr>
        <w:trPr>
          <w:trHeight w:val="220"/>
        </w:trPr>
        <w:tc>
          <w:tcPr>
            <w:tcW w:w="4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Subservicing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w:t>
            </w: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MAV Subservicing</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20"/>
        </w:trPr>
        <w:tc>
          <w:tcPr>
            <w:tcW w:w="4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MAV Servicing (1)</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20"/>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Rithm (1)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195.2</w:t>
            </w:r>
          </w:p>
        </w:tc>
      </w:tr>
      <w:tr>
        <w:trPr>
          <w:trHeight w:val="213"/>
        </w:trPr>
        <w:tc>
          <w:tcPr>
            <w:tcW w:w="4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556.6</w:t>
            </w:r>
          </w:p>
        </w:tc>
      </w:tr>
      <w:tr>
        <w:trPr>
          <w:trHeight w:val="200"/>
        </w:trPr>
        <w:tc>
          <w:tcPr>
            <w:tcW w:w="4880" w:type="dxa"/>
            <w:vAlign w:val="bottom"/>
          </w:tcPr>
          <w:p>
            <w:pPr>
              <w:ind w:left="20"/>
              <w:spacing w:after="0"/>
              <w:rPr>
                <w:sz w:val="20"/>
                <w:szCs w:val="20"/>
                <w:color w:val="auto"/>
              </w:rPr>
            </w:pPr>
            <w:r>
              <w:rPr>
                <w:rFonts w:ascii="Arial" w:cs="Arial" w:eastAsia="Arial" w:hAnsi="Arial"/>
                <w:sz w:val="17"/>
                <w:szCs w:val="17"/>
                <w:color w:val="auto"/>
              </w:rPr>
              <w:t>Ancillary income</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Custodial accounts (float earnings)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Late charges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Reverse subservicing ancillary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Loan collection fees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Recording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4880" w:type="dxa"/>
            <w:vAlign w:val="bottom"/>
          </w:tcPr>
          <w:p>
            <w:pPr>
              <w:ind w:left="120"/>
              <w:spacing w:after="0"/>
              <w:rPr>
                <w:sz w:val="20"/>
                <w:szCs w:val="20"/>
                <w:color w:val="auto"/>
              </w:rPr>
            </w:pPr>
            <w:r>
              <w:rPr>
                <w:rFonts w:ascii="Arial" w:cs="Arial" w:eastAsia="Arial" w:hAnsi="Arial"/>
                <w:sz w:val="17"/>
                <w:szCs w:val="17"/>
                <w:color w:val="auto"/>
              </w:rPr>
              <w:t>Boarding and deboarding fees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20"/>
        </w:trPr>
        <w:tc>
          <w:tcPr>
            <w:tcW w:w="4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GSE forbearance fees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r>
      <w:tr>
        <w:trPr>
          <w:trHeight w:val="220"/>
        </w:trPr>
        <w:tc>
          <w:tcPr>
            <w:tcW w:w="48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net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r>
      <w:tr>
        <w:trPr>
          <w:trHeight w:val="213"/>
        </w:trPr>
        <w:tc>
          <w:tcPr>
            <w:tcW w:w="48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w:t>
            </w:r>
          </w:p>
        </w:tc>
      </w:tr>
      <w:tr>
        <w:trPr>
          <w:trHeight w:val="213"/>
        </w:trPr>
        <w:tc>
          <w:tcPr>
            <w:tcW w:w="4880" w:type="dxa"/>
            <w:vAlign w:val="bottom"/>
          </w:tcPr>
          <w:p>
            <w:pPr>
              <w:ind w:left="220"/>
              <w:spacing w:after="0"/>
              <w:rPr>
                <w:sz w:val="20"/>
                <w:szCs w:val="20"/>
                <w:color w:val="auto"/>
              </w:rPr>
            </w:pPr>
            <w:r>
              <w:rPr>
                <w:rFonts w:ascii="Arial" w:cs="Arial" w:eastAsia="Arial" w:hAnsi="Arial"/>
                <w:sz w:val="17"/>
                <w:szCs w:val="17"/>
                <w:color w:val="auto"/>
              </w:rPr>
              <w:t>Total Servicing and subservicing fees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643.3</w:t>
            </w: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320" w:hanging="317"/>
        <w:spacing w:after="0"/>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servicing fees related to transferred MSRs that do not achieve sale accounting. See Note 8 — Other Financing Liabilities, at Fair Value</w:t>
      </w:r>
      <w:r>
        <w:rPr>
          <w:rFonts w:ascii="Arial" w:cs="Arial" w:eastAsia="Arial" w:hAnsi="Arial"/>
          <w:sz w:val="17"/>
          <w:szCs w:val="17"/>
          <w:b w:val="1"/>
          <w:bCs w:val="1"/>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8" w:name="page29"/>
    <w:bookmarkEnd w:id="28"/>
    <w:p>
      <w:pPr>
        <w:ind w:right="80"/>
        <w:spacing w:after="0" w:line="263" w:lineRule="auto"/>
        <w:rPr>
          <w:sz w:val="20"/>
          <w:szCs w:val="20"/>
          <w:color w:val="auto"/>
        </w:rPr>
      </w:pPr>
      <w:r>
        <w:rPr>
          <w:rFonts w:ascii="Arial" w:cs="Arial" w:eastAsia="Arial" w:hAnsi="Arial"/>
          <w:sz w:val="17"/>
          <w:szCs w:val="17"/>
          <w:color w:val="auto"/>
        </w:rPr>
        <w:t>Float balances, on which we earn interest referred to as float earnings (balances in custodial accounts, which represent collections of principal and interest that we receive from borrowers on behalf of investors and tax and insurance payments) are held in escrow by unaffiliated banks and are excluded from our unaudited consolidated balance sheets. Float balances amounted to $2.3 billion, $1.5 billion and $2.0 billion at September 30, 2023, December 31, 2022 and September 30, 2022,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components of MSR valuation adjustments,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8"/>
          </w:tcPr>
          <w:p>
            <w:pPr>
              <w:jc w:val="center"/>
              <w:ind w:right="260"/>
              <w:spacing w:after="0"/>
              <w:rPr>
                <w:sz w:val="20"/>
                <w:szCs w:val="20"/>
                <w:color w:val="auto"/>
              </w:rPr>
            </w:pPr>
            <w:r>
              <w:rPr>
                <w:rFonts w:ascii="Arial" w:cs="Arial" w:eastAsia="Arial" w:hAnsi="Arial"/>
                <w:sz w:val="17"/>
                <w:szCs w:val="17"/>
                <w:b w:val="1"/>
                <w:bCs w:val="1"/>
                <w:color w:val="auto"/>
                <w:w w:val="91"/>
              </w:rPr>
              <w:t>Three Months Ended September 30, 2023</w:t>
            </w:r>
          </w:p>
        </w:tc>
        <w:tc>
          <w:tcPr>
            <w:tcW w:w="140" w:type="dxa"/>
            <w:vAlign w:val="bottom"/>
          </w:tcPr>
          <w:p>
            <w:pPr>
              <w:spacing w:after="0"/>
              <w:rPr>
                <w:sz w:val="19"/>
                <w:szCs w:val="19"/>
                <w:color w:val="auto"/>
              </w:rPr>
            </w:pPr>
          </w:p>
        </w:tc>
        <w:tc>
          <w:tcPr>
            <w:tcW w:w="3840" w:type="dxa"/>
            <w:vAlign w:val="bottom"/>
            <w:gridSpan w:val="7"/>
          </w:tcPr>
          <w:p>
            <w:pPr>
              <w:jc w:val="right"/>
              <w:ind w:right="374"/>
              <w:spacing w:after="0"/>
              <w:rPr>
                <w:sz w:val="20"/>
                <w:szCs w:val="20"/>
                <w:color w:val="auto"/>
              </w:rPr>
            </w:pPr>
            <w:r>
              <w:rPr>
                <w:rFonts w:ascii="Arial" w:cs="Arial" w:eastAsia="Arial" w:hAnsi="Arial"/>
                <w:sz w:val="17"/>
                <w:szCs w:val="17"/>
                <w:b w:val="1"/>
                <w:bCs w:val="1"/>
                <w:color w:val="auto"/>
              </w:rPr>
              <w:t>Three Months Ended September 30, 2022</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1"/>
              </w:rPr>
              <w:t>Rates and</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2"/>
              </w:rPr>
              <w:t>Realization of</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8"/>
              </w:rPr>
              <w:t>Rates and</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2"/>
              </w:rPr>
              <w:t>Realization of</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5"/>
              </w:rPr>
              <w:t>expected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5"/>
              </w:rPr>
              <w:t>expected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assumptions</w:t>
            </w: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flows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assumptions</w:t>
            </w: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flows</w:t>
            </w:r>
          </w:p>
        </w:tc>
        <w:tc>
          <w:tcPr>
            <w:tcW w:w="240" w:type="dxa"/>
            <w:vAlign w:val="bottom"/>
          </w:tcPr>
          <w:p>
            <w:pPr>
              <w:spacing w:after="0"/>
              <w:rPr>
                <w:sz w:val="20"/>
                <w:szCs w:val="20"/>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 MSR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Transferred MSR (2)(3)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 financing liability (2)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Derivative fair value gain (loss) (MSR</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economic hedges)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8"/>
          </w:tcPr>
          <w:p>
            <w:pPr>
              <w:jc w:val="center"/>
              <w:ind w:right="260"/>
              <w:spacing w:after="0"/>
              <w:rPr>
                <w:sz w:val="20"/>
                <w:szCs w:val="20"/>
                <w:color w:val="auto"/>
              </w:rPr>
            </w:pPr>
            <w:r>
              <w:rPr>
                <w:rFonts w:ascii="Arial" w:cs="Arial" w:eastAsia="Arial" w:hAnsi="Arial"/>
                <w:sz w:val="17"/>
                <w:szCs w:val="17"/>
                <w:b w:val="1"/>
                <w:bCs w:val="1"/>
                <w:color w:val="auto"/>
                <w:w w:val="91"/>
              </w:rPr>
              <w:t>Nine Months Ended September 30, 2023</w:t>
            </w:r>
          </w:p>
        </w:tc>
        <w:tc>
          <w:tcPr>
            <w:tcW w:w="140" w:type="dxa"/>
            <w:vAlign w:val="bottom"/>
          </w:tcPr>
          <w:p>
            <w:pPr>
              <w:spacing w:after="0"/>
              <w:rPr>
                <w:sz w:val="24"/>
                <w:szCs w:val="24"/>
                <w:color w:val="auto"/>
              </w:rPr>
            </w:pPr>
          </w:p>
        </w:tc>
        <w:tc>
          <w:tcPr>
            <w:tcW w:w="3840" w:type="dxa"/>
            <w:vAlign w:val="bottom"/>
            <w:gridSpan w:val="7"/>
          </w:tcPr>
          <w:p>
            <w:pPr>
              <w:jc w:val="right"/>
              <w:ind w:right="434"/>
              <w:spacing w:after="0"/>
              <w:rPr>
                <w:sz w:val="20"/>
                <w:szCs w:val="20"/>
                <w:color w:val="auto"/>
              </w:rPr>
            </w:pPr>
            <w:r>
              <w:rPr>
                <w:rFonts w:ascii="Arial" w:cs="Arial" w:eastAsia="Arial" w:hAnsi="Arial"/>
                <w:sz w:val="17"/>
                <w:szCs w:val="17"/>
                <w:b w:val="1"/>
                <w:bCs w:val="1"/>
                <w:color w:val="auto"/>
              </w:rPr>
              <w:t>Nine Months Ended September 30, 2022</w:t>
            </w: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7"/>
                <w:szCs w:val="17"/>
                <w:b w:val="1"/>
                <w:bCs w:val="1"/>
                <w:color w:val="auto"/>
                <w:w w:val="91"/>
              </w:rPr>
              <w:t>Rates and</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2"/>
              </w:rPr>
              <w:t>Realization of</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7"/>
                <w:szCs w:val="17"/>
                <w:b w:val="1"/>
                <w:bCs w:val="1"/>
                <w:color w:val="auto"/>
                <w:w w:val="88"/>
              </w:rPr>
              <w:t>Rates and</w:t>
            </w:r>
          </w:p>
        </w:tc>
        <w:tc>
          <w:tcPr>
            <w:tcW w:w="1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7"/>
                <w:szCs w:val="17"/>
                <w:b w:val="1"/>
                <w:bCs w:val="1"/>
                <w:color w:val="auto"/>
                <w:w w:val="92"/>
              </w:rPr>
              <w:t>Realization of</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5"/>
              </w:rPr>
              <w:t>expected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5"/>
              </w:rPr>
              <w:t>expected cash</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assumptions</w:t>
            </w:r>
          </w:p>
        </w:tc>
        <w:tc>
          <w:tcPr>
            <w:tcW w:w="12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flows</w:t>
            </w: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assumptions</w:t>
            </w: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flows</w:t>
            </w:r>
          </w:p>
        </w:tc>
        <w:tc>
          <w:tcPr>
            <w:tcW w:w="240" w:type="dxa"/>
            <w:vAlign w:val="bottom"/>
          </w:tcPr>
          <w:p>
            <w:pPr>
              <w:spacing w:after="0"/>
              <w:rPr>
                <w:sz w:val="20"/>
                <w:szCs w:val="20"/>
                <w:color w:val="auto"/>
              </w:rPr>
            </w:pPr>
          </w:p>
        </w:tc>
        <w:tc>
          <w:tcPr>
            <w:tcW w:w="900" w:type="dxa"/>
            <w:vAlign w:val="bottom"/>
          </w:tcPr>
          <w:p>
            <w:pPr>
              <w:jc w:val="right"/>
              <w:ind w:right="2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Owned MSR (1)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300.6</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Arial" w:cs="Arial" w:eastAsia="Arial" w:hAnsi="Arial"/>
                <w:sz w:val="17"/>
                <w:szCs w:val="17"/>
                <w:color w:val="auto"/>
              </w:rPr>
              <w:t>Transferred MSR (2)(3)</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 financing liability (2)</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55"/>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Derivative fair value gain (loss) (MSR</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economic hedges)</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0" w:type="dxa"/>
            <w:vAlign w:val="bottom"/>
          </w:tcPr>
          <w:p>
            <w:pPr>
              <w:spacing w:after="0"/>
              <w:rPr>
                <w:sz w:val="1"/>
                <w:szCs w:val="1"/>
                <w:color w:val="auto"/>
              </w:rPr>
            </w:pPr>
          </w:p>
        </w:tc>
      </w:tr>
      <w:tr>
        <w:trPr>
          <w:trHeight w:val="142"/>
        </w:trPr>
        <w:tc>
          <w:tcPr>
            <w:tcW w:w="3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right="320" w:hanging="317"/>
        <w:spacing w:after="0" w:line="252"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$0.0 million and $(0.3) million for the three and nine months ended September 30, 2023, respectively, and $2.7 million and $2.8 million during the three and nine months ended September 30, 2022, respectively, of fair value changes on the reverse MSR liability and other.</w:t>
      </w:r>
    </w:p>
    <w:p>
      <w:pPr>
        <w:ind w:left="320" w:right="40" w:hanging="317"/>
        <w:spacing w:after="0" w:line="238"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Also refer to Note 8 — Other Financing Liabilities, at Fair Value for additional information related to the ESS financing liability and Pledged MSR liability, including a tabular presentation of activity of the Pledged MSR liability for the reported periods.</w:t>
      </w:r>
    </w:p>
    <w:p>
      <w:pPr>
        <w:ind w:left="320" w:hanging="317"/>
        <w:spacing w:after="0"/>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MSR transfers that do not achieve sale accounting.</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8 — Other Financing Liabilities,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following tables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12 – Borrowings for ESS financing liability carried at amortized cost).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5"/>
        </w:trPr>
        <w:tc>
          <w:tcPr>
            <w:tcW w:w="55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b w:val="1"/>
                <w:bCs w:val="1"/>
                <w:color w:val="auto"/>
              </w:rPr>
              <w:t>Outstanding Balance</w:t>
            </w:r>
          </w:p>
        </w:tc>
        <w:tc>
          <w:tcPr>
            <w:tcW w:w="680" w:type="dxa"/>
            <w:vAlign w:val="bottom"/>
            <w:tcBorders>
              <w:bottom w:val="single" w:sz="8" w:color="auto"/>
            </w:tcBorders>
          </w:tcPr>
          <w:p>
            <w:pPr>
              <w:spacing w:after="0"/>
              <w:rPr>
                <w:sz w:val="19"/>
                <w:szCs w:val="19"/>
                <w:color w:val="auto"/>
              </w:rPr>
            </w:pPr>
          </w:p>
        </w:tc>
      </w:tr>
      <w:tr>
        <w:trPr>
          <w:trHeight w:val="213"/>
        </w:trPr>
        <w:tc>
          <w:tcPr>
            <w:tcW w:w="5520" w:type="dxa"/>
            <w:vAlign w:val="bottom"/>
          </w:tcPr>
          <w:p>
            <w:pPr>
              <w:ind w:left="2160"/>
              <w:spacing w:after="0"/>
              <w:rPr>
                <w:sz w:val="20"/>
                <w:szCs w:val="20"/>
                <w:color w:val="auto"/>
              </w:rPr>
            </w:pPr>
            <w:r>
              <w:rPr>
                <w:rFonts w:ascii="Arial" w:cs="Arial" w:eastAsia="Arial" w:hAnsi="Arial"/>
                <w:sz w:val="17"/>
                <w:szCs w:val="17"/>
                <w:b w:val="1"/>
                <w:bCs w:val="1"/>
                <w:color w:val="auto"/>
              </w:rPr>
              <w:t>Borrowing Type</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Collateral</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Maturity</w:t>
            </w: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5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MSR transfers not qualifying for sale accounting (1):</w:t>
            </w: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20"/>
        </w:trPr>
        <w:tc>
          <w:tcPr>
            <w:tcW w:w="5520" w:type="dxa"/>
            <w:vAlign w:val="bottom"/>
          </w:tcPr>
          <w:p>
            <w:pPr>
              <w:ind w:left="120"/>
              <w:spacing w:after="0"/>
              <w:rPr>
                <w:sz w:val="20"/>
                <w:szCs w:val="20"/>
                <w:color w:val="auto"/>
              </w:rPr>
            </w:pPr>
            <w:r>
              <w:rPr>
                <w:rFonts w:ascii="Arial" w:cs="Arial" w:eastAsia="Arial" w:hAnsi="Arial"/>
                <w:sz w:val="17"/>
                <w:szCs w:val="17"/>
                <w:color w:val="auto"/>
              </w:rPr>
              <w:t>Original Rights to MSRs Agreements, at fair value - Rithm</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MSRs</w:t>
            </w:r>
          </w:p>
        </w:tc>
        <w:tc>
          <w:tcPr>
            <w:tcW w:w="1200" w:type="dxa"/>
            <w:vAlign w:val="bottom"/>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577.8</w:t>
            </w:r>
          </w:p>
        </w:tc>
        <w:tc>
          <w:tcPr>
            <w:tcW w:w="100" w:type="dxa"/>
            <w:vAlign w:val="bottom"/>
          </w:tcPr>
          <w:p>
            <w:pPr>
              <w:spacing w:after="0"/>
              <w:rPr>
                <w:sz w:val="19"/>
                <w:szCs w:val="19"/>
                <w:color w:val="auto"/>
              </w:rPr>
            </w:pPr>
          </w:p>
        </w:tc>
        <w:tc>
          <w:tcPr>
            <w:tcW w:w="840" w:type="dxa"/>
            <w:vAlign w:val="bottom"/>
          </w:tcPr>
          <w:p>
            <w:pPr>
              <w:jc w:val="right"/>
              <w:ind w:right="654"/>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601.2</w:t>
            </w:r>
          </w:p>
        </w:tc>
      </w:tr>
      <w:tr>
        <w:trPr>
          <w:trHeight w:val="220"/>
        </w:trPr>
        <w:tc>
          <w:tcPr>
            <w:tcW w:w="5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Pledged MSR liability, at fair value - MAV</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MSRs</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w:t>
            </w:r>
          </w:p>
        </w:tc>
      </w:tr>
      <w:tr>
        <w:trPr>
          <w:trHeight w:val="220"/>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Pledged MSR liability, at fair value - Others</w:t>
            </w:r>
          </w:p>
        </w:tc>
        <w:tc>
          <w:tcPr>
            <w:tcW w:w="130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4"/>
              </w:rPr>
              <w:t>MSRs</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120.8</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213"/>
        </w:trPr>
        <w:tc>
          <w:tcPr>
            <w:tcW w:w="5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931.7</w:t>
            </w:r>
          </w:p>
        </w:tc>
      </w:tr>
      <w:tr>
        <w:trPr>
          <w:trHeight w:val="168"/>
        </w:trPr>
        <w:tc>
          <w:tcPr>
            <w:tcW w:w="5520" w:type="dxa"/>
            <w:vAlign w:val="bottom"/>
          </w:tcPr>
          <w:p>
            <w:pPr>
              <w:spacing w:after="0" w:line="168" w:lineRule="exact"/>
              <w:rPr>
                <w:sz w:val="20"/>
                <w:szCs w:val="20"/>
                <w:color w:val="auto"/>
              </w:rPr>
            </w:pPr>
            <w:r>
              <w:rPr>
                <w:rFonts w:ascii="Arial" w:cs="Arial" w:eastAsia="Arial" w:hAnsi="Arial"/>
                <w:sz w:val="17"/>
                <w:szCs w:val="17"/>
                <w:color w:val="auto"/>
                <w:w w:val="95"/>
              </w:rPr>
              <w:t>Financing liability - Owed to securitization investors, at fair value: Residential</w:t>
            </w:r>
          </w:p>
        </w:tc>
        <w:tc>
          <w:tcPr>
            <w:tcW w:w="1300" w:type="dxa"/>
            <w:vAlign w:val="bottom"/>
            <w:gridSpan w:val="2"/>
          </w:tcPr>
          <w:p>
            <w:pPr>
              <w:jc w:val="center"/>
              <w:ind w:right="100"/>
              <w:spacing w:after="0" w:line="168" w:lineRule="exact"/>
              <w:rPr>
                <w:sz w:val="20"/>
                <w:szCs w:val="20"/>
                <w:color w:val="auto"/>
              </w:rPr>
            </w:pPr>
            <w:r>
              <w:rPr>
                <w:rFonts w:ascii="Arial" w:cs="Arial" w:eastAsia="Arial" w:hAnsi="Arial"/>
                <w:sz w:val="17"/>
                <w:szCs w:val="17"/>
                <w:color w:val="auto"/>
                <w:w w:val="92"/>
              </w:rPr>
              <w:t>Loans held for</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2"/>
        </w:trPr>
        <w:tc>
          <w:tcPr>
            <w:tcW w:w="5520" w:type="dxa"/>
            <w:vAlign w:val="bottom"/>
          </w:tcPr>
          <w:p>
            <w:pPr>
              <w:ind w:left="160"/>
              <w:spacing w:after="0"/>
              <w:rPr>
                <w:sz w:val="20"/>
                <w:szCs w:val="20"/>
                <w:color w:val="auto"/>
              </w:rPr>
            </w:pPr>
            <w:r>
              <w:rPr>
                <w:rFonts w:ascii="Arial" w:cs="Arial" w:eastAsia="Arial" w:hAnsi="Arial"/>
                <w:sz w:val="17"/>
                <w:szCs w:val="17"/>
                <w:color w:val="auto"/>
              </w:rPr>
              <w:t>Asset Securitization Trust 2003-A11 (RAST 2003-A11) (2)</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investment</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October 2033</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ESS financing liability, at fair value (3)</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MSRs (3)</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199.0</w:t>
            </w:r>
          </w:p>
        </w:tc>
      </w:tr>
      <w:tr>
        <w:trPr>
          <w:trHeight w:val="213"/>
        </w:trPr>
        <w:tc>
          <w:tcPr>
            <w:tcW w:w="5520" w:type="dxa"/>
            <w:vAlign w:val="bottom"/>
          </w:tcPr>
          <w:p>
            <w:pPr>
              <w:ind w:left="220"/>
              <w:spacing w:after="0"/>
              <w:rPr>
                <w:sz w:val="20"/>
                <w:szCs w:val="20"/>
                <w:color w:val="auto"/>
              </w:rPr>
            </w:pPr>
            <w:r>
              <w:rPr>
                <w:rFonts w:ascii="Arial" w:cs="Arial" w:eastAsia="Arial" w:hAnsi="Arial"/>
                <w:sz w:val="17"/>
                <w:szCs w:val="17"/>
                <w:b w:val="1"/>
                <w:bCs w:val="1"/>
                <w:color w:val="auto"/>
              </w:rPr>
              <w:t>Total Other financing liabilities, at fair value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1,380.3</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1,137.4</w:t>
            </w:r>
          </w:p>
        </w:tc>
      </w:tr>
      <w:tr>
        <w:trPr>
          <w:trHeight w:val="20"/>
        </w:trPr>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MSRs transferred, subservicing retained, or sold in transactions which do not qualify for sale accounting treatment are accounted for as secured financings.</w:t>
      </w:r>
    </w:p>
    <w:p>
      <w:pPr>
        <w:spacing w:after="0" w:line="31" w:lineRule="exact"/>
        <w:rPr>
          <w:rFonts w:ascii="Arial" w:cs="Arial" w:eastAsia="Arial" w:hAnsi="Arial"/>
          <w:sz w:val="14"/>
          <w:szCs w:val="14"/>
          <w:color w:val="auto"/>
        </w:rPr>
      </w:pPr>
    </w:p>
    <w:p>
      <w:pPr>
        <w:ind w:left="320" w:hanging="317"/>
        <w:spacing w:after="0" w:line="235"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securitization debt certificates due to third parties that represent beneficial interests in trusts that are consolidated.</w:t>
      </w:r>
    </w:p>
    <w:p>
      <w:pPr>
        <w:ind w:left="320" w:right="480" w:hanging="317"/>
        <w:spacing w:after="0" w:line="253"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the obligation to remit to a third party a specified percentage of future servicing fee collections (servicing spread) on reference pools of MSRs, which we are entitled to as owner of the related MSRs.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With the exception of the MSRs for which title has not transferred to Rithm ($10.1 billion UPB at September 30, 2023 - discussed below), the MSR and Pledged MSR liability associated with Rithm servicing agreements will be derecognized on December 31, 2023 as MSR sale accounting criteria will be met (specifically, the parties may cancel or decline to renew the servicing agreements after a reasonable period). As of September 30, 2023, the MSR and the Pledged MSR liability subject to derecognition amounted to $450.7 million and $450.7 million, respectively, resulting in no gain or loss upon derecognition. The statement of operations will prospectively reflect subservicing fee revenue as opposed to the current gross presentation of servicing fee revenue and separate presentation of servicing fee remittances within Pledged MSR liability expense.</w:t>
      </w:r>
    </w:p>
    <w:p>
      <w:pPr>
        <w:spacing w:after="0" w:line="78"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following tables present the activity of the pledged MSR liability recorded in connection with the MSR transfer agreements with MAV, Rithm and others that do not qualify for sale accounting.</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7"/>
              </w:rPr>
              <w:t>Three Months Ended September 30,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3"/>
          </w:tcPr>
          <w:p>
            <w:pPr>
              <w:jc w:val="center"/>
              <w:ind w:right="80"/>
              <w:spacing w:after="0" w:line="168" w:lineRule="exact"/>
              <w:rPr>
                <w:sz w:val="20"/>
                <w:szCs w:val="20"/>
                <w:color w:val="auto"/>
              </w:rPr>
            </w:pPr>
            <w:r>
              <w:rPr>
                <w:rFonts w:ascii="Arial" w:cs="Arial" w:eastAsia="Arial" w:hAnsi="Arial"/>
                <w:sz w:val="17"/>
                <w:szCs w:val="17"/>
                <w:b w:val="1"/>
                <w:bCs w:val="1"/>
                <w:color w:val="auto"/>
                <w:w w:val="93"/>
              </w:rPr>
              <w:t>Original Rights to</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7"/>
                <w:szCs w:val="17"/>
                <w:b w:val="1"/>
                <w:bCs w:val="1"/>
                <w:color w:val="auto"/>
                <w:w w:val="93"/>
              </w:rPr>
              <w:t>Rithm and</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center"/>
              <w:ind w:right="240"/>
              <w:spacing w:after="0" w:line="173" w:lineRule="exact"/>
              <w:rPr>
                <w:sz w:val="20"/>
                <w:szCs w:val="20"/>
                <w:color w:val="auto"/>
              </w:rPr>
            </w:pPr>
            <w:r>
              <w:rPr>
                <w:rFonts w:ascii="Arial" w:cs="Arial" w:eastAsia="Arial" w:hAnsi="Arial"/>
                <w:sz w:val="17"/>
                <w:szCs w:val="17"/>
                <w:b w:val="1"/>
                <w:bCs w:val="1"/>
                <w:color w:val="auto"/>
                <w:w w:val="97"/>
              </w:rPr>
              <w:t>MSRs</w:t>
            </w: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Pledged MSR Liability</w:t>
            </w: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MAV (1)</w:t>
            </w:r>
          </w:p>
        </w:tc>
        <w:tc>
          <w:tcPr>
            <w:tcW w:w="120" w:type="dxa"/>
            <w:vAlign w:val="bottom"/>
          </w:tcPr>
          <w:p>
            <w:pPr>
              <w:spacing w:after="0"/>
              <w:rPr>
                <w:sz w:val="14"/>
                <w:szCs w:val="14"/>
                <w:color w:val="auto"/>
              </w:rPr>
            </w:pPr>
          </w:p>
        </w:tc>
        <w:tc>
          <w:tcPr>
            <w:tcW w:w="134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4"/>
                <w:szCs w:val="14"/>
                <w:color w:val="auto"/>
              </w:rPr>
            </w:pPr>
          </w:p>
        </w:tc>
        <w:tc>
          <w:tcPr>
            <w:tcW w:w="1340" w:type="dxa"/>
            <w:vAlign w:val="bottom"/>
            <w:gridSpan w:val="2"/>
          </w:tcPr>
          <w:p>
            <w:pPr>
              <w:jc w:val="center"/>
              <w:ind w:right="240"/>
              <w:spacing w:after="0" w:line="168" w:lineRule="exact"/>
              <w:rPr>
                <w:sz w:val="20"/>
                <w:szCs w:val="20"/>
                <w:color w:val="auto"/>
              </w:rPr>
            </w:pPr>
            <w:r>
              <w:rPr>
                <w:rFonts w:ascii="Arial" w:cs="Arial" w:eastAsia="Arial" w:hAnsi="Arial"/>
                <w:sz w:val="17"/>
                <w:szCs w:val="17"/>
                <w:b w:val="1"/>
                <w:bCs w:val="1"/>
                <w:color w:val="auto"/>
                <w:w w:val="90"/>
              </w:rPr>
              <w:t>Agreements -</w:t>
            </w:r>
          </w:p>
        </w:tc>
        <w:tc>
          <w:tcPr>
            <w:tcW w:w="24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MAV (1)</w:t>
            </w:r>
          </w:p>
        </w:tc>
        <w:tc>
          <w:tcPr>
            <w:tcW w:w="30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Others</w:t>
            </w: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Rithm</w:t>
            </w:r>
          </w:p>
        </w:tc>
        <w:tc>
          <w:tcPr>
            <w:tcW w:w="2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7"/>
                <w:szCs w:val="17"/>
                <w:color w:val="auto"/>
              </w:rPr>
              <w:t>MSR transfers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22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Derecognition of financing</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2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liability (2)</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220" w:type="dxa"/>
            <w:vAlign w:val="bottom"/>
          </w:tcPr>
          <w:p>
            <w:pPr>
              <w:ind w:left="120"/>
              <w:spacing w:after="0"/>
              <w:rPr>
                <w:sz w:val="20"/>
                <w:szCs w:val="20"/>
                <w:color w:val="auto"/>
              </w:rPr>
            </w:pPr>
            <w:r>
              <w:rPr>
                <w:rFonts w:ascii="Arial" w:cs="Arial" w:eastAsia="Arial" w:hAnsi="Arial"/>
                <w:sz w:val="17"/>
                <w:szCs w:val="17"/>
                <w:color w:val="auto"/>
              </w:rPr>
              <w:t>Calls</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Fair value gain (loss)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220" w:type="dxa"/>
            <w:vAlign w:val="bottom"/>
          </w:tcPr>
          <w:p>
            <w:pPr>
              <w:ind w:left="220"/>
              <w:spacing w:after="0" w:line="181" w:lineRule="exact"/>
              <w:rPr>
                <w:sz w:val="20"/>
                <w:szCs w:val="20"/>
                <w:color w:val="auto"/>
              </w:rPr>
            </w:pPr>
            <w:r>
              <w:rPr>
                <w:rFonts w:ascii="Arial" w:cs="Arial" w:eastAsia="Arial" w:hAnsi="Arial"/>
                <w:sz w:val="17"/>
                <w:szCs w:val="17"/>
                <w:color w:val="auto"/>
                <w:w w:val="93"/>
              </w:rPr>
              <w:t>Changes in fair value due to</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2220" w:type="dxa"/>
            <w:vAlign w:val="bottom"/>
          </w:tcPr>
          <w:p>
            <w:pPr>
              <w:ind w:left="380"/>
              <w:spacing w:after="0"/>
              <w:rPr>
                <w:sz w:val="20"/>
                <w:szCs w:val="20"/>
                <w:color w:val="auto"/>
              </w:rPr>
            </w:pPr>
            <w:r>
              <w:rPr>
                <w:rFonts w:ascii="Arial" w:cs="Arial" w:eastAsia="Arial" w:hAnsi="Arial"/>
                <w:sz w:val="17"/>
                <w:szCs w:val="17"/>
                <w:color w:val="auto"/>
              </w:rPr>
              <w:t>inputs and assumptions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220" w:type="dxa"/>
            <w:vAlign w:val="bottom"/>
            <w:shd w:val="clear" w:color="auto" w:fill="CCEEFF"/>
          </w:tcPr>
          <w:p>
            <w:pPr>
              <w:ind w:left="220"/>
              <w:spacing w:after="0" w:line="181" w:lineRule="exact"/>
              <w:rPr>
                <w:sz w:val="20"/>
                <w:szCs w:val="20"/>
                <w:color w:val="auto"/>
              </w:rPr>
            </w:pPr>
            <w:r>
              <w:rPr>
                <w:rFonts w:ascii="Arial" w:cs="Arial" w:eastAsia="Arial" w:hAnsi="Arial"/>
                <w:sz w:val="17"/>
                <w:szCs w:val="17"/>
                <w:color w:val="auto"/>
                <w:w w:val="91"/>
              </w:rPr>
              <w:t>Realization of expected cash</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20" w:type="dxa"/>
            <w:vAlign w:val="bottom"/>
          </w:tcPr>
          <w:p>
            <w:pPr>
              <w:spacing w:after="0"/>
              <w:rPr>
                <w:sz w:val="19"/>
                <w:szCs w:val="19"/>
                <w:color w:val="auto"/>
              </w:rPr>
            </w:pPr>
          </w:p>
        </w:tc>
        <w:tc>
          <w:tcPr>
            <w:tcW w:w="2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flows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22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w w:val="96"/>
              </w:rPr>
              <w:t>Total fair value (gain) loss</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9"/>
        </w:trPr>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854"/>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2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0" w:name="page31"/>
    <w:bookmarkEnd w:id="30"/>
    <w:tbl>
      <w:tblPr>
        <w:tblLayout w:type="fixed"/>
        <w:tblInd w:w="117" w:type="dxa"/>
        <w:tblCellMar>
          <w:top w:w="0" w:type="dxa"/>
          <w:left w:w="0" w:type="dxa"/>
          <w:bottom w:w="0" w:type="dxa"/>
          <w:right w:w="0" w:type="dxa"/>
        </w:tblCellMar>
      </w:tblPr>
      <w:tr>
        <w:trPr>
          <w:trHeight w:val="225"/>
        </w:trPr>
        <w:tc>
          <w:tcPr>
            <w:tcW w:w="2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w w:val="98"/>
              </w:rPr>
              <w:t>Nine Months Ended September 30,</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3"/>
          </w:tcPr>
          <w:p>
            <w:pPr>
              <w:jc w:val="center"/>
              <w:ind w:right="100"/>
              <w:spacing w:after="0" w:line="161" w:lineRule="exact"/>
              <w:rPr>
                <w:sz w:val="20"/>
                <w:szCs w:val="20"/>
                <w:color w:val="auto"/>
              </w:rPr>
            </w:pPr>
            <w:r>
              <w:rPr>
                <w:rFonts w:ascii="Arial" w:cs="Arial" w:eastAsia="Arial" w:hAnsi="Arial"/>
                <w:sz w:val="17"/>
                <w:szCs w:val="17"/>
                <w:b w:val="1"/>
                <w:bCs w:val="1"/>
                <w:color w:val="auto"/>
                <w:w w:val="92"/>
              </w:rPr>
              <w:t>Original Rights to</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6"/>
              </w:rPr>
              <w:t>Rithm and</w:t>
            </w:r>
          </w:p>
        </w:tc>
        <w:tc>
          <w:tcPr>
            <w:tcW w:w="1460" w:type="dxa"/>
            <w:vAlign w:val="bottom"/>
            <w:gridSpan w:val="3"/>
            <w:vMerge w:val="restart"/>
          </w:tcPr>
          <w:p>
            <w:pPr>
              <w:jc w:val="right"/>
              <w:ind w:right="120"/>
              <w:spacing w:after="0"/>
              <w:rPr>
                <w:sz w:val="20"/>
                <w:szCs w:val="20"/>
                <w:color w:val="auto"/>
              </w:rPr>
            </w:pPr>
            <w:r>
              <w:rPr>
                <w:rFonts w:ascii="Arial" w:cs="Arial" w:eastAsia="Arial" w:hAnsi="Arial"/>
                <w:sz w:val="17"/>
                <w:szCs w:val="17"/>
                <w:b w:val="1"/>
                <w:bCs w:val="1"/>
                <w:color w:val="auto"/>
                <w:w w:val="93"/>
              </w:rPr>
              <w:t>MAV Agreements</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Arial" w:cs="Arial" w:eastAsia="Arial" w:hAnsi="Arial"/>
                <w:sz w:val="17"/>
                <w:szCs w:val="17"/>
                <w:b w:val="1"/>
                <w:bCs w:val="1"/>
                <w:color w:val="auto"/>
                <w:w w:val="93"/>
              </w:rPr>
              <w:t>MSRs</w:t>
            </w:r>
          </w:p>
        </w:tc>
        <w:tc>
          <w:tcPr>
            <w:tcW w:w="14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MAV Agreements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Pledged MSR Liability</w:t>
            </w:r>
          </w:p>
        </w:tc>
        <w:tc>
          <w:tcPr>
            <w:tcW w:w="2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3" w:lineRule="exact"/>
              <w:rPr>
                <w:sz w:val="20"/>
                <w:szCs w:val="20"/>
                <w:color w:val="auto"/>
              </w:rPr>
            </w:pPr>
            <w:r>
              <w:rPr>
                <w:rFonts w:ascii="Arial" w:cs="Arial" w:eastAsia="Arial" w:hAnsi="Arial"/>
                <w:sz w:val="17"/>
                <w:szCs w:val="17"/>
                <w:b w:val="1"/>
                <w:bCs w:val="1"/>
                <w:color w:val="auto"/>
                <w:w w:val="90"/>
              </w:rPr>
              <w:t>Agreements -</w:t>
            </w:r>
          </w:p>
        </w:tc>
        <w:tc>
          <w:tcPr>
            <w:tcW w:w="14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0"/>
        </w:trPr>
        <w:tc>
          <w:tcPr>
            <w:tcW w:w="2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Others</w:t>
            </w:r>
          </w:p>
        </w:tc>
        <w:tc>
          <w:tcPr>
            <w:tcW w:w="300" w:type="dxa"/>
            <w:vAlign w:val="bottom"/>
          </w:tcPr>
          <w:p>
            <w:pPr>
              <w:spacing w:after="0"/>
              <w:rPr>
                <w:sz w:val="19"/>
                <w:szCs w:val="19"/>
                <w:color w:val="auto"/>
              </w:rPr>
            </w:pPr>
          </w:p>
        </w:tc>
        <w:tc>
          <w:tcPr>
            <w:tcW w:w="1060" w:type="dxa"/>
            <w:vAlign w:val="bottom"/>
          </w:tcPr>
          <w:p>
            <w:pPr>
              <w:jc w:val="right"/>
              <w:ind w:right="494"/>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Rithm</w:t>
            </w:r>
          </w:p>
        </w:tc>
        <w:tc>
          <w:tcPr>
            <w:tcW w:w="320" w:type="dxa"/>
            <w:vAlign w:val="bottom"/>
          </w:tcPr>
          <w:p>
            <w:pPr>
              <w:spacing w:after="0"/>
              <w:rPr>
                <w:sz w:val="19"/>
                <w:szCs w:val="19"/>
                <w:color w:val="auto"/>
              </w:rPr>
            </w:pPr>
          </w:p>
        </w:tc>
        <w:tc>
          <w:tcPr>
            <w:tcW w:w="1060" w:type="dxa"/>
            <w:vAlign w:val="bottom"/>
          </w:tcPr>
          <w:p>
            <w:pPr>
              <w:jc w:val="right"/>
              <w:ind w:right="494"/>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797.1</w:t>
            </w:r>
          </w:p>
        </w:tc>
        <w:tc>
          <w:tcPr>
            <w:tcW w:w="0" w:type="dxa"/>
            <w:vAlign w:val="bottom"/>
          </w:tcPr>
          <w:p>
            <w:pPr>
              <w:spacing w:after="0"/>
              <w:rPr>
                <w:sz w:val="1"/>
                <w:szCs w:val="1"/>
                <w:color w:val="auto"/>
              </w:rPr>
            </w:pPr>
          </w:p>
        </w:tc>
      </w:tr>
      <w:tr>
        <w:trPr>
          <w:trHeight w:val="220"/>
        </w:trPr>
        <w:tc>
          <w:tcPr>
            <w:tcW w:w="2320" w:type="dxa"/>
            <w:vAlign w:val="bottom"/>
          </w:tcPr>
          <w:p>
            <w:pPr>
              <w:ind w:left="140"/>
              <w:spacing w:after="0"/>
              <w:rPr>
                <w:sz w:val="20"/>
                <w:szCs w:val="20"/>
                <w:color w:val="auto"/>
              </w:rPr>
            </w:pPr>
            <w:r>
              <w:rPr>
                <w:rFonts w:ascii="Arial" w:cs="Arial" w:eastAsia="Arial" w:hAnsi="Arial"/>
                <w:sz w:val="17"/>
                <w:szCs w:val="17"/>
                <w:color w:val="auto"/>
              </w:rPr>
              <w:t>MSR transfers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81.6</w:t>
            </w: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140"/>
              <w:spacing w:after="0" w:line="168" w:lineRule="exact"/>
              <w:rPr>
                <w:sz w:val="20"/>
                <w:szCs w:val="20"/>
                <w:color w:val="auto"/>
              </w:rPr>
            </w:pPr>
            <w:r>
              <w:rPr>
                <w:rFonts w:ascii="Arial" w:cs="Arial" w:eastAsia="Arial" w:hAnsi="Arial"/>
                <w:sz w:val="17"/>
                <w:szCs w:val="17"/>
                <w:color w:val="auto"/>
              </w:rPr>
              <w:t>Derecognition of financing</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liability (2)</w:t>
            </w: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0" w:type="dxa"/>
            <w:vAlign w:val="bottom"/>
          </w:tcPr>
          <w:p>
            <w:pPr>
              <w:spacing w:after="0"/>
              <w:rPr>
                <w:sz w:val="1"/>
                <w:szCs w:val="1"/>
                <w:color w:val="auto"/>
              </w:rPr>
            </w:pPr>
          </w:p>
        </w:tc>
      </w:tr>
      <w:tr>
        <w:trPr>
          <w:trHeight w:val="220"/>
        </w:trPr>
        <w:tc>
          <w:tcPr>
            <w:tcW w:w="2320" w:type="dxa"/>
            <w:vAlign w:val="bottom"/>
          </w:tcPr>
          <w:p>
            <w:pPr>
              <w:ind w:left="140"/>
              <w:spacing w:after="0"/>
              <w:rPr>
                <w:sz w:val="20"/>
                <w:szCs w:val="20"/>
                <w:color w:val="auto"/>
              </w:rPr>
            </w:pPr>
            <w:r>
              <w:rPr>
                <w:rFonts w:ascii="Arial" w:cs="Arial" w:eastAsia="Arial" w:hAnsi="Arial"/>
                <w:sz w:val="17"/>
                <w:szCs w:val="17"/>
                <w:color w:val="auto"/>
              </w:rPr>
              <w:t>Calls</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Fair value gain (loss)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220"/>
              <w:spacing w:after="0" w:line="168" w:lineRule="exact"/>
              <w:rPr>
                <w:sz w:val="20"/>
                <w:szCs w:val="20"/>
                <w:color w:val="auto"/>
              </w:rPr>
            </w:pPr>
            <w:r>
              <w:rPr>
                <w:rFonts w:ascii="Arial" w:cs="Arial" w:eastAsia="Arial" w:hAnsi="Arial"/>
                <w:sz w:val="17"/>
                <w:szCs w:val="17"/>
                <w:color w:val="auto"/>
                <w:w w:val="98"/>
              </w:rPr>
              <w:t>Changes in fair value due to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20" w:type="dxa"/>
            <w:vAlign w:val="bottom"/>
          </w:tcPr>
          <w:p>
            <w:pPr>
              <w:ind w:left="380"/>
              <w:spacing w:after="0"/>
              <w:rPr>
                <w:sz w:val="20"/>
                <w:szCs w:val="20"/>
                <w:color w:val="auto"/>
              </w:rPr>
            </w:pPr>
            <w:r>
              <w:rPr>
                <w:rFonts w:ascii="Arial" w:cs="Arial" w:eastAsia="Arial" w:hAnsi="Arial"/>
                <w:sz w:val="17"/>
                <w:szCs w:val="17"/>
                <w:color w:val="auto"/>
              </w:rPr>
              <w:t>inputs and assumptions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168"/>
        </w:trPr>
        <w:tc>
          <w:tcPr>
            <w:tcW w:w="232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5"/>
              </w:rPr>
              <w:t>Realization of expected cash</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flows</w:t>
            </w: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148"/>
        </w:trPr>
        <w:tc>
          <w:tcPr>
            <w:tcW w:w="2320" w:type="dxa"/>
            <w:vAlign w:val="bottom"/>
          </w:tcPr>
          <w:p>
            <w:pPr>
              <w:ind w:left="320"/>
              <w:spacing w:after="0" w:line="149" w:lineRule="exact"/>
              <w:rPr>
                <w:sz w:val="20"/>
                <w:szCs w:val="20"/>
                <w:color w:val="auto"/>
              </w:rPr>
            </w:pPr>
            <w:r>
              <w:rPr>
                <w:rFonts w:ascii="Arial" w:cs="Arial" w:eastAsia="Arial" w:hAnsi="Arial"/>
                <w:sz w:val="17"/>
                <w:szCs w:val="17"/>
                <w:color w:val="auto"/>
              </w:rPr>
              <w:t>Total fair value (gain) loss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320" w:type="dxa"/>
            <w:vAlign w:val="bottom"/>
            <w:tcBorders>
              <w:bottom w:val="single" w:sz="8" w:color="CCEEFF"/>
            </w:tcBorders>
          </w:tcPr>
          <w:p>
            <w:pPr>
              <w:ind w:left="400"/>
              <w:spacing w:after="0"/>
              <w:rPr>
                <w:sz w:val="20"/>
                <w:szCs w:val="20"/>
                <w:color w:val="auto"/>
              </w:rPr>
            </w:pPr>
            <w:r>
              <w:rPr>
                <w:rFonts w:ascii="Arial" w:cs="Arial" w:eastAsia="Arial" w:hAnsi="Arial"/>
                <w:sz w:val="17"/>
                <w:szCs w:val="17"/>
                <w:color w:val="auto"/>
              </w:rPr>
              <w:t>(3)</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107.7</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946.6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17" w:hanging="317"/>
        <w:spacing w:after="0" w:line="278" w:lineRule="auto"/>
        <w:tabs>
          <w:tab w:leader="none" w:pos="3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fair value of the Pledged MSR liability differs from the fair value of the associated transferred MSR asset mostly due to the portion of ancillary income that is contractually retained by PMC (shared between PMC and MAV) and other contractual cash flows during the expected life of the subservicing agreement.</w:t>
      </w:r>
    </w:p>
    <w:p>
      <w:pPr>
        <w:ind w:left="317" w:right="140" w:hanging="317"/>
        <w:spacing w:after="0" w:line="244" w:lineRule="auto"/>
        <w:tabs>
          <w:tab w:leader="none" w:pos="3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June 30, 2023 and September 30, 2022, we derecognized a portion of the MAV Pledged MSR liability upon sale of the related MSRs by MAV to a third party with a UPB of $2.3 billion and $2.9 billion, respectively.</w:t>
      </w:r>
    </w:p>
    <w:p>
      <w:pPr>
        <w:ind w:left="317" w:right="20" w:hanging="317"/>
        <w:spacing w:after="0" w:line="253" w:lineRule="auto"/>
        <w:tabs>
          <w:tab w:leader="none" w:pos="3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changes in fair value of the MAV Pledged MSR liability includes a $14.1 million loss associated with the amendment to the MAV Subservicing Agreement in March 2022, resulting in lower contractual ancillary income retained by PMC.</w:t>
      </w:r>
    </w:p>
    <w:p>
      <w:pPr>
        <w:spacing w:after="0" w:line="200" w:lineRule="exact"/>
        <w:rPr>
          <w:sz w:val="20"/>
          <w:szCs w:val="20"/>
          <w:color w:val="auto"/>
        </w:rPr>
      </w:pPr>
    </w:p>
    <w:p>
      <w:pPr>
        <w:spacing w:after="0" w:line="300"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37"/>
          </w:cols>
          <w:pgMar w:left="323" w:top="948" w:right="339" w:bottom="1440" w:gutter="0" w:footer="0" w:header="0"/>
        </w:sectPr>
      </w:pPr>
    </w:p>
    <w:bookmarkStart w:id="31" w:name="page32"/>
    <w:bookmarkEnd w:id="31"/>
    <w:p>
      <w:pPr>
        <w:ind w:right="260"/>
        <w:spacing w:after="0" w:line="283" w:lineRule="auto"/>
        <w:rPr>
          <w:sz w:val="20"/>
          <w:szCs w:val="20"/>
          <w:color w:val="auto"/>
        </w:rPr>
      </w:pPr>
      <w:r>
        <w:rPr>
          <w:rFonts w:ascii="Arial" w:cs="Arial" w:eastAsia="Arial" w:hAnsi="Arial"/>
          <w:sz w:val="17"/>
          <w:szCs w:val="17"/>
          <w:color w:val="auto"/>
        </w:rPr>
        <w:t>The following table presents the Pledged MSR liability expense recorded in connection with the MSR sale agreements with MAV, Rithm and others that do not qualify for sale accounting and the ESS financing liabilities.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12"/>
          </w:tcPr>
          <w:p>
            <w:pPr>
              <w:spacing w:after="0"/>
              <w:rPr>
                <w:sz w:val="20"/>
                <w:szCs w:val="20"/>
                <w:color w:val="auto"/>
              </w:rPr>
            </w:pPr>
            <w:r>
              <w:rPr>
                <w:rFonts w:ascii="Arial" w:cs="Arial" w:eastAsia="Arial" w:hAnsi="Arial"/>
                <w:sz w:val="17"/>
                <w:szCs w:val="17"/>
                <w:b w:val="1"/>
                <w:bCs w:val="1"/>
                <w:color w:val="auto"/>
                <w:w w:val="92"/>
              </w:rPr>
              <w:t>Three Months Ended September 30,</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13"/>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00"/>
              <w:spacing w:after="0" w:line="161" w:lineRule="exact"/>
              <w:rPr>
                <w:sz w:val="20"/>
                <w:szCs w:val="20"/>
                <w:color w:val="auto"/>
              </w:rPr>
            </w:pPr>
            <w:r>
              <w:rPr>
                <w:rFonts w:ascii="Arial" w:cs="Arial" w:eastAsia="Arial" w:hAnsi="Arial"/>
                <w:sz w:val="17"/>
                <w:szCs w:val="17"/>
                <w:b w:val="1"/>
                <w:bCs w:val="1"/>
                <w:color w:val="auto"/>
              </w:rPr>
              <w:t>Rithm and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3"/>
        </w:trPr>
        <w:tc>
          <w:tcPr>
            <w:tcW w:w="35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Others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ind w:left="200"/>
              <w:spacing w:after="0"/>
              <w:rPr>
                <w:sz w:val="20"/>
                <w:szCs w:val="20"/>
                <w:color w:val="auto"/>
              </w:rPr>
            </w:pPr>
            <w:r>
              <w:rPr>
                <w:rFonts w:ascii="Arial" w:cs="Arial" w:eastAsia="Arial" w:hAnsi="Arial"/>
                <w:sz w:val="17"/>
                <w:szCs w:val="17"/>
                <w:b w:val="1"/>
                <w:bCs w:val="1"/>
                <w:color w:val="auto"/>
              </w:rPr>
              <w:t>MAV</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rPr>
              <w:t>Total</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b w:val="1"/>
                <w:bCs w:val="1"/>
                <w:color w:val="auto"/>
              </w:rPr>
              <w:t>Rithm</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MAV</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Total</w:t>
            </w:r>
          </w:p>
        </w:tc>
      </w:tr>
      <w:tr>
        <w:trPr>
          <w:trHeight w:val="148"/>
        </w:trPr>
        <w:tc>
          <w:tcPr>
            <w:tcW w:w="356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w w:val="95"/>
              </w:rPr>
              <w:t>Servicing fees collected on behalf of Rithm, MAV</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others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w w:val="96"/>
              </w:rPr>
              <w:t>17.2</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81.2</w:t>
            </w:r>
          </w:p>
        </w:tc>
      </w:tr>
      <w:tr>
        <w:trPr>
          <w:trHeight w:val="220"/>
        </w:trPr>
        <w:tc>
          <w:tcPr>
            <w:tcW w:w="3560" w:type="dxa"/>
            <w:vAlign w:val="bottom"/>
          </w:tcPr>
          <w:p>
            <w:pPr>
              <w:ind w:left="20"/>
              <w:spacing w:after="0"/>
              <w:rPr>
                <w:sz w:val="20"/>
                <w:szCs w:val="20"/>
                <w:color w:val="auto"/>
              </w:rPr>
            </w:pPr>
            <w:r>
              <w:rPr>
                <w:rFonts w:ascii="Arial" w:cs="Arial" w:eastAsia="Arial" w:hAnsi="Arial"/>
                <w:sz w:val="17"/>
                <w:szCs w:val="17"/>
                <w:color w:val="auto"/>
              </w:rPr>
              <w:t>Less: Subservicing fee retained by Ocwen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ind w:left="640"/>
              <w:spacing w:after="0"/>
              <w:rPr>
                <w:sz w:val="20"/>
                <w:szCs w:val="20"/>
                <w:color w:val="auto"/>
              </w:rPr>
            </w:pPr>
            <w:r>
              <w:rPr>
                <w:rFonts w:ascii="Arial" w:cs="Arial" w:eastAsia="Arial" w:hAnsi="Arial"/>
                <w:sz w:val="17"/>
                <w:szCs w:val="17"/>
                <w:color w:val="auto"/>
                <w:w w:val="91"/>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4"/>
          </w:tcPr>
          <w:p>
            <w:pPr>
              <w:jc w:val="right"/>
              <w:ind w:right="20"/>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(20.1)</w:t>
            </w: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Ancillary fee/income and other settlement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32"/>
        </w:trPr>
        <w:tc>
          <w:tcPr>
            <w:tcW w:w="35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(including expense reimbursement)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3"/>
            <w:shd w:val="clear" w:color="auto" w:fill="CCEEFF"/>
          </w:tcPr>
          <w:p>
            <w:pPr>
              <w:ind w:left="640"/>
              <w:spacing w:after="0"/>
              <w:rPr>
                <w:sz w:val="20"/>
                <w:szCs w:val="20"/>
                <w:color w:val="auto"/>
              </w:rPr>
            </w:pPr>
            <w:r>
              <w:rPr>
                <w:rFonts w:ascii="Arial" w:cs="Arial" w:eastAsia="Arial" w:hAnsi="Arial"/>
                <w:sz w:val="17"/>
                <w:szCs w:val="17"/>
                <w:color w:val="auto"/>
                <w:w w:val="91"/>
              </w:rPr>
              <w:t>(0.3)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3"/>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w:t>
            </w:r>
          </w:p>
        </w:tc>
      </w:tr>
      <w:tr>
        <w:trPr>
          <w:trHeight w:val="213"/>
        </w:trPr>
        <w:tc>
          <w:tcPr>
            <w:tcW w:w="3560" w:type="dxa"/>
            <w:vAlign w:val="bottom"/>
          </w:tcPr>
          <w:p>
            <w:pPr>
              <w:ind w:left="220"/>
              <w:spacing w:after="0"/>
              <w:rPr>
                <w:sz w:val="20"/>
                <w:szCs w:val="20"/>
                <w:color w:val="auto"/>
              </w:rPr>
            </w:pPr>
            <w:r>
              <w:rPr>
                <w:rFonts w:ascii="Arial" w:cs="Arial" w:eastAsia="Arial" w:hAnsi="Arial"/>
                <w:sz w:val="17"/>
                <w:szCs w:val="17"/>
                <w:color w:val="auto"/>
                <w:w w:val="96"/>
              </w:rPr>
              <w:t>Transferred MSR net servicing fee remittance</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48.4</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tcPr>
          <w:p>
            <w:pPr>
              <w:ind w:left="620"/>
              <w:spacing w:after="0"/>
              <w:rPr>
                <w:sz w:val="20"/>
                <w:szCs w:val="20"/>
                <w:color w:val="auto"/>
              </w:rPr>
            </w:pPr>
            <w:r>
              <w:rPr>
                <w:rFonts w:ascii="Arial" w:cs="Arial" w:eastAsia="Arial" w:hAnsi="Arial"/>
                <w:sz w:val="17"/>
                <w:szCs w:val="17"/>
                <w:color w:val="auto"/>
                <w:w w:val="96"/>
              </w:rPr>
              <w:t>14.5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62.9</w:t>
            </w: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4"/>
          </w:tcPr>
          <w:p>
            <w:pPr>
              <w:jc w:val="right"/>
              <w:ind w:right="60"/>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64.4</w:t>
            </w: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185"/>
        </w:trPr>
        <w:tc>
          <w:tcPr>
            <w:tcW w:w="35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ESS servicing spread remittance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13.6</w:t>
            </w:r>
          </w:p>
        </w:tc>
        <w:tc>
          <w:tcPr>
            <w:tcW w:w="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1.2</w:t>
            </w:r>
          </w:p>
        </w:tc>
      </w:tr>
      <w:tr>
        <w:trPr>
          <w:trHeight w:val="213"/>
        </w:trPr>
        <w:tc>
          <w:tcPr>
            <w:tcW w:w="3560" w:type="dxa"/>
            <w:vAlign w:val="bottom"/>
          </w:tcPr>
          <w:p>
            <w:pPr>
              <w:ind w:left="120"/>
              <w:spacing w:after="0"/>
              <w:rPr>
                <w:sz w:val="20"/>
                <w:szCs w:val="20"/>
                <w:color w:val="auto"/>
              </w:rPr>
            </w:pPr>
            <w:r>
              <w:rPr>
                <w:rFonts w:ascii="Arial" w:cs="Arial" w:eastAsia="Arial" w:hAnsi="Arial"/>
                <w:sz w:val="17"/>
                <w:szCs w:val="17"/>
                <w:color w:val="auto"/>
              </w:rPr>
              <w:t>Pledged MSR liability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76.5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65.6</w:t>
            </w: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431"/>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2"/>
          </w:tcPr>
          <w:p>
            <w:pPr>
              <w:ind w:left="20"/>
              <w:spacing w:after="0"/>
              <w:rPr>
                <w:sz w:val="20"/>
                <w:szCs w:val="20"/>
                <w:color w:val="auto"/>
              </w:rPr>
            </w:pPr>
            <w:r>
              <w:rPr>
                <w:rFonts w:ascii="Arial" w:cs="Arial" w:eastAsia="Arial" w:hAnsi="Arial"/>
                <w:sz w:val="17"/>
                <w:szCs w:val="17"/>
                <w:b w:val="1"/>
                <w:bCs w:val="1"/>
                <w:color w:val="auto"/>
                <w:w w:val="91"/>
              </w:rPr>
              <w:t>Nine Months Ended September 30,</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3"/>
        </w:trPr>
        <w:tc>
          <w:tcPr>
            <w:tcW w:w="35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61"/>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80"/>
              <w:spacing w:after="0" w:line="161" w:lineRule="exact"/>
              <w:rPr>
                <w:sz w:val="20"/>
                <w:szCs w:val="20"/>
                <w:color w:val="auto"/>
              </w:rPr>
            </w:pPr>
            <w:r>
              <w:rPr>
                <w:rFonts w:ascii="Arial" w:cs="Arial" w:eastAsia="Arial" w:hAnsi="Arial"/>
                <w:sz w:val="17"/>
                <w:szCs w:val="17"/>
                <w:b w:val="1"/>
                <w:bCs w:val="1"/>
                <w:color w:val="auto"/>
                <w:w w:val="93"/>
              </w:rPr>
              <w:t>Rithm and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3"/>
        </w:trPr>
        <w:tc>
          <w:tcPr>
            <w:tcW w:w="3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Others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auto"/>
              </w:rPr>
              <w:t>MAV</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Arial" w:cs="Arial" w:eastAsia="Arial" w:hAnsi="Arial"/>
                <w:sz w:val="17"/>
                <w:szCs w:val="17"/>
                <w:b w:val="1"/>
                <w:bCs w:val="1"/>
                <w:color w:val="auto"/>
              </w:rPr>
              <w:t>Rithm</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74"/>
              <w:spacing w:after="0"/>
              <w:rPr>
                <w:sz w:val="20"/>
                <w:szCs w:val="20"/>
                <w:color w:val="auto"/>
              </w:rPr>
            </w:pPr>
            <w:r>
              <w:rPr>
                <w:rFonts w:ascii="Arial" w:cs="Arial" w:eastAsia="Arial" w:hAnsi="Arial"/>
                <w:sz w:val="17"/>
                <w:szCs w:val="17"/>
                <w:b w:val="1"/>
                <w:bCs w:val="1"/>
                <w:color w:val="auto"/>
              </w:rPr>
              <w:t>MAV</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w w:val="98"/>
              </w:rPr>
              <w:t>Total</w:t>
            </w:r>
          </w:p>
        </w:tc>
      </w:tr>
      <w:tr>
        <w:trPr>
          <w:trHeight w:val="148"/>
        </w:trPr>
        <w:tc>
          <w:tcPr>
            <w:tcW w:w="35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w w:val="95"/>
              </w:rPr>
              <w:t>Servicing fees collected on behalf of Rithm, MAV</w:t>
            </w: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Pr>
          <w:p>
            <w:pPr>
              <w:spacing w:after="0"/>
              <w:rPr>
                <w:sz w:val="12"/>
                <w:szCs w:val="12"/>
                <w:color w:val="auto"/>
              </w:rPr>
            </w:pPr>
          </w:p>
        </w:tc>
      </w:tr>
      <w:tr>
        <w:trPr>
          <w:trHeight w:val="232"/>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others</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246.3</w:t>
            </w:r>
          </w:p>
        </w:tc>
        <w:tc>
          <w:tcPr>
            <w:tcW w:w="220" w:type="dxa"/>
            <w:vAlign w:val="bottom"/>
          </w:tcPr>
          <w:p>
            <w:pPr>
              <w:spacing w:after="0"/>
              <w:rPr>
                <w:sz w:val="20"/>
                <w:szCs w:val="20"/>
                <w:color w:val="auto"/>
              </w:rPr>
            </w:pPr>
          </w:p>
        </w:tc>
      </w:tr>
      <w:tr>
        <w:trPr>
          <w:trHeight w:val="220"/>
        </w:trPr>
        <w:tc>
          <w:tcPr>
            <w:tcW w:w="3560" w:type="dxa"/>
            <w:vAlign w:val="bottom"/>
          </w:tcPr>
          <w:p>
            <w:pPr>
              <w:ind w:left="20"/>
              <w:spacing w:after="0"/>
              <w:rPr>
                <w:sz w:val="20"/>
                <w:szCs w:val="20"/>
                <w:color w:val="auto"/>
              </w:rPr>
            </w:pPr>
            <w:r>
              <w:rPr>
                <w:rFonts w:ascii="Arial" w:cs="Arial" w:eastAsia="Arial" w:hAnsi="Arial"/>
                <w:sz w:val="17"/>
                <w:szCs w:val="17"/>
                <w:color w:val="auto"/>
              </w:rPr>
              <w:t>Less: Subservicing fee retained by Ocwen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7"/>
                <w:szCs w:val="17"/>
                <w:color w:val="auto"/>
                <w:w w:val="91"/>
              </w:rPr>
              <w:t>(6.7)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(62.6)</w:t>
            </w:r>
          </w:p>
        </w:tc>
        <w:tc>
          <w:tcPr>
            <w:tcW w:w="220" w:type="dxa"/>
            <w:vAlign w:val="bottom"/>
          </w:tcPr>
          <w:p>
            <w:pPr>
              <w:spacing w:after="0"/>
              <w:rPr>
                <w:sz w:val="19"/>
                <w:szCs w:val="19"/>
                <w:color w:val="auto"/>
              </w:rPr>
            </w:pP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Ancillary fee/income and other settlement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Pr>
          <w:p>
            <w:pPr>
              <w:spacing w:after="0"/>
              <w:rPr>
                <w:sz w:val="14"/>
                <w:szCs w:val="14"/>
                <w:color w:val="auto"/>
              </w:rPr>
            </w:pPr>
          </w:p>
        </w:tc>
      </w:tr>
      <w:tr>
        <w:trPr>
          <w:trHeight w:val="232"/>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(including expense reimbursement)</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w w:val="91"/>
              </w:rPr>
              <w:t>(0.5)</w:t>
            </w: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20"/>
                <w:szCs w:val="20"/>
                <w:color w:val="auto"/>
              </w:rPr>
            </w:pPr>
          </w:p>
        </w:tc>
      </w:tr>
      <w:tr>
        <w:trPr>
          <w:trHeight w:val="213"/>
        </w:trPr>
        <w:tc>
          <w:tcPr>
            <w:tcW w:w="3560" w:type="dxa"/>
            <w:vAlign w:val="bottom"/>
          </w:tcPr>
          <w:p>
            <w:pPr>
              <w:ind w:left="220"/>
              <w:spacing w:after="0"/>
              <w:rPr>
                <w:sz w:val="20"/>
                <w:szCs w:val="20"/>
                <w:color w:val="auto"/>
              </w:rPr>
            </w:pPr>
            <w:r>
              <w:rPr>
                <w:rFonts w:ascii="Arial" w:cs="Arial" w:eastAsia="Arial" w:hAnsi="Arial"/>
                <w:sz w:val="17"/>
                <w:szCs w:val="17"/>
                <w:color w:val="auto"/>
                <w:w w:val="96"/>
              </w:rPr>
              <w:t>Transferred MSR net servicing fee remittance</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181.7</w:t>
            </w: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187.1</w:t>
            </w:r>
          </w:p>
        </w:tc>
        <w:tc>
          <w:tcPr>
            <w:tcW w:w="220" w:type="dxa"/>
            <w:vAlign w:val="bottom"/>
          </w:tcPr>
          <w:p>
            <w:pPr>
              <w:spacing w:after="0"/>
              <w:rPr>
                <w:sz w:val="18"/>
                <w:szCs w:val="18"/>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85"/>
        </w:trPr>
        <w:tc>
          <w:tcPr>
            <w:tcW w:w="356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ESS servicing spread remittance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38.1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1.2</w:t>
            </w:r>
          </w:p>
        </w:tc>
        <w:tc>
          <w:tcPr>
            <w:tcW w:w="220" w:type="dxa"/>
            <w:vAlign w:val="bottom"/>
          </w:tcPr>
          <w:p>
            <w:pPr>
              <w:spacing w:after="0"/>
              <w:rPr>
                <w:sz w:val="16"/>
                <w:szCs w:val="16"/>
                <w:color w:val="auto"/>
              </w:rPr>
            </w:pPr>
          </w:p>
        </w:tc>
      </w:tr>
      <w:tr>
        <w:trPr>
          <w:trHeight w:val="213"/>
        </w:trPr>
        <w:tc>
          <w:tcPr>
            <w:tcW w:w="3560" w:type="dxa"/>
            <w:vAlign w:val="bottom"/>
          </w:tcPr>
          <w:p>
            <w:pPr>
              <w:ind w:left="120"/>
              <w:spacing w:after="0"/>
              <w:rPr>
                <w:sz w:val="20"/>
                <w:szCs w:val="20"/>
                <w:color w:val="auto"/>
              </w:rPr>
            </w:pPr>
            <w:r>
              <w:rPr>
                <w:rFonts w:ascii="Arial" w:cs="Arial" w:eastAsia="Arial" w:hAnsi="Arial"/>
                <w:sz w:val="17"/>
                <w:szCs w:val="17"/>
                <w:color w:val="auto"/>
              </w:rPr>
              <w:t>Pledged MSR liability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188.3</w:t>
            </w:r>
          </w:p>
        </w:tc>
        <w:tc>
          <w:tcPr>
            <w:tcW w:w="22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3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On May 2, 2022, Ocwen entered into amendments to its servicing agreements with Rithm to extend their terms to December 31, 2023 and provide for subsequent, automatic one-year renewals, unless Ocwen provides six months’ advance notice of termination (by July 1), or Rithm provides three months’ advance notice of termination (by October 1), among other changes. Ocwen did not provide notice of termination on July 1, 2023. Ocwen and Rithm agreed to extend certain of Rithm’s termination rights through November 1, 2023. Rithm did not provide notice of termination on November 1, 2023. Accordingly, all servicing agreements with Rithm are extended through December 31, 2024, with subsequent, automatic one-year renewals.</w:t>
      </w:r>
    </w:p>
    <w:p>
      <w:pPr>
        <w:spacing w:after="0" w:line="60"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As of September 30, 2023, the UPB of MSRs subject to the servicing agreements with Rithm subsidiaries is $46.0 billion, including $1.8 billion for which Ocwen or Rithm is subservicer for another entity as servicer of record and $10.1 billion for which title has not transferred to Rithm. We describe Rithm’s rights and obligations with respect to such non-transferred MSRs as “Rights to MSRs”. As the third-party consents required for title to the MSRs to transfer were not obtained, the $10.1 billion Rights to MSRs may (i) be acquired by Ocwen at a price determined in accordance with the terms of the previously disclosed agreements entered into in January 2018 (the New RMSR Agreements), at the option of Ocwen, or (ii) be sold, together with Ocwen’s title to those MSRs, to a third party, subject to an additional Ocwen option to acquire at a price based on the winning third-party bid rather than selling to the third party. If the Rights to MSRs are not transferred pursuant to these alternatives, then the Rights to MSRs will remain subject to the subservicing agreement.</w:t>
      </w:r>
    </w:p>
    <w:p>
      <w:pPr>
        <w:spacing w:after="0" w:line="6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stated above, Rithm has the right to terminate the $10.1 billion Rights to MSRs for convenience, in whole but not in part, subject to three months’ advance notice of termination.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described above. If Rithm is not able to sell the Rights to MSRs or establish a substitute RMSR arrangement with another servicer, Rithm has the right to revoke 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2" w:name="page33"/>
    <w:bookmarkEnd w:id="32"/>
    <w:p>
      <w:pPr>
        <w:ind w:right="180"/>
        <w:spacing w:after="0" w:line="285" w:lineRule="auto"/>
        <w:rPr>
          <w:sz w:val="20"/>
          <w:szCs w:val="20"/>
          <w:color w:val="auto"/>
        </w:rPr>
      </w:pPr>
      <w:r>
        <w:rPr>
          <w:rFonts w:ascii="Arial" w:cs="Arial" w:eastAsia="Arial" w:hAnsi="Arial"/>
          <w:sz w:val="16"/>
          <w:szCs w:val="16"/>
          <w:color w:val="auto"/>
        </w:rPr>
        <w:t>termination notice and re-instate the applicable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3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2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60" w:type="dxa"/>
            <w:vAlign w:val="bottom"/>
            <w:gridSpan w:val="2"/>
          </w:tcPr>
          <w:p>
            <w:pPr>
              <w:jc w:val="right"/>
              <w:spacing w:after="0"/>
              <w:rPr>
                <w:sz w:val="20"/>
                <w:szCs w:val="20"/>
                <w:color w:val="auto"/>
              </w:rPr>
            </w:pPr>
            <w:r>
              <w:rPr>
                <w:rFonts w:ascii="Arial" w:cs="Arial" w:eastAsia="Arial" w:hAnsi="Arial"/>
                <w:sz w:val="17"/>
                <w:szCs w:val="17"/>
                <w:b w:val="1"/>
                <w:bCs w:val="1"/>
                <w:color w:val="auto"/>
                <w:w w:val="95"/>
              </w:rPr>
              <w:t>December 31, 2022</w:t>
            </w:r>
          </w:p>
        </w:tc>
      </w:tr>
      <w:tr>
        <w:trPr>
          <w:trHeight w:val="20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Servicing-related receivables:</w:t>
            </w:r>
          </w:p>
        </w:tc>
        <w:tc>
          <w:tcPr>
            <w:tcW w:w="6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Government-insured loan claims - Forward</w:t>
            </w: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48.5</w:t>
            </w:r>
          </w:p>
        </w:tc>
        <w:tc>
          <w:tcPr>
            <w:tcW w:w="8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65.0</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Government-insured loan claims - Reverse</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Subservicing fees and reimbursable expenses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Due from custodial accounts</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Receivable from sale of MSRs (holdback)</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Subservicing fees and reimbursable expenses - Due from Rithm</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Subservicing fees, reimbursable expenses and other - Due from MAV</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3"/>
        </w:trPr>
        <w:tc>
          <w:tcPr>
            <w:tcW w:w="8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175.5</w:t>
            </w:r>
          </w:p>
        </w:tc>
      </w:tr>
      <w:tr>
        <w:trPr>
          <w:trHeight w:val="220"/>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taxes receivable</w:t>
            </w: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receivables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8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w:t>
            </w:r>
          </w:p>
        </w:tc>
      </w:tr>
      <w:tr>
        <w:trPr>
          <w:trHeight w:val="22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losses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38"/>
        </w:trPr>
        <w:tc>
          <w:tcPr>
            <w:tcW w:w="80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164.7</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At September 30, 2023 and December 31, 2022, the allowance for losses primarily related to receivables of our Servicing business. The allowance for losses related to FHA-, VA- or USDA insured loans repurchased from Ginnie Mae guaranteed securitizations (government-insured claims) was $27.4 million and $33.8 million at September 30, 2023 and December 31, 2022, respectively.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5"/>
          </w:tcPr>
          <w:p>
            <w:pPr>
              <w:ind w:left="6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2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Allowance for Losses - Government-Insured Loan Claims</w:t>
            </w: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center"/>
              <w:ind w:left="794"/>
              <w:spacing w:after="0"/>
              <w:rPr>
                <w:sz w:val="20"/>
                <w:szCs w:val="20"/>
                <w:color w:val="auto"/>
              </w:rPr>
            </w:pPr>
            <w:r>
              <w:rPr>
                <w:rFonts w:ascii="Arial" w:cs="Arial" w:eastAsia="Arial" w:hAnsi="Arial"/>
                <w:sz w:val="17"/>
                <w:szCs w:val="17"/>
                <w:color w:val="auto"/>
                <w:w w:val="90"/>
              </w:rPr>
              <w:t>33.8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w:t>
            </w:r>
          </w:p>
        </w:tc>
      </w:tr>
      <w:tr>
        <w:trPr>
          <w:trHeight w:val="220"/>
        </w:trPr>
        <w:tc>
          <w:tcPr>
            <w:tcW w:w="4840" w:type="dxa"/>
            <w:vAlign w:val="bottom"/>
          </w:tcPr>
          <w:p>
            <w:pPr>
              <w:ind w:left="180"/>
              <w:spacing w:after="0"/>
              <w:rPr>
                <w:sz w:val="20"/>
                <w:szCs w:val="20"/>
                <w:color w:val="auto"/>
              </w:rPr>
            </w:pPr>
            <w:r>
              <w:rPr>
                <w:rFonts w:ascii="Arial" w:cs="Arial" w:eastAsia="Arial" w:hAnsi="Arial"/>
                <w:sz w:val="17"/>
                <w:szCs w:val="17"/>
                <w:color w:val="auto"/>
              </w:rPr>
              <w:t>Provision</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left="794"/>
              <w:spacing w:after="0"/>
              <w:rPr>
                <w:sz w:val="20"/>
                <w:szCs w:val="20"/>
                <w:color w:val="auto"/>
              </w:rPr>
            </w:pPr>
            <w:r>
              <w:rPr>
                <w:rFonts w:ascii="Arial" w:cs="Arial" w:eastAsia="Arial" w:hAnsi="Arial"/>
                <w:sz w:val="17"/>
                <w:szCs w:val="17"/>
                <w:color w:val="auto"/>
                <w:w w:val="90"/>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4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Charge-offs and other, net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794"/>
              <w:spacing w:after="0"/>
              <w:rPr>
                <w:sz w:val="20"/>
                <w:szCs w:val="20"/>
                <w:color w:val="auto"/>
              </w:rPr>
            </w:pPr>
            <w:r>
              <w:rPr>
                <w:rFonts w:ascii="Arial" w:cs="Arial" w:eastAsia="Arial" w:hAnsi="Arial"/>
                <w:sz w:val="17"/>
                <w:szCs w:val="17"/>
                <w:color w:val="auto"/>
                <w:w w:val="94"/>
              </w:rPr>
              <w:t>(19.5)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w:t>
            </w:r>
          </w:p>
        </w:tc>
      </w:tr>
      <w:tr>
        <w:trPr>
          <w:trHeight w:val="213"/>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Ending balance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center"/>
              <w:ind w:left="794"/>
              <w:spacing w:after="0"/>
              <w:rPr>
                <w:sz w:val="20"/>
                <w:szCs w:val="20"/>
                <w:color w:val="auto"/>
              </w:rPr>
            </w:pPr>
            <w:r>
              <w:rPr>
                <w:rFonts w:ascii="Arial" w:cs="Arial" w:eastAsia="Arial" w:hAnsi="Arial"/>
                <w:sz w:val="17"/>
                <w:szCs w:val="17"/>
                <w:color w:val="auto"/>
                <w:w w:val="90"/>
              </w:rPr>
              <w:t>27.4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10 - Investment in Equity Method Investee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91"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account for our 15% investment in MAV Canopy under the equity method. Under the Amended &amp; Restated Limited Liability Company Agreement with MAV Canopy, Ocwen is entitled to receive its 15% percentage interest share of MAV Canopy’s earnings, subject to certain adjustments. In addition, upon MAV Canopy liquidation or upon determination of the MAV Canopy Board of Directors to make advance distributions, Ocwen is entitled to receive a specified portion of the distribution amount available (Promote Distribution), after satisfaction of required distribution thresholds, including a specified internal rate of return threshold on the Oaktree member’s gross adjusted capital contributions. We determined that the Promote Distribution represents an incentive fee under our various service agreements with MAV with a variable consideration and is recognized in earnings when it is probable that a significant reversal will not occur. As of September 30, 2023, Ocwen has not recognized any such Promote Distribution income.</w:t>
      </w:r>
    </w:p>
    <w:p>
      <w:pPr>
        <w:spacing w:after="0" w:line="6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PMC entered into a Subservicing Agreement with MAV for exclusive rights to service the mortgage loans underlying MSRs owned by MAV. The Subservicing Agreement will continue until terminated by mutual agreement of the parties or for cause, as defined. MAV is permitted to sell the underlying MSR, in whole or in part, without Ocwen’s consent after May 3, 2024. As of September 30, 2023, PMC subserviced a total of $56.7 billion UPB on behalf of MAV under the Subservicing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3" w:name="page34"/>
    <w:bookmarkEnd w:id="33"/>
    <w:p>
      <w:pPr>
        <w:ind w:right="200"/>
        <w:spacing w:after="0" w:line="285" w:lineRule="auto"/>
        <w:rPr>
          <w:sz w:val="20"/>
          <w:szCs w:val="20"/>
          <w:color w:val="auto"/>
        </w:rPr>
      </w:pPr>
      <w:r>
        <w:rPr>
          <w:rFonts w:ascii="Arial" w:cs="Arial" w:eastAsia="Arial" w:hAnsi="Arial"/>
          <w:sz w:val="16"/>
          <w:szCs w:val="16"/>
          <w:color w:val="auto"/>
        </w:rPr>
        <w:t>Agreement, of which $29.2 billion of MSRs were previously sold by PMC to MAV and do not qualify for sale accounting and thus remain reported on the consolidated balance sheet of PMC, with a fair value of $433.1 million MSR and $420.4 million Pledged MSR liability. The fair value of the Pledged MSR liability is determined using the fair value mark provided by third-party valuation experts, consistent with the associated MSR, using the same methodology and assumptions, while considering cash flows contractually retained by PMC during the expected life of the Subservicing Agreement.</w:t>
      </w:r>
    </w:p>
    <w:p>
      <w:pPr>
        <w:spacing w:after="0" w:line="56"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During the nine months ended September 30, 2023 and 2022, PMC transferred UPB of $25.0 million and $261.3 million under a flow MSR sale agreement (Recapture Agreement), respectively. During the nine months ended September 30, 2023 and 2022, PMC transferred MSRs with UPB of $6.8 billion and $6.9 billion to MAV under various MSR purchase and sale agreements, respectively. These MSR sale transactions between PMC and MAV do not qualify for sale accounting primarily due to the termination restrictions of the subservicing agreement, and are accounted for as secured borrowings. See Note 8 — Other Financing Liabilities, at Fair Value.</w:t>
      </w:r>
    </w:p>
    <w:p>
      <w:pPr>
        <w:spacing w:after="0" w:line="74"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MAV Canopy, MAV and Oaktree are deemed related parties to Ocwen. In addition to the transactions described above, Ocwen issued common stock, warrants and senior secured notes to Oaktree in 2021. See also Note 12 – Borrowings and Note 15 – Interest Expense.</w:t>
      </w:r>
    </w:p>
    <w:p>
      <w:pPr>
        <w:spacing w:after="0" w:line="34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Note 11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84455</wp:posOffset>
            </wp:positionV>
            <wp:extent cx="68046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loan repurchase asset</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REO</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Derivatives, at fair value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lender fees, net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Derivative margin deposit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 (net of accumulated amortization of $9.2 million and $5.0 million)</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Prepaid representation, warranty and indemnification claims - Agency MSR sale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 net</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Security deposits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3"/>
        </w:trPr>
        <w:tc>
          <w:tcPr>
            <w:tcW w:w="8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364.2</w:t>
            </w:r>
          </w:p>
        </w:tc>
      </w:tr>
      <w:tr>
        <w:trPr>
          <w:trHeight w:val="20"/>
        </w:trPr>
        <w:tc>
          <w:tcPr>
            <w:tcW w:w="8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0"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Note 12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84455</wp:posOffset>
            </wp:positionV>
            <wp:extent cx="68046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360" w:type="dxa"/>
            <w:vAlign w:val="bottom"/>
            <w:gridSpan w:val="2"/>
          </w:tcPr>
          <w:p>
            <w:pPr>
              <w:ind w:left="20"/>
              <w:spacing w:after="0"/>
              <w:rPr>
                <w:sz w:val="20"/>
                <w:szCs w:val="20"/>
                <w:color w:val="auto"/>
              </w:rPr>
            </w:pPr>
            <w:r>
              <w:rPr>
                <w:rFonts w:ascii="Arial" w:cs="Arial" w:eastAsia="Arial" w:hAnsi="Arial"/>
                <w:sz w:val="17"/>
                <w:szCs w:val="17"/>
                <w:b w:val="1"/>
                <w:bCs w:val="1"/>
                <w:color w:val="auto"/>
              </w:rPr>
              <w:t>Advance Match Funded Liabilities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vMerge w:val="restart"/>
          </w:tcPr>
          <w:p>
            <w:pPr>
              <w:ind w:left="220"/>
              <w:spacing w:after="0"/>
              <w:rPr>
                <w:sz w:val="20"/>
                <w:szCs w:val="20"/>
                <w:color w:val="auto"/>
              </w:rPr>
            </w:pPr>
            <w:r>
              <w:rPr>
                <w:rFonts w:ascii="Arial" w:cs="Arial" w:eastAsia="Arial" w:hAnsi="Arial"/>
                <w:sz w:val="17"/>
                <w:szCs w:val="17"/>
                <w:b w:val="1"/>
                <w:bCs w:val="1"/>
                <w:color w:val="auto"/>
              </w:rPr>
              <w:t>Borrowing Capacity</w:t>
            </w:r>
          </w:p>
        </w:tc>
        <w:tc>
          <w:tcPr>
            <w:tcW w:w="140" w:type="dxa"/>
            <w:vAlign w:val="bottom"/>
          </w:tcPr>
          <w:p>
            <w:pPr>
              <w:spacing w:after="0"/>
              <w:rPr>
                <w:sz w:val="19"/>
                <w:szCs w:val="19"/>
                <w:color w:val="auto"/>
              </w:rPr>
            </w:pPr>
          </w:p>
        </w:tc>
        <w:tc>
          <w:tcPr>
            <w:tcW w:w="2620" w:type="dxa"/>
            <w:vAlign w:val="bottom"/>
            <w:gridSpan w:val="4"/>
            <w:vMerge w:val="restart"/>
          </w:tcPr>
          <w:p>
            <w:pPr>
              <w:jc w:val="right"/>
              <w:ind w:right="514"/>
              <w:spacing w:after="0"/>
              <w:rPr>
                <w:sz w:val="20"/>
                <w:szCs w:val="20"/>
                <w:color w:val="auto"/>
              </w:rPr>
            </w:pPr>
            <w:r>
              <w:rPr>
                <w:rFonts w:ascii="Arial" w:cs="Arial" w:eastAsia="Arial" w:hAnsi="Arial"/>
                <w:sz w:val="17"/>
                <w:szCs w:val="17"/>
                <w:b w:val="1"/>
                <w:bCs w:val="1"/>
                <w:color w:val="auto"/>
              </w:rPr>
              <w:t>Outstanding Balance</w:t>
            </w:r>
          </w:p>
        </w:tc>
        <w:tc>
          <w:tcPr>
            <w:tcW w:w="0" w:type="dxa"/>
            <w:vAlign w:val="bottom"/>
          </w:tcPr>
          <w:p>
            <w:pPr>
              <w:spacing w:after="0"/>
              <w:rPr>
                <w:sz w:val="1"/>
                <w:szCs w:val="1"/>
                <w:color w:val="auto"/>
              </w:rPr>
            </w:pPr>
          </w:p>
        </w:tc>
      </w:tr>
      <w:tr>
        <w:trPr>
          <w:trHeight w:val="103"/>
        </w:trPr>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89"/>
              </w:rPr>
              <w:t>Expected</w:t>
            </w:r>
          </w:p>
        </w:tc>
        <w:tc>
          <w:tcPr>
            <w:tcW w:w="26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100"/>
              <w:spacing w:after="0" w:line="176" w:lineRule="exact"/>
              <w:rPr>
                <w:sz w:val="20"/>
                <w:szCs w:val="20"/>
                <w:color w:val="auto"/>
              </w:rPr>
            </w:pPr>
            <w:r>
              <w:rPr>
                <w:rFonts w:ascii="Arial" w:cs="Arial" w:eastAsia="Arial" w:hAnsi="Arial"/>
                <w:sz w:val="17"/>
                <w:szCs w:val="17"/>
                <w:b w:val="1"/>
                <w:bCs w:val="1"/>
                <w:color w:val="auto"/>
                <w:w w:val="91"/>
              </w:rPr>
              <w:t>Repayment Date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360" w:type="dxa"/>
            <w:vAlign w:val="bottom"/>
            <w:gridSpan w:val="2"/>
          </w:tcPr>
          <w:p>
            <w:pPr>
              <w:ind w:left="1540"/>
              <w:spacing w:after="0"/>
              <w:rPr>
                <w:sz w:val="20"/>
                <w:szCs w:val="20"/>
                <w:color w:val="auto"/>
              </w:rPr>
            </w:pPr>
            <w:r>
              <w:rPr>
                <w:rFonts w:ascii="Arial" w:cs="Arial" w:eastAsia="Arial" w:hAnsi="Arial"/>
                <w:sz w:val="17"/>
                <w:szCs w:val="17"/>
                <w:b w:val="1"/>
                <w:bCs w:val="1"/>
                <w:color w:val="auto"/>
              </w:rPr>
              <w:t>Borrowing Type</w:t>
            </w:r>
          </w:p>
        </w:tc>
        <w:tc>
          <w:tcPr>
            <w:tcW w:w="1420" w:type="dxa"/>
            <w:vAlign w:val="bottom"/>
          </w:tcPr>
          <w:p>
            <w:pPr>
              <w:jc w:val="center"/>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b w:val="1"/>
                <w:bCs w:val="1"/>
                <w:color w:val="auto"/>
              </w:rPr>
              <w:t>Available (2)</w:t>
            </w:r>
          </w:p>
        </w:tc>
        <w:tc>
          <w:tcPr>
            <w:tcW w:w="14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b w:val="1"/>
                <w:bCs w:val="1"/>
                <w:color w:val="auto"/>
              </w:rPr>
              <w:t>Sept. 30, 2023</w:t>
            </w:r>
          </w:p>
        </w:tc>
        <w:tc>
          <w:tcPr>
            <w:tcW w:w="16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7"/>
                <w:szCs w:val="17"/>
                <w:b w:val="1"/>
                <w:bCs w:val="1"/>
                <w:color w:val="auto"/>
                <w:w w:val="91"/>
              </w:rPr>
              <w:t>Dec. 31, 2022</w:t>
            </w:r>
          </w:p>
        </w:tc>
        <w:tc>
          <w:tcPr>
            <w:tcW w:w="0" w:type="dxa"/>
            <w:vAlign w:val="bottom"/>
          </w:tcPr>
          <w:p>
            <w:pPr>
              <w:spacing w:after="0"/>
              <w:rPr>
                <w:sz w:val="1"/>
                <w:szCs w:val="1"/>
                <w:color w:val="auto"/>
              </w:rPr>
            </w:pPr>
          </w:p>
        </w:tc>
      </w:tr>
      <w:tr>
        <w:trPr>
          <w:trHeight w:val="161"/>
        </w:trPr>
        <w:tc>
          <w:tcPr>
            <w:tcW w:w="4260" w:type="dxa"/>
            <w:vAlign w:val="bottom"/>
            <w:tcBorders>
              <w:top w:val="single" w:sz="8" w:color="auto"/>
            </w:tcBorders>
            <w:shd w:val="clear" w:color="auto" w:fill="CCEEFF"/>
          </w:tcPr>
          <w:p>
            <w:pPr>
              <w:ind w:left="20"/>
              <w:spacing w:after="0" w:line="162" w:lineRule="exact"/>
              <w:rPr>
                <w:sz w:val="20"/>
                <w:szCs w:val="20"/>
                <w:color w:val="auto"/>
              </w:rPr>
            </w:pPr>
            <w:r>
              <w:rPr>
                <w:rFonts w:ascii="Arial" w:cs="Arial" w:eastAsia="Arial" w:hAnsi="Arial"/>
                <w:sz w:val="17"/>
                <w:szCs w:val="17"/>
                <w:b w:val="1"/>
                <w:bCs w:val="1"/>
                <w:color w:val="auto"/>
                <w:w w:val="98"/>
              </w:rPr>
              <w:t xml:space="preserve">Ocwen Master Advance Receivables Trust (OMART) </w:t>
            </w:r>
            <w:r>
              <w:rPr>
                <w:rFonts w:ascii="Arial" w:cs="Arial" w:eastAsia="Arial" w:hAnsi="Arial"/>
                <w:sz w:val="17"/>
                <w:szCs w:val="17"/>
                <w:color w:val="auto"/>
                <w:w w:val="98"/>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360" w:type="dxa"/>
            <w:vAlign w:val="bottom"/>
            <w:gridSpan w:val="2"/>
            <w:shd w:val="clear" w:color="auto" w:fill="CCEEFF"/>
          </w:tcPr>
          <w:p>
            <w:pPr>
              <w:ind w:left="180"/>
              <w:spacing w:after="0" w:line="181" w:lineRule="exact"/>
              <w:rPr>
                <w:sz w:val="20"/>
                <w:szCs w:val="20"/>
                <w:color w:val="auto"/>
              </w:rPr>
            </w:pPr>
            <w:r>
              <w:rPr>
                <w:rFonts w:ascii="Arial" w:cs="Arial" w:eastAsia="Arial" w:hAnsi="Arial"/>
                <w:sz w:val="17"/>
                <w:szCs w:val="17"/>
                <w:color w:val="auto"/>
              </w:rPr>
              <w:t>Advance Receivables Backed Notes - Series 2015-</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Variable Funding (VF) 5 (3)</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Aug. 2025</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365.1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422.5</w:t>
            </w:r>
          </w:p>
        </w:tc>
        <w:tc>
          <w:tcPr>
            <w:tcW w:w="0" w:type="dxa"/>
            <w:vAlign w:val="bottom"/>
          </w:tcPr>
          <w:p>
            <w:pPr>
              <w:spacing w:after="0"/>
              <w:rPr>
                <w:sz w:val="1"/>
                <w:szCs w:val="1"/>
                <w:color w:val="auto"/>
              </w:rPr>
            </w:pPr>
          </w:p>
        </w:tc>
      </w:tr>
      <w:tr>
        <w:trPr>
          <w:trHeight w:val="168"/>
        </w:trPr>
        <w:tc>
          <w:tcPr>
            <w:tcW w:w="4360" w:type="dxa"/>
            <w:vAlign w:val="bottom"/>
            <w:gridSpan w:val="2"/>
          </w:tcPr>
          <w:p>
            <w:pPr>
              <w:ind w:left="20"/>
              <w:spacing w:after="0" w:line="168" w:lineRule="exact"/>
              <w:rPr>
                <w:sz w:val="20"/>
                <w:szCs w:val="20"/>
                <w:color w:val="auto"/>
              </w:rPr>
            </w:pPr>
            <w:r>
              <w:rPr>
                <w:rFonts w:ascii="Arial" w:cs="Arial" w:eastAsia="Arial" w:hAnsi="Arial"/>
                <w:sz w:val="17"/>
                <w:szCs w:val="17"/>
                <w:b w:val="1"/>
                <w:bCs w:val="1"/>
                <w:color w:val="auto"/>
              </w:rPr>
              <w:t>Ocwen GSE Advance Funding (OGAF</w:t>
            </w:r>
            <w:r>
              <w:rPr>
                <w:rFonts w:ascii="Arial" w:cs="Arial" w:eastAsia="Arial" w:hAnsi="Arial"/>
                <w:sz w:val="17"/>
                <w:szCs w:val="17"/>
                <w:color w:val="auto"/>
              </w:rPr>
              <w:t>) - Advance</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360" w:type="dxa"/>
            <w:vAlign w:val="bottom"/>
            <w:gridSpan w:val="2"/>
          </w:tcPr>
          <w:p>
            <w:pPr>
              <w:ind w:left="180"/>
              <w:spacing w:after="0"/>
              <w:rPr>
                <w:sz w:val="20"/>
                <w:szCs w:val="20"/>
                <w:color w:val="auto"/>
              </w:rPr>
            </w:pPr>
            <w:r>
              <w:rPr>
                <w:rFonts w:ascii="Arial" w:cs="Arial" w:eastAsia="Arial" w:hAnsi="Arial"/>
                <w:sz w:val="17"/>
                <w:szCs w:val="17"/>
                <w:color w:val="auto"/>
              </w:rPr>
              <w:t>Receivables Backed Notes, Series 2015-VF1 (4)</w:t>
            </w:r>
          </w:p>
        </w:tc>
        <w:tc>
          <w:tcPr>
            <w:tcW w:w="15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Aug. 2025</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37.0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90.0</w:t>
            </w:r>
          </w:p>
        </w:tc>
        <w:tc>
          <w:tcPr>
            <w:tcW w:w="0" w:type="dxa"/>
            <w:vAlign w:val="bottom"/>
          </w:tcPr>
          <w:p>
            <w:pPr>
              <w:spacing w:after="0"/>
              <w:rPr>
                <w:sz w:val="1"/>
                <w:szCs w:val="1"/>
                <w:color w:val="auto"/>
              </w:rPr>
            </w:pPr>
          </w:p>
        </w:tc>
      </w:tr>
      <w:tr>
        <w:trPr>
          <w:trHeight w:val="220"/>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EBO Advance facility (5)</w:t>
            </w: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May 2026</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3"/>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714.4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403.0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360" w:type="dxa"/>
            <w:vAlign w:val="bottom"/>
            <w:gridSpan w:val="2"/>
          </w:tcPr>
          <w:p>
            <w:pPr>
              <w:ind w:left="20"/>
              <w:spacing w:after="0"/>
              <w:rPr>
                <w:sz w:val="20"/>
                <w:szCs w:val="20"/>
                <w:color w:val="auto"/>
              </w:rPr>
            </w:pPr>
            <w:r>
              <w:rPr>
                <w:rFonts w:ascii="Arial" w:cs="Arial" w:eastAsia="Arial" w:hAnsi="Arial"/>
                <w:sz w:val="17"/>
                <w:szCs w:val="17"/>
                <w:color w:val="auto"/>
              </w:rPr>
              <w:t>Weighted average interest rate (6)</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7.09 %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right="220" w:hanging="317"/>
        <w:spacing w:after="0" w:line="243"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OMART and OGAF facilities were amended in August 2023. The Expected Repayment Date of our facilities, as defined, is the date on which the revolving period ends under each advance facility note and repayment of the outstanding balance is required if the note is not renewed or extended. In certain of our advance facilities, there are multiple notes outstanding.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4" w:name="page35"/>
    <w:bookmarkEnd w:id="34"/>
    <w:p>
      <w:pPr>
        <w:ind w:left="320" w:right="220" w:hanging="317"/>
        <w:spacing w:after="0" w:line="281" w:lineRule="auto"/>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committed borrowing capacity under the OMART and OGAF facilities is available to us provided that we have sufficient eligible collateral to pledge. At September 30, 2023, none of the available borrowing capacity of the OMART and OGAF advance financing notes could be used based on the amount of eligible collateral.</w:t>
      </w:r>
    </w:p>
    <w:p>
      <w:pPr>
        <w:ind w:left="320" w:hanging="317"/>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August 2023, the Expected Repayment Date was extended to August 13, 2025 and the borrowing capacity was increased from $450.0 million to $500.0 million.</w:t>
      </w:r>
    </w:p>
    <w:p>
      <w:pPr>
        <w:spacing w:after="0" w:line="29" w:lineRule="exact"/>
        <w:rPr>
          <w:rFonts w:ascii="Arial" w:cs="Arial" w:eastAsia="Arial" w:hAnsi="Arial"/>
          <w:sz w:val="14"/>
          <w:szCs w:val="14"/>
          <w:color w:val="auto"/>
        </w:rPr>
      </w:pPr>
    </w:p>
    <w:p>
      <w:pPr>
        <w:ind w:left="320" w:hanging="317"/>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August 2023, the Expected Repayment Date was changed to August 22, 2025 and the borrowing capacity was increased from $90.0 million to $200.0 million.</w:t>
      </w:r>
    </w:p>
    <w:p>
      <w:pPr>
        <w:spacing w:after="0" w:line="23" w:lineRule="exact"/>
        <w:rPr>
          <w:rFonts w:ascii="Arial" w:cs="Arial" w:eastAsia="Arial" w:hAnsi="Arial"/>
          <w:sz w:val="14"/>
          <w:szCs w:val="14"/>
          <w:color w:val="auto"/>
        </w:rPr>
      </w:pPr>
    </w:p>
    <w:p>
      <w:pPr>
        <w:ind w:left="320" w:hanging="317"/>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September 30, 2023, none of the available borrowing capacity of the facility could be used based on the amount of eligible collateral.</w:t>
      </w:r>
    </w:p>
    <w:p>
      <w:pPr>
        <w:spacing w:after="0" w:line="6" w:lineRule="exact"/>
        <w:rPr>
          <w:rFonts w:ascii="Arial" w:cs="Arial" w:eastAsia="Arial" w:hAnsi="Arial"/>
          <w:sz w:val="16"/>
          <w:szCs w:val="16"/>
          <w:color w:val="auto"/>
        </w:rPr>
      </w:pPr>
    </w:p>
    <w:p>
      <w:pPr>
        <w:ind w:left="320" w:right="80" w:hanging="317"/>
        <w:spacing w:after="0" w:line="304" w:lineRule="auto"/>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 average interest rate, excluding the effect of the amortization of prepaid lender fees. At September 30, 2023 and December 31, 2022, the balance of unamortized prepaid lender fees was $6.3 million and $2.3 million, respectively, and are included in Other assets in our 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80" w:type="dxa"/>
            <w:vAlign w:val="bottom"/>
            <w:gridSpan w:val="4"/>
          </w:tcPr>
          <w:p>
            <w:pPr>
              <w:ind w:left="20"/>
              <w:spacing w:after="0"/>
              <w:rPr>
                <w:sz w:val="20"/>
                <w:szCs w:val="20"/>
                <w:color w:val="auto"/>
              </w:rPr>
            </w:pPr>
            <w:r>
              <w:rPr>
                <w:rFonts w:ascii="Arial" w:cs="Arial" w:eastAsia="Arial" w:hAnsi="Arial"/>
                <w:sz w:val="17"/>
                <w:szCs w:val="17"/>
                <w:b w:val="1"/>
                <w:bCs w:val="1"/>
                <w:color w:val="auto"/>
              </w:rPr>
              <w:t>Mortgage Loan Financing Facilities, net</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b w:val="1"/>
                <w:bCs w:val="1"/>
                <w:color w:val="auto"/>
              </w:rPr>
              <w:t>Available Borrowing Capacity</w:t>
            </w:r>
          </w:p>
        </w:tc>
        <w:tc>
          <w:tcPr>
            <w:tcW w:w="460" w:type="dxa"/>
            <w:vAlign w:val="bottom"/>
          </w:tcPr>
          <w:p>
            <w:pPr>
              <w:spacing w:after="0"/>
              <w:rPr>
                <w:sz w:val="19"/>
                <w:szCs w:val="19"/>
                <w:color w:val="auto"/>
              </w:rPr>
            </w:pPr>
          </w:p>
        </w:tc>
        <w:tc>
          <w:tcPr>
            <w:tcW w:w="204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rPr>
              <w:t>Outstanding Balance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2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Borrowing Type</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Collateral</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w:t>
            </w:r>
          </w:p>
        </w:tc>
        <w:tc>
          <w:tcPr>
            <w:tcW w:w="1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Un-committed</w:t>
            </w:r>
          </w:p>
        </w:tc>
        <w:tc>
          <w:tcPr>
            <w:tcW w:w="8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7"/>
              </w:rPr>
              <w:t>Committed (1)</w:t>
            </w:r>
          </w:p>
        </w:tc>
        <w:tc>
          <w:tcPr>
            <w:tcW w:w="10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September 30, 2023</w:t>
            </w: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December 31, 2022</w:t>
            </w:r>
          </w:p>
        </w:tc>
        <w:tc>
          <w:tcPr>
            <w:tcW w:w="0" w:type="dxa"/>
            <w:vAlign w:val="bottom"/>
          </w:tcPr>
          <w:p>
            <w:pPr>
              <w:spacing w:after="0"/>
              <w:rPr>
                <w:sz w:val="1"/>
                <w:szCs w:val="1"/>
                <w:color w:val="auto"/>
              </w:rPr>
            </w:pPr>
          </w:p>
        </w:tc>
      </w:tr>
      <w:tr>
        <w:trPr>
          <w:trHeight w:val="174"/>
        </w:trPr>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80"/>
              <w:spacing w:after="0" w:line="175" w:lineRule="exact"/>
              <w:rPr>
                <w:sz w:val="20"/>
                <w:szCs w:val="20"/>
                <w:color w:val="auto"/>
              </w:rPr>
            </w:pPr>
            <w:r>
              <w:rPr>
                <w:rFonts w:ascii="Arial" w:cs="Arial" w:eastAsia="Arial" w:hAnsi="Arial"/>
                <w:sz w:val="17"/>
                <w:szCs w:val="17"/>
                <w:color w:val="auto"/>
                <w:w w:val="91"/>
              </w:rPr>
              <w:t>Loans held for sale</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$175 million Master repurchase</w:t>
            </w:r>
          </w:p>
        </w:tc>
        <w:tc>
          <w:tcPr>
            <w:tcW w:w="1560" w:type="dxa"/>
            <w:vAlign w:val="bottom"/>
            <w:gridSpan w:val="2"/>
            <w:shd w:val="clear" w:color="auto" w:fill="CCEEFF"/>
          </w:tcPr>
          <w:p>
            <w:pPr>
              <w:jc w:val="center"/>
              <w:ind w:right="100"/>
              <w:spacing w:after="0" w:line="168" w:lineRule="exact"/>
              <w:rPr>
                <w:sz w:val="20"/>
                <w:szCs w:val="20"/>
                <w:color w:val="auto"/>
              </w:rPr>
            </w:pPr>
            <w:r>
              <w:rPr>
                <w:rFonts w:ascii="Arial" w:cs="Arial" w:eastAsia="Arial" w:hAnsi="Arial"/>
                <w:sz w:val="17"/>
                <w:szCs w:val="17"/>
                <w:color w:val="auto"/>
                <w:w w:val="97"/>
              </w:rPr>
              <w:t>(LHFS),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72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jc w:val="center"/>
              <w:ind w:right="80"/>
              <w:spacing w:after="0" w:line="168" w:lineRule="exact"/>
              <w:rPr>
                <w:sz w:val="20"/>
                <w:szCs w:val="20"/>
                <w:color w:val="auto"/>
              </w:rPr>
            </w:pPr>
            <w:r>
              <w:rPr>
                <w:rFonts w:ascii="Arial" w:cs="Arial" w:eastAsia="Arial" w:hAnsi="Arial"/>
                <w:sz w:val="17"/>
                <w:szCs w:val="17"/>
                <w:color w:val="auto"/>
                <w:w w:val="89"/>
              </w:rPr>
              <w:t>Receivables and</w:t>
            </w:r>
          </w:p>
        </w:tc>
        <w:tc>
          <w:tcPr>
            <w:tcW w:w="11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7"/>
                <w:szCs w:val="17"/>
                <w:color w:val="auto"/>
                <w:w w:val="91"/>
              </w:rPr>
              <w:t>October 2024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39.6</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142.2</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(2)</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REO</w:t>
            </w:r>
          </w:p>
        </w:tc>
        <w:tc>
          <w:tcPr>
            <w:tcW w:w="118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line="181" w:lineRule="exact"/>
              <w:rPr>
                <w:sz w:val="20"/>
                <w:szCs w:val="20"/>
                <w:color w:val="auto"/>
              </w:rPr>
            </w:pPr>
            <w:r>
              <w:rPr>
                <w:rFonts w:ascii="Arial" w:cs="Arial" w:eastAsia="Arial" w:hAnsi="Arial"/>
                <w:sz w:val="17"/>
                <w:szCs w:val="17"/>
                <w:color w:val="auto"/>
                <w:w w:val="92"/>
              </w:rPr>
              <w:t>LHFS and Loans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20" w:type="dxa"/>
            <w:vAlign w:val="bottom"/>
            <w:gridSpan w:val="2"/>
            <w:vMerge w:val="restart"/>
          </w:tcPr>
          <w:p>
            <w:pPr>
              <w:ind w:left="20"/>
              <w:spacing w:after="0"/>
              <w:rPr>
                <w:sz w:val="20"/>
                <w:szCs w:val="20"/>
                <w:color w:val="auto"/>
              </w:rPr>
            </w:pPr>
            <w:r>
              <w:rPr>
                <w:rFonts w:ascii="Arial" w:cs="Arial" w:eastAsia="Arial" w:hAnsi="Arial"/>
                <w:sz w:val="17"/>
                <w:szCs w:val="17"/>
                <w:color w:val="auto"/>
              </w:rPr>
              <w:t>Master repurchase agreement (3)</w:t>
            </w:r>
          </w:p>
        </w:tc>
        <w:tc>
          <w:tcPr>
            <w:tcW w:w="1560" w:type="dxa"/>
            <w:vAlign w:val="bottom"/>
            <w:gridSpan w:val="2"/>
          </w:tcPr>
          <w:p>
            <w:pPr>
              <w:jc w:val="center"/>
              <w:ind w:right="100"/>
              <w:spacing w:after="0" w:line="168" w:lineRule="exact"/>
              <w:rPr>
                <w:sz w:val="20"/>
                <w:szCs w:val="20"/>
                <w:color w:val="auto"/>
              </w:rPr>
            </w:pPr>
            <w:r>
              <w:rPr>
                <w:rFonts w:ascii="Arial" w:cs="Arial" w:eastAsia="Arial" w:hAnsi="Arial"/>
                <w:sz w:val="17"/>
                <w:szCs w:val="17"/>
                <w:color w:val="auto"/>
                <w:w w:val="93"/>
              </w:rPr>
              <w:t>Held for Investment</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19"/>
        </w:trPr>
        <w:tc>
          <w:tcPr>
            <w:tcW w:w="2720" w:type="dxa"/>
            <w:vAlign w:val="bottom"/>
            <w:gridSpan w:val="2"/>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rPr>
              <w:t>(LHFI)</w:t>
            </w: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$50 million Mortgage warehouse</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(4)</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6"/>
              </w:rPr>
              <w:t>LHFS</w:t>
            </w:r>
          </w:p>
        </w:tc>
        <w:tc>
          <w:tcPr>
            <w:tcW w:w="11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N/A</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line="181" w:lineRule="exact"/>
              <w:rPr>
                <w:sz w:val="20"/>
                <w:szCs w:val="20"/>
                <w:color w:val="auto"/>
              </w:rPr>
            </w:pPr>
            <w:r>
              <w:rPr>
                <w:rFonts w:ascii="Arial" w:cs="Arial" w:eastAsia="Arial" w:hAnsi="Arial"/>
                <w:sz w:val="17"/>
                <w:szCs w:val="17"/>
                <w:color w:val="auto"/>
                <w:w w:val="97"/>
              </w:rPr>
              <w:t>$650 million Participation agreement</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80"/>
              <w:spacing w:after="0" w:line="181" w:lineRule="exact"/>
              <w:rPr>
                <w:sz w:val="20"/>
                <w:szCs w:val="20"/>
                <w:color w:val="auto"/>
              </w:rPr>
            </w:pPr>
            <w:r>
              <w:rPr>
                <w:rFonts w:ascii="Arial" w:cs="Arial" w:eastAsia="Arial" w:hAnsi="Arial"/>
                <w:sz w:val="17"/>
                <w:szCs w:val="17"/>
                <w:color w:val="auto"/>
                <w:w w:val="88"/>
              </w:rPr>
              <w:t>September</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620" w:type="dxa"/>
            <w:vAlign w:val="bottom"/>
          </w:tcPr>
          <w:p>
            <w:pPr>
              <w:ind w:left="1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LHFS</w:t>
            </w: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476.7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173.3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7"/>
                <w:szCs w:val="17"/>
                <w:color w:val="auto"/>
              </w:rPr>
              <w:t>64.3</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$200 million Master repurchase</w:t>
            </w:r>
          </w:p>
        </w:tc>
        <w:tc>
          <w:tcPr>
            <w:tcW w:w="156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7"/>
                <w:szCs w:val="17"/>
                <w:color w:val="auto"/>
                <w:w w:val="96"/>
              </w:rPr>
              <w:t>LHFS, LHFI and</w:t>
            </w:r>
          </w:p>
        </w:tc>
        <w:tc>
          <w:tcPr>
            <w:tcW w:w="1180" w:type="dxa"/>
            <w:vAlign w:val="bottom"/>
            <w:gridSpan w:val="2"/>
            <w:shd w:val="clear" w:color="auto" w:fill="CCEEFF"/>
          </w:tcPr>
          <w:p>
            <w:pPr>
              <w:jc w:val="center"/>
              <w:ind w:right="80"/>
              <w:spacing w:after="0" w:line="181" w:lineRule="exact"/>
              <w:rPr>
                <w:sz w:val="20"/>
                <w:szCs w:val="20"/>
                <w:color w:val="auto"/>
              </w:rPr>
            </w:pPr>
            <w:r>
              <w:rPr>
                <w:rFonts w:ascii="Arial" w:cs="Arial" w:eastAsia="Arial" w:hAnsi="Arial"/>
                <w:sz w:val="17"/>
                <w:szCs w:val="17"/>
                <w:color w:val="auto"/>
                <w:w w:val="88"/>
              </w:rPr>
              <w:t>September</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Receivables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26.1</w:t>
            </w:r>
          </w:p>
        </w:tc>
        <w:tc>
          <w:tcPr>
            <w:tcW w:w="0" w:type="dxa"/>
            <w:vAlign w:val="bottom"/>
          </w:tcPr>
          <w:p>
            <w:pPr>
              <w:spacing w:after="0"/>
              <w:rPr>
                <w:sz w:val="1"/>
                <w:szCs w:val="1"/>
                <w:color w:val="auto"/>
              </w:rPr>
            </w:pPr>
          </w:p>
        </w:tc>
      </w:tr>
      <w:tr>
        <w:trPr>
          <w:trHeight w:val="220"/>
        </w:trPr>
        <w:tc>
          <w:tcPr>
            <w:tcW w:w="2720" w:type="dxa"/>
            <w:vAlign w:val="bottom"/>
            <w:gridSpan w:val="2"/>
          </w:tcPr>
          <w:p>
            <w:pPr>
              <w:ind w:left="20"/>
              <w:spacing w:after="0"/>
              <w:rPr>
                <w:sz w:val="20"/>
                <w:szCs w:val="20"/>
                <w:color w:val="auto"/>
              </w:rPr>
            </w:pPr>
            <w:r>
              <w:rPr>
                <w:rFonts w:ascii="Arial" w:cs="Arial" w:eastAsia="Arial" w:hAnsi="Arial"/>
                <w:sz w:val="17"/>
                <w:szCs w:val="17"/>
                <w:color w:val="auto"/>
              </w:rPr>
              <w:t>Master repurchase agreement (7)</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LHFS</w:t>
            </w:r>
          </w:p>
        </w:tc>
        <w:tc>
          <w:tcPr>
            <w:tcW w:w="1180" w:type="dxa"/>
            <w:vAlign w:val="bottom"/>
            <w:gridSpan w:val="2"/>
          </w:tcPr>
          <w:p>
            <w:pPr>
              <w:jc w:val="center"/>
              <w:ind w:right="80"/>
              <w:spacing w:after="0"/>
              <w:rPr>
                <w:sz w:val="20"/>
                <w:szCs w:val="20"/>
                <w:color w:val="auto"/>
              </w:rPr>
            </w:pPr>
            <w:r>
              <w:rPr>
                <w:rFonts w:ascii="Arial" w:cs="Arial" w:eastAsia="Arial" w:hAnsi="Arial"/>
                <w:sz w:val="17"/>
                <w:szCs w:val="17"/>
                <w:color w:val="auto"/>
                <w:w w:val="88"/>
              </w:rPr>
              <w:t>June 2024</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$40 million Mortgage warehouse</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(8)</w:t>
            </w:r>
          </w:p>
        </w:tc>
        <w:tc>
          <w:tcPr>
            <w:tcW w:w="156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rPr>
              <w:t>LHFI</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January 2024</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$204 million Mortgage warehouse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100"/>
              <w:spacing w:after="0"/>
              <w:rPr>
                <w:sz w:val="20"/>
                <w:szCs w:val="20"/>
                <w:color w:val="auto"/>
              </w:rPr>
            </w:pPr>
            <w:r>
              <w:rPr>
                <w:rFonts w:ascii="Arial" w:cs="Arial" w:eastAsia="Arial" w:hAnsi="Arial"/>
                <w:sz w:val="17"/>
                <w:szCs w:val="17"/>
                <w:color w:val="auto"/>
              </w:rPr>
              <w:t>agreement (9)</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LHFS and LHFI</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March 2024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144.7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7"/>
                <w:szCs w:val="17"/>
                <w:color w:val="auto"/>
              </w:rPr>
              <w:t>44.2</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$230 million Mortgage warehouse</w:t>
            </w:r>
          </w:p>
        </w:tc>
        <w:tc>
          <w:tcPr>
            <w:tcW w:w="156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7"/>
                <w:szCs w:val="17"/>
                <w:color w:val="auto"/>
                <w:w w:val="91"/>
              </w:rPr>
              <w:t>LHFS and</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(10)</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Receivables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20"/>
        </w:trPr>
        <w:tc>
          <w:tcPr>
            <w:tcW w:w="2720" w:type="dxa"/>
            <w:vAlign w:val="bottom"/>
            <w:gridSpan w:val="2"/>
          </w:tcPr>
          <w:p>
            <w:pPr>
              <w:ind w:left="20"/>
              <w:spacing w:after="0"/>
              <w:rPr>
                <w:sz w:val="20"/>
                <w:szCs w:val="20"/>
                <w:color w:val="auto"/>
              </w:rPr>
            </w:pPr>
            <w:r>
              <w:rPr>
                <w:rFonts w:ascii="Arial" w:cs="Arial" w:eastAsia="Arial" w:hAnsi="Arial"/>
                <w:sz w:val="17"/>
                <w:szCs w:val="17"/>
                <w:color w:val="auto"/>
              </w:rPr>
              <w:t>Master repurchase agreement (11)</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LHFS</w:t>
            </w: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150.9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$50 million Loan and security</w:t>
            </w:r>
          </w:p>
        </w:tc>
        <w:tc>
          <w:tcPr>
            <w:tcW w:w="156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7"/>
                <w:szCs w:val="17"/>
                <w:color w:val="auto"/>
                <w:w w:val="91"/>
              </w:rPr>
              <w:t>LHFS and</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(12)</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8"/>
              </w:rPr>
              <w:t>Receivables</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March 2024</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1"/>
        </w:trPr>
        <w:tc>
          <w:tcPr>
            <w:tcW w:w="2720" w:type="dxa"/>
            <w:vAlign w:val="bottom"/>
            <w:gridSpan w:val="2"/>
          </w:tcPr>
          <w:p>
            <w:pPr>
              <w:ind w:left="20"/>
              <w:spacing w:after="0" w:line="181" w:lineRule="exact"/>
              <w:rPr>
                <w:sz w:val="20"/>
                <w:szCs w:val="20"/>
                <w:color w:val="auto"/>
              </w:rPr>
            </w:pPr>
            <w:r>
              <w:rPr>
                <w:rFonts w:ascii="Arial" w:cs="Arial" w:eastAsia="Arial" w:hAnsi="Arial"/>
                <w:sz w:val="17"/>
                <w:szCs w:val="17"/>
                <w:color w:val="auto"/>
              </w:rPr>
              <w:t>$700 million Master repurchase</w:t>
            </w: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tcPr>
          <w:p>
            <w:pPr>
              <w:ind w:left="100"/>
              <w:spacing w:after="0"/>
              <w:rPr>
                <w:sz w:val="20"/>
                <w:szCs w:val="20"/>
                <w:color w:val="auto"/>
              </w:rPr>
            </w:pPr>
            <w:r>
              <w:rPr>
                <w:rFonts w:ascii="Arial" w:cs="Arial" w:eastAsia="Arial" w:hAnsi="Arial"/>
                <w:sz w:val="17"/>
                <w:szCs w:val="17"/>
                <w:color w:val="auto"/>
              </w:rPr>
              <w:t>agreement (13)</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LHFS and LHFI</w:t>
            </w:r>
          </w:p>
        </w:tc>
        <w:tc>
          <w:tcPr>
            <w:tcW w:w="118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April 2024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287.6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412.4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Arial" w:cs="Arial" w:eastAsia="Arial" w:hAnsi="Arial"/>
                <w:sz w:val="17"/>
                <w:szCs w:val="17"/>
                <w:color w:val="auto"/>
              </w:rPr>
              <w:t>288.8</w:t>
            </w:r>
          </w:p>
        </w:tc>
        <w:tc>
          <w:tcPr>
            <w:tcW w:w="0" w:type="dxa"/>
            <w:vAlign w:val="bottom"/>
          </w:tcPr>
          <w:p>
            <w:pPr>
              <w:spacing w:after="0"/>
              <w:rPr>
                <w:sz w:val="1"/>
                <w:szCs w:val="1"/>
                <w:color w:val="auto"/>
              </w:rPr>
            </w:pPr>
          </w:p>
        </w:tc>
      </w:tr>
      <w:tr>
        <w:trPr>
          <w:trHeight w:val="181"/>
        </w:trPr>
        <w:tc>
          <w:tcPr>
            <w:tcW w:w="272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$200 million Master repurchase</w:t>
            </w:r>
          </w:p>
        </w:tc>
        <w:tc>
          <w:tcPr>
            <w:tcW w:w="1560" w:type="dxa"/>
            <w:vAlign w:val="bottom"/>
            <w:gridSpan w:val="2"/>
            <w:shd w:val="clear" w:color="auto" w:fill="CCEEFF"/>
          </w:tcPr>
          <w:p>
            <w:pPr>
              <w:jc w:val="center"/>
              <w:ind w:right="100"/>
              <w:spacing w:after="0" w:line="181" w:lineRule="exact"/>
              <w:rPr>
                <w:sz w:val="20"/>
                <w:szCs w:val="20"/>
                <w:color w:val="auto"/>
              </w:rPr>
            </w:pPr>
            <w:r>
              <w:rPr>
                <w:rFonts w:ascii="Arial" w:cs="Arial" w:eastAsia="Arial" w:hAnsi="Arial"/>
                <w:sz w:val="17"/>
                <w:szCs w:val="17"/>
                <w:color w:val="auto"/>
                <w:w w:val="95"/>
              </w:rPr>
              <w:t>LHFS,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20" w:type="dxa"/>
            <w:vAlign w:val="bottom"/>
            <w:gridSpan w:val="2"/>
            <w:vMerge w:val="continue"/>
            <w:shd w:val="clear" w:color="auto" w:fill="CCEEFF"/>
          </w:tcPr>
          <w:p>
            <w:pPr>
              <w:spacing w:after="0"/>
              <w:rPr>
                <w:sz w:val="14"/>
                <w:szCs w:val="14"/>
                <w:color w:val="auto"/>
              </w:rPr>
            </w:pPr>
          </w:p>
        </w:tc>
        <w:tc>
          <w:tcPr>
            <w:tcW w:w="1560" w:type="dxa"/>
            <w:vAlign w:val="bottom"/>
            <w:gridSpan w:val="2"/>
            <w:shd w:val="clear" w:color="auto" w:fill="CCEEFF"/>
          </w:tcPr>
          <w:p>
            <w:pPr>
              <w:jc w:val="center"/>
              <w:ind w:right="80"/>
              <w:spacing w:after="0" w:line="168" w:lineRule="exact"/>
              <w:rPr>
                <w:sz w:val="20"/>
                <w:szCs w:val="20"/>
                <w:color w:val="auto"/>
              </w:rPr>
            </w:pPr>
            <w:r>
              <w:rPr>
                <w:rFonts w:ascii="Arial" w:cs="Arial" w:eastAsia="Arial" w:hAnsi="Arial"/>
                <w:sz w:val="17"/>
                <w:szCs w:val="17"/>
                <w:color w:val="auto"/>
                <w:w w:val="89"/>
              </w:rPr>
              <w:t>Receivables and</w:t>
            </w:r>
          </w:p>
        </w:tc>
        <w:tc>
          <w:tcPr>
            <w:tcW w:w="11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7"/>
                <w:szCs w:val="17"/>
                <w:color w:val="auto"/>
                <w:w w:val="99"/>
              </w:rPr>
              <w:t>April 2024</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(14)</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REO</w:t>
            </w:r>
          </w:p>
        </w:tc>
        <w:tc>
          <w:tcPr>
            <w:tcW w:w="11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00"/>
              <w:spacing w:after="0" w:line="181" w:lineRule="exact"/>
              <w:rPr>
                <w:sz w:val="20"/>
                <w:szCs w:val="20"/>
                <w:color w:val="auto"/>
              </w:rPr>
            </w:pPr>
            <w:r>
              <w:rPr>
                <w:rFonts w:ascii="Arial" w:cs="Arial" w:eastAsia="Arial" w:hAnsi="Arial"/>
                <w:sz w:val="17"/>
                <w:szCs w:val="17"/>
                <w:color w:val="auto"/>
                <w:w w:val="91"/>
              </w:rPr>
              <w:t>Reverse LHFS,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720" w:type="dxa"/>
            <w:vAlign w:val="bottom"/>
            <w:gridSpan w:val="2"/>
            <w:vMerge w:val="restart"/>
          </w:tcPr>
          <w:p>
            <w:pPr>
              <w:ind w:left="20"/>
              <w:spacing w:after="0"/>
              <w:rPr>
                <w:sz w:val="20"/>
                <w:szCs w:val="20"/>
                <w:color w:val="auto"/>
              </w:rPr>
            </w:pPr>
            <w:r>
              <w:rPr>
                <w:rFonts w:ascii="Arial" w:cs="Arial" w:eastAsia="Arial" w:hAnsi="Arial"/>
                <w:sz w:val="17"/>
                <w:szCs w:val="17"/>
                <w:color w:val="auto"/>
              </w:rPr>
              <w:t>OLIT Asset-Backed Notes (15)</w:t>
            </w:r>
          </w:p>
        </w:tc>
        <w:tc>
          <w:tcPr>
            <w:tcW w:w="1560" w:type="dxa"/>
            <w:vAlign w:val="bottom"/>
            <w:gridSpan w:val="2"/>
          </w:tcPr>
          <w:p>
            <w:pPr>
              <w:jc w:val="center"/>
              <w:ind w:right="80"/>
              <w:spacing w:after="0" w:line="168" w:lineRule="exact"/>
              <w:rPr>
                <w:sz w:val="20"/>
                <w:szCs w:val="20"/>
                <w:color w:val="auto"/>
              </w:rPr>
            </w:pPr>
            <w:r>
              <w:rPr>
                <w:rFonts w:ascii="Arial" w:cs="Arial" w:eastAsia="Arial" w:hAnsi="Arial"/>
                <w:sz w:val="17"/>
                <w:szCs w:val="17"/>
                <w:color w:val="auto"/>
                <w:w w:val="89"/>
              </w:rPr>
              <w:t>Receivables and</w:t>
            </w:r>
          </w:p>
        </w:tc>
        <w:tc>
          <w:tcPr>
            <w:tcW w:w="118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auto"/>
                <w:w w:val="88"/>
              </w:rPr>
              <w:t>June 2036</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4"/>
                <w:szCs w:val="14"/>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7"/>
                <w:szCs w:val="17"/>
                <w:color w:val="auto"/>
              </w:rPr>
              <w:t>190.2</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vMerge w:val="restart"/>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2720" w:type="dxa"/>
            <w:vAlign w:val="bottom"/>
            <w:gridSpan w:val="2"/>
            <w:vMerge w:val="continue"/>
          </w:tcPr>
          <w:p>
            <w:pPr>
              <w:spacing w:after="0"/>
              <w:rPr>
                <w:sz w:val="19"/>
                <w:szCs w:val="19"/>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REO</w:t>
            </w: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72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7"/>
                <w:szCs w:val="17"/>
                <w:color w:val="auto"/>
              </w:rPr>
              <w:t>$30 million Loan and security</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ind w:right="80"/>
              <w:spacing w:after="0" w:line="181" w:lineRule="exact"/>
              <w:rPr>
                <w:sz w:val="20"/>
                <w:szCs w:val="20"/>
                <w:color w:val="auto"/>
              </w:rPr>
            </w:pPr>
            <w:r>
              <w:rPr>
                <w:rFonts w:ascii="Arial" w:cs="Arial" w:eastAsia="Arial" w:hAnsi="Arial"/>
                <w:sz w:val="17"/>
                <w:szCs w:val="17"/>
                <w:color w:val="auto"/>
                <w:w w:val="88"/>
              </w:rPr>
              <w:t>September</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7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agreement (16)</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LHFI</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280" w:type="dxa"/>
            <w:vAlign w:val="bottom"/>
            <w:gridSpan w:val="4"/>
          </w:tcPr>
          <w:p>
            <w:pPr>
              <w:ind w:left="120"/>
              <w:spacing w:after="0"/>
              <w:rPr>
                <w:sz w:val="20"/>
                <w:szCs w:val="20"/>
                <w:color w:val="auto"/>
              </w:rPr>
            </w:pPr>
            <w:r>
              <w:rPr>
                <w:rFonts w:ascii="Arial" w:cs="Arial" w:eastAsia="Arial" w:hAnsi="Arial"/>
                <w:sz w:val="17"/>
                <w:szCs w:val="17"/>
                <w:b w:val="1"/>
                <w:bCs w:val="1"/>
                <w:color w:val="auto"/>
              </w:rPr>
              <w:t>Total Mortgage Loan Financing Facilities,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1,500.5</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312.1</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1,058.6</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702.7</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80" w:type="dxa"/>
            <w:vAlign w:val="bottom"/>
            <w:gridSpan w:val="4"/>
            <w:shd w:val="clear" w:color="auto" w:fill="CCEEFF"/>
          </w:tcPr>
          <w:p>
            <w:pPr>
              <w:ind w:left="40"/>
              <w:spacing w:after="0" w:line="185" w:lineRule="exact"/>
              <w:rPr>
                <w:sz w:val="20"/>
                <w:szCs w:val="20"/>
                <w:color w:val="auto"/>
              </w:rPr>
            </w:pPr>
            <w:r>
              <w:rPr>
                <w:rFonts w:ascii="Arial" w:cs="Arial" w:eastAsia="Arial" w:hAnsi="Arial"/>
                <w:sz w:val="17"/>
                <w:szCs w:val="17"/>
                <w:color w:val="auto"/>
                <w:w w:val="93"/>
              </w:rPr>
              <w:t>Unamortized discount and debt issuance costs - OLIT Notes</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74"/>
              <w:spacing w:after="0" w:line="185" w:lineRule="exact"/>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ind w:right="74"/>
              <w:spacing w:after="0" w:line="185" w:lineRule="exact"/>
              <w:rPr>
                <w:sz w:val="20"/>
                <w:szCs w:val="20"/>
                <w:color w:val="auto"/>
              </w:rPr>
            </w:pPr>
            <w:r>
              <w:rPr>
                <w:rFonts w:ascii="Arial" w:cs="Arial" w:eastAsia="Arial" w:hAnsi="Arial"/>
                <w:sz w:val="17"/>
                <w:szCs w:val="17"/>
                <w:color w:val="auto"/>
              </w:rPr>
              <w:t>(23.9)</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74"/>
              <w:spacing w:after="0" w:line="185" w:lineRule="exact"/>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ind w:right="114"/>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280" w:type="dxa"/>
            <w:vAlign w:val="bottom"/>
            <w:gridSpan w:val="4"/>
          </w:tcPr>
          <w:p>
            <w:pPr>
              <w:ind w:left="120"/>
              <w:spacing w:after="0"/>
              <w:rPr>
                <w:sz w:val="20"/>
                <w:szCs w:val="20"/>
                <w:color w:val="auto"/>
              </w:rPr>
            </w:pPr>
            <w:r>
              <w:rPr>
                <w:rFonts w:ascii="Arial" w:cs="Arial" w:eastAsia="Arial" w:hAnsi="Arial"/>
                <w:sz w:val="17"/>
                <w:szCs w:val="17"/>
                <w:b w:val="1"/>
                <w:bCs w:val="1"/>
                <w:color w:val="auto"/>
              </w:rPr>
              <w:t>Total Mortgage Loan Financing Facilities,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1,034.7</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702.7</w:t>
            </w:r>
          </w:p>
        </w:tc>
        <w:tc>
          <w:tcPr>
            <w:tcW w:w="0" w:type="dxa"/>
            <w:vAlign w:val="bottom"/>
          </w:tcPr>
          <w:p>
            <w:pPr>
              <w:spacing w:after="0"/>
              <w:rPr>
                <w:sz w:val="1"/>
                <w:szCs w:val="1"/>
                <w:color w:val="auto"/>
              </w:rPr>
            </w:pPr>
          </w:p>
        </w:tc>
      </w:tr>
      <w:tr>
        <w:trPr>
          <w:trHeight w:val="81"/>
        </w:trPr>
        <w:tc>
          <w:tcPr>
            <w:tcW w:w="26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8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720" w:type="dxa"/>
            <w:vAlign w:val="bottom"/>
            <w:tcBorders>
              <w:top w:val="single" w:sz="8" w:color="CCEEFF"/>
            </w:tcBorders>
            <w:gridSpan w:val="2"/>
          </w:tcPr>
          <w:p>
            <w:pPr>
              <w:ind w:left="20"/>
              <w:spacing w:after="0"/>
              <w:rPr>
                <w:sz w:val="20"/>
                <w:szCs w:val="20"/>
                <w:color w:val="auto"/>
              </w:rPr>
            </w:pPr>
            <w:r>
              <w:rPr>
                <w:rFonts w:ascii="Arial" w:cs="Arial" w:eastAsia="Arial" w:hAnsi="Arial"/>
                <w:sz w:val="17"/>
                <w:szCs w:val="17"/>
                <w:color w:val="auto"/>
              </w:rPr>
              <w:t>Weighted average interest rate (17)</w:t>
            </w:r>
          </w:p>
        </w:tc>
        <w:tc>
          <w:tcPr>
            <w:tcW w:w="14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6.27 %</w:t>
            </w:r>
          </w:p>
        </w:tc>
        <w:tc>
          <w:tcPr>
            <w:tcW w:w="10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5.74 %</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right="80" w:hanging="317"/>
        <w:spacing w:after="0" w:line="245"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Of the borrowing capacity on mortgage loan financing facilities extended on a committed basis, none of the available borrowing capacity could be used at September 30, 2023 based on the amount of eligible collateral that could be pledged.</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October 2023, the maturity date of the facility was extended to October 11,2024.</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5" w:name="page36"/>
    <w:bookmarkEnd w:id="35"/>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February 9, 2023, we voluntarily allowed the facility to mature.</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agreement has no stated maturity date.</w:t>
      </w:r>
    </w:p>
    <w:p>
      <w:pPr>
        <w:ind w:left="320" w:hanging="317"/>
        <w:spacing w:after="0" w:line="244"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September 2023, the maturity date was extended to September 20,2024 and the uncommitted borrowing capacity may be reduced from $650.0 million to $400.0 million after November 30,2023 upon mutual agreement.</w:t>
      </w:r>
    </w:p>
    <w:p>
      <w:pPr>
        <w:ind w:left="320" w:hanging="317"/>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 September 2023, the maturity date was extended to September 20, 2024 and the committed borrowing capacity was increased from $173.0 million to $200.0 million.</w:t>
      </w:r>
    </w:p>
    <w:p>
      <w:pPr>
        <w:spacing w:after="0" w:line="29" w:lineRule="exact"/>
        <w:rPr>
          <w:rFonts w:ascii="Arial" w:cs="Arial" w:eastAsia="Arial" w:hAnsi="Arial"/>
          <w:sz w:val="14"/>
          <w:szCs w:val="14"/>
          <w:color w:val="auto"/>
        </w:rPr>
      </w:pPr>
    </w:p>
    <w:p>
      <w:pPr>
        <w:ind w:left="320" w:hanging="317"/>
        <w:spacing w:after="0" w:line="235"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June 2023, the maturity date was extended to June 22, 2024.</w:t>
      </w:r>
    </w:p>
    <w:p>
      <w:pPr>
        <w:ind w:left="320" w:right="20" w:hanging="317"/>
        <w:spacing w:after="0" w:line="244"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July 2023, the maturity date was extended to October 12, 2023 and the committed borrowing capacity was reduced from $50.0 million to $40.0 million. In October 2023, the maturity date was further extended to January 10, 2024.</w:t>
      </w:r>
    </w:p>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May 2023, the maturity date was extended to March 31, 2024 and the interest rate margin was revised.</w:t>
      </w:r>
    </w:p>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agreement has no stated maturity date, however each transaction has a maximum duration of four years.</w:t>
      </w:r>
    </w:p>
    <w:p>
      <w:pPr>
        <w:spacing w:after="0" w:line="6" w:lineRule="exact"/>
        <w:rPr>
          <w:rFonts w:ascii="Arial" w:cs="Arial" w:eastAsia="Arial" w:hAnsi="Arial"/>
          <w:sz w:val="16"/>
          <w:szCs w:val="16"/>
          <w:color w:val="auto"/>
        </w:rPr>
      </w:pPr>
    </w:p>
    <w:p>
      <w:pPr>
        <w:ind w:left="320" w:right="60" w:hanging="317"/>
        <w:spacing w:after="0"/>
        <w:tabs>
          <w:tab w:leader="none" w:pos="31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repurchase agreement provides borrowing at our discretion up to a certain maximum amount of capacity on a rolling 90-day committed basis. This facility is structured as a gestation repurchase facility whereby dry Agency mortgage loans are transferred to a trust which issues a trust certificate that is pledged as the collateral for the borrowings. Each certificate is renewed monthly and the interest rate for this facility is 1 month Term Secured Overnight Financing Rate (SOFR) plus applicable margin. See Note 2 – Securitizations and Variable Interest Entities for additional information.</w:t>
      </w:r>
    </w:p>
    <w:p>
      <w:pPr>
        <w:ind w:left="320" w:right="100" w:hanging="317"/>
        <w:spacing w:after="0" w:line="244"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revolving facility agreement provides committed borrowing capacity secured by eligible HECM loans that are active buyouts, as defined in the agreement. In April 2023, the maturity date was extended to March 31, 2024.</w:t>
      </w:r>
    </w:p>
    <w:p>
      <w:pPr>
        <w:ind w:left="320" w:hanging="317"/>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April 2023, the maturity date was extended to April 6, 2024.</w:t>
      </w:r>
    </w:p>
    <w:p>
      <w:pPr>
        <w:ind w:left="320" w:right="180" w:hanging="317"/>
        <w:spacing w:after="0" w:line="242"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3, 2023, we entered into a master repurchase agreement with a total uncommitted borrowing capacity of $200.0 million to finance the purchase of reverse mortgage loans held for sale, claim receivables from HUD and REOs at an interest rate of 1M Term SOFR plus applicable margin.</w:t>
      </w:r>
    </w:p>
    <w:p>
      <w:pPr>
        <w:jc w:val="both"/>
        <w:ind w:left="320" w:right="260" w:hanging="317"/>
        <w:spacing w:after="0" w:line="228" w:lineRule="auto"/>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In June 2023, OLIT issued different classes of Asset-Backed Notes with an initial principal amount of $264.9 million</w:t>
      </w:r>
      <w:r>
        <w:rPr>
          <w:rFonts w:ascii="Arial" w:cs="Arial" w:eastAsia="Arial" w:hAnsi="Arial"/>
          <w:sz w:val="16"/>
          <w:szCs w:val="16"/>
          <w:color w:val="auto"/>
        </w:rPr>
        <w:t>,</w:t>
      </w:r>
      <w:r>
        <w:rPr>
          <w:rFonts w:ascii="Arial" w:cs="Arial" w:eastAsia="Arial" w:hAnsi="Arial"/>
          <w:sz w:val="15"/>
          <w:szCs w:val="15"/>
          <w:color w:val="auto"/>
        </w:rPr>
        <w:t xml:space="preserve"> at a discount, with a stated interest rate of 3.0% and a mandatory call date of June 2026. Payments of interest and principal are made from available funds from a pool of reverse mortgage buyout loans and REOs in accordance with the indenture priority of payments. Also see Note 2 – Securitizations and Variable Interest Entities.</w:t>
      </w:r>
    </w:p>
    <w:p>
      <w:pPr>
        <w:spacing w:after="0" w:line="1" w:lineRule="exact"/>
        <w:rPr>
          <w:rFonts w:ascii="Arial" w:cs="Arial" w:eastAsia="Arial" w:hAnsi="Arial"/>
          <w:sz w:val="15"/>
          <w:szCs w:val="15"/>
          <w:color w:val="auto"/>
        </w:rPr>
      </w:pPr>
    </w:p>
    <w:p>
      <w:pPr>
        <w:ind w:left="320" w:right="40" w:hanging="317"/>
        <w:spacing w:after="0" w:line="227"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September 22, 2023, we entered into a Loan and security agreement with a total committed borrowing capacity of $30.0 million to finance HECM tails at an interest rate of 1M Term SOFR plus applicable margin.</w:t>
      </w:r>
    </w:p>
    <w:p>
      <w:pPr>
        <w:ind w:left="320" w:right="160" w:hanging="317"/>
        <w:spacing w:after="0" w:line="238"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weighted average interest rate excludes the effect of the amortization of prepaid lender fees. At September 30, 2023 and December 31, 2022, unamortized prepaid lender fees were $1.2 million and $0.5 million, respectively, and are included in Other assets in our consolidated balance sheets.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Pr>
          <w:p>
            <w:pPr>
              <w:ind w:left="20"/>
              <w:spacing w:after="0"/>
              <w:rPr>
                <w:sz w:val="20"/>
                <w:szCs w:val="20"/>
                <w:color w:val="auto"/>
              </w:rPr>
            </w:pPr>
            <w:r>
              <w:rPr>
                <w:rFonts w:ascii="Arial" w:cs="Arial" w:eastAsia="Arial" w:hAnsi="Arial"/>
                <w:sz w:val="17"/>
                <w:szCs w:val="17"/>
                <w:b w:val="1"/>
                <w:bCs w:val="1"/>
                <w:color w:val="auto"/>
              </w:rPr>
              <w:t>MSR Financing Facilities, net</w:t>
            </w: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gridSpan w:val="5"/>
          </w:tcPr>
          <w:p>
            <w:pPr>
              <w:ind w:left="40"/>
              <w:spacing w:after="0"/>
              <w:rPr>
                <w:sz w:val="20"/>
                <w:szCs w:val="20"/>
                <w:color w:val="auto"/>
              </w:rPr>
            </w:pPr>
            <w:r>
              <w:rPr>
                <w:rFonts w:ascii="Arial" w:cs="Arial" w:eastAsia="Arial" w:hAnsi="Arial"/>
                <w:sz w:val="17"/>
                <w:szCs w:val="17"/>
                <w:b w:val="1"/>
                <w:bCs w:val="1"/>
                <w:color w:val="auto"/>
              </w:rPr>
              <w:t>Available Borrowing Capacity</w:t>
            </w:r>
          </w:p>
        </w:tc>
        <w:tc>
          <w:tcPr>
            <w:tcW w:w="140" w:type="dxa"/>
            <w:vAlign w:val="bottom"/>
          </w:tcPr>
          <w:p>
            <w:pPr>
              <w:spacing w:after="0"/>
              <w:rPr>
                <w:sz w:val="19"/>
                <w:szCs w:val="19"/>
                <w:color w:val="auto"/>
              </w:rPr>
            </w:pPr>
          </w:p>
        </w:tc>
        <w:tc>
          <w:tcPr>
            <w:tcW w:w="2380" w:type="dxa"/>
            <w:vAlign w:val="bottom"/>
            <w:gridSpan w:val="3"/>
          </w:tcPr>
          <w:p>
            <w:pPr>
              <w:jc w:val="right"/>
              <w:ind w:right="154"/>
              <w:spacing w:after="0"/>
              <w:rPr>
                <w:sz w:val="20"/>
                <w:szCs w:val="20"/>
                <w:color w:val="auto"/>
              </w:rPr>
            </w:pPr>
            <w:r>
              <w:rPr>
                <w:rFonts w:ascii="Arial" w:cs="Arial" w:eastAsia="Arial" w:hAnsi="Arial"/>
                <w:sz w:val="17"/>
                <w:szCs w:val="17"/>
                <w:b w:val="1"/>
                <w:bCs w:val="1"/>
                <w:color w:val="auto"/>
              </w:rPr>
              <w:t>Outstanding Balance</w:t>
            </w:r>
          </w:p>
        </w:tc>
        <w:tc>
          <w:tcPr>
            <w:tcW w:w="480" w:type="dxa"/>
            <w:vAlign w:val="bottom"/>
          </w:tcPr>
          <w:p>
            <w:pPr>
              <w:spacing w:after="0"/>
              <w:rPr>
                <w:sz w:val="19"/>
                <w:szCs w:val="19"/>
                <w:color w:val="auto"/>
              </w:rPr>
            </w:pPr>
          </w:p>
        </w:tc>
      </w:tr>
      <w:tr>
        <w:trPr>
          <w:trHeight w:val="168"/>
        </w:trPr>
        <w:tc>
          <w:tcPr>
            <w:tcW w:w="3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60"/>
              <w:spacing w:after="0" w:line="168" w:lineRule="exact"/>
              <w:rPr>
                <w:sz w:val="20"/>
                <w:szCs w:val="20"/>
                <w:color w:val="auto"/>
              </w:rPr>
            </w:pPr>
            <w:r>
              <w:rPr>
                <w:rFonts w:ascii="Arial" w:cs="Arial" w:eastAsia="Arial" w:hAnsi="Arial"/>
                <w:sz w:val="17"/>
                <w:szCs w:val="17"/>
                <w:b w:val="1"/>
                <w:bCs w:val="1"/>
                <w:color w:val="auto"/>
              </w:rPr>
              <w:t>September 30,</w:t>
            </w:r>
          </w:p>
        </w:tc>
        <w:tc>
          <w:tcPr>
            <w:tcW w:w="9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r>
      <w:tr>
        <w:trPr>
          <w:trHeight w:val="225"/>
        </w:trPr>
        <w:tc>
          <w:tcPr>
            <w:tcW w:w="3120" w:type="dxa"/>
            <w:vAlign w:val="bottom"/>
          </w:tcPr>
          <w:p>
            <w:pPr>
              <w:ind w:left="940"/>
              <w:spacing w:after="0"/>
              <w:rPr>
                <w:sz w:val="20"/>
                <w:szCs w:val="20"/>
                <w:color w:val="auto"/>
              </w:rPr>
            </w:pPr>
            <w:r>
              <w:rPr>
                <w:rFonts w:ascii="Arial" w:cs="Arial" w:eastAsia="Arial" w:hAnsi="Arial"/>
                <w:sz w:val="17"/>
                <w:szCs w:val="17"/>
                <w:b w:val="1"/>
                <w:bCs w:val="1"/>
                <w:color w:val="auto"/>
              </w:rPr>
              <w:t>Borrowing Type</w:t>
            </w: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2"/>
              </w:rPr>
              <w:t>Collateral</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rPr>
              <w:t>Maturity</w:t>
            </w:r>
          </w:p>
        </w:tc>
        <w:tc>
          <w:tcPr>
            <w:tcW w:w="1320" w:type="dxa"/>
            <w:vAlign w:val="bottom"/>
            <w:gridSpan w:val="3"/>
          </w:tcPr>
          <w:p>
            <w:pPr>
              <w:ind w:left="80"/>
              <w:spacing w:after="0"/>
              <w:rPr>
                <w:sz w:val="20"/>
                <w:szCs w:val="20"/>
                <w:color w:val="auto"/>
              </w:rPr>
            </w:pPr>
            <w:r>
              <w:rPr>
                <w:rFonts w:ascii="Arial" w:cs="Arial" w:eastAsia="Arial" w:hAnsi="Arial"/>
                <w:sz w:val="17"/>
                <w:szCs w:val="17"/>
                <w:b w:val="1"/>
                <w:bCs w:val="1"/>
                <w:color w:val="auto"/>
              </w:rPr>
              <w:t>Un-committed</w:t>
            </w:r>
          </w:p>
        </w:tc>
        <w:tc>
          <w:tcPr>
            <w:tcW w:w="1340" w:type="dxa"/>
            <w:vAlign w:val="bottom"/>
            <w:gridSpan w:val="3"/>
          </w:tcPr>
          <w:p>
            <w:pPr>
              <w:ind w:left="80"/>
              <w:spacing w:after="0"/>
              <w:rPr>
                <w:sz w:val="20"/>
                <w:szCs w:val="20"/>
                <w:color w:val="auto"/>
              </w:rPr>
            </w:pPr>
            <w:r>
              <w:rPr>
                <w:rFonts w:ascii="Arial" w:cs="Arial" w:eastAsia="Arial" w:hAnsi="Arial"/>
                <w:sz w:val="17"/>
                <w:szCs w:val="17"/>
                <w:b w:val="1"/>
                <w:bCs w:val="1"/>
                <w:color w:val="auto"/>
              </w:rPr>
              <w:t>Committed (1)</w:t>
            </w:r>
          </w:p>
        </w:tc>
        <w:tc>
          <w:tcPr>
            <w:tcW w:w="140" w:type="dxa"/>
            <w:vAlign w:val="bottom"/>
          </w:tcPr>
          <w:p>
            <w:pPr>
              <w:spacing w:after="0"/>
              <w:rPr>
                <w:sz w:val="19"/>
                <w:szCs w:val="19"/>
                <w:color w:val="auto"/>
              </w:rPr>
            </w:pPr>
          </w:p>
        </w:tc>
        <w:tc>
          <w:tcPr>
            <w:tcW w:w="1320" w:type="dxa"/>
            <w:vAlign w:val="bottom"/>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December 31, 2022</w:t>
            </w:r>
          </w:p>
        </w:tc>
      </w:tr>
      <w:tr>
        <w:trPr>
          <w:trHeight w:val="161"/>
        </w:trPr>
        <w:tc>
          <w:tcPr>
            <w:tcW w:w="31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7"/>
                <w:szCs w:val="17"/>
                <w:color w:val="auto"/>
              </w:rPr>
              <w:t>$265 million Agency MSR financing</w:t>
            </w:r>
          </w:p>
        </w:tc>
        <w:tc>
          <w:tcPr>
            <w:tcW w:w="12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facility (2)</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MSRs</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June 2024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309.8</w:t>
            </w:r>
          </w:p>
        </w:tc>
      </w:tr>
      <w:tr>
        <w:trPr>
          <w:trHeight w:val="181"/>
        </w:trPr>
        <w:tc>
          <w:tcPr>
            <w:tcW w:w="3120" w:type="dxa"/>
            <w:vAlign w:val="bottom"/>
          </w:tcPr>
          <w:p>
            <w:pPr>
              <w:ind w:left="20"/>
              <w:spacing w:after="0" w:line="181" w:lineRule="exact"/>
              <w:rPr>
                <w:sz w:val="20"/>
                <w:szCs w:val="20"/>
                <w:color w:val="auto"/>
              </w:rPr>
            </w:pPr>
            <w:r>
              <w:rPr>
                <w:rFonts w:ascii="Arial" w:cs="Arial" w:eastAsia="Arial" w:hAnsi="Arial"/>
                <w:sz w:val="17"/>
                <w:szCs w:val="17"/>
                <w:color w:val="auto"/>
              </w:rPr>
              <w:t>$250 million Ginnie Mae MSR financing</w:t>
            </w:r>
          </w:p>
        </w:tc>
        <w:tc>
          <w:tcPr>
            <w:tcW w:w="1200" w:type="dxa"/>
            <w:vAlign w:val="bottom"/>
          </w:tcPr>
          <w:p>
            <w:pPr>
              <w:jc w:val="center"/>
              <w:spacing w:after="0" w:line="181" w:lineRule="exact"/>
              <w:rPr>
                <w:sz w:val="20"/>
                <w:szCs w:val="20"/>
                <w:color w:val="auto"/>
              </w:rPr>
            </w:pPr>
            <w:r>
              <w:rPr>
                <w:rFonts w:ascii="Arial" w:cs="Arial" w:eastAsia="Arial" w:hAnsi="Arial"/>
                <w:sz w:val="17"/>
                <w:szCs w:val="17"/>
                <w:color w:val="auto"/>
                <w:w w:val="94"/>
              </w:rPr>
              <w:t>MSRs,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9"/>
        </w:trPr>
        <w:tc>
          <w:tcPr>
            <w:tcW w:w="3120" w:type="dxa"/>
            <w:vAlign w:val="bottom"/>
          </w:tcPr>
          <w:p>
            <w:pPr>
              <w:ind w:left="180"/>
              <w:spacing w:after="0"/>
              <w:rPr>
                <w:sz w:val="20"/>
                <w:szCs w:val="20"/>
                <w:color w:val="auto"/>
              </w:rPr>
            </w:pPr>
            <w:r>
              <w:rPr>
                <w:rFonts w:ascii="Arial" w:cs="Arial" w:eastAsia="Arial" w:hAnsi="Arial"/>
                <w:sz w:val="17"/>
                <w:szCs w:val="17"/>
                <w:color w:val="auto"/>
              </w:rPr>
              <w:t>facility (3)</w:t>
            </w:r>
          </w:p>
        </w:tc>
        <w:tc>
          <w:tcPr>
            <w:tcW w:w="1200" w:type="dxa"/>
            <w:vAlign w:val="bottom"/>
          </w:tcPr>
          <w:p>
            <w:pPr>
              <w:jc w:val="center"/>
              <w:spacing w:after="0"/>
              <w:rPr>
                <w:sz w:val="20"/>
                <w:szCs w:val="20"/>
                <w:color w:val="auto"/>
              </w:rPr>
            </w:pPr>
            <w:r>
              <w:rPr>
                <w:rFonts w:ascii="Arial" w:cs="Arial" w:eastAsia="Arial" w:hAnsi="Arial"/>
                <w:sz w:val="17"/>
                <w:szCs w:val="17"/>
                <w:color w:val="auto"/>
                <w:w w:val="91"/>
              </w:rPr>
              <w:t>Advances</w:t>
            </w:r>
          </w:p>
        </w:tc>
        <w:tc>
          <w:tcPr>
            <w:tcW w:w="1260" w:type="dxa"/>
            <w:vAlign w:val="bottom"/>
          </w:tcPr>
          <w:p>
            <w:pPr>
              <w:jc w:val="center"/>
              <w:spacing w:after="0"/>
              <w:rPr>
                <w:sz w:val="20"/>
                <w:szCs w:val="20"/>
                <w:color w:val="auto"/>
              </w:rPr>
            </w:pPr>
            <w:r>
              <w:rPr>
                <w:rFonts w:ascii="Arial" w:cs="Arial" w:eastAsia="Arial" w:hAnsi="Arial"/>
                <w:sz w:val="17"/>
                <w:szCs w:val="17"/>
                <w:color w:val="auto"/>
                <w:w w:val="99"/>
              </w:rPr>
              <w:t>April 2024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157.9</w:t>
            </w:r>
          </w:p>
        </w:tc>
      </w:tr>
      <w:tr>
        <w:trPr>
          <w:trHeight w:val="181"/>
        </w:trPr>
        <w:tc>
          <w:tcPr>
            <w:tcW w:w="312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Ocwen Excess Spread-Collateralized</w:t>
            </w:r>
          </w:p>
        </w:tc>
        <w:tc>
          <w:tcPr>
            <w:tcW w:w="1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Notes, Series 2022-PLS1 (4)</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MSRs</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Feb. 2025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w:t>
            </w:r>
          </w:p>
        </w:tc>
      </w:tr>
      <w:tr>
        <w:trPr>
          <w:trHeight w:val="181"/>
        </w:trPr>
        <w:tc>
          <w:tcPr>
            <w:tcW w:w="3120" w:type="dxa"/>
            <w:vAlign w:val="bottom"/>
          </w:tcPr>
          <w:p>
            <w:pPr>
              <w:ind w:left="20"/>
              <w:spacing w:after="0" w:line="181" w:lineRule="exact"/>
              <w:rPr>
                <w:sz w:val="20"/>
                <w:szCs w:val="20"/>
                <w:color w:val="auto"/>
              </w:rPr>
            </w:pPr>
            <w:r>
              <w:rPr>
                <w:rFonts w:ascii="Arial" w:cs="Arial" w:eastAsia="Arial" w:hAnsi="Arial"/>
                <w:sz w:val="17"/>
                <w:szCs w:val="17"/>
                <w:color w:val="auto"/>
              </w:rPr>
              <w:t>Secured Notes, Ocwen Asset Servicing</w:t>
            </w:r>
          </w:p>
        </w:tc>
        <w:tc>
          <w:tcPr>
            <w:tcW w:w="1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19"/>
        </w:trPr>
        <w:tc>
          <w:tcPr>
            <w:tcW w:w="3120" w:type="dxa"/>
            <w:vAlign w:val="bottom"/>
          </w:tcPr>
          <w:p>
            <w:pPr>
              <w:ind w:left="180"/>
              <w:spacing w:after="0"/>
              <w:rPr>
                <w:sz w:val="20"/>
                <w:szCs w:val="20"/>
                <w:color w:val="auto"/>
              </w:rPr>
            </w:pPr>
            <w:r>
              <w:rPr>
                <w:rFonts w:ascii="Arial" w:cs="Arial" w:eastAsia="Arial" w:hAnsi="Arial"/>
                <w:sz w:val="17"/>
                <w:szCs w:val="17"/>
                <w:color w:val="auto"/>
                <w:w w:val="97"/>
              </w:rPr>
              <w:t>Income Series Notes, Series 2014-1 (5)</w:t>
            </w:r>
          </w:p>
        </w:tc>
        <w:tc>
          <w:tcPr>
            <w:tcW w:w="1200" w:type="dxa"/>
            <w:vAlign w:val="bottom"/>
          </w:tcPr>
          <w:p>
            <w:pPr>
              <w:jc w:val="center"/>
              <w:spacing w:after="0"/>
              <w:rPr>
                <w:sz w:val="20"/>
                <w:szCs w:val="20"/>
                <w:color w:val="auto"/>
              </w:rPr>
            </w:pPr>
            <w:r>
              <w:rPr>
                <w:rFonts w:ascii="Arial" w:cs="Arial" w:eastAsia="Arial" w:hAnsi="Arial"/>
                <w:sz w:val="17"/>
                <w:szCs w:val="17"/>
                <w:color w:val="auto"/>
                <w:w w:val="94"/>
              </w:rPr>
              <w:t>MSRs</w:t>
            </w:r>
          </w:p>
        </w:tc>
        <w:tc>
          <w:tcPr>
            <w:tcW w:w="1260" w:type="dxa"/>
            <w:vAlign w:val="bottom"/>
          </w:tcPr>
          <w:p>
            <w:pPr>
              <w:jc w:val="center"/>
              <w:spacing w:after="0"/>
              <w:rPr>
                <w:sz w:val="20"/>
                <w:szCs w:val="20"/>
                <w:color w:val="auto"/>
              </w:rPr>
            </w:pPr>
            <w:r>
              <w:rPr>
                <w:rFonts w:ascii="Arial" w:cs="Arial" w:eastAsia="Arial" w:hAnsi="Arial"/>
                <w:sz w:val="17"/>
                <w:szCs w:val="17"/>
                <w:color w:val="auto"/>
                <w:w w:val="88"/>
              </w:rPr>
              <w:t>Feb. 2028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33.4</w:t>
            </w:r>
          </w:p>
        </w:tc>
      </w:tr>
      <w:tr>
        <w:trPr>
          <w:trHeight w:val="181"/>
        </w:trPr>
        <w:tc>
          <w:tcPr>
            <w:tcW w:w="312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$400 million Agency MSR financing</w:t>
            </w:r>
          </w:p>
        </w:tc>
        <w:tc>
          <w:tcPr>
            <w:tcW w:w="1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219"/>
        </w:trPr>
        <w:tc>
          <w:tcPr>
            <w:tcW w:w="31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facility - revolving loan (6)</w:t>
            </w:r>
          </w:p>
        </w:tc>
        <w:tc>
          <w:tcPr>
            <w:tcW w:w="12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MSRs</w:t>
            </w:r>
          </w:p>
        </w:tc>
        <w:tc>
          <w:tcPr>
            <w:tcW w:w="12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Dec. 2025</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396.8</w:t>
            </w:r>
          </w:p>
        </w:tc>
      </w:tr>
      <w:tr>
        <w:trPr>
          <w:trHeight w:val="213"/>
        </w:trPr>
        <w:tc>
          <w:tcPr>
            <w:tcW w:w="3120" w:type="dxa"/>
            <w:vAlign w:val="bottom"/>
          </w:tcPr>
          <w:p>
            <w:pPr>
              <w:ind w:left="120"/>
              <w:spacing w:after="0"/>
              <w:rPr>
                <w:sz w:val="20"/>
                <w:szCs w:val="20"/>
                <w:color w:val="auto"/>
              </w:rPr>
            </w:pPr>
            <w:r>
              <w:rPr>
                <w:rFonts w:ascii="Arial" w:cs="Arial" w:eastAsia="Arial" w:hAnsi="Arial"/>
                <w:sz w:val="17"/>
                <w:szCs w:val="17"/>
                <w:b w:val="1"/>
                <w:bCs w:val="1"/>
                <w:color w:val="auto"/>
              </w:rPr>
              <w:t>Total MSR financing facilities</w:t>
            </w: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902.1</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954.6</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r>
      <w:tr>
        <w:trPr>
          <w:trHeight w:val="121"/>
        </w:trPr>
        <w:tc>
          <w:tcPr>
            <w:tcW w:w="31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r>
      <w:tr>
        <w:trPr>
          <w:trHeight w:val="220"/>
        </w:trPr>
        <w:tc>
          <w:tcPr>
            <w:tcW w:w="43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Unamortized debt issuance costs - PLS Notes (7)</w:t>
            </w: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r>
      <w:tr>
        <w:trPr>
          <w:trHeight w:val="238"/>
        </w:trPr>
        <w:tc>
          <w:tcPr>
            <w:tcW w:w="3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Total MSR financing facilities, net</w:t>
            </w:r>
          </w:p>
        </w:tc>
        <w:tc>
          <w:tcPr>
            <w:tcW w:w="1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901.7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953.8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36"/>
        </w:trPr>
        <w:tc>
          <w:tcPr>
            <w:tcW w:w="3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interest rate (8)</w:t>
            </w:r>
          </w:p>
        </w:tc>
        <w:tc>
          <w:tcPr>
            <w:tcW w:w="1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rPr>
              <w:t>8.10%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48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ind w:left="320" w:right="60" w:hanging="317"/>
        <w:spacing w:after="0" w:line="245"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Of the borrowing capacity on MSR financing facilities extended on a committed basis, none of the available borrowing capacity could be used at September 30, 2023 based on the amount of eligible collateral that could be pledged.</w:t>
      </w:r>
    </w:p>
    <w:p>
      <w:pPr>
        <w:spacing w:after="0" w:line="1" w:lineRule="exact"/>
        <w:rPr>
          <w:rFonts w:ascii="Arial" w:cs="Arial" w:eastAsia="Arial" w:hAnsi="Arial"/>
          <w:sz w:val="16"/>
          <w:szCs w:val="16"/>
          <w:color w:val="auto"/>
        </w:rPr>
      </w:pPr>
    </w:p>
    <w:p>
      <w:pPr>
        <w:ind w:left="320" w:right="80" w:hanging="317"/>
        <w:spacing w:after="0" w:line="280"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PMC’s obligations under this facility are secured by a lien on the related MSRs. Ocwen guarantees the obligations of PMC under this facility. See Note 2 – Securitizations and Variable Interest Entities for additional information. We are subject to daily margining requirements under the terms of the facility. In June 2023, the maturity date of this facility was extended to June 28, 2024, the committed borrowing capacity was reduced by $185.0 million to $265.0 million, and the interest rate margin was revised.</w:t>
      </w:r>
    </w:p>
    <w:p>
      <w:pPr>
        <w:spacing w:after="0" w:line="1" w:lineRule="exact"/>
        <w:rPr>
          <w:rFonts w:ascii="Arial" w:cs="Arial" w:eastAsia="Arial" w:hAnsi="Arial"/>
          <w:sz w:val="14"/>
          <w:szCs w:val="14"/>
          <w:color w:val="auto"/>
        </w:rPr>
      </w:pPr>
    </w:p>
    <w:p>
      <w:pPr>
        <w:ind w:left="320" w:right="80" w:hanging="317"/>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6" w:name="page37"/>
    <w:bookmarkEnd w:id="36"/>
    <w:p>
      <w:pPr>
        <w:jc w:val="both"/>
        <w:ind w:left="320" w:right="440"/>
        <w:spacing w:after="0" w:line="245" w:lineRule="auto"/>
        <w:rPr>
          <w:sz w:val="20"/>
          <w:szCs w:val="20"/>
          <w:color w:val="auto"/>
        </w:rPr>
      </w:pPr>
      <w:r>
        <w:rPr>
          <w:rFonts w:ascii="Arial" w:cs="Arial" w:eastAsia="Arial" w:hAnsi="Arial"/>
          <w:sz w:val="16"/>
          <w:szCs w:val="16"/>
          <w:color w:val="auto"/>
        </w:rPr>
        <w:t>by a lien on the related Ginnie Mae MSRs and servicing advances. Ocwen guarantees the obligations of PMC under the facility. See (2) above regarding daily margining requirements. In April 2023, the maturity date of this facility was extended to April 26, 2024. On September 29,2023, we entered into a joint assignment and assumption agreement and the total borrowing capacity of the facility was increased from $200.0 million to $250.0 million. and the committed borrowing capacity was reduced from $100.0 million to zero.</w:t>
      </w:r>
    </w:p>
    <w:p>
      <w:pPr>
        <w:jc w:val="both"/>
        <w:ind w:left="320" w:right="80" w:hanging="317"/>
        <w:spacing w:after="0" w:line="278" w:lineRule="auto"/>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Ocwen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w:t>
      </w:r>
    </w:p>
    <w:p>
      <w:pPr>
        <w:ind w:left="320" w:right="100" w:hanging="317"/>
        <w:spacing w:after="0" w:line="241"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ind w:left="320" w:right="60" w:hanging="317"/>
        <w:spacing w:after="0" w:line="24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facility includes a revolving loan secured by a lien on certain of PMC’s Agency MSRs and is subject to daily margining requirements. Any outstanding borrowings on the revolving loan will convert into a term loan in November 2024.</w:t>
      </w:r>
    </w:p>
    <w:p>
      <w:pPr>
        <w:ind w:left="320" w:right="540" w:hanging="317"/>
        <w:spacing w:after="0" w:line="244"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At September 30, 2023 and December 31, 2022, unamortized prepaid lender fees related to revolving type MSR financing facilities were $4.3 million and $4.9 million, respectively, and are included in Other assets in our consolidated balance sheets.</w:t>
      </w:r>
    </w:p>
    <w:p>
      <w:pPr>
        <w:ind w:left="320" w:hanging="317"/>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Weighted average interest rate excluding the effect of the amortization of debt issuance costs and prepaid lender fees.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b w:val="1"/>
                <w:bCs w:val="1"/>
                <w:color w:val="auto"/>
              </w:rPr>
              <w:t>Outstanding Balance</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Senior Notes</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Interest Rate (1)</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99"/>
              </w:rPr>
              <w:t>Maturity</w:t>
            </w: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c>
          <w:tcPr>
            <w:tcW w:w="0" w:type="dxa"/>
            <w:vAlign w:val="bottom"/>
          </w:tcPr>
          <w:p>
            <w:pPr>
              <w:spacing w:after="0"/>
              <w:rPr>
                <w:sz w:val="1"/>
                <w:szCs w:val="1"/>
                <w:color w:val="auto"/>
              </w:rPr>
            </w:pPr>
          </w:p>
        </w:tc>
      </w:tr>
      <w:tr>
        <w:trPr>
          <w:trHeight w:val="213"/>
        </w:trPr>
        <w:tc>
          <w:tcPr>
            <w:tcW w:w="49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PMC Senior Secured Notes (2)</w:t>
            </w: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7.875%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March 2026</w:t>
            </w: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1620" w:type="dxa"/>
            <w:vAlign w:val="bottom"/>
            <w:gridSpan w:val="2"/>
          </w:tcPr>
          <w:p>
            <w:pPr>
              <w:jc w:val="center"/>
              <w:ind w:right="100"/>
              <w:spacing w:after="0" w:line="181" w:lineRule="exact"/>
              <w:rPr>
                <w:sz w:val="20"/>
                <w:szCs w:val="20"/>
                <w:color w:val="auto"/>
              </w:rPr>
            </w:pPr>
            <w:r>
              <w:rPr>
                <w:rFonts w:ascii="Arial" w:cs="Arial" w:eastAsia="Arial" w:hAnsi="Arial"/>
                <w:sz w:val="17"/>
                <w:szCs w:val="17"/>
                <w:color w:val="auto"/>
                <w:w w:val="91"/>
              </w:rPr>
              <w:t>12% paid in cash or</w:t>
            </w: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00" w:type="dxa"/>
            <w:vAlign w:val="bottom"/>
            <w:vMerge w:val="restart"/>
          </w:tcPr>
          <w:p>
            <w:pPr>
              <w:ind w:left="120"/>
              <w:spacing w:after="0"/>
              <w:rPr>
                <w:sz w:val="20"/>
                <w:szCs w:val="20"/>
                <w:color w:val="auto"/>
              </w:rPr>
            </w:pPr>
            <w:r>
              <w:rPr>
                <w:rFonts w:ascii="Arial" w:cs="Arial" w:eastAsia="Arial" w:hAnsi="Arial"/>
                <w:sz w:val="17"/>
                <w:szCs w:val="17"/>
                <w:color w:val="auto"/>
              </w:rPr>
              <w:t>OFC Senior Secured Notes (due to related parties) (3)</w:t>
            </w:r>
          </w:p>
        </w:tc>
        <w:tc>
          <w:tcPr>
            <w:tcW w:w="1620" w:type="dxa"/>
            <w:vAlign w:val="bottom"/>
            <w:gridSpan w:val="2"/>
          </w:tcPr>
          <w:p>
            <w:pPr>
              <w:jc w:val="center"/>
              <w:ind w:right="80"/>
              <w:spacing w:after="0" w:line="168" w:lineRule="exact"/>
              <w:rPr>
                <w:sz w:val="20"/>
                <w:szCs w:val="20"/>
                <w:color w:val="auto"/>
              </w:rPr>
            </w:pPr>
            <w:r>
              <w:rPr>
                <w:rFonts w:ascii="Arial" w:cs="Arial" w:eastAsia="Arial" w:hAnsi="Arial"/>
                <w:sz w:val="17"/>
                <w:szCs w:val="17"/>
                <w:color w:val="auto"/>
                <w:w w:val="94"/>
              </w:rPr>
              <w:t>13.25% paid-in-kind</w:t>
            </w:r>
          </w:p>
        </w:tc>
        <w:tc>
          <w:tcPr>
            <w:tcW w:w="1580" w:type="dxa"/>
            <w:vAlign w:val="bottom"/>
            <w:vMerge w:val="restart"/>
          </w:tcPr>
          <w:p>
            <w:pPr>
              <w:jc w:val="center"/>
              <w:spacing w:after="0"/>
              <w:rPr>
                <w:sz w:val="20"/>
                <w:szCs w:val="20"/>
                <w:color w:val="auto"/>
              </w:rPr>
            </w:pPr>
            <w:r>
              <w:rPr>
                <w:rFonts w:ascii="Arial" w:cs="Arial" w:eastAsia="Arial" w:hAnsi="Arial"/>
                <w:sz w:val="17"/>
                <w:szCs w:val="17"/>
                <w:color w:val="auto"/>
                <w:w w:val="91"/>
              </w:rPr>
              <w:t>March 2027</w:t>
            </w:r>
          </w:p>
        </w:tc>
        <w:tc>
          <w:tcPr>
            <w:tcW w:w="4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285.0</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285.0</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CCEEFF"/>
            </w:tcBorders>
            <w:vMerge w:val="continue"/>
          </w:tcPr>
          <w:p>
            <w:pPr>
              <w:spacing w:after="0"/>
              <w:rPr>
                <w:sz w:val="19"/>
                <w:szCs w:val="19"/>
                <w:color w:val="auto"/>
              </w:rPr>
            </w:pPr>
          </w:p>
        </w:tc>
        <w:tc>
          <w:tcPr>
            <w:tcW w:w="16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7"/>
                <w:szCs w:val="17"/>
                <w:color w:val="auto"/>
                <w:w w:val="91"/>
              </w:rPr>
              <w:t>(see below)</w:t>
            </w:r>
          </w:p>
        </w:tc>
        <w:tc>
          <w:tcPr>
            <w:tcW w:w="158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Principal balance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0" w:type="dxa"/>
            <w:vAlign w:val="bottom"/>
          </w:tcPr>
          <w:p>
            <w:pPr>
              <w:spacing w:after="0"/>
              <w:rPr>
                <w:sz w:val="1"/>
                <w:szCs w:val="1"/>
                <w:color w:val="auto"/>
              </w:rPr>
            </w:pPr>
          </w:p>
        </w:tc>
      </w:tr>
      <w:tr>
        <w:trPr>
          <w:trHeight w:val="200"/>
        </w:trPr>
        <w:tc>
          <w:tcPr>
            <w:tcW w:w="4900" w:type="dxa"/>
            <w:vAlign w:val="bottom"/>
          </w:tcPr>
          <w:p>
            <w:pPr>
              <w:ind w:left="140"/>
              <w:spacing w:after="0"/>
              <w:rPr>
                <w:sz w:val="20"/>
                <w:szCs w:val="20"/>
                <w:color w:val="auto"/>
              </w:rPr>
            </w:pPr>
            <w:r>
              <w:rPr>
                <w:rFonts w:ascii="Arial" w:cs="Arial" w:eastAsia="Arial" w:hAnsi="Arial"/>
                <w:sz w:val="17"/>
                <w:szCs w:val="17"/>
                <w:color w:val="auto"/>
              </w:rPr>
              <w:t>Discount</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w:t>
            </w:r>
          </w:p>
        </w:tc>
        <w:tc>
          <w:tcPr>
            <w:tcW w:w="0" w:type="dxa"/>
            <w:vAlign w:val="bottom"/>
          </w:tcPr>
          <w:p>
            <w:pPr>
              <w:spacing w:after="0"/>
              <w:rPr>
                <w:sz w:val="1"/>
                <w:szCs w:val="1"/>
                <w:color w:val="auto"/>
              </w:rPr>
            </w:pPr>
          </w:p>
        </w:tc>
      </w:tr>
      <w:tr>
        <w:trPr>
          <w:trHeight w:val="200"/>
        </w:trPr>
        <w:tc>
          <w:tcPr>
            <w:tcW w:w="4900" w:type="dxa"/>
            <w:vAlign w:val="bottom"/>
          </w:tcPr>
          <w:p>
            <w:pPr>
              <w:ind w:left="140"/>
              <w:spacing w:after="0"/>
              <w:rPr>
                <w:sz w:val="20"/>
                <w:szCs w:val="20"/>
                <w:color w:val="auto"/>
              </w:rPr>
            </w:pPr>
            <w:r>
              <w:rPr>
                <w:rFonts w:ascii="Arial" w:cs="Arial" w:eastAsia="Arial" w:hAnsi="Arial"/>
                <w:sz w:val="17"/>
                <w:szCs w:val="17"/>
                <w:color w:val="auto"/>
              </w:rPr>
              <w:t>Unamortized debt issuance costs</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PMC Senior Secured Notes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49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OFC Senior Secured Notes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Excluding the effect of the amortization of debt issuance costs and discount.</w:t>
      </w:r>
    </w:p>
    <w:p>
      <w:pPr>
        <w:spacing w:after="0" w:line="8" w:lineRule="exact"/>
        <w:rPr>
          <w:rFonts w:ascii="Arial" w:cs="Arial" w:eastAsia="Arial" w:hAnsi="Arial"/>
          <w:sz w:val="16"/>
          <w:szCs w:val="16"/>
          <w:color w:val="auto"/>
        </w:rPr>
      </w:pPr>
    </w:p>
    <w:p>
      <w:pPr>
        <w:ind w:left="320" w:right="100" w:hanging="317"/>
        <w:spacing w:after="0" w:line="244"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Redeemable at 103.938% and 101.969% before March 15, 2024 and March 15, 2025, respectively, at par thereafter. The Indenture contains customary covenants that limit the ability of PHH Corporation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spacing w:after="0" w:line="1" w:lineRule="exact"/>
        <w:rPr>
          <w:rFonts w:ascii="Arial" w:cs="Arial" w:eastAsia="Arial" w:hAnsi="Arial"/>
          <w:sz w:val="16"/>
          <w:szCs w:val="16"/>
          <w:color w:val="auto"/>
        </w:rPr>
      </w:pPr>
    </w:p>
    <w:p>
      <w:pPr>
        <w:jc w:val="both"/>
        <w:ind w:left="320" w:right="480" w:hanging="317"/>
        <w:spacing w:after="0" w:line="244"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Redeemable at par plus a make-whole premium prior to March 4, 2026, at par thereafter. The make-whole premium represents the present value of all scheduled interest payments due through March 4, 2026. The Notes are solely the obligation of Ocwen and are secured by a pledge of substantially all of the assets of Ocwen, including its directly held subsidiaries.</w:t>
      </w:r>
    </w:p>
    <w:p>
      <w:pPr>
        <w:spacing w:after="0" w:line="8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September 27, 2023, we repurchased a total of $13.9 million of the PMC Senior Secured Notes in the open market for a price of $12.5 million and recognized a $1.2 million gain on debt extinguishment, net of the respective write-off of unamortized discount and debt issuance costs. Also refer to Note 21 – Subsequent Events.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121"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On January 24, 2023, S&amp;P affirmed the issuer credit rating for Ocwen of “B-” and the “B” rating of the PMC Senior Secured Notes. On August 15, 2022, Moody’s affirmed PMC’s long-term corporate family ratings of Caa1 and revised their outlook to Positive from Stable. It is possible that additional actions by credit rating agencies could have a material adverse impact on our liquidity and funding position, including materially changing the terms on which we may be able to borrow money.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Covenants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our debt agreements, we are subject to various affirmative and negative covenants. Collectively, these covenants include:</w:t>
      </w:r>
    </w:p>
    <w:p>
      <w:pPr>
        <w:spacing w:after="0" w:line="115"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Financial covenants, including, but not limited to, specified levels of net worth, liquidity and leverage;</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Covenants to operate in material compliance with applicable laws;</w:t>
      </w:r>
    </w:p>
    <w:p>
      <w:pPr>
        <w:spacing w:after="0" w:line="11" w:lineRule="exact"/>
        <w:rPr>
          <w:rFonts w:ascii="Arial" w:cs="Arial" w:eastAsia="Arial" w:hAnsi="Arial"/>
          <w:sz w:val="17"/>
          <w:szCs w:val="17"/>
          <w:color w:val="auto"/>
        </w:rPr>
      </w:pPr>
    </w:p>
    <w:p>
      <w:pPr>
        <w:ind w:left="620" w:right="60" w:hanging="307"/>
        <w:spacing w:after="0" w:line="269" w:lineRule="auto"/>
        <w:tabs>
          <w:tab w:leader="none" w:pos="6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spacing w:after="0" w:line="2" w:lineRule="exact"/>
        <w:rPr>
          <w:rFonts w:ascii="Arial" w:cs="Arial" w:eastAsia="Arial" w:hAnsi="Arial"/>
          <w:sz w:val="16"/>
          <w:szCs w:val="16"/>
          <w:color w:val="auto"/>
        </w:rPr>
      </w:pPr>
    </w:p>
    <w:p>
      <w:pPr>
        <w:ind w:left="620" w:right="60" w:hanging="307"/>
        <w:spacing w:after="0" w:line="253"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Monitoring and reporting of various specified transactions or events, including specific reporting on defined events affecting collateral underlying certain debt agreements; and</w:t>
      </w:r>
    </w:p>
    <w:p>
      <w:pPr>
        <w:spacing w:after="0" w:line="1" w:lineRule="exact"/>
        <w:rPr>
          <w:rFonts w:ascii="Arial" w:cs="Arial" w:eastAsia="Arial" w:hAnsi="Arial"/>
          <w:sz w:val="17"/>
          <w:szCs w:val="17"/>
          <w:color w:val="auto"/>
        </w:rPr>
      </w:pPr>
    </w:p>
    <w:p>
      <w:pPr>
        <w:ind w:left="620" w:right="400" w:hanging="307"/>
        <w:spacing w:after="0" w:line="267"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Requirements to provide audited financial statements within specified timeframes, including requirements that Ocwen’s financial statements and the related audit report be unqualified as to going concern.</w:t>
      </w:r>
    </w:p>
    <w:p>
      <w:pPr>
        <w:spacing w:after="0" w:line="6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most restrictive consolidated net worth requirement contained in our debt agreements with borrowings outstanding at September 30, 2023 is a minimum of $275.0 million and $300.0 million, tangible net worth for Ocwen and PMC, respectively. The most restrictive liquidity requirement under our debt agreements with borrowings outstanding at September 30, 2023 is for a minimum of $75.0 million for both Ocwen and PMC consolidated liquidity. The minimum tangible net worth and liquidity requirements at PMC are also subject to the minimum requirement set forth by the Agencies. See also Note 18 – Regulatory Requirements.</w:t>
      </w:r>
    </w:p>
    <w:p>
      <w:pPr>
        <w:spacing w:after="0" w:line="42" w:lineRule="exact"/>
        <w:rPr>
          <w:sz w:val="20"/>
          <w:szCs w:val="20"/>
          <w:color w:val="auto"/>
        </w:rPr>
      </w:pPr>
    </w:p>
    <w:p>
      <w:pPr>
        <w:ind w:right="840"/>
        <w:spacing w:after="0" w:line="380" w:lineRule="auto"/>
        <w:rPr>
          <w:sz w:val="20"/>
          <w:szCs w:val="20"/>
          <w:color w:val="auto"/>
        </w:rPr>
      </w:pPr>
      <w:r>
        <w:rPr>
          <w:rFonts w:ascii="Arial" w:cs="Arial" w:eastAsia="Arial" w:hAnsi="Arial"/>
          <w:sz w:val="17"/>
          <w:szCs w:val="17"/>
          <w:color w:val="auto"/>
        </w:rPr>
        <w:t xml:space="preserve">We believe we were in compliance with all of the covenants in our debt agreements as of the date of these unaudited consolidated financial statements. </w:t>
      </w:r>
      <w:r>
        <w:rPr>
          <w:rFonts w:ascii="Arial" w:cs="Arial" w:eastAsia="Arial" w:hAnsi="Arial"/>
          <w:sz w:val="17"/>
          <w:szCs w:val="17"/>
          <w:b w:val="1"/>
          <w:bCs w:val="1"/>
          <w:color w:val="auto"/>
        </w:rPr>
        <w:t>Collateral</w:t>
      </w:r>
    </w:p>
    <w:p>
      <w:pPr>
        <w:spacing w:after="0" w:line="1"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Our assets held as collateral for secured borrowings and other unencumbered assets which may be subject to a lien under various collateralized borrowings are as follows at September 30,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Pledged</w:t>
            </w: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7"/>
                <w:szCs w:val="17"/>
                <w:b w:val="1"/>
                <w:bCs w:val="1"/>
                <w:color w:val="auto"/>
              </w:rPr>
              <w:t>Collateralized</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Arial" w:cs="Arial" w:eastAsia="Arial" w:hAnsi="Arial"/>
                <w:sz w:val="17"/>
                <w:szCs w:val="17"/>
                <w:b w:val="1"/>
                <w:bCs w:val="1"/>
                <w:color w:val="auto"/>
                <w:w w:val="93"/>
              </w:rPr>
              <w:t>Unencumbered</w:t>
            </w:r>
          </w:p>
        </w:tc>
      </w:tr>
      <w:tr>
        <w:trPr>
          <w:trHeight w:val="233"/>
        </w:trPr>
        <w:tc>
          <w:tcPr>
            <w:tcW w:w="47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Assets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Borrowings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Assets (1)</w:t>
            </w:r>
          </w:p>
        </w:tc>
      </w:tr>
      <w:tr>
        <w:trPr>
          <w:trHeight w:val="213"/>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w:t>
            </w:r>
          </w:p>
        </w:tc>
      </w:tr>
      <w:tr>
        <w:trPr>
          <w:trHeight w:val="220"/>
        </w:trPr>
        <w:tc>
          <w:tcPr>
            <w:tcW w:w="470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20"/>
        </w:trPr>
        <w:tc>
          <w:tcPr>
            <w:tcW w:w="4700" w:type="dxa"/>
            <w:vAlign w:val="bottom"/>
          </w:tcPr>
          <w:p>
            <w:pPr>
              <w:ind w:left="20"/>
              <w:spacing w:after="0"/>
              <w:rPr>
                <w:sz w:val="20"/>
                <w:szCs w:val="20"/>
                <w:color w:val="auto"/>
              </w:rPr>
            </w:pPr>
            <w:r>
              <w:rPr>
                <w:rFonts w:ascii="Arial" w:cs="Arial" w:eastAsia="Arial" w:hAnsi="Arial"/>
                <w:sz w:val="17"/>
                <w:szCs w:val="17"/>
                <w:color w:val="auto"/>
              </w:rPr>
              <w:t>Loans held for investment - securitized (2)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7,671.1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7,671.1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7,613.6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investment - unsecuritized</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20"/>
        </w:trPr>
        <w:tc>
          <w:tcPr>
            <w:tcW w:w="4700" w:type="dxa"/>
            <w:vAlign w:val="bottom"/>
          </w:tcPr>
          <w:p>
            <w:pPr>
              <w:ind w:left="20"/>
              <w:spacing w:after="0"/>
              <w:rPr>
                <w:sz w:val="20"/>
                <w:szCs w:val="20"/>
                <w:color w:val="auto"/>
              </w:rPr>
            </w:pPr>
            <w:r>
              <w:rPr>
                <w:rFonts w:ascii="Arial" w:cs="Arial" w:eastAsia="Arial" w:hAnsi="Arial"/>
                <w:sz w:val="17"/>
                <w:szCs w:val="17"/>
                <w:color w:val="auto"/>
              </w:rPr>
              <w:t>MSRs (3)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1,724.5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net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r>
      <w:tr>
        <w:trPr>
          <w:trHeight w:val="220"/>
        </w:trPr>
        <w:tc>
          <w:tcPr>
            <w:tcW w:w="4700" w:type="dxa"/>
            <w:vAlign w:val="bottom"/>
          </w:tcPr>
          <w:p>
            <w:pPr>
              <w:ind w:left="20"/>
              <w:spacing w:after="0"/>
              <w:rPr>
                <w:sz w:val="20"/>
                <w:szCs w:val="20"/>
                <w:color w:val="auto"/>
              </w:rPr>
            </w:pPr>
            <w:r>
              <w:rPr>
                <w:rFonts w:ascii="Arial" w:cs="Arial" w:eastAsia="Arial" w:hAnsi="Arial"/>
                <w:sz w:val="17"/>
                <w:szCs w:val="17"/>
                <w:color w:val="auto"/>
              </w:rPr>
              <w:t>Receivables, net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113.0</w:t>
            </w:r>
          </w:p>
        </w:tc>
      </w:tr>
      <w:tr>
        <w:trPr>
          <w:trHeight w:val="220"/>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REO</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3"/>
        </w:trPr>
        <w:tc>
          <w:tcPr>
            <w:tcW w:w="4700" w:type="dxa"/>
            <w:vAlign w:val="bottom"/>
          </w:tcPr>
          <w:p>
            <w:pPr>
              <w:ind w:left="120"/>
              <w:spacing w:after="0"/>
              <w:rPr>
                <w:sz w:val="20"/>
                <w:szCs w:val="20"/>
                <w:color w:val="auto"/>
              </w:rPr>
            </w:pPr>
            <w:r>
              <w:rPr>
                <w:rFonts w:ascii="Arial" w:cs="Arial" w:eastAsia="Arial" w:hAnsi="Arial"/>
                <w:sz w:val="17"/>
                <w:szCs w:val="17"/>
                <w:color w:val="auto"/>
              </w:rPr>
              <w:t>Total (4)</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11,458.4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10,232.8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429.6</w:t>
            </w:r>
          </w:p>
        </w:tc>
      </w:tr>
      <w:tr>
        <w:trPr>
          <w:trHeight w:val="20"/>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hanging="317"/>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Certain assets are pledged as collateral to the PMC Senior Secured Notes and OFC Senior Secured (second lien) Notes.</w:t>
      </w:r>
    </w:p>
    <w:p>
      <w:pPr>
        <w:spacing w:after="0" w:line="12" w:lineRule="exact"/>
        <w:rPr>
          <w:rFonts w:ascii="Arial" w:cs="Arial" w:eastAsia="Arial" w:hAnsi="Arial"/>
          <w:sz w:val="16"/>
          <w:szCs w:val="16"/>
          <w:color w:val="auto"/>
        </w:rPr>
      </w:pPr>
    </w:p>
    <w:p>
      <w:pPr>
        <w:ind w:left="320" w:right="60" w:hanging="317"/>
        <w:spacing w:after="0" w:line="243"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spacing w:after="0" w:line="1" w:lineRule="exact"/>
        <w:rPr>
          <w:rFonts w:ascii="Arial" w:cs="Arial" w:eastAsia="Arial" w:hAnsi="Arial"/>
          <w:sz w:val="16"/>
          <w:szCs w:val="16"/>
          <w:color w:val="auto"/>
        </w:rPr>
      </w:pPr>
    </w:p>
    <w:p>
      <w:pPr>
        <w:ind w:left="320" w:right="140" w:hanging="317"/>
        <w:spacing w:after="0" w:line="244"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Excludes MSRs transferred to MAV, Rithm and others, and associated Pledged MSR liability recorded as sale accounting criteria are not met. Pledged assets exceed the MSR asset balance due to the netting of certain PLS MSR portfolios with negative and positive fair values as eligible collateral.</w:t>
      </w:r>
    </w:p>
    <w:p>
      <w:pPr>
        <w:ind w:left="320" w:right="100" w:hanging="317"/>
        <w:spacing w:after="0" w:line="238" w:lineRule="auto"/>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total of selected assets disclosed in the above table does not represent the total consolidated assets of Ocwen. For example, the total excludes premises and equipment and certain other assets.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38" w:name="page39"/>
    <w:bookmarkEnd w:id="38"/>
    <w:p>
      <w:pPr>
        <w:spacing w:after="0" w:line="267" w:lineRule="auto"/>
        <w:rPr>
          <w:sz w:val="20"/>
          <w:szCs w:val="20"/>
          <w:color w:val="auto"/>
        </w:rPr>
      </w:pPr>
      <w:r>
        <w:rPr>
          <w:rFonts w:ascii="Arial" w:cs="Arial" w:eastAsia="Arial" w:hAnsi="Arial"/>
          <w:sz w:val="17"/>
          <w:szCs w:val="17"/>
          <w:color w:val="auto"/>
        </w:rPr>
        <w:t>The OFC Senior Secured Notes due 2027 have a second lien priority on specified security interests, as defined under the OFC Senior Secured Note Agreement and summarized in the table below, and have a priority lien on the following assets: investments by OFC in subsidiaries not guaranteeing the PMC Senior Secured Notes, including PHH and MAV; cash and investment accounts at OFC; and certain other assets, including receivables.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September 30, 2023</w:t>
            </w:r>
          </w:p>
        </w:tc>
      </w:tr>
      <w:tr>
        <w:trPr>
          <w:trHeight w:val="213"/>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net servicing advances</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178.5</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deferred servicing fee</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4.1</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MSR value less borrowings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674.3</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unrestricted cash balances</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123.1</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advance facility reserves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11.0</w:t>
            </w:r>
          </w:p>
        </w:tc>
      </w:tr>
      <w:tr>
        <w:trPr>
          <w:trHeight w:val="220"/>
        </w:trPr>
        <w:tc>
          <w:tcPr>
            <w:tcW w:w="9720" w:type="dxa"/>
            <w:vAlign w:val="bottom"/>
          </w:tcPr>
          <w:p>
            <w:pPr>
              <w:ind w:left="20"/>
              <w:spacing w:after="0"/>
              <w:rPr>
                <w:sz w:val="20"/>
                <w:szCs w:val="20"/>
                <w:color w:val="auto"/>
              </w:rPr>
            </w:pPr>
            <w:r>
              <w:rPr>
                <w:rFonts w:ascii="Arial" w:cs="Arial" w:eastAsia="Arial" w:hAnsi="Arial"/>
                <w:sz w:val="17"/>
                <w:szCs w:val="17"/>
                <w:color w:val="auto"/>
              </w:rPr>
              <w:t>Specified loan value</w:t>
            </w:r>
          </w:p>
        </w:tc>
        <w:tc>
          <w:tcPr>
            <w:tcW w:w="5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69.3</w:t>
            </w:r>
          </w:p>
        </w:tc>
      </w:t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Specified residual value</w:t>
            </w: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r>
      <w:tr>
        <w:trPr>
          <w:trHeight w:val="213"/>
        </w:trPr>
        <w:tc>
          <w:tcPr>
            <w:tcW w:w="9720" w:type="dxa"/>
            <w:vAlign w:val="bottom"/>
          </w:tcPr>
          <w:p>
            <w:pPr>
              <w:ind w:left="120"/>
              <w:spacing w:after="0"/>
              <w:rPr>
                <w:sz w:val="20"/>
                <w:szCs w:val="20"/>
                <w:color w:val="auto"/>
              </w:rPr>
            </w:pPr>
            <w:r>
              <w:rPr>
                <w:rFonts w:ascii="Arial" w:cs="Arial" w:eastAsia="Arial" w:hAnsi="Arial"/>
                <w:sz w:val="17"/>
                <w:szCs w:val="17"/>
                <w:color w:val="auto"/>
              </w:rPr>
              <w:t>Total</w:t>
            </w: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1,060.3</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Note 13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84455</wp:posOffset>
            </wp:positionV>
            <wp:extent cx="712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620" w:type="dxa"/>
            <w:vAlign w:val="bottom"/>
            <w:gridSpan w:val="3"/>
          </w:tcPr>
          <w:p>
            <w:pPr>
              <w:ind w:left="40"/>
              <w:spacing w:after="0"/>
              <w:rPr>
                <w:sz w:val="20"/>
                <w:szCs w:val="20"/>
                <w:color w:val="auto"/>
              </w:rPr>
            </w:pPr>
            <w:r>
              <w:rPr>
                <w:rFonts w:ascii="Arial" w:cs="Arial" w:eastAsia="Arial" w:hAnsi="Arial"/>
                <w:sz w:val="17"/>
                <w:szCs w:val="17"/>
                <w:b w:val="1"/>
                <w:bCs w:val="1"/>
                <w:color w:val="auto"/>
                <w:w w:val="98"/>
              </w:rPr>
              <w:t>September 30, 2023</w:t>
            </w:r>
          </w:p>
        </w:tc>
        <w:tc>
          <w:tcPr>
            <w:tcW w:w="152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December 31, 2022</w:t>
            </w: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Contingent loan repurchase liability</w:t>
            </w:r>
          </w:p>
        </w:tc>
        <w:tc>
          <w:tcPr>
            <w:tcW w:w="600" w:type="dxa"/>
            <w:vAlign w:val="bottom"/>
            <w:tcBorders>
              <w:top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289.9</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Other accrued expenses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75.9</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Rithm - Advance collections, servicing fees and other</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Checks held for escheat</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48.1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for indemnification obligations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Servicing-related obligations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Derivatives, at fair value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Lease liability</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for uncertain tax positions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Accrued interest payable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related payables</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Accrued legal fees and settlements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42.2</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Liability for unfunded pension obligation and India gratuity plan</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Income taxes payable</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insurance premium payable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MSR purchase price holdback</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Excess servicing fee spread payable</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38"/>
        </w:trPr>
        <w:tc>
          <w:tcPr>
            <w:tcW w:w="8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14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table below summarizes the fair value, notional and maturity of our derivative instruments. The notional amount of our contracts does not represent our exposure to credit loss. None of the derivatives were designated as a hedge for accounting purposes as of or during the nine months ended September 30, 2023 and 2022.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9" w:name="page40"/>
    <w:bookmarkEnd w:id="39"/>
    <w:p>
      <w:pPr>
        <w:jc w:val="center"/>
        <w:ind w:left="4020"/>
        <w:spacing w:after="0"/>
        <w:rPr>
          <w:sz w:val="20"/>
          <w:szCs w:val="20"/>
          <w:color w:val="auto"/>
        </w:rPr>
      </w:pPr>
      <w:r>
        <w:rPr>
          <w:rFonts w:ascii="Arial" w:cs="Arial" w:eastAsia="Arial" w:hAnsi="Arial"/>
          <w:sz w:val="17"/>
          <w:szCs w:val="17"/>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19050</wp:posOffset>
            </wp:positionV>
            <wp:extent cx="22974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7" w:lineRule="exact"/>
        <w:rPr>
          <w:sz w:val="20"/>
          <w:szCs w:val="20"/>
          <w:color w:val="auto"/>
        </w:rPr>
      </w:pPr>
    </w:p>
    <w:p>
      <w:pPr>
        <w:ind w:left="4080"/>
        <w:spacing w:after="0"/>
        <w:tabs>
          <w:tab w:leader="none" w:pos="5340" w:val="left"/>
          <w:tab w:leader="none" w:pos="6420" w:val="left"/>
        </w:tabs>
        <w:rPr>
          <w:sz w:val="20"/>
          <w:szCs w:val="20"/>
          <w:color w:val="auto"/>
        </w:rPr>
      </w:pPr>
      <w:r>
        <w:rPr>
          <w:rFonts w:ascii="Arial" w:cs="Arial" w:eastAsia="Arial" w:hAnsi="Arial"/>
          <w:sz w:val="17"/>
          <w:szCs w:val="17"/>
          <w:b w:val="1"/>
          <w:bCs w:val="1"/>
          <w:color w:val="auto"/>
        </w:rPr>
        <w:t>Maturities</w:t>
      </w:r>
      <w:r>
        <w:rPr>
          <w:sz w:val="20"/>
          <w:szCs w:val="20"/>
          <w:color w:val="auto"/>
        </w:rPr>
        <w:tab/>
      </w:r>
      <w:r>
        <w:rPr>
          <w:rFonts w:ascii="Arial" w:cs="Arial" w:eastAsia="Arial" w:hAnsi="Arial"/>
          <w:sz w:val="17"/>
          <w:szCs w:val="17"/>
          <w:b w:val="1"/>
          <w:bCs w:val="1"/>
          <w:color w:val="auto"/>
        </w:rPr>
        <w:t>Notional</w:t>
      </w:r>
      <w:r>
        <w:rPr>
          <w:sz w:val="20"/>
          <w:szCs w:val="20"/>
          <w:color w:val="auto"/>
        </w:rPr>
        <w:tab/>
      </w:r>
      <w:r>
        <w:rPr>
          <w:rFonts w:ascii="Arial" w:cs="Arial" w:eastAsia="Arial" w:hAnsi="Arial"/>
          <w:sz w:val="16"/>
          <w:szCs w:val="16"/>
          <w:b w:val="1"/>
          <w:bCs w:val="1"/>
          <w:color w:val="auto"/>
        </w:rPr>
        <w:t>Fair value</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Arial" w:cs="Arial" w:eastAsia="Arial" w:hAnsi="Arial"/>
          <w:sz w:val="17"/>
          <w:szCs w:val="17"/>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19050</wp:posOffset>
            </wp:positionV>
            <wp:extent cx="23710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17" w:lineRule="exact"/>
        <w:rPr>
          <w:sz w:val="20"/>
          <w:szCs w:val="20"/>
          <w:color w:val="auto"/>
        </w:rPr>
      </w:pPr>
    </w:p>
    <w:p>
      <w:pPr>
        <w:spacing w:after="0"/>
        <w:tabs>
          <w:tab w:leader="none" w:pos="1320" w:val="left"/>
          <w:tab w:leader="none" w:pos="2400" w:val="left"/>
        </w:tabs>
        <w:rPr>
          <w:sz w:val="20"/>
          <w:szCs w:val="20"/>
          <w:color w:val="auto"/>
        </w:rPr>
      </w:pPr>
      <w:r>
        <w:rPr>
          <w:rFonts w:ascii="Arial" w:cs="Arial" w:eastAsia="Arial" w:hAnsi="Arial"/>
          <w:sz w:val="17"/>
          <w:szCs w:val="17"/>
          <w:b w:val="1"/>
          <w:bCs w:val="1"/>
          <w:color w:val="auto"/>
        </w:rPr>
        <w:t>Maturities</w:t>
      </w:r>
      <w:r>
        <w:rPr>
          <w:sz w:val="20"/>
          <w:szCs w:val="20"/>
          <w:color w:val="auto"/>
        </w:rPr>
        <w:tab/>
      </w:r>
      <w:r>
        <w:rPr>
          <w:rFonts w:ascii="Arial" w:cs="Arial" w:eastAsia="Arial" w:hAnsi="Arial"/>
          <w:sz w:val="17"/>
          <w:szCs w:val="17"/>
          <w:b w:val="1"/>
          <w:bCs w:val="1"/>
          <w:color w:val="auto"/>
        </w:rPr>
        <w:t>Notional</w:t>
      </w:r>
      <w:r>
        <w:rPr>
          <w:sz w:val="20"/>
          <w:szCs w:val="20"/>
          <w:color w:val="auto"/>
        </w:rPr>
        <w:tab/>
      </w:r>
      <w:r>
        <w:rPr>
          <w:rFonts w:ascii="Arial" w:cs="Arial" w:eastAsia="Arial" w:hAnsi="Arial"/>
          <w:sz w:val="16"/>
          <w:szCs w:val="16"/>
          <w:b w:val="1"/>
          <w:bCs w:val="1"/>
          <w:color w:val="auto"/>
        </w:rPr>
        <w:t>Fair value</w:t>
      </w:r>
    </w:p>
    <w:p>
      <w:pPr>
        <w:spacing w:after="0" w:line="30" w:lineRule="exact"/>
        <w:rPr>
          <w:sz w:val="20"/>
          <w:szCs w:val="20"/>
          <w:color w:val="auto"/>
        </w:rPr>
      </w:pPr>
    </w:p>
    <w:p>
      <w:pPr>
        <w:sectPr>
          <w:pgSz w:w="11900" w:h="16838" w:orient="portrait"/>
          <w:cols w:equalWidth="0" w:num="2">
            <w:col w:w="7200" w:space="640"/>
            <w:col w:w="3400"/>
          </w:cols>
          <w:pgMar w:left="320" w:top="1000" w:right="339" w:bottom="1440" w:gutter="0" w:footer="0" w:header="0"/>
        </w:sectPr>
      </w:pPr>
    </w:p>
    <w:tbl>
      <w:tblPr>
        <w:tblLayout w:type="fixed"/>
        <w:tblInd w:w="0" w:type="dxa"/>
        <w:tblCellMar>
          <w:top w:w="0" w:type="dxa"/>
          <w:left w:w="0" w:type="dxa"/>
          <w:bottom w:w="0" w:type="dxa"/>
          <w:right w:w="0" w:type="dxa"/>
        </w:tblCellMar>
      </w:tblPr>
      <w:tr>
        <w:trPr>
          <w:trHeight w:val="20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Derivative Assets (Other assets)</w:t>
            </w:r>
          </w:p>
        </w:tc>
        <w:tc>
          <w:tcPr>
            <w:tcW w:w="13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7"/>
                <w:szCs w:val="17"/>
                <w:color w:val="auto"/>
              </w:rPr>
              <w:t>Forward sales of Reverse loans</w:t>
            </w:r>
          </w:p>
        </w:tc>
        <w:tc>
          <w:tcPr>
            <w:tcW w:w="1320" w:type="dxa"/>
            <w:vAlign w:val="bottom"/>
          </w:tcPr>
          <w:p>
            <w:pPr>
              <w:jc w:val="center"/>
              <w:spacing w:after="0"/>
              <w:rPr>
                <w:sz w:val="20"/>
                <w:szCs w:val="20"/>
                <w:color w:val="auto"/>
              </w:rPr>
            </w:pPr>
            <w:r>
              <w:rPr>
                <w:rFonts w:ascii="Arial" w:cs="Arial" w:eastAsia="Arial" w:hAnsi="Arial"/>
                <w:sz w:val="17"/>
                <w:szCs w:val="17"/>
                <w:color w:val="auto"/>
                <w:w w:val="92"/>
              </w:rPr>
              <w:t>Oct. 2023</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15.0</w:t>
            </w: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Jan. 2023</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20.0</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loans IRLCs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Nov. - Dec. 2023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 2023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7"/>
                <w:szCs w:val="17"/>
                <w:color w:val="auto"/>
              </w:rPr>
              <w:t>TBA forward MBS trades</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Oct. - Dec. 2023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1,244.0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90"/>
              </w:rPr>
              <w:t>Jan. - Mar. 2023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804.0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 sales of Forward loans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Oct. - Nov. 2023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 2023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Interest rate swap futures</w:t>
            </w:r>
          </w:p>
        </w:tc>
        <w:tc>
          <w:tcPr>
            <w:tcW w:w="13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2"/>
              </w:rPr>
              <w:t>Dec. 2023</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335.0</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rPr>
              <w:t>N/A</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80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Total</w:t>
            </w:r>
          </w:p>
        </w:tc>
        <w:tc>
          <w:tcPr>
            <w:tcW w:w="1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4"/>
              <w:spacing w:after="0" w:line="187"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1,803.2</w:t>
            </w:r>
          </w:p>
        </w:tc>
        <w:tc>
          <w:tcPr>
            <w:tcW w:w="440" w:type="dxa"/>
            <w:vAlign w:val="bottom"/>
            <w:tcBorders>
              <w:bottom w:val="single" w:sz="8" w:color="auto"/>
            </w:tcBorders>
            <w:shd w:val="clear" w:color="auto" w:fill="CCEEFF"/>
          </w:tcPr>
          <w:p>
            <w:pPr>
              <w:jc w:val="right"/>
              <w:ind w:right="234"/>
              <w:spacing w:after="0" w:line="187" w:lineRule="exact"/>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937.8</w:t>
            </w:r>
          </w:p>
        </w:tc>
        <w:tc>
          <w:tcPr>
            <w:tcW w:w="460" w:type="dxa"/>
            <w:vAlign w:val="bottom"/>
            <w:tcBorders>
              <w:bottom w:val="single" w:sz="8" w:color="auto"/>
            </w:tcBorders>
            <w:shd w:val="clear" w:color="auto" w:fill="CCEEFF"/>
          </w:tcPr>
          <w:p>
            <w:pPr>
              <w:jc w:val="right"/>
              <w:ind w:right="254"/>
              <w:spacing w:after="0" w:line="187"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Derivative Liabilities (Other liabilities)</w:t>
            </w:r>
          </w:p>
        </w:tc>
        <w:tc>
          <w:tcPr>
            <w:tcW w:w="1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8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00" w:type="dxa"/>
            <w:vAlign w:val="bottom"/>
            <w:shd w:val="clear" w:color="auto" w:fill="CCEEFF"/>
          </w:tcPr>
          <w:p>
            <w:pPr>
              <w:spacing w:after="0"/>
              <w:rPr>
                <w:sz w:val="14"/>
                <w:szCs w:val="14"/>
                <w:color w:val="auto"/>
              </w:rPr>
            </w:pPr>
          </w:p>
        </w:tc>
        <w:tc>
          <w:tcPr>
            <w:tcW w:w="1320" w:type="dxa"/>
            <w:vAlign w:val="bottom"/>
            <w:shd w:val="clear" w:color="auto" w:fill="CCEEFF"/>
          </w:tcPr>
          <w:p>
            <w:pPr>
              <w:jc w:val="center"/>
              <w:spacing w:after="0" w:line="168" w:lineRule="exact"/>
              <w:rPr>
                <w:sz w:val="20"/>
                <w:szCs w:val="20"/>
                <w:color w:val="auto"/>
              </w:rPr>
            </w:pPr>
            <w:r>
              <w:rPr>
                <w:rFonts w:ascii="Arial" w:cs="Arial" w:eastAsia="Arial" w:hAnsi="Arial"/>
                <w:sz w:val="17"/>
                <w:szCs w:val="17"/>
                <w:color w:val="auto"/>
                <w:w w:val="91"/>
              </w:rPr>
              <w:t>Oct. 2023-Feb.</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 loans IRLCs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2024</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916.9</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Jan. - Apr. 2023</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540.1</w:t>
            </w: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7"/>
                <w:szCs w:val="17"/>
                <w:color w:val="auto"/>
              </w:rPr>
              <w:t>Forward sales of Reverse loans</w:t>
            </w:r>
          </w:p>
        </w:tc>
        <w:tc>
          <w:tcPr>
            <w:tcW w:w="1320" w:type="dxa"/>
            <w:vAlign w:val="bottom"/>
          </w:tcPr>
          <w:p>
            <w:pPr>
              <w:jc w:val="center"/>
              <w:spacing w:after="0"/>
              <w:rPr>
                <w:sz w:val="20"/>
                <w:szCs w:val="20"/>
                <w:color w:val="auto"/>
              </w:rPr>
            </w:pPr>
            <w:r>
              <w:rPr>
                <w:rFonts w:ascii="Arial" w:cs="Arial" w:eastAsia="Arial" w:hAnsi="Arial"/>
                <w:sz w:val="17"/>
                <w:szCs w:val="17"/>
                <w:color w:val="auto"/>
                <w:w w:val="92"/>
              </w:rPr>
              <w:t>Oct. 2023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31.6</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88"/>
              </w:rPr>
              <w:t>Jan. 2023</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TBA forward MBS trades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Oct. -Dec. 2023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 - Feb. 2023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7"/>
                <w:szCs w:val="17"/>
                <w:color w:val="auto"/>
              </w:rPr>
              <w:t>Forward sales of Forward loans</w:t>
            </w:r>
          </w:p>
        </w:tc>
        <w:tc>
          <w:tcPr>
            <w:tcW w:w="1320" w:type="dxa"/>
            <w:vAlign w:val="bottom"/>
          </w:tcPr>
          <w:p>
            <w:pPr>
              <w:jc w:val="center"/>
              <w:spacing w:after="0"/>
              <w:rPr>
                <w:sz w:val="20"/>
                <w:szCs w:val="20"/>
                <w:color w:val="auto"/>
              </w:rPr>
            </w:pPr>
            <w:r>
              <w:rPr>
                <w:rFonts w:ascii="Arial" w:cs="Arial" w:eastAsia="Arial" w:hAnsi="Arial"/>
                <w:sz w:val="17"/>
                <w:szCs w:val="17"/>
                <w:color w:val="auto"/>
                <w:w w:val="93"/>
              </w:rPr>
              <w:t>Oct. - Nov. 2023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rate swap futures</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Dec. 2023</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915.0</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Jan. 2023</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0"/>
        </w:trPr>
        <w:tc>
          <w:tcPr>
            <w:tcW w:w="3800" w:type="dxa"/>
            <w:vAlign w:val="bottom"/>
          </w:tcPr>
          <w:p>
            <w:pPr>
              <w:ind w:left="20"/>
              <w:spacing w:after="0"/>
              <w:rPr>
                <w:sz w:val="20"/>
                <w:szCs w:val="20"/>
                <w:color w:val="auto"/>
              </w:rPr>
            </w:pPr>
            <w:r>
              <w:rPr>
                <w:rFonts w:ascii="Arial" w:cs="Arial" w:eastAsia="Arial" w:hAnsi="Arial"/>
                <w:sz w:val="17"/>
                <w:szCs w:val="17"/>
                <w:color w:val="auto"/>
              </w:rPr>
              <w:t>Interest rate option contracts</w:t>
            </w: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Oct. -Nov. 2023</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900.0</w:t>
            </w: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rPr>
              <w:t>N/A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N/A</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N/A</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3,663.7</w:t>
            </w:r>
          </w:p>
        </w:tc>
        <w:tc>
          <w:tcPr>
            <w:tcW w:w="4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1,371.4</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net gains and losses of our derivative instruments recognized in our consolidated statement of operations.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tcPr>
          <w:p>
            <w:pPr>
              <w:spacing w:after="0"/>
              <w:rPr>
                <w:sz w:val="16"/>
                <w:szCs w:val="16"/>
                <w:color w:val="auto"/>
              </w:rPr>
            </w:pPr>
          </w:p>
        </w:tc>
        <w:tc>
          <w:tcPr>
            <w:tcW w:w="2560" w:type="dxa"/>
            <w:vAlign w:val="bottom"/>
            <w:gridSpan w:val="6"/>
          </w:tcPr>
          <w:p>
            <w:pPr>
              <w:ind w:left="20"/>
              <w:spacing w:after="0"/>
              <w:rPr>
                <w:sz w:val="20"/>
                <w:szCs w:val="20"/>
                <w:color w:val="auto"/>
              </w:rPr>
            </w:pPr>
            <w:r>
              <w:rPr>
                <w:rFonts w:ascii="Arial" w:cs="Arial" w:eastAsia="Arial" w:hAnsi="Arial"/>
                <w:sz w:val="17"/>
                <w:szCs w:val="17"/>
                <w:b w:val="1"/>
                <w:bCs w:val="1"/>
                <w:color w:val="auto"/>
                <w:w w:val="96"/>
              </w:rPr>
              <w:t>Three Months Ended September</w:t>
            </w:r>
          </w:p>
        </w:tc>
        <w:tc>
          <w:tcPr>
            <w:tcW w:w="2480" w:type="dxa"/>
            <w:vAlign w:val="bottom"/>
            <w:gridSpan w:val="5"/>
          </w:tcPr>
          <w:p>
            <w:pPr>
              <w:jc w:val="right"/>
              <w:spacing w:after="0"/>
              <w:rPr>
                <w:sz w:val="20"/>
                <w:szCs w:val="20"/>
                <w:color w:val="auto"/>
              </w:rPr>
            </w:pPr>
            <w:r>
              <w:rPr>
                <w:rFonts w:ascii="Arial" w:cs="Arial" w:eastAsia="Arial" w:hAnsi="Arial"/>
                <w:sz w:val="17"/>
                <w:szCs w:val="17"/>
                <w:b w:val="1"/>
                <w:bCs w:val="1"/>
                <w:color w:val="auto"/>
                <w:w w:val="94"/>
              </w:rPr>
              <w:t>Nine Months Ended September</w:t>
            </w: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7"/>
                <w:szCs w:val="17"/>
                <w:b w:val="1"/>
                <w:bCs w:val="1"/>
                <w:color w:val="auto"/>
              </w:rPr>
              <w:t>30,</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Gain (Loss)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3180" w:type="dxa"/>
            <w:vAlign w:val="bottom"/>
            <w:tcBorders>
              <w:bottom w:val="single" w:sz="8" w:color="auto"/>
            </w:tcBorders>
          </w:tcPr>
          <w:p>
            <w:pPr>
              <w:ind w:left="660"/>
              <w:spacing w:after="0"/>
              <w:rPr>
                <w:sz w:val="20"/>
                <w:szCs w:val="20"/>
                <w:color w:val="auto"/>
              </w:rPr>
            </w:pPr>
            <w:r>
              <w:rPr>
                <w:rFonts w:ascii="Arial" w:cs="Arial" w:eastAsia="Arial" w:hAnsi="Arial"/>
                <w:sz w:val="17"/>
                <w:szCs w:val="17"/>
                <w:b w:val="1"/>
                <w:bCs w:val="1"/>
                <w:color w:val="auto"/>
              </w:rPr>
              <w:t>Financial Statement Line</w:t>
            </w:r>
          </w:p>
        </w:tc>
        <w:tc>
          <w:tcPr>
            <w:tcW w:w="0" w:type="dxa"/>
            <w:vAlign w:val="bottom"/>
          </w:tcPr>
          <w:p>
            <w:pPr>
              <w:spacing w:after="0"/>
              <w:rPr>
                <w:sz w:val="1"/>
                <w:szCs w:val="1"/>
                <w:color w:val="auto"/>
              </w:rPr>
            </w:pPr>
          </w:p>
        </w:tc>
      </w:tr>
      <w:tr>
        <w:trPr>
          <w:trHeight w:val="200"/>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Derivative Instruments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Arial" w:cs="Arial" w:eastAsia="Arial" w:hAnsi="Arial"/>
                <w:sz w:val="17"/>
                <w:szCs w:val="17"/>
                <w:color w:val="auto"/>
              </w:rPr>
              <w:t>Forward loans IRLCs</w:t>
            </w:r>
          </w:p>
        </w:tc>
        <w:tc>
          <w:tcPr>
            <w:tcW w:w="26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(28.8)</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Gain on loans held for sale, net</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9"/>
              </w:rPr>
              <w:t>Gain on reverse loans held for investment</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loans IRLCs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HMBS-related borrowings, net</w:t>
            </w: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Arial" w:cs="Arial" w:eastAsia="Arial" w:hAnsi="Arial"/>
                <w:sz w:val="17"/>
                <w:szCs w:val="17"/>
                <w:color w:val="auto"/>
                <w:w w:val="99"/>
              </w:rPr>
              <w:t>Reverse loans IRLCs (Equity IQ loans)</w:t>
            </w: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Gain on loans held for sale, net</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Forward trades (economically hedging</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98"/>
              </w:rPr>
              <w:t>Gain on loans held for sale, net (Economic</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100"/>
              <w:spacing w:after="0" w:line="168" w:lineRule="exact"/>
              <w:rPr>
                <w:sz w:val="20"/>
                <w:szCs w:val="20"/>
                <w:color w:val="auto"/>
              </w:rPr>
            </w:pPr>
            <w:r>
              <w:rPr>
                <w:rFonts w:ascii="Arial" w:cs="Arial" w:eastAsia="Arial" w:hAnsi="Arial"/>
                <w:sz w:val="17"/>
                <w:szCs w:val="17"/>
                <w:color w:val="auto"/>
              </w:rPr>
              <w:t>forward pipeline trades and EBO</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pipeline)</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hedge)</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line="168" w:lineRule="exact"/>
              <w:rPr>
                <w:sz w:val="20"/>
                <w:szCs w:val="20"/>
                <w:color w:val="auto"/>
              </w:rPr>
            </w:pPr>
            <w:r>
              <w:rPr>
                <w:rFonts w:ascii="Arial" w:cs="Arial" w:eastAsia="Arial" w:hAnsi="Arial"/>
                <w:sz w:val="17"/>
                <w:szCs w:val="17"/>
                <w:color w:val="auto"/>
              </w:rPr>
              <w:t>TBA trades (economically hedging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restart"/>
          </w:tcPr>
          <w:p>
            <w:pPr>
              <w:ind w:left="20"/>
              <w:spacing w:after="0"/>
              <w:rPr>
                <w:sz w:val="20"/>
                <w:szCs w:val="20"/>
                <w:color w:val="auto"/>
              </w:rPr>
            </w:pPr>
            <w:r>
              <w:rPr>
                <w:rFonts w:ascii="Arial" w:cs="Arial" w:eastAsia="Arial" w:hAnsi="Arial"/>
                <w:sz w:val="17"/>
                <w:szCs w:val="17"/>
                <w:color w:val="auto"/>
                <w:w w:val="98"/>
              </w:rPr>
              <w:t>Gain on loans held for sale, net (Economic</w:t>
            </w:r>
          </w:p>
        </w:tc>
        <w:tc>
          <w:tcPr>
            <w:tcW w:w="0" w:type="dxa"/>
            <w:vAlign w:val="bottom"/>
          </w:tcPr>
          <w:p>
            <w:pPr>
              <w:spacing w:after="0"/>
              <w:rPr>
                <w:sz w:val="1"/>
                <w:szCs w:val="1"/>
                <w:color w:val="auto"/>
              </w:rPr>
            </w:pPr>
          </w:p>
        </w:tc>
      </w:tr>
      <w:tr>
        <w:trPr>
          <w:trHeight w:val="168"/>
        </w:trPr>
        <w:tc>
          <w:tcPr>
            <w:tcW w:w="2940" w:type="dxa"/>
            <w:vAlign w:val="bottom"/>
          </w:tcPr>
          <w:p>
            <w:pPr>
              <w:ind w:left="100"/>
              <w:spacing w:after="0" w:line="168" w:lineRule="exact"/>
              <w:rPr>
                <w:sz w:val="20"/>
                <w:szCs w:val="20"/>
                <w:color w:val="auto"/>
              </w:rPr>
            </w:pPr>
            <w:r>
              <w:rPr>
                <w:rFonts w:ascii="Arial" w:cs="Arial" w:eastAsia="Arial" w:hAnsi="Arial"/>
                <w:sz w:val="17"/>
                <w:szCs w:val="17"/>
                <w:color w:val="auto"/>
              </w:rPr>
              <w:t>forward pipeline trades and EBO</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00"/>
              <w:spacing w:after="0"/>
              <w:rPr>
                <w:sz w:val="20"/>
                <w:szCs w:val="20"/>
                <w:color w:val="auto"/>
              </w:rPr>
            </w:pPr>
            <w:r>
              <w:rPr>
                <w:rFonts w:ascii="Arial" w:cs="Arial" w:eastAsia="Arial" w:hAnsi="Arial"/>
                <w:sz w:val="17"/>
                <w:szCs w:val="17"/>
                <w:color w:val="auto"/>
              </w:rPr>
              <w:t>pipeline)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124.6</w:t>
            </w:r>
          </w:p>
        </w:tc>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hedge)</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TBA trades (economically hedging</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9"/>
              </w:rPr>
              <w:t>Gain on reverse loans held for investment</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reverse pipeline trades)</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HMBS-related borrowings, net</w:t>
            </w:r>
          </w:p>
        </w:tc>
        <w:tc>
          <w:tcPr>
            <w:tcW w:w="0" w:type="dxa"/>
            <w:vAlign w:val="bottom"/>
          </w:tcPr>
          <w:p>
            <w:pPr>
              <w:spacing w:after="0"/>
              <w:rPr>
                <w:sz w:val="1"/>
                <w:szCs w:val="1"/>
                <w:color w:val="auto"/>
              </w:rPr>
            </w:pPr>
          </w:p>
        </w:tc>
      </w:tr>
      <w:tr>
        <w:trPr>
          <w:trHeight w:val="168"/>
        </w:trPr>
        <w:tc>
          <w:tcPr>
            <w:tcW w:w="2940" w:type="dxa"/>
            <w:vAlign w:val="bottom"/>
          </w:tcPr>
          <w:p>
            <w:pPr>
              <w:ind w:left="20"/>
              <w:spacing w:after="0" w:line="168" w:lineRule="exact"/>
              <w:rPr>
                <w:sz w:val="20"/>
                <w:szCs w:val="20"/>
                <w:color w:val="auto"/>
              </w:rPr>
            </w:pPr>
            <w:r>
              <w:rPr>
                <w:rFonts w:ascii="Arial" w:cs="Arial" w:eastAsia="Arial" w:hAnsi="Arial"/>
                <w:sz w:val="17"/>
                <w:szCs w:val="17"/>
                <w:color w:val="auto"/>
              </w:rPr>
              <w:t>Interest rate swap futures, TBA trades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940" w:type="dxa"/>
            <w:vAlign w:val="bottom"/>
          </w:tcPr>
          <w:p>
            <w:pPr>
              <w:ind w:left="100"/>
              <w:spacing w:after="0"/>
              <w:rPr>
                <w:sz w:val="20"/>
                <w:szCs w:val="20"/>
                <w:color w:val="auto"/>
              </w:rPr>
            </w:pPr>
            <w:r>
              <w:rPr>
                <w:rFonts w:ascii="Arial" w:cs="Arial" w:eastAsia="Arial" w:hAnsi="Arial"/>
                <w:sz w:val="17"/>
                <w:szCs w:val="17"/>
                <w:color w:val="auto"/>
              </w:rPr>
              <w:t>and interest rate option contracts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(107.5)</w:t>
            </w:r>
          </w:p>
        </w:tc>
        <w:tc>
          <w:tcPr>
            <w:tcW w:w="80" w:type="dxa"/>
            <w:vAlign w:val="bottom"/>
          </w:tcPr>
          <w:p>
            <w:pPr>
              <w:spacing w:after="0"/>
              <w:rPr>
                <w:sz w:val="20"/>
                <w:szCs w:val="20"/>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MSR valuation adjustments, net</w:t>
            </w:r>
          </w:p>
        </w:tc>
        <w:tc>
          <w:tcPr>
            <w:tcW w:w="0" w:type="dxa"/>
            <w:vAlign w:val="bottom"/>
          </w:tcPr>
          <w:p>
            <w:pPr>
              <w:spacing w:after="0"/>
              <w:rPr>
                <w:sz w:val="1"/>
                <w:szCs w:val="1"/>
                <w:color w:val="auto"/>
              </w:rPr>
            </w:pPr>
          </w:p>
        </w:tc>
      </w:tr>
      <w:tr>
        <w:trPr>
          <w:trHeight w:val="168"/>
        </w:trPr>
        <w:tc>
          <w:tcPr>
            <w:tcW w:w="2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18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9"/>
              </w:rPr>
              <w:t>Gain on reverse loans held for investment</w:t>
            </w:r>
          </w:p>
        </w:tc>
        <w:tc>
          <w:tcPr>
            <w:tcW w:w="0" w:type="dxa"/>
            <w:vAlign w:val="bottom"/>
          </w:tcPr>
          <w:p>
            <w:pPr>
              <w:spacing w:after="0"/>
              <w:rPr>
                <w:sz w:val="1"/>
                <w:szCs w:val="1"/>
                <w:color w:val="auto"/>
              </w:rPr>
            </w:pPr>
          </w:p>
        </w:tc>
      </w:tr>
      <w:tr>
        <w:trPr>
          <w:trHeight w:val="232"/>
        </w:trPr>
        <w:tc>
          <w:tcPr>
            <w:tcW w:w="2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Forward sales of Reverse loans</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20"/>
                <w:szCs w:val="20"/>
                <w:color w:val="auto"/>
              </w:rPr>
            </w:pPr>
          </w:p>
        </w:tc>
        <w:tc>
          <w:tcPr>
            <w:tcW w:w="3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HMBS-related borrowings, net</w:t>
            </w:r>
          </w:p>
        </w:tc>
        <w:tc>
          <w:tcPr>
            <w:tcW w:w="0" w:type="dxa"/>
            <w:vAlign w:val="bottom"/>
          </w:tcPr>
          <w:p>
            <w:pPr>
              <w:spacing w:after="0"/>
              <w:rPr>
                <w:sz w:val="1"/>
                <w:szCs w:val="1"/>
                <w:color w:val="auto"/>
              </w:rPr>
            </w:pPr>
          </w:p>
        </w:tc>
      </w:tr>
      <w:tr>
        <w:trPr>
          <w:trHeight w:val="220"/>
        </w:trPr>
        <w:tc>
          <w:tcPr>
            <w:tcW w:w="2940" w:type="dxa"/>
            <w:vAlign w:val="bottom"/>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3180" w:type="dxa"/>
            <w:vAlign w:val="bottom"/>
          </w:tcPr>
          <w:p>
            <w:pPr>
              <w:ind w:left="20"/>
              <w:spacing w:after="0"/>
              <w:rPr>
                <w:sz w:val="20"/>
                <w:szCs w:val="20"/>
                <w:color w:val="auto"/>
              </w:rPr>
            </w:pPr>
            <w:r>
              <w:rPr>
                <w:rFonts w:ascii="Arial" w:cs="Arial" w:eastAsia="Arial" w:hAnsi="Arial"/>
                <w:sz w:val="17"/>
                <w:szCs w:val="17"/>
                <w:color w:val="auto"/>
              </w:rPr>
              <w:t>Other, net</w:t>
            </w:r>
          </w:p>
        </w:tc>
        <w:tc>
          <w:tcPr>
            <w:tcW w:w="0" w:type="dxa"/>
            <w:vAlign w:val="bottom"/>
          </w:tcPr>
          <w:p>
            <w:pPr>
              <w:spacing w:after="0"/>
              <w:rPr>
                <w:sz w:val="1"/>
                <w:szCs w:val="1"/>
                <w:color w:val="auto"/>
              </w:rPr>
            </w:pPr>
          </w:p>
        </w:tc>
      </w:tr>
      <w:tr>
        <w:trPr>
          <w:trHeight w:val="23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MSR Hedging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Under our MSR hedging strategy, the interest-rate sensitive MSR portfolio exposure to be hedged is defined as follows:</w:t>
      </w:r>
    </w:p>
    <w:p>
      <w:pPr>
        <w:spacing w:after="0" w:line="115"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Agency MSR portfolio,</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expected Agency MSR bulk transactions subject to letters of intent (LOI),</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less the Agency MSRs subject to our sale agreements with MAV, Rithm and others (See Note 8 — Other Financing Liabilities, at Fair Value),</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less the asset value for securitized HECM loans, net of the corresponding HMBS-related borrowings.</w:t>
      </w:r>
    </w:p>
    <w:p>
      <w:pPr>
        <w:spacing w:after="0" w:line="102"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objective of our MSR policy is to provide partial hedge coverage of interest-rate sensitive MSR portfolio exposure, considering market and liquidity conditions. The hedge coverage ratio, defined as the ratio of hedge and asset rate sensitivity (referred to as DV01) is subject to lower and upper thresholds, as modeled. Since September 2022, our hedge policy establishes a minimum 25% and 30% hedge coverage ratio required for interest rate declines less than, and more than 50 basis points, respectively.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During the second quarter of 2023, management raised its minimum hedge coverage ratio to 60%. 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with the objective of enhancing the effectiveness of our interest rate hedging strategy.</w:t>
      </w:r>
    </w:p>
    <w:p>
      <w:pPr>
        <w:spacing w:after="0" w:line="7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17 – Business Segment Reporting for the amount of such reclassification). Such inter-segment derivatives are eliminated in our consolidated financial statements.</w:t>
      </w:r>
    </w:p>
    <w:p>
      <w:pPr>
        <w:spacing w:after="0" w:line="67" w:lineRule="exact"/>
        <w:rPr>
          <w:sz w:val="20"/>
          <w:szCs w:val="20"/>
          <w:color w:val="auto"/>
        </w:rPr>
      </w:pPr>
    </w:p>
    <w:p>
      <w:pPr>
        <w:ind w:right="120"/>
        <w:spacing w:after="0" w:line="320" w:lineRule="auto"/>
        <w:rPr>
          <w:sz w:val="20"/>
          <w:szCs w:val="20"/>
          <w:color w:val="auto"/>
        </w:rPr>
      </w:pPr>
      <w:r>
        <w:rPr>
          <w:rFonts w:ascii="Arial" w:cs="Arial" w:eastAsia="Arial" w:hAnsi="Arial"/>
          <w:sz w:val="15"/>
          <w:szCs w:val="15"/>
          <w:color w:val="auto"/>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Pipeline Hedging - Interest Rate Lock Commitments and Loans Held for Sale, at Fair Value</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In our Originations business, we are exposed to interest rate risk and related price risk during the period from the date of the interest rate lock commitment through</w:t>
      </w:r>
    </w:p>
    <w:p>
      <w:pPr>
        <w:spacing w:after="0" w:line="47" w:lineRule="exact"/>
        <w:rPr>
          <w:sz w:val="20"/>
          <w:szCs w:val="20"/>
          <w:color w:val="auto"/>
        </w:rPr>
      </w:pPr>
    </w:p>
    <w:p>
      <w:pPr>
        <w:ind w:right="160" w:firstLine="3"/>
        <w:spacing w:after="0" w:line="255" w:lineRule="auto"/>
        <w:tabs>
          <w:tab w:leader="none" w:pos="2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lock commitment cancellation or expiration date or (ii) through the date of sale or securitization of the resulting loan into the secondary mortgage market. Loan commitments for forward loans generally range from 5 to 75 days, with the majority of our commitments to borrowers for 40 to 60 days and our commitments to correspondent sellers for 5 to 15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 respectively. See above description of inter-segment derivatives.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7"/>
          <w:szCs w:val="17"/>
          <w:b w:val="1"/>
          <w:bCs w:val="1"/>
          <w:color w:val="auto"/>
        </w:rPr>
        <w:t>Note 15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712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3260" w:type="dxa"/>
            <w:vAlign w:val="bottom"/>
            <w:gridSpan w:val="6"/>
          </w:tcPr>
          <w:p>
            <w:pPr>
              <w:ind w:left="240"/>
              <w:spacing w:after="0"/>
              <w:rPr>
                <w:sz w:val="20"/>
                <w:szCs w:val="20"/>
                <w:color w:val="auto"/>
              </w:rPr>
            </w:pPr>
            <w:r>
              <w:rPr>
                <w:rFonts w:ascii="Arial" w:cs="Arial" w:eastAsia="Arial" w:hAnsi="Arial"/>
                <w:sz w:val="17"/>
                <w:szCs w:val="17"/>
                <w:b w:val="1"/>
                <w:bCs w:val="1"/>
                <w:color w:val="auto"/>
              </w:rPr>
              <w:t>Three Months Ended September 30,</w:t>
            </w:r>
          </w:p>
        </w:tc>
        <w:tc>
          <w:tcPr>
            <w:tcW w:w="180" w:type="dxa"/>
            <w:vAlign w:val="bottom"/>
          </w:tcPr>
          <w:p>
            <w:pPr>
              <w:spacing w:after="0"/>
              <w:rPr>
                <w:sz w:val="19"/>
                <w:szCs w:val="19"/>
                <w:color w:val="auto"/>
              </w:rPr>
            </w:pPr>
          </w:p>
        </w:tc>
        <w:tc>
          <w:tcPr>
            <w:tcW w:w="296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25"/>
        </w:trPr>
        <w:tc>
          <w:tcPr>
            <w:tcW w:w="4840" w:type="dxa"/>
            <w:vAlign w:val="bottom"/>
          </w:tcPr>
          <w:p>
            <w:pPr>
              <w:spacing w:after="0"/>
              <w:rPr>
                <w:sz w:val="19"/>
                <w:szCs w:val="19"/>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 financing facilities</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MSR financing facilities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30.2</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OFC Senior Secured Notes (1)</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r>
      <w:tr>
        <w:trPr>
          <w:trHeight w:val="220"/>
        </w:trPr>
        <w:tc>
          <w:tcPr>
            <w:tcW w:w="4840" w:type="dxa"/>
            <w:vAlign w:val="bottom"/>
          </w:tcPr>
          <w:p>
            <w:pPr>
              <w:ind w:left="20"/>
              <w:spacing w:after="0"/>
              <w:rPr>
                <w:sz w:val="20"/>
                <w:szCs w:val="20"/>
                <w:color w:val="auto"/>
              </w:rPr>
            </w:pPr>
            <w:r>
              <w:rPr>
                <w:rFonts w:ascii="Arial" w:cs="Arial" w:eastAsia="Arial" w:hAnsi="Arial"/>
                <w:sz w:val="17"/>
                <w:szCs w:val="17"/>
                <w:color w:val="auto"/>
              </w:rPr>
              <w:t>Advance match funded liabilities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20"/>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PMC Senior Secured Notes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2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Escrow</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r>
      <w:tr>
        <w:trPr>
          <w:trHeight w:val="238"/>
        </w:trPr>
        <w:tc>
          <w:tcPr>
            <w:tcW w:w="48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20" w:right="520" w:hanging="317"/>
        <w:spacing w:after="0" w:line="308"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Notes issued to Oaktree affiliates, inclusive of amortization of debt issuance costs and discount of $2.4 million and $7.1 million during the three and nine months ended September 30, 2023</w:t>
      </w:r>
      <w:r>
        <w:rPr>
          <w:rFonts w:ascii="Arial" w:cs="Arial" w:eastAsia="Arial" w:hAnsi="Arial"/>
          <w:sz w:val="16"/>
          <w:szCs w:val="16"/>
          <w:color w:val="auto"/>
        </w:rPr>
        <w:t>, respectively,</w:t>
      </w:r>
      <w:r>
        <w:rPr>
          <w:rFonts w:ascii="Arial" w:cs="Arial" w:eastAsia="Arial" w:hAnsi="Arial"/>
          <w:sz w:val="15"/>
          <w:szCs w:val="15"/>
          <w:color w:val="auto"/>
        </w:rPr>
        <w:t xml:space="preserve"> and $2.0 million and $5.9 million for the three and nine months ended September 30, 2022,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42" w:name="page43"/>
    <w:bookmarkEnd w:id="42"/>
    <w:p>
      <w:pPr>
        <w:ind w:left="20"/>
        <w:spacing w:after="0"/>
        <w:rPr>
          <w:sz w:val="20"/>
          <w:szCs w:val="20"/>
          <w:color w:val="auto"/>
        </w:rPr>
      </w:pPr>
      <w:r>
        <w:rPr>
          <w:rFonts w:ascii="Arial" w:cs="Arial" w:eastAsia="Arial" w:hAnsi="Arial"/>
          <w:sz w:val="17"/>
          <w:szCs w:val="17"/>
          <w:b w:val="1"/>
          <w:bCs w:val="1"/>
          <w:color w:val="auto"/>
        </w:rPr>
        <w:t>Note 16 –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nine months ended September 30, 2023, we have excluded the effect of all stock options, common stock awards and warrants from the computation of diluted loss per share because of the anti-dilutive effect of our reported net loss.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60" w:type="dxa"/>
            <w:vAlign w:val="bottom"/>
            <w:gridSpan w:val="5"/>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200" w:type="dxa"/>
            <w:vAlign w:val="bottom"/>
          </w:tcPr>
          <w:p>
            <w:pPr>
              <w:spacing w:after="0"/>
              <w:rPr>
                <w:sz w:val="19"/>
                <w:szCs w:val="19"/>
                <w:color w:val="auto"/>
              </w:rPr>
            </w:pPr>
          </w:p>
        </w:tc>
        <w:tc>
          <w:tcPr>
            <w:tcW w:w="2940" w:type="dxa"/>
            <w:vAlign w:val="bottom"/>
            <w:gridSpan w:val="4"/>
          </w:tcPr>
          <w:p>
            <w:pPr>
              <w:jc w:val="right"/>
              <w:ind w:right="194"/>
              <w:spacing w:after="0"/>
              <w:rPr>
                <w:sz w:val="20"/>
                <w:szCs w:val="20"/>
                <w:color w:val="auto"/>
              </w:rPr>
            </w:pPr>
            <w:r>
              <w:rPr>
                <w:rFonts w:ascii="Arial" w:cs="Arial" w:eastAsia="Arial" w:hAnsi="Arial"/>
                <w:sz w:val="17"/>
                <w:szCs w:val="17"/>
                <w:b w:val="1"/>
                <w:bCs w:val="1"/>
                <w:color w:val="auto"/>
                <w:w w:val="94"/>
              </w:rPr>
              <w:t>Nine Months Ended September 30,</w:t>
            </w:r>
          </w:p>
        </w:tc>
      </w:tr>
      <w:tr>
        <w:trPr>
          <w:trHeight w:val="225"/>
        </w:trPr>
        <w:tc>
          <w:tcPr>
            <w:tcW w:w="48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0"/>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earnings (loss) per share</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Net income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8.5</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36.9</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105.4</w:t>
            </w:r>
          </w:p>
        </w:tc>
      </w:tr>
      <w:tr>
        <w:trPr>
          <w:trHeight w:val="155"/>
        </w:trPr>
        <w:tc>
          <w:tcPr>
            <w:tcW w:w="4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Weighted average shares of common stock</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7,677,008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8,530,209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7,621,569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8,998,298</w:t>
            </w:r>
          </w:p>
        </w:tc>
      </w:tr>
      <w:tr>
        <w:trPr>
          <w:trHeight w:val="155"/>
        </w:trPr>
        <w:tc>
          <w:tcPr>
            <w:tcW w:w="4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Basic earnings (loss)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11.71</w:t>
            </w:r>
          </w:p>
        </w:tc>
      </w:tr>
      <w:tr>
        <w:trPr>
          <w:trHeight w:val="155"/>
        </w:trPr>
        <w:tc>
          <w:tcPr>
            <w:tcW w:w="4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220"/>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Diluted earnings (loss) per share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105.4</w:t>
            </w:r>
          </w:p>
        </w:tc>
      </w:tr>
      <w:tr>
        <w:trPr>
          <w:trHeight w:val="155"/>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20"/>
        </w:trPr>
        <w:tc>
          <w:tcPr>
            <w:tcW w:w="4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 average shares of common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7,677,008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8,530,209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7,621,569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8,998,298</w:t>
            </w: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Effect of dilutive elements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warrants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131,092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136,471</w:t>
            </w:r>
          </w:p>
        </w:tc>
      </w:tr>
      <w:tr>
        <w:trPr>
          <w:trHeight w:val="220"/>
        </w:trPr>
        <w:tc>
          <w:tcPr>
            <w:tcW w:w="4880" w:type="dxa"/>
            <w:vAlign w:val="bottom"/>
          </w:tcPr>
          <w:p>
            <w:pPr>
              <w:ind w:left="220"/>
              <w:spacing w:after="0"/>
              <w:rPr>
                <w:sz w:val="20"/>
                <w:szCs w:val="20"/>
                <w:color w:val="auto"/>
              </w:rPr>
            </w:pPr>
            <w:r>
              <w:rPr>
                <w:rFonts w:ascii="Arial" w:cs="Arial" w:eastAsia="Arial" w:hAnsi="Arial"/>
                <w:sz w:val="17"/>
                <w:szCs w:val="17"/>
                <w:color w:val="auto"/>
              </w:rPr>
              <w:t>Stock option awards</w:t>
            </w: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4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awards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161,064</w:t>
            </w:r>
          </w:p>
        </w:tc>
      </w:tr>
      <w:tr>
        <w:trPr>
          <w:trHeight w:val="213"/>
        </w:trPr>
        <w:tc>
          <w:tcPr>
            <w:tcW w:w="4880" w:type="dxa"/>
            <w:vAlign w:val="bottom"/>
          </w:tcPr>
          <w:p>
            <w:pPr>
              <w:ind w:left="140"/>
              <w:spacing w:after="0"/>
              <w:rPr>
                <w:sz w:val="20"/>
                <w:szCs w:val="20"/>
                <w:color w:val="auto"/>
              </w:rPr>
            </w:pPr>
            <w:r>
              <w:rPr>
                <w:rFonts w:ascii="Arial" w:cs="Arial" w:eastAsia="Arial" w:hAnsi="Arial"/>
                <w:sz w:val="17"/>
                <w:szCs w:val="17"/>
                <w:color w:val="auto"/>
              </w:rPr>
              <w:t>Dilutive weighted average shares of common stock</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8,060,078</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8,866,925</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7,621,569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9,295,857</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1"/>
        </w:trPr>
        <w:tc>
          <w:tcPr>
            <w:tcW w:w="4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Diluted earnings (loss)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4.17</w:t>
            </w:r>
          </w:p>
        </w:tc>
        <w:tc>
          <w:tcPr>
            <w:tcW w:w="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11.34</w:t>
            </w:r>
          </w:p>
        </w:tc>
      </w:tr>
      <w:tr>
        <w:trPr>
          <w:trHeight w:val="155"/>
        </w:trPr>
        <w:tc>
          <w:tcPr>
            <w:tcW w:w="4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4880" w:type="dxa"/>
            <w:vAlign w:val="bottom"/>
          </w:tcPr>
          <w:p>
            <w:pPr>
              <w:ind w:left="20"/>
              <w:spacing w:after="0" w:line="168" w:lineRule="exact"/>
              <w:rPr>
                <w:sz w:val="20"/>
                <w:szCs w:val="20"/>
                <w:color w:val="auto"/>
              </w:rPr>
            </w:pPr>
            <w:r>
              <w:rPr>
                <w:rFonts w:ascii="Arial" w:cs="Arial" w:eastAsia="Arial" w:hAnsi="Arial"/>
                <w:sz w:val="17"/>
                <w:szCs w:val="17"/>
                <w:b w:val="1"/>
                <w:bCs w:val="1"/>
                <w:color w:val="auto"/>
                <w:w w:val="99"/>
              </w:rPr>
              <w:t>Stock options and common stock awards excluded from the</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29"/>
        </w:trPr>
        <w:tc>
          <w:tcPr>
            <w:tcW w:w="4880" w:type="dxa"/>
            <w:vAlign w:val="bottom"/>
          </w:tcPr>
          <w:p>
            <w:pPr>
              <w:ind w:left="100"/>
              <w:spacing w:after="0"/>
              <w:rPr>
                <w:sz w:val="20"/>
                <w:szCs w:val="20"/>
                <w:color w:val="auto"/>
              </w:rPr>
            </w:pPr>
            <w:r>
              <w:rPr>
                <w:rFonts w:ascii="Arial" w:cs="Arial" w:eastAsia="Arial" w:hAnsi="Arial"/>
                <w:sz w:val="17"/>
                <w:szCs w:val="17"/>
                <w:b w:val="1"/>
                <w:bCs w:val="1"/>
                <w:color w:val="auto"/>
              </w:rPr>
              <w:t>computation of diluted earnings per share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Anti-dilutive (1)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276,988</w:t>
            </w:r>
          </w:p>
        </w:tc>
      </w:tr>
      <w:tr>
        <w:trPr>
          <w:trHeight w:val="220"/>
        </w:trPr>
        <w:tc>
          <w:tcPr>
            <w:tcW w:w="4880" w:type="dxa"/>
            <w:vAlign w:val="bottom"/>
          </w:tcPr>
          <w:p>
            <w:pPr>
              <w:ind w:left="140"/>
              <w:spacing w:after="0"/>
              <w:rPr>
                <w:sz w:val="20"/>
                <w:szCs w:val="20"/>
                <w:color w:val="auto"/>
              </w:rPr>
            </w:pPr>
            <w:r>
              <w:rPr>
                <w:rFonts w:ascii="Arial" w:cs="Arial" w:eastAsia="Arial" w:hAnsi="Arial"/>
                <w:sz w:val="17"/>
                <w:szCs w:val="17"/>
                <w:color w:val="auto"/>
              </w:rPr>
              <w:t>Market-based (2)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61,354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68,236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61,354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68,236</w:t>
            </w:r>
          </w:p>
        </w:tc>
      </w:tr>
    </w:tbl>
    <w:p>
      <w:pPr>
        <w:spacing w:after="0" w:line="121"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stock options and stock awards that are anti-dilutive based on the application of the treasury stock method.</w:t>
      </w:r>
    </w:p>
    <w:p>
      <w:pPr>
        <w:spacing w:after="0" w:line="12" w:lineRule="exact"/>
        <w:rPr>
          <w:rFonts w:ascii="Arial" w:cs="Arial" w:eastAsia="Arial" w:hAnsi="Arial"/>
          <w:sz w:val="16"/>
          <w:szCs w:val="16"/>
          <w:color w:val="auto"/>
        </w:rPr>
      </w:pPr>
    </w:p>
    <w:p>
      <w:pPr>
        <w:ind w:left="320" w:hanging="317"/>
        <w:spacing w:after="0"/>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17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Our business segments reflect the internal reporting that we use to evaluate our operating and financial performance and to assess the allocation of our resources. Our reportable business segments consist of Servicing, Originations, and Corporate Items and Other. During the nine months ended September 30, 2023, there have been no changes to our business segments as disclosed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9"/>
        </w:trPr>
        <w:tc>
          <w:tcPr>
            <w:tcW w:w="3740" w:type="dxa"/>
            <w:vAlign w:val="bottom"/>
          </w:tcPr>
          <w:p>
            <w:pPr>
              <w:spacing w:after="0"/>
              <w:rPr>
                <w:sz w:val="20"/>
                <w:szCs w:val="20"/>
                <w:color w:val="auto"/>
              </w:rPr>
            </w:pPr>
            <w:r>
              <w:rPr>
                <w:rFonts w:ascii="Arial" w:cs="Arial" w:eastAsia="Arial" w:hAnsi="Arial"/>
                <w:sz w:val="17"/>
                <w:szCs w:val="17"/>
                <w:color w:val="auto"/>
                <w:w w:val="95"/>
              </w:rPr>
              <w:t>Financial information for our segments is as follows: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336"/>
        </w:trPr>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7"/>
                <w:szCs w:val="17"/>
                <w:b w:val="1"/>
                <w:bCs w:val="1"/>
                <w:color w:val="auto"/>
                <w:w w:val="92"/>
              </w:rPr>
              <w:t>Three Months Ended September 30, 2023</w:t>
            </w: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6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8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420" w:type="dxa"/>
            <w:vAlign w:val="bottom"/>
            <w:gridSpan w:val="2"/>
          </w:tcPr>
          <w:p>
            <w:pPr>
              <w:ind w:left="220"/>
              <w:spacing w:after="0" w:line="161" w:lineRule="exact"/>
              <w:rPr>
                <w:sz w:val="20"/>
                <w:szCs w:val="20"/>
                <w:color w:val="auto"/>
              </w:rPr>
            </w:pPr>
            <w:r>
              <w:rPr>
                <w:rFonts w:ascii="Arial" w:cs="Arial" w:eastAsia="Arial" w:hAnsi="Arial"/>
                <w:sz w:val="17"/>
                <w:szCs w:val="17"/>
                <w:b w:val="1"/>
                <w:bCs w:val="1"/>
                <w:color w:val="auto"/>
              </w:rPr>
              <w:t>Corporate</w:t>
            </w:r>
          </w:p>
        </w:tc>
        <w:tc>
          <w:tcPr>
            <w:tcW w:w="1420" w:type="dxa"/>
            <w:vAlign w:val="bottom"/>
            <w:gridSpan w:val="2"/>
          </w:tcPr>
          <w:p>
            <w:pPr>
              <w:ind w:left="20"/>
              <w:spacing w:after="0" w:line="161" w:lineRule="exact"/>
              <w:rPr>
                <w:sz w:val="20"/>
                <w:szCs w:val="20"/>
                <w:color w:val="auto"/>
              </w:rPr>
            </w:pPr>
            <w:r>
              <w:rPr>
                <w:rFonts w:ascii="Arial" w:cs="Arial" w:eastAsia="Arial" w:hAnsi="Arial"/>
                <w:sz w:val="17"/>
                <w:szCs w:val="17"/>
                <w:b w:val="1"/>
                <w:bCs w:val="1"/>
                <w:color w:val="auto"/>
                <w:w w:val="85"/>
              </w:rPr>
              <w:t>Business Segments</w:t>
            </w:r>
          </w:p>
        </w:tc>
      </w:tr>
      <w:tr>
        <w:trPr>
          <w:trHeight w:val="23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Servicing</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4"/>
              </w:rPr>
              <w:t>and Other</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 (1)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Servicing and subservicing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237.8</w:t>
            </w:r>
          </w:p>
        </w:tc>
      </w:tr>
      <w:tr>
        <w:trPr>
          <w:trHeight w:val="168"/>
        </w:trPr>
        <w:tc>
          <w:tcPr>
            <w:tcW w:w="3740" w:type="dxa"/>
            <w:vAlign w:val="bottom"/>
          </w:tcPr>
          <w:p>
            <w:pPr>
              <w:ind w:left="100"/>
              <w:spacing w:after="0" w:line="168" w:lineRule="exact"/>
              <w:rPr>
                <w:sz w:val="20"/>
                <w:szCs w:val="20"/>
                <w:color w:val="auto"/>
              </w:rPr>
            </w:pPr>
            <w:r>
              <w:rPr>
                <w:rFonts w:ascii="Arial" w:cs="Arial" w:eastAsia="Arial" w:hAnsi="Arial"/>
                <w:sz w:val="17"/>
                <w:szCs w:val="17"/>
                <w:color w:val="auto"/>
                <w:w w:val="91"/>
              </w:rPr>
              <w:t>Gain (loss) on reverse loans held for investment and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3740" w:type="dxa"/>
            <w:vAlign w:val="bottom"/>
          </w:tcPr>
          <w:p>
            <w:pPr>
              <w:ind w:left="260"/>
              <w:spacing w:after="0"/>
              <w:rPr>
                <w:sz w:val="20"/>
                <w:szCs w:val="20"/>
                <w:color w:val="auto"/>
              </w:rPr>
            </w:pPr>
            <w:r>
              <w:rPr>
                <w:rFonts w:ascii="Arial" w:cs="Arial" w:eastAsia="Arial" w:hAnsi="Arial"/>
                <w:sz w:val="17"/>
                <w:szCs w:val="17"/>
                <w:color w:val="auto"/>
              </w:rPr>
              <w:t>HMBS-related borrowings,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loans held for sale,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20"/>
        </w:trPr>
        <w:tc>
          <w:tcPr>
            <w:tcW w:w="37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revenue,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13"/>
        </w:trPr>
        <w:tc>
          <w:tcPr>
            <w:tcW w:w="3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255.5</w:t>
            </w:r>
          </w:p>
        </w:tc>
      </w:tr>
      <w:tr>
        <w:trPr>
          <w:trHeight w:val="83"/>
        </w:trPr>
        <w:tc>
          <w:tcPr>
            <w:tcW w:w="37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MSR valuation adjustments,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r>
      <w:tr>
        <w:trPr>
          <w:trHeight w:val="103"/>
        </w:trPr>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w:t>
            </w:r>
          </w:p>
        </w:tc>
      </w:tr>
      <w:tr>
        <w:trPr>
          <w:trHeight w:val="103"/>
        </w:trPr>
        <w:tc>
          <w:tcPr>
            <w:tcW w:w="3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(76.5)</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Gain on extinguishment of debt</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3740" w:type="dxa"/>
            <w:vAlign w:val="bottom"/>
          </w:tcPr>
          <w:p>
            <w:pPr>
              <w:ind w:left="340"/>
              <w:spacing w:after="0"/>
              <w:rPr>
                <w:sz w:val="20"/>
                <w:szCs w:val="20"/>
                <w:color w:val="auto"/>
              </w:rPr>
            </w:pPr>
            <w:r>
              <w:rPr>
                <w:rFonts w:ascii="Arial" w:cs="Arial" w:eastAsia="Arial" w:hAnsi="Arial"/>
                <w:sz w:val="17"/>
                <w:szCs w:val="17"/>
                <w:color w:val="auto"/>
              </w:rPr>
              <w:t>Other expense,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(119.7)</w:t>
            </w:r>
          </w:p>
        </w:tc>
      </w:tr>
      <w:tr>
        <w:trPr>
          <w:trHeight w:val="83"/>
        </w:trPr>
        <w:tc>
          <w:tcPr>
            <w:tcW w:w="37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1180" w:type="dxa"/>
            <w:vAlign w:val="bottom"/>
            <w:tcBorders>
              <w:top w:val="single" w:sz="8" w:color="auto"/>
              <w:bottom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bottom w:val="single" w:sz="8" w:color="auto"/>
            </w:tcBorders>
            <w:shd w:val="clear" w:color="auto" w:fill="CCEEFF"/>
          </w:tcPr>
          <w:p>
            <w:pPr>
              <w:spacing w:after="0"/>
              <w:rPr>
                <w:sz w:val="7"/>
                <w:szCs w:val="7"/>
                <w:color w:val="auto"/>
              </w:rPr>
            </w:pPr>
          </w:p>
        </w:tc>
        <w:tc>
          <w:tcPr>
            <w:tcW w:w="126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bottom w:val="single" w:sz="8" w:color="auto"/>
            </w:tcBorders>
            <w:shd w:val="clear" w:color="auto" w:fill="CCEEFF"/>
          </w:tcPr>
          <w:p>
            <w:pPr>
              <w:spacing w:after="0"/>
              <w:rPr>
                <w:sz w:val="7"/>
                <w:szCs w:val="7"/>
                <w:color w:val="auto"/>
              </w:rPr>
            </w:pPr>
          </w:p>
        </w:tc>
        <w:tc>
          <w:tcPr>
            <w:tcW w:w="1200" w:type="dxa"/>
            <w:vAlign w:val="bottom"/>
            <w:tcBorders>
              <w:top w:val="single" w:sz="8" w:color="auto"/>
              <w:bottom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1320" w:type="dxa"/>
            <w:vAlign w:val="bottom"/>
            <w:tcBorders>
              <w:top w:val="single" w:sz="8" w:color="auto"/>
              <w:bottom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1260" w:type="dxa"/>
            <w:vAlign w:val="bottom"/>
            <w:tcBorders>
              <w:top w:val="single" w:sz="8" w:color="auto"/>
              <w:bottom w:val="single" w:sz="8" w:color="auto"/>
            </w:tcBorders>
            <w:shd w:val="clear" w:color="auto" w:fill="CCEEFF"/>
          </w:tcPr>
          <w:p>
            <w:pPr>
              <w:spacing w:after="0"/>
              <w:rPr>
                <w:sz w:val="7"/>
                <w:szCs w:val="7"/>
                <w:color w:val="auto"/>
              </w:rPr>
            </w:pPr>
          </w:p>
        </w:tc>
      </w:tr>
      <w:tr>
        <w:trPr>
          <w:trHeight w:val="213"/>
        </w:trPr>
        <w:tc>
          <w:tcPr>
            <w:tcW w:w="3740" w:type="dxa"/>
            <w:vAlign w:val="bottom"/>
          </w:tcPr>
          <w:p>
            <w:pPr>
              <w:ind w:left="1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3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918"/>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87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9"/>
        </w:trPr>
        <w:tc>
          <w:tcPr>
            <w:tcW w:w="3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7"/>
                <w:szCs w:val="17"/>
                <w:b w:val="1"/>
                <w:bCs w:val="1"/>
                <w:color w:val="auto"/>
                <w:w w:val="92"/>
              </w:rPr>
              <w:t>Three Months Ended September 30, 2022</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6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8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w w:val="93"/>
              </w:rPr>
              <w:t>Corporate</w:t>
            </w:r>
          </w:p>
        </w:tc>
        <w:tc>
          <w:tcPr>
            <w:tcW w:w="1420" w:type="dxa"/>
            <w:vAlign w:val="bottom"/>
            <w:gridSpan w:val="2"/>
          </w:tcPr>
          <w:p>
            <w:pPr>
              <w:ind w:left="20"/>
              <w:spacing w:after="0" w:line="161" w:lineRule="exact"/>
              <w:rPr>
                <w:sz w:val="20"/>
                <w:szCs w:val="20"/>
                <w:color w:val="auto"/>
              </w:rPr>
            </w:pPr>
            <w:r>
              <w:rPr>
                <w:rFonts w:ascii="Arial" w:cs="Arial" w:eastAsia="Arial" w:hAnsi="Arial"/>
                <w:sz w:val="17"/>
                <w:szCs w:val="17"/>
                <w:b w:val="1"/>
                <w:bCs w:val="1"/>
                <w:color w:val="auto"/>
                <w:w w:val="85"/>
              </w:rPr>
              <w:t>Business Segments</w:t>
            </w:r>
          </w:p>
        </w:tc>
      </w:tr>
      <w:tr>
        <w:trPr>
          <w:trHeight w:val="23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Servicing</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4"/>
              </w:rPr>
              <w:t>and Other</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Eliminations (1)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Servicing and subservicing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215.6</w:t>
            </w:r>
          </w:p>
        </w:tc>
      </w:tr>
      <w:tr>
        <w:trPr>
          <w:trHeight w:val="168"/>
        </w:trPr>
        <w:tc>
          <w:tcPr>
            <w:tcW w:w="3740" w:type="dxa"/>
            <w:vAlign w:val="bottom"/>
          </w:tcPr>
          <w:p>
            <w:pPr>
              <w:ind w:left="140"/>
              <w:spacing w:after="0" w:line="168" w:lineRule="exact"/>
              <w:rPr>
                <w:sz w:val="20"/>
                <w:szCs w:val="20"/>
                <w:color w:val="auto"/>
              </w:rPr>
            </w:pPr>
            <w:r>
              <w:rPr>
                <w:rFonts w:ascii="Arial" w:cs="Arial" w:eastAsia="Arial" w:hAnsi="Arial"/>
                <w:sz w:val="17"/>
                <w:szCs w:val="17"/>
                <w:color w:val="auto"/>
                <w:w w:val="99"/>
              </w:rPr>
              <w:t>Gain (loss) on reverse loans held for investment</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3740" w:type="dxa"/>
            <w:vAlign w:val="bottom"/>
          </w:tcPr>
          <w:p>
            <w:pPr>
              <w:ind w:left="220"/>
              <w:spacing w:after="0"/>
              <w:rPr>
                <w:sz w:val="20"/>
                <w:szCs w:val="20"/>
                <w:color w:val="auto"/>
              </w:rPr>
            </w:pPr>
            <w:r>
              <w:rPr>
                <w:rFonts w:ascii="Arial" w:cs="Arial" w:eastAsia="Arial" w:hAnsi="Arial"/>
                <w:sz w:val="17"/>
                <w:szCs w:val="17"/>
                <w:color w:val="auto"/>
              </w:rPr>
              <w:t>and HMBS-related borrowings,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(loss) on loans held for sale,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20"/>
        </w:trPr>
        <w:tc>
          <w:tcPr>
            <w:tcW w:w="3740" w:type="dxa"/>
            <w:vAlign w:val="bottom"/>
          </w:tcPr>
          <w:p>
            <w:pPr>
              <w:ind w:left="120"/>
              <w:spacing w:after="0"/>
              <w:rPr>
                <w:sz w:val="20"/>
                <w:szCs w:val="20"/>
                <w:color w:val="auto"/>
              </w:rPr>
            </w:pPr>
            <w:r>
              <w:rPr>
                <w:rFonts w:ascii="Arial" w:cs="Arial" w:eastAsia="Arial" w:hAnsi="Arial"/>
                <w:sz w:val="17"/>
                <w:szCs w:val="17"/>
                <w:color w:val="auto"/>
              </w:rPr>
              <w:t>Other revenue,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13"/>
        </w:trPr>
        <w:tc>
          <w:tcPr>
            <w:tcW w:w="3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w:t>
            </w:r>
          </w:p>
        </w:tc>
      </w:tr>
      <w:tr>
        <w:trPr>
          <w:trHeight w:val="122"/>
        </w:trPr>
        <w:tc>
          <w:tcPr>
            <w:tcW w:w="3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MSR valuation adjustments,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 (2)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w:t>
            </w: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13.7</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(65.6)</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Gain (loss) on extinguishment of debt</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3740" w:type="dxa"/>
            <w:vAlign w:val="bottom"/>
          </w:tcPr>
          <w:p>
            <w:pPr>
              <w:ind w:left="340"/>
              <w:spacing w:after="0"/>
              <w:rPr>
                <w:sz w:val="20"/>
                <w:szCs w:val="20"/>
                <w:color w:val="auto"/>
              </w:rPr>
            </w:pPr>
            <w:r>
              <w:rPr>
                <w:rFonts w:ascii="Arial" w:cs="Arial" w:eastAsia="Arial" w:hAnsi="Arial"/>
                <w:sz w:val="17"/>
                <w:szCs w:val="17"/>
                <w:color w:val="auto"/>
              </w:rPr>
              <w:t>Other income (expense),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(103.2)</w:t>
            </w:r>
          </w:p>
        </w:tc>
      </w:tr>
      <w:tr>
        <w:trPr>
          <w:trHeight w:val="122"/>
        </w:trPr>
        <w:tc>
          <w:tcPr>
            <w:tcW w:w="37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r>
      <w:tr>
        <w:trPr>
          <w:trHeight w:val="213"/>
        </w:trPr>
        <w:tc>
          <w:tcPr>
            <w:tcW w:w="3740" w:type="dxa"/>
            <w:vAlign w:val="bottom"/>
          </w:tcPr>
          <w:p>
            <w:pPr>
              <w:ind w:left="12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55.0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33.0</w:t>
            </w: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8"/>
        </w:trPr>
        <w:tc>
          <w:tcPr>
            <w:tcW w:w="37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20"/>
        </w:trPr>
        <w:tc>
          <w:tcPr>
            <w:tcW w:w="3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7"/>
                <w:szCs w:val="17"/>
                <w:b w:val="1"/>
                <w:bCs w:val="1"/>
                <w:color w:val="auto"/>
                <w:w w:val="91"/>
              </w:rPr>
              <w:t>Nine Months Ended September 30, 2023</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6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8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line="161" w:lineRule="exact"/>
              <w:rPr>
                <w:sz w:val="20"/>
                <w:szCs w:val="20"/>
                <w:color w:val="auto"/>
              </w:rPr>
            </w:pPr>
            <w:r>
              <w:rPr>
                <w:rFonts w:ascii="Arial" w:cs="Arial" w:eastAsia="Arial" w:hAnsi="Arial"/>
                <w:sz w:val="17"/>
                <w:szCs w:val="17"/>
                <w:b w:val="1"/>
                <w:bCs w:val="1"/>
                <w:color w:val="auto"/>
                <w:w w:val="93"/>
              </w:rPr>
              <w:t>Corporate</w:t>
            </w:r>
          </w:p>
        </w:tc>
        <w:tc>
          <w:tcPr>
            <w:tcW w:w="1420" w:type="dxa"/>
            <w:vAlign w:val="bottom"/>
            <w:gridSpan w:val="2"/>
          </w:tcPr>
          <w:p>
            <w:pPr>
              <w:ind w:left="20"/>
              <w:spacing w:after="0" w:line="161" w:lineRule="exact"/>
              <w:rPr>
                <w:sz w:val="20"/>
                <w:szCs w:val="20"/>
                <w:color w:val="auto"/>
              </w:rPr>
            </w:pPr>
            <w:r>
              <w:rPr>
                <w:rFonts w:ascii="Arial" w:cs="Arial" w:eastAsia="Arial" w:hAnsi="Arial"/>
                <w:sz w:val="17"/>
                <w:szCs w:val="17"/>
                <w:b w:val="1"/>
                <w:bCs w:val="1"/>
                <w:color w:val="auto"/>
                <w:w w:val="85"/>
              </w:rPr>
              <w:t>Business Segments</w:t>
            </w:r>
          </w:p>
        </w:tc>
      </w:tr>
      <w:tr>
        <w:trPr>
          <w:trHeight w:val="23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Servicing</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4"/>
              </w:rPr>
              <w:t>and Other</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93"/>
              </w:rPr>
              <w:t>Eliminations (1)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Servicing and subservicing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707.5</w:t>
            </w:r>
          </w:p>
        </w:tc>
      </w:tr>
      <w:tr>
        <w:trPr>
          <w:trHeight w:val="168"/>
        </w:trPr>
        <w:tc>
          <w:tcPr>
            <w:tcW w:w="3740" w:type="dxa"/>
            <w:vAlign w:val="bottom"/>
          </w:tcPr>
          <w:p>
            <w:pPr>
              <w:ind w:left="140"/>
              <w:spacing w:after="0" w:line="168" w:lineRule="exact"/>
              <w:rPr>
                <w:sz w:val="20"/>
                <w:szCs w:val="20"/>
                <w:color w:val="auto"/>
              </w:rPr>
            </w:pPr>
            <w:r>
              <w:rPr>
                <w:rFonts w:ascii="Arial" w:cs="Arial" w:eastAsia="Arial" w:hAnsi="Arial"/>
                <w:sz w:val="17"/>
                <w:szCs w:val="17"/>
                <w:color w:val="auto"/>
              </w:rPr>
              <w:t>Gain on reverse loans held for investment and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3740" w:type="dxa"/>
            <w:vAlign w:val="bottom"/>
          </w:tcPr>
          <w:p>
            <w:pPr>
              <w:ind w:left="220"/>
              <w:spacing w:after="0"/>
              <w:rPr>
                <w:sz w:val="20"/>
                <w:szCs w:val="20"/>
                <w:color w:val="auto"/>
              </w:rPr>
            </w:pPr>
            <w:r>
              <w:rPr>
                <w:rFonts w:ascii="Arial" w:cs="Arial" w:eastAsia="Arial" w:hAnsi="Arial"/>
                <w:sz w:val="17"/>
                <w:szCs w:val="17"/>
                <w:color w:val="auto"/>
              </w:rPr>
              <w:t>HMBS-related borrowings,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Gain on loans held for sale,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20"/>
        </w:trPr>
        <w:tc>
          <w:tcPr>
            <w:tcW w:w="37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revenue,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r>
      <w:tr>
        <w:trPr>
          <w:trHeight w:val="213"/>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789.4</w:t>
            </w:r>
          </w:p>
        </w:tc>
      </w:tr>
      <w:tr>
        <w:trPr>
          <w:trHeight w:val="122"/>
        </w:trPr>
        <w:tc>
          <w:tcPr>
            <w:tcW w:w="37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MSR valuation adjustments,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0"/>
        </w:trPr>
        <w:tc>
          <w:tcPr>
            <w:tcW w:w="37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w:t>
            </w:r>
          </w:p>
        </w:tc>
      </w:tr>
      <w:tr>
        <w:trPr>
          <w:trHeight w:val="142"/>
        </w:trPr>
        <w:tc>
          <w:tcPr>
            <w:tcW w:w="3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20"/>
        </w:trPr>
        <w:tc>
          <w:tcPr>
            <w:tcW w:w="3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60.2</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(219.8)</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Gain on extinguishment of debt</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13"/>
        </w:trPr>
        <w:tc>
          <w:tcPr>
            <w:tcW w:w="3740" w:type="dxa"/>
            <w:vAlign w:val="bottom"/>
          </w:tcPr>
          <w:p>
            <w:pPr>
              <w:ind w:left="340"/>
              <w:spacing w:after="0"/>
              <w:rPr>
                <w:sz w:val="20"/>
                <w:szCs w:val="20"/>
                <w:color w:val="auto"/>
              </w:rPr>
            </w:pPr>
            <w:r>
              <w:rPr>
                <w:rFonts w:ascii="Arial" w:cs="Arial" w:eastAsia="Arial" w:hAnsi="Arial"/>
                <w:sz w:val="17"/>
                <w:szCs w:val="17"/>
                <w:color w:val="auto"/>
              </w:rPr>
              <w:t>Other expense,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(359.2)</w:t>
            </w:r>
          </w:p>
        </w:tc>
      </w:tr>
      <w:tr>
        <w:trPr>
          <w:trHeight w:val="122"/>
        </w:trPr>
        <w:tc>
          <w:tcPr>
            <w:tcW w:w="37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23.5</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(33.8)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0"/>
        </w:trPr>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5"/>
        </w:trPr>
        <w:tc>
          <w:tcPr>
            <w:tcW w:w="3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7"/>
                <w:szCs w:val="17"/>
                <w:b w:val="1"/>
                <w:bCs w:val="1"/>
                <w:color w:val="auto"/>
                <w:w w:val="90"/>
              </w:rPr>
              <w:t>Nine months ended September 30, 2022</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161"/>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3"/>
          </w:tcPr>
          <w:p>
            <w:pPr>
              <w:jc w:val="center"/>
              <w:ind w:right="80"/>
              <w:spacing w:after="0" w:line="161" w:lineRule="exact"/>
              <w:rPr>
                <w:sz w:val="20"/>
                <w:szCs w:val="20"/>
                <w:color w:val="auto"/>
              </w:rPr>
            </w:pPr>
            <w:r>
              <w:rPr>
                <w:rFonts w:ascii="Arial" w:cs="Arial" w:eastAsia="Arial" w:hAnsi="Arial"/>
                <w:sz w:val="17"/>
                <w:szCs w:val="17"/>
                <w:b w:val="1"/>
                <w:bCs w:val="1"/>
                <w:color w:val="auto"/>
                <w:w w:val="93"/>
              </w:rPr>
              <w:t>Corporate Items</w:t>
            </w:r>
          </w:p>
        </w:tc>
        <w:tc>
          <w:tcPr>
            <w:tcW w:w="120" w:type="dxa"/>
            <w:vAlign w:val="bottom"/>
          </w:tcPr>
          <w:p>
            <w:pPr>
              <w:spacing w:after="0"/>
              <w:rPr>
                <w:sz w:val="13"/>
                <w:szCs w:val="13"/>
                <w:color w:val="auto"/>
              </w:rPr>
            </w:pPr>
          </w:p>
        </w:tc>
        <w:tc>
          <w:tcPr>
            <w:tcW w:w="1420" w:type="dxa"/>
            <w:vAlign w:val="bottom"/>
            <w:gridSpan w:val="2"/>
          </w:tcPr>
          <w:p>
            <w:pPr>
              <w:ind w:left="220"/>
              <w:spacing w:after="0" w:line="161" w:lineRule="exact"/>
              <w:rPr>
                <w:sz w:val="20"/>
                <w:szCs w:val="20"/>
                <w:color w:val="auto"/>
              </w:rPr>
            </w:pPr>
            <w:r>
              <w:rPr>
                <w:rFonts w:ascii="Arial" w:cs="Arial" w:eastAsia="Arial" w:hAnsi="Arial"/>
                <w:sz w:val="17"/>
                <w:szCs w:val="17"/>
                <w:b w:val="1"/>
                <w:bCs w:val="1"/>
                <w:color w:val="auto"/>
              </w:rPr>
              <w:t>Corporate</w:t>
            </w:r>
          </w:p>
        </w:tc>
        <w:tc>
          <w:tcPr>
            <w:tcW w:w="1420" w:type="dxa"/>
            <w:vAlign w:val="bottom"/>
            <w:gridSpan w:val="2"/>
          </w:tcPr>
          <w:p>
            <w:pPr>
              <w:ind w:left="20"/>
              <w:spacing w:after="0" w:line="161" w:lineRule="exact"/>
              <w:rPr>
                <w:sz w:val="20"/>
                <w:szCs w:val="20"/>
                <w:color w:val="auto"/>
              </w:rPr>
            </w:pPr>
            <w:r>
              <w:rPr>
                <w:rFonts w:ascii="Arial" w:cs="Arial" w:eastAsia="Arial" w:hAnsi="Arial"/>
                <w:sz w:val="17"/>
                <w:szCs w:val="17"/>
                <w:b w:val="1"/>
                <w:bCs w:val="1"/>
                <w:color w:val="auto"/>
                <w:w w:val="85"/>
              </w:rPr>
              <w:t>Business Segments</w:t>
            </w:r>
          </w:p>
        </w:tc>
      </w:tr>
      <w:tr>
        <w:trPr>
          <w:trHeight w:val="233"/>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Results of Operations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Servicing</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9"/>
              </w:rPr>
              <w:t>Originations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94"/>
              </w:rPr>
              <w:t>and Other</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3"/>
              </w:rPr>
              <w:t>Eliminations (1)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3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and subservicing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w:t>
            </w:r>
          </w:p>
        </w:tc>
      </w:tr>
      <w:tr>
        <w:trPr>
          <w:trHeight w:val="168"/>
        </w:trPr>
        <w:tc>
          <w:tcPr>
            <w:tcW w:w="3740" w:type="dxa"/>
            <w:vAlign w:val="bottom"/>
          </w:tcPr>
          <w:p>
            <w:pPr>
              <w:ind w:left="140"/>
              <w:spacing w:after="0" w:line="168" w:lineRule="exact"/>
              <w:rPr>
                <w:sz w:val="20"/>
                <w:szCs w:val="20"/>
                <w:color w:val="auto"/>
              </w:rPr>
            </w:pPr>
            <w:r>
              <w:rPr>
                <w:rFonts w:ascii="Arial" w:cs="Arial" w:eastAsia="Arial" w:hAnsi="Arial"/>
                <w:sz w:val="17"/>
                <w:szCs w:val="17"/>
                <w:color w:val="auto"/>
                <w:w w:val="99"/>
              </w:rPr>
              <w:t>Gain (loss) on reverse loans held for investment</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3740" w:type="dxa"/>
            <w:vAlign w:val="bottom"/>
          </w:tcPr>
          <w:p>
            <w:pPr>
              <w:ind w:left="220"/>
              <w:spacing w:after="0"/>
              <w:rPr>
                <w:sz w:val="20"/>
                <w:szCs w:val="20"/>
                <w:color w:val="auto"/>
              </w:rPr>
            </w:pPr>
            <w:r>
              <w:rPr>
                <w:rFonts w:ascii="Arial" w:cs="Arial" w:eastAsia="Arial" w:hAnsi="Arial"/>
                <w:sz w:val="17"/>
                <w:szCs w:val="17"/>
                <w:color w:val="auto"/>
              </w:rPr>
              <w:t>and HMBS-related borrowings, net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20"/>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(loss) on loans held for sale,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20"/>
        </w:trPr>
        <w:tc>
          <w:tcPr>
            <w:tcW w:w="3740" w:type="dxa"/>
            <w:vAlign w:val="bottom"/>
          </w:tcPr>
          <w:p>
            <w:pPr>
              <w:ind w:left="140"/>
              <w:spacing w:after="0"/>
              <w:rPr>
                <w:sz w:val="20"/>
                <w:szCs w:val="20"/>
                <w:color w:val="auto"/>
              </w:rPr>
            </w:pPr>
            <w:r>
              <w:rPr>
                <w:rFonts w:ascii="Arial" w:cs="Arial" w:eastAsia="Arial" w:hAnsi="Arial"/>
                <w:sz w:val="17"/>
                <w:szCs w:val="17"/>
                <w:color w:val="auto"/>
              </w:rPr>
              <w:t>Other revenue,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26.1</w:t>
            </w:r>
          </w:p>
        </w:tc>
      </w:tr>
      <w:tr>
        <w:trPr>
          <w:trHeight w:val="213"/>
        </w:trPr>
        <w:tc>
          <w:tcPr>
            <w:tcW w:w="37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Revenue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703.4</w:t>
            </w:r>
          </w:p>
        </w:tc>
      </w:tr>
      <w:tr>
        <w:trPr>
          <w:trHeight w:val="135"/>
        </w:trPr>
        <w:tc>
          <w:tcPr>
            <w:tcW w:w="3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20"/>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MSR valuation adjustments, net (1)</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r>
      <w:tr>
        <w:trPr>
          <w:trHeight w:val="155"/>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20"/>
        </w:trPr>
        <w:tc>
          <w:tcPr>
            <w:tcW w:w="3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Operating expenses (2)</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412.8</w:t>
            </w:r>
          </w:p>
        </w:tc>
      </w:tr>
      <w:tr>
        <w:trPr>
          <w:trHeight w:val="155"/>
        </w:trPr>
        <w:tc>
          <w:tcPr>
            <w:tcW w:w="3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20"/>
        </w:trPr>
        <w:tc>
          <w:tcPr>
            <w:tcW w:w="37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30.6</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Pledged MSR liability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(188.3)</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Earnings of equity method investee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20"/>
        </w:trPr>
        <w:tc>
          <w:tcPr>
            <w:tcW w:w="3740" w:type="dxa"/>
            <w:vAlign w:val="bottom"/>
          </w:tcPr>
          <w:p>
            <w:pPr>
              <w:ind w:left="220"/>
              <w:spacing w:after="0"/>
              <w:rPr>
                <w:sz w:val="20"/>
                <w:szCs w:val="20"/>
                <w:color w:val="auto"/>
              </w:rPr>
            </w:pPr>
            <w:r>
              <w:rPr>
                <w:rFonts w:ascii="Arial" w:cs="Arial" w:eastAsia="Arial" w:hAnsi="Arial"/>
                <w:sz w:val="17"/>
                <w:szCs w:val="17"/>
                <w:color w:val="auto"/>
              </w:rPr>
              <w:t>Gain on extinguishment of debt</w:t>
            </w:r>
          </w:p>
        </w:tc>
        <w:tc>
          <w:tcPr>
            <w:tcW w:w="24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3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13"/>
        </w:trPr>
        <w:tc>
          <w:tcPr>
            <w:tcW w:w="3740" w:type="dxa"/>
            <w:vAlign w:val="bottom"/>
          </w:tcPr>
          <w:p>
            <w:pPr>
              <w:ind w:left="340"/>
              <w:spacing w:after="0"/>
              <w:rPr>
                <w:sz w:val="20"/>
                <w:szCs w:val="20"/>
                <w:color w:val="auto"/>
              </w:rPr>
            </w:pPr>
            <w:r>
              <w:rPr>
                <w:rFonts w:ascii="Arial" w:cs="Arial" w:eastAsia="Arial" w:hAnsi="Arial"/>
                <w:sz w:val="17"/>
                <w:szCs w:val="17"/>
                <w:color w:val="auto"/>
              </w:rPr>
              <w:t>Other expense, net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(272.3)</w:t>
            </w:r>
          </w:p>
        </w:tc>
      </w:tr>
      <w:tr>
        <w:trPr>
          <w:trHeight w:val="122"/>
        </w:trPr>
        <w:tc>
          <w:tcPr>
            <w:tcW w:w="37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2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13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1260" w:type="dxa"/>
            <w:vAlign w:val="bottom"/>
            <w:tcBorders>
              <w:top w:val="single" w:sz="8" w:color="auto"/>
              <w:bottom w:val="single" w:sz="8" w:color="auto"/>
            </w:tcBorders>
            <w:shd w:val="clear" w:color="auto" w:fill="CCEEFF"/>
          </w:tcPr>
          <w:p>
            <w:pPr>
              <w:spacing w:after="0"/>
              <w:rPr>
                <w:sz w:val="10"/>
                <w:szCs w:val="10"/>
                <w:color w:val="auto"/>
              </w:rPr>
            </w:pPr>
          </w:p>
        </w:tc>
      </w:tr>
      <w:tr>
        <w:trPr>
          <w:trHeight w:val="213"/>
        </w:trPr>
        <w:tc>
          <w:tcPr>
            <w:tcW w:w="3740" w:type="dxa"/>
            <w:vAlign w:val="bottom"/>
          </w:tcPr>
          <w:p>
            <w:pPr>
              <w:ind w:left="180"/>
              <w:spacing w:after="0"/>
              <w:rPr>
                <w:sz w:val="20"/>
                <w:szCs w:val="20"/>
                <w:color w:val="auto"/>
              </w:rPr>
            </w:pPr>
            <w:r>
              <w:rPr>
                <w:rFonts w:ascii="Arial" w:cs="Arial" w:eastAsia="Arial" w:hAnsi="Arial"/>
                <w:sz w:val="17"/>
                <w:szCs w:val="17"/>
                <w:color w:val="auto"/>
              </w:rPr>
              <w:t>Income (loss) before income taxes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172.3</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(73.4)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103.7</w:t>
            </w:r>
          </w:p>
        </w:tc>
      </w:tr>
      <w:tr>
        <w:trPr>
          <w:trHeight w:val="20"/>
        </w:trPr>
        <w:tc>
          <w:tcPr>
            <w:tcW w:w="3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left="320" w:right="460" w:hanging="317"/>
        <w:spacing w:after="0" w:line="253"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Corporate Eliminations includes inter-segment derivatives eliminations of $2.0 million and $15.4 million for the </w:t>
      </w:r>
      <w:r>
        <w:rPr>
          <w:rFonts w:ascii="Arial" w:cs="Arial" w:eastAsia="Arial" w:hAnsi="Arial"/>
          <w:sz w:val="17"/>
          <w:szCs w:val="17"/>
          <w:color w:val="auto"/>
        </w:rPr>
        <w:t>three and nine months ended September 30, 2022</w:t>
      </w:r>
      <w:r>
        <w:rPr>
          <w:rFonts w:ascii="Arial" w:cs="Arial" w:eastAsia="Arial" w:hAnsi="Arial"/>
          <w:sz w:val="16"/>
          <w:szCs w:val="16"/>
          <w:color w:val="auto"/>
        </w:rPr>
        <w:t xml:space="preserve">, respectively, reported as Gain on loans held for sale, net in Originations with a corresponding offset in MSR valuation adjustments, net in Servicing. No such derivatives eliminations were recognized during the </w:t>
      </w:r>
      <w:r>
        <w:rPr>
          <w:rFonts w:ascii="Arial" w:cs="Arial" w:eastAsia="Arial" w:hAnsi="Arial"/>
          <w:sz w:val="17"/>
          <w:szCs w:val="17"/>
          <w:color w:val="auto"/>
        </w:rPr>
        <w:t>three and nine months ended September 30, 2023.</w:t>
      </w:r>
    </w:p>
    <w:p>
      <w:pPr>
        <w:spacing w:after="0" w:line="1" w:lineRule="exact"/>
        <w:rPr>
          <w:rFonts w:ascii="Arial" w:cs="Arial" w:eastAsia="Arial" w:hAnsi="Arial"/>
          <w:sz w:val="16"/>
          <w:szCs w:val="16"/>
          <w:color w:val="auto"/>
        </w:rPr>
      </w:pPr>
    </w:p>
    <w:p>
      <w:pPr>
        <w:jc w:val="both"/>
        <w:ind w:left="320" w:right="340" w:hanging="317"/>
        <w:spacing w:after="0" w:line="238"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in Professional services expense are reimbursements received from mortgage loan investors related to prior year legal expenses and payments received following resolution of legacy litigation matters of $4.3 million (Servicing) and $25.3 million ($18.4 million Servicing and $6.9 million Corporate) during the three and nine months ended September 30, 2022,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Corporate Items</w:t>
            </w:r>
          </w:p>
        </w:tc>
        <w:tc>
          <w:tcPr>
            <w:tcW w:w="1500" w:type="dxa"/>
            <w:vAlign w:val="bottom"/>
            <w:gridSpan w:val="2"/>
          </w:tcPr>
          <w:p>
            <w:pPr>
              <w:jc w:val="right"/>
              <w:spacing w:after="0"/>
              <w:rPr>
                <w:sz w:val="20"/>
                <w:szCs w:val="20"/>
                <w:color w:val="auto"/>
              </w:rPr>
            </w:pPr>
            <w:r>
              <w:rPr>
                <w:rFonts w:ascii="Arial" w:cs="Arial" w:eastAsia="Arial" w:hAnsi="Arial"/>
                <w:sz w:val="17"/>
                <w:szCs w:val="17"/>
                <w:b w:val="1"/>
                <w:bCs w:val="1"/>
                <w:color w:val="auto"/>
                <w:w w:val="87"/>
              </w:rPr>
              <w:t>Business Segments</w:t>
            </w:r>
          </w:p>
        </w:tc>
      </w:tr>
      <w:tr>
        <w:trPr>
          <w:trHeight w:val="233"/>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180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7"/>
                <w:szCs w:val="17"/>
                <w:b w:val="1"/>
                <w:bCs w:val="1"/>
                <w:color w:val="auto"/>
              </w:rPr>
              <w:t>Servicing</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Originations</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and Other</w:t>
            </w:r>
          </w:p>
        </w:tc>
        <w:tc>
          <w:tcPr>
            <w:tcW w:w="200" w:type="dxa"/>
            <w:vAlign w:val="bottom"/>
          </w:tcPr>
          <w:p>
            <w:pPr>
              <w:spacing w:after="0"/>
              <w:rPr>
                <w:sz w:val="20"/>
                <w:szCs w:val="20"/>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31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September 30, 2023</w:t>
            </w:r>
          </w:p>
        </w:tc>
        <w:tc>
          <w:tcPr>
            <w:tcW w:w="18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11,900.5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13,011.7</w:t>
            </w:r>
          </w:p>
        </w:tc>
      </w:tr>
      <w:tr>
        <w:trPr>
          <w:trHeight w:val="220"/>
        </w:trPr>
        <w:tc>
          <w:tcPr>
            <w:tcW w:w="3140" w:type="dxa"/>
            <w:vAlign w:val="bottom"/>
          </w:tcPr>
          <w:p>
            <w:pPr>
              <w:ind w:left="220"/>
              <w:spacing w:after="0"/>
              <w:rPr>
                <w:sz w:val="20"/>
                <w:szCs w:val="20"/>
                <w:color w:val="auto"/>
              </w:rPr>
            </w:pPr>
            <w:r>
              <w:rPr>
                <w:rFonts w:ascii="Arial" w:cs="Arial" w:eastAsia="Arial" w:hAnsi="Arial"/>
                <w:sz w:val="17"/>
                <w:szCs w:val="17"/>
                <w:color w:val="auto"/>
              </w:rPr>
              <w:t>December 31, 2022</w:t>
            </w:r>
          </w:p>
        </w:tc>
        <w:tc>
          <w:tcPr>
            <w:tcW w:w="180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11,535.0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12,399.2</w:t>
            </w:r>
          </w:p>
        </w:tc>
      </w:tr>
      <w:tr>
        <w:trPr>
          <w:trHeight w:val="220"/>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September 30, 2022</w:t>
            </w:r>
          </w:p>
        </w:tc>
        <w:tc>
          <w:tcPr>
            <w:tcW w:w="18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12,360.1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8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4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94"/>
              <w:spacing w:after="0"/>
              <w:rPr>
                <w:sz w:val="20"/>
                <w:szCs w:val="20"/>
                <w:color w:val="auto"/>
              </w:rPr>
            </w:pPr>
            <w:r>
              <w:rPr>
                <w:rFonts w:ascii="Arial" w:cs="Arial" w:eastAsia="Arial" w:hAnsi="Arial"/>
                <w:sz w:val="17"/>
                <w:szCs w:val="17"/>
                <w:b w:val="1"/>
                <w:bCs w:val="1"/>
                <w:color w:val="auto"/>
                <w:w w:val="93"/>
              </w:rPr>
              <w:t>Corporate Items</w:t>
            </w: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w w:val="94"/>
              </w:rPr>
              <w:t>Business Segments</w:t>
            </w:r>
          </w:p>
        </w:tc>
      </w:tr>
      <w:tr>
        <w:trPr>
          <w:trHeight w:val="23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Depreciation and Amortization Expense</w:t>
            </w: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Servicing</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Originations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94"/>
              </w:rPr>
              <w:t>Consolidated</w:t>
            </w:r>
          </w:p>
        </w:tc>
      </w:tr>
      <w:tr>
        <w:trPr>
          <w:trHeight w:val="213"/>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Three months ended September 30, 2023</w:t>
            </w:r>
          </w:p>
        </w:tc>
        <w:tc>
          <w:tcPr>
            <w:tcW w:w="8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0.2</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1.3</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1.2</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Three months ended September 30, 2022</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0.2</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2.2</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155"/>
        </w:trPr>
        <w:tc>
          <w:tcPr>
            <w:tcW w:w="4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20"/>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Nine months ended September 30, 2023</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0.6</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0.2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4.1</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155"/>
        </w:trPr>
        <w:tc>
          <w:tcPr>
            <w:tcW w:w="4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20"/>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Nine months ended September 30, 2022</w:t>
            </w: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Depreciation expense</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20"/>
        </w:trPr>
        <w:tc>
          <w:tcPr>
            <w:tcW w:w="4140" w:type="dxa"/>
            <w:vAlign w:val="bottom"/>
          </w:tcPr>
          <w:p>
            <w:pPr>
              <w:ind w:left="140"/>
              <w:spacing w:after="0"/>
              <w:rPr>
                <w:sz w:val="20"/>
                <w:szCs w:val="20"/>
                <w:color w:val="auto"/>
              </w:rPr>
            </w:pPr>
            <w:r>
              <w:rPr>
                <w:rFonts w:ascii="Arial" w:cs="Arial" w:eastAsia="Arial" w:hAnsi="Arial"/>
                <w:sz w:val="17"/>
                <w:szCs w:val="17"/>
                <w:color w:val="auto"/>
              </w:rPr>
              <w:t>Amortization of debt issuance costs and discount</w:t>
            </w:r>
          </w:p>
        </w:tc>
        <w:tc>
          <w:tcPr>
            <w:tcW w:w="8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0.6</w:t>
            </w:r>
          </w:p>
        </w:tc>
        <w:tc>
          <w:tcPr>
            <w:tcW w:w="2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6.9</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4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intangibles</w:t>
            </w:r>
          </w:p>
        </w:tc>
        <w:tc>
          <w:tcPr>
            <w:tcW w:w="8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bl>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18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Our business is subject to extensive regulation and supervision by federal, state, local and foreign governmental authorities, including the Consumer Financial Protection Bureau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w:t>
      </w:r>
    </w:p>
    <w:p>
      <w:pPr>
        <w:spacing w:after="0" w:line="74"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w:t>
      </w:r>
    </w:p>
    <w:p>
      <w:pPr>
        <w:spacing w:after="0" w:line="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w:t>
      </w:r>
    </w:p>
    <w:p>
      <w:pPr>
        <w:spacing w:after="0" w:line="56"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47" w:name="page48"/>
    <w:bookmarkEnd w:id="47"/>
    <w:p>
      <w:pPr>
        <w:ind w:right="200"/>
        <w:spacing w:after="0" w:line="283" w:lineRule="auto"/>
        <w:rPr>
          <w:sz w:val="20"/>
          <w:szCs w:val="20"/>
          <w:color w:val="auto"/>
        </w:rPr>
      </w:pPr>
      <w:r>
        <w:rPr>
          <w:rFonts w:ascii="Arial" w:cs="Arial" w:eastAsia="Arial" w:hAnsi="Arial"/>
          <w:sz w:val="17"/>
          <w:szCs w:val="17"/>
          <w:color w:val="auto"/>
        </w:rPr>
        <w:t>financial statements and satisfying minimum net worth requirements and non-financial requirements such as satisfactory completion of examinations relating to the licensee’s compliance with applicable laws and regulations.</w:t>
      </w:r>
    </w:p>
    <w:p>
      <w:pPr>
        <w:spacing w:after="0" w:line="56"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We are also subject to seller/servicer obligations under agreements with the GSEs, HUD, FHA, VA and Ginnie Mae, including capital requirements related to tangible net worth, as defined by the applicable agency, liquidity requirements, an obligation to provide audited financial statements within 90 days of the applicable entity’s fiscal year end as well as extensive requirements regarding servicing, selling and other matters. PMC’s minimum financial eligibility requirements for GSE seller/servicers and Ginnie Mae issuers were updated by the GSEs and Ginnie Mae effective September 30, 2023,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7138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68" w:lineRule="exact"/>
        <w:rPr>
          <w:sz w:val="20"/>
          <w:szCs w:val="20"/>
          <w:color w:val="auto"/>
        </w:rPr>
      </w:pPr>
    </w:p>
    <w:p>
      <w:pPr>
        <w:ind w:left="3540"/>
        <w:spacing w:after="0"/>
        <w:tabs>
          <w:tab w:leader="none" w:pos="8300" w:val="left"/>
        </w:tabs>
        <w:rPr>
          <w:sz w:val="20"/>
          <w:szCs w:val="20"/>
          <w:color w:val="auto"/>
        </w:rPr>
      </w:pPr>
      <w:r>
        <w:rPr>
          <w:rFonts w:ascii="Arial" w:cs="Arial" w:eastAsia="Arial" w:hAnsi="Arial"/>
          <w:sz w:val="17"/>
          <w:szCs w:val="17"/>
          <w:b w:val="1"/>
          <w:bCs w:val="1"/>
          <w:color w:val="auto"/>
        </w:rPr>
        <w:t>GSEs</w:t>
      </w:r>
      <w:r>
        <w:rPr>
          <w:sz w:val="20"/>
          <w:szCs w:val="20"/>
          <w:color w:val="auto"/>
        </w:rPr>
        <w:tab/>
      </w:r>
      <w:r>
        <w:rPr>
          <w:rFonts w:ascii="Arial" w:cs="Arial" w:eastAsia="Arial" w:hAnsi="Arial"/>
          <w:sz w:val="17"/>
          <w:szCs w:val="17"/>
          <w:b w:val="1"/>
          <w:bCs w:val="1"/>
          <w:color w:val="auto"/>
        </w:rPr>
        <w:t>Ginnie 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p>
      <w:pPr>
        <w:spacing w:after="0" w:line="56"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6"/>
          <w:szCs w:val="16"/>
          <w:color w:val="auto"/>
        </w:rPr>
        <w:t>Minimum</w:t>
      </w:r>
      <w:r>
        <w:rPr>
          <w:sz w:val="20"/>
          <w:szCs w:val="20"/>
          <w:color w:val="auto"/>
        </w:rPr>
        <w:tab/>
      </w:r>
      <w:r>
        <w:rPr>
          <w:rFonts w:ascii="Arial" w:cs="Arial" w:eastAsia="Arial" w:hAnsi="Arial"/>
          <w:sz w:val="16"/>
          <w:szCs w:val="16"/>
          <w:color w:val="auto"/>
        </w:rPr>
        <w:t>• $2.5 million plus 0.35% of the Ginnie Mae servicing portfolio, plus</w:t>
      </w:r>
    </w:p>
    <w:p>
      <w:pPr>
        <w:spacing w:after="0" w:line="35"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7"/>
          <w:szCs w:val="17"/>
          <w:color w:val="auto"/>
        </w:rPr>
        <w:t>tangible net</w:t>
      </w:r>
      <w:r>
        <w:rPr>
          <w:sz w:val="20"/>
          <w:szCs w:val="20"/>
          <w:color w:val="auto"/>
        </w:rPr>
        <w:tab/>
      </w:r>
      <w:r>
        <w:rPr>
          <w:rFonts w:ascii="Arial" w:cs="Arial" w:eastAsia="Arial" w:hAnsi="Arial"/>
          <w:sz w:val="15"/>
          <w:szCs w:val="15"/>
          <w:color w:val="auto"/>
        </w:rPr>
        <w:t>0.25% of the GSE and other single family servicing portfolios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color w:val="auto"/>
        </w:rPr>
        <w: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433705</wp:posOffset>
            </wp:positionV>
            <wp:extent cx="7138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161" w:right="160" w:hanging="161"/>
        <w:spacing w:after="0" w:line="259" w:lineRule="auto"/>
        <w:tabs>
          <w:tab w:leader="none" w:pos="1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$2.5 million plus 0.35% of the Ginnie Mae total effective single-family outstanding obligations, as defined, plus 0.25% of the GSE and other servicing portfolios, and</w:t>
      </w:r>
    </w:p>
    <w:p>
      <w:pPr>
        <w:ind w:left="161" w:right="340" w:hanging="161"/>
        <w:spacing w:after="0" w:line="267" w:lineRule="auto"/>
        <w:tabs>
          <w:tab w:leader="none" w:pos="1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$5.0 million plus 1.0% of the Ginnie Mae total effective HMBS outstanding obligations, as defined</w:t>
      </w:r>
    </w:p>
    <w:p>
      <w:pPr>
        <w:spacing w:after="0" w:line="200" w:lineRule="exact"/>
        <w:rPr>
          <w:sz w:val="20"/>
          <w:szCs w:val="20"/>
          <w:color w:val="auto"/>
        </w:rPr>
      </w:pPr>
    </w:p>
    <w:p>
      <w:pPr>
        <w:sectPr>
          <w:pgSz w:w="11900" w:h="16838" w:orient="portrait"/>
          <w:cols w:equalWidth="0" w:num="2">
            <w:col w:w="6140" w:space="199"/>
            <w:col w:w="4881"/>
          </w:cols>
          <w:pgMar w:left="320" w:top="967" w:right="359" w:bottom="1440" w:gutter="0" w:footer="0" w:header="0"/>
          <w:type w:val="continuous"/>
        </w:sectPr>
      </w:pPr>
    </w:p>
    <w:p>
      <w:pPr>
        <w:spacing w:after="0" w:line="6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7"/>
          <w:szCs w:val="17"/>
          <w:color w:val="auto"/>
        </w:rPr>
        <w:t>Minimum</w:t>
      </w:r>
      <w:r>
        <w:rPr>
          <w:sz w:val="20"/>
          <w:szCs w:val="20"/>
          <w:color w:val="auto"/>
        </w:rPr>
        <w:tab/>
      </w:r>
      <w:r>
        <w:rPr>
          <w:rFonts w:ascii="Arial" w:cs="Arial" w:eastAsia="Arial" w:hAnsi="Arial"/>
          <w:sz w:val="17"/>
          <w:szCs w:val="17"/>
          <w:color w:val="auto"/>
        </w:rPr>
        <w:t>• 0.15%* of the outstanding Ginnie Mae single-family servicing</w:t>
      </w:r>
    </w:p>
    <w:p>
      <w:pPr>
        <w:spacing w:after="0" w:line="24" w:lineRule="exact"/>
        <w:rPr>
          <w:sz w:val="20"/>
          <w:szCs w:val="20"/>
          <w:color w:val="auto"/>
        </w:rPr>
      </w:pPr>
    </w:p>
    <w:p>
      <w:pPr>
        <w:ind w:left="20"/>
        <w:spacing w:after="0"/>
        <w:tabs>
          <w:tab w:leader="none" w:pos="1480" w:val="left"/>
        </w:tabs>
        <w:rPr>
          <w:sz w:val="20"/>
          <w:szCs w:val="20"/>
          <w:color w:val="auto"/>
        </w:rPr>
      </w:pPr>
      <w:r>
        <w:rPr>
          <w:rFonts w:ascii="Arial" w:cs="Arial" w:eastAsia="Arial" w:hAnsi="Arial"/>
          <w:sz w:val="17"/>
          <w:szCs w:val="17"/>
          <w:color w:val="auto"/>
        </w:rPr>
        <w:t>liquidity</w:t>
      </w:r>
      <w:r>
        <w:rPr>
          <w:sz w:val="20"/>
          <w:szCs w:val="20"/>
          <w:color w:val="auto"/>
        </w:rPr>
        <w:tab/>
      </w:r>
      <w:r>
        <w:rPr>
          <w:rFonts w:ascii="Arial" w:cs="Arial" w:eastAsia="Arial" w:hAnsi="Arial"/>
          <w:sz w:val="17"/>
          <w:szCs w:val="17"/>
          <w:color w:val="auto"/>
        </w:rPr>
        <w:t>UPB, plus</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 0.09%* of the outstanding GSE single-family servicing UPB with</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scheduled/scheduled or scheduled/actual remittance types, plus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0.055%* of the outstanding GSE single-family servicing UPB, with</w:t>
      </w:r>
    </w:p>
    <w:p>
      <w:pPr>
        <w:spacing w:after="0" w:line="1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actual/actual remittance types, plus</w:t>
      </w:r>
    </w:p>
    <w:p>
      <w:pPr>
        <w:spacing w:after="0" w:line="1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 0.035% of the outstanding other servicing UPB</w:t>
      </w:r>
    </w:p>
    <w:p>
      <w:pPr>
        <w:spacing w:after="0" w:line="231" w:lineRule="exact"/>
        <w:rPr>
          <w:sz w:val="20"/>
          <w:szCs w:val="20"/>
          <w:color w:val="auto"/>
        </w:rPr>
      </w:pPr>
    </w:p>
    <w:p>
      <w:pPr>
        <w:ind w:left="1500" w:right="140" w:firstLine="155"/>
        <w:spacing w:after="0" w:line="268" w:lineRule="auto"/>
        <w:rPr>
          <w:sz w:val="20"/>
          <w:szCs w:val="20"/>
          <w:color w:val="auto"/>
        </w:rPr>
      </w:pPr>
      <w:r>
        <w:rPr>
          <w:rFonts w:ascii="Arial" w:cs="Arial" w:eastAsia="Arial" w:hAnsi="Arial"/>
          <w:sz w:val="17"/>
          <w:szCs w:val="17"/>
          <w:color w:val="auto"/>
        </w:rPr>
        <w:t>(*) includes a 0.05% and 0.02% supplemental liquidity requirements for Ginnie Mae and GSEs, respectively due to PMC status as a large non-depository seller/servicer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138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161" w:right="120" w:hanging="161"/>
        <w:spacing w:after="0" w:line="261" w:lineRule="auto"/>
        <w:tabs>
          <w:tab w:leader="none" w:pos="1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0.10% of the outstanding Ginnie Mae single-family servicing UPB plus</w:t>
      </w:r>
    </w:p>
    <w:p>
      <w:pPr>
        <w:spacing w:after="0" w:line="1" w:lineRule="exact"/>
        <w:rPr>
          <w:rFonts w:ascii="Arial" w:cs="Arial" w:eastAsia="Arial" w:hAnsi="Arial"/>
          <w:sz w:val="17"/>
          <w:szCs w:val="17"/>
          <w:color w:val="auto"/>
        </w:rPr>
      </w:pPr>
    </w:p>
    <w:p>
      <w:pPr>
        <w:ind w:left="161" w:right="20" w:hanging="161"/>
        <w:spacing w:after="0" w:line="253" w:lineRule="auto"/>
        <w:tabs>
          <w:tab w:leader="none" w:pos="1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0.07% of the outstanding GSE single-family servicing UPB, if PMC remits the principal or interest, or both, as scheduled, regardless of whether principal or interest has been collected from the borrower, plus</w:t>
      </w:r>
    </w:p>
    <w:p>
      <w:pPr>
        <w:spacing w:after="0" w:line="2" w:lineRule="exact"/>
        <w:rPr>
          <w:rFonts w:ascii="Arial" w:cs="Arial" w:eastAsia="Arial" w:hAnsi="Arial"/>
          <w:sz w:val="17"/>
          <w:szCs w:val="17"/>
          <w:color w:val="auto"/>
        </w:rPr>
      </w:pPr>
    </w:p>
    <w:p>
      <w:pPr>
        <w:ind w:left="161" w:right="220" w:hanging="161"/>
        <w:spacing w:after="0" w:line="253" w:lineRule="auto"/>
        <w:tabs>
          <w:tab w:leader="none" w:pos="1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0.035% of the outstanding GSE single-family servicing UPB, if PMC remits the principal and interest only as actually collected from the borrower and the outstanding non-Agency single-family servicing UPB, and</w:t>
      </w:r>
    </w:p>
    <w:p>
      <w:pPr>
        <w:spacing w:after="0" w:line="2" w:lineRule="exact"/>
        <w:rPr>
          <w:rFonts w:ascii="Arial" w:cs="Arial" w:eastAsia="Arial" w:hAnsi="Arial"/>
          <w:sz w:val="17"/>
          <w:szCs w:val="17"/>
          <w:color w:val="auto"/>
        </w:rPr>
      </w:pPr>
    </w:p>
    <w:p>
      <w:pPr>
        <w:ind w:left="161" w:right="360" w:hanging="161"/>
        <w:spacing w:after="0" w:line="267" w:lineRule="auto"/>
        <w:tabs>
          <w:tab w:leader="none" w:pos="157" w:val="left"/>
        </w:tabs>
        <w:numPr>
          <w:ilvl w:val="0"/>
          <w:numId w:val="34"/>
        </w:numPr>
        <w:rPr>
          <w:rFonts w:ascii="Arial" w:cs="Arial" w:eastAsia="Arial" w:hAnsi="Arial"/>
          <w:sz w:val="17"/>
          <w:szCs w:val="17"/>
          <w:color w:val="auto"/>
        </w:rPr>
      </w:pPr>
      <w:r>
        <w:rPr>
          <w:rFonts w:ascii="Arial" w:cs="Arial" w:eastAsia="Arial" w:hAnsi="Arial"/>
          <w:sz w:val="17"/>
          <w:szCs w:val="17"/>
          <w:color w:val="auto"/>
        </w:rPr>
        <w:t>20% of minimum net worth required for HMBS issuer (defined above)</w:t>
      </w:r>
    </w:p>
    <w:p>
      <w:pPr>
        <w:spacing w:after="0" w:line="198" w:lineRule="exact"/>
        <w:rPr>
          <w:sz w:val="20"/>
          <w:szCs w:val="20"/>
          <w:color w:val="auto"/>
        </w:rPr>
      </w:pPr>
    </w:p>
    <w:p>
      <w:pPr>
        <w:sectPr>
          <w:pgSz w:w="11900" w:h="16838" w:orient="portrait"/>
          <w:cols w:equalWidth="0" w:num="2">
            <w:col w:w="6160" w:space="179"/>
            <w:col w:w="4881"/>
          </w:cols>
          <w:pgMar w:left="320" w:top="967" w:right="359" w:bottom="1440" w:gutter="0" w:footer="0" w:header="0"/>
          <w:type w:val="continuous"/>
        </w:sectPr>
      </w:pPr>
    </w:p>
    <w:p>
      <w:pPr>
        <w:ind w:right="460"/>
        <w:spacing w:after="0" w:line="268" w:lineRule="auto"/>
        <w:rPr>
          <w:sz w:val="20"/>
          <w:szCs w:val="20"/>
          <w:color w:val="auto"/>
        </w:rPr>
      </w:pPr>
      <w:r>
        <w:rPr>
          <w:rFonts w:ascii="Arial" w:cs="Arial" w:eastAsia="Arial" w:hAnsi="Arial"/>
          <w:sz w:val="17"/>
          <w:szCs w:val="17"/>
          <w:color w:val="auto"/>
        </w:rPr>
        <w:t>We believe our licensed entities were in compliance with all of their minimum net worth requirements at September 30, 2023. Our non-Agency servicing agreements also contain requirements regarding servicing practices and other matters, and a failure to comply with these requirements could have a material adverse impact on our business.</w:t>
      </w:r>
    </w:p>
    <w:p>
      <w:pPr>
        <w:spacing w:after="0" w:line="6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most restrictive of the various net worth and liquidity requirements for licensing and seller/servicer obligations referenced above are mostly based on the UPB of assets serviced by PMC. Under the applicable formula, the required minimum net worth was $445.7 million at September 30, 2023. PMC’s adjusted net worth was $567.0 million at September 30, 2023. The most restrictive of the various liquidity requirements for licensing and seller/servicer obligations referenced above pertains to PMC and the required minimum liquidity was $106.3 million at September 30, 2023. PMC’s liquid assets were $178.0 million at September 30, 2023.</w:t>
      </w:r>
    </w:p>
    <w:p>
      <w:pPr>
        <w:spacing w:after="0" w:line="42"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Ginnie Mae announced a new risk-based capital ratio effective on December 31, 2024 for Ginnie Mae issuers. PMC would not be in compliance with the upcoming risk-based capital requirements if they were in effect as of September 30, 2023. We are currently evaluating the potential impacts of Ginnie Mae’s risk-based capital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September 30, 2023, our forward owned servicing portfolio included government-insured loans with a UPB of $16.6 billion, 8% of our total forward owned MSRs or 6% of our total UPB serviced and subserviced.</w:t>
      </w:r>
    </w:p>
    <w:p>
      <w:pPr>
        <w:spacing w:after="0" w:line="5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i w:val="1"/>
          <w:iCs w:val="1"/>
          <w:color w:val="auto"/>
        </w:rPr>
        <w:t xml:space="preserve">New York Department of Financial Services (NY DFS). </w:t>
      </w:r>
      <w:r>
        <w:rPr>
          <w:rFonts w:ascii="Arial" w:cs="Arial" w:eastAsia="Arial" w:hAnsi="Arial"/>
          <w:sz w:val="17"/>
          <w:szCs w:val="17"/>
          <w:color w:val="auto"/>
        </w:rPr>
        <w:t>We operate pursuant to certain regulatory requirements with the NY DFS, including obligations arising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 a consent order entered into in March 2017 (the NY Consent Order) and the terms of the NY DFS’ conditional approval in September 2018 of our acquisition of PHH. The conditional approval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Ocwen legacy REALServicing system have been successfully migrated to Black Knight MSP and that Ocwen has developed a satisfactory infrastructure to board sizable portfolios of MSRs. We transferred all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type w:val="continuous"/>
        </w:sectPr>
      </w:pPr>
    </w:p>
    <w:bookmarkStart w:id="48" w:name="page49"/>
    <w:bookmarkEnd w:id="48"/>
    <w:p>
      <w:pPr>
        <w:ind w:right="260"/>
        <w:spacing w:after="0" w:line="268" w:lineRule="auto"/>
        <w:rPr>
          <w:sz w:val="20"/>
          <w:szCs w:val="20"/>
          <w:color w:val="auto"/>
        </w:rPr>
      </w:pPr>
      <w:r>
        <w:rPr>
          <w:rFonts w:ascii="Arial" w:cs="Arial" w:eastAsia="Arial" w:hAnsi="Arial"/>
          <w:sz w:val="17"/>
          <w:szCs w:val="17"/>
          <w:color w:val="auto"/>
        </w:rPr>
        <w:t>loans onto Black Knight MSP in 2019 and have not serviced any loans on the REALServicing system since then. We continue to work with the NY DFS to address matters they raise with us as well as to fulfill our commitments under the NY Consent Order and PHH acquisition conditional approval. We believe we have complied with all terms of the PHH acquisition conditional approval and the NY Consent Order to date.</w:t>
      </w:r>
    </w:p>
    <w:p>
      <w:pPr>
        <w:spacing w:after="0" w:line="6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California Department of Financial Protection and Innovation (CA DFPI)</w:t>
      </w:r>
      <w:r>
        <w:rPr>
          <w:rFonts w:ascii="Arial" w:cs="Arial" w:eastAsia="Arial" w:hAnsi="Arial"/>
          <w:sz w:val="16"/>
          <w:szCs w:val="16"/>
          <w:color w:val="auto"/>
        </w:rPr>
        <w:t>. In January 2015 and February 2017, Ocwen Loan Servicing, LLC (OLS)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also entered into a consent order in February 2023 to resolve a legacy OLS matter with the CA DFPI primarily addressing OLS’s post-boarding process related to loan payment terms. The Consent Order provides for a $2.5 million settlement with the CA DFPI with the waiver of certain late fees, a loss mitigation campaign, and other reliefs. The settlement was fully accrued at December 31, 2022 and paid in March 2023.</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19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Unfunded Lending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$1.8 billion at September 30,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This additional borrowing capacity is available on a scheduled or unscheduled payment basis. During the nine months ended September 30, 2023, we funded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$198.6 million out of the $1.8 billion borrowing capacity as of December 31, 2022. We also had short-term commitments to lend $916.9 million and $20.2 million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our forward and reverse mortgage loan IRLCs, respectively, outstanding at September 30, 2023. We finance originated and purchased forward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and reverse mortgage loans with repurchase and participation agreements, referred to as warehouse lines.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HMBS Issuer Obligations</w:t>
      </w:r>
    </w:p>
    <w:p>
      <w:pPr>
        <w:spacing w:after="0" w:line="121" w:lineRule="exact"/>
        <w:rPr>
          <w:sz w:val="20"/>
          <w:szCs w:val="20"/>
          <w:color w:val="auto"/>
        </w:rPr>
      </w:pPr>
    </w:p>
    <w:p>
      <w:pPr>
        <w:jc w:val="both"/>
        <w:ind w:right="140"/>
        <w:spacing w:after="0" w:line="320" w:lineRule="auto"/>
        <w:rPr>
          <w:sz w:val="20"/>
          <w:szCs w:val="20"/>
          <w:color w:val="auto"/>
        </w:rPr>
      </w:pPr>
      <w:r>
        <w:rPr>
          <w:rFonts w:ascii="Arial" w:cs="Arial" w:eastAsia="Arial" w:hAnsi="Arial"/>
          <w:sz w:val="15"/>
          <w:szCs w:val="15"/>
          <w:color w:val="auto"/>
        </w:rPr>
        <w:t>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September 30,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HECM loans at less than 92% MCA</w:t>
            </w:r>
          </w:p>
        </w:tc>
        <w:tc>
          <w:tcPr>
            <w:tcW w:w="66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7,053.3</w:t>
            </w:r>
          </w:p>
        </w:tc>
      </w:tr>
      <w:tr>
        <w:trPr>
          <w:trHeight w:val="220"/>
        </w:trPr>
        <w:tc>
          <w:tcPr>
            <w:tcW w:w="9440" w:type="dxa"/>
            <w:vAlign w:val="bottom"/>
          </w:tcPr>
          <w:p>
            <w:pPr>
              <w:ind w:left="20"/>
              <w:spacing w:after="0"/>
              <w:rPr>
                <w:sz w:val="20"/>
                <w:szCs w:val="20"/>
                <w:color w:val="auto"/>
              </w:rPr>
            </w:pPr>
            <w:r>
              <w:rPr>
                <w:rFonts w:ascii="Arial" w:cs="Arial" w:eastAsia="Arial" w:hAnsi="Arial"/>
                <w:sz w:val="17"/>
                <w:szCs w:val="17"/>
                <w:color w:val="auto"/>
              </w:rPr>
              <w:t>Securitized HECM loans at equal to or greater than 92% and less than 95% MCA</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211.9</w:t>
            </w:r>
          </w:p>
        </w:tc>
      </w:tr>
      <w:tr>
        <w:trPr>
          <w:trHeight w:val="220"/>
        </w:trPr>
        <w:tc>
          <w:tcPr>
            <w:tcW w:w="9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Securitized HECM loans at equal to or greater than 95% MCA and less than 98% MCA</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222.9</w:t>
            </w:r>
          </w:p>
        </w:tc>
      </w:tr>
      <w:tr>
        <w:trPr>
          <w:trHeight w:val="213"/>
        </w:trPr>
        <w:tc>
          <w:tcPr>
            <w:tcW w:w="9440" w:type="dxa"/>
            <w:vAlign w:val="bottom"/>
          </w:tcPr>
          <w:p>
            <w:pPr>
              <w:ind w:left="120"/>
              <w:spacing w:after="0"/>
              <w:rPr>
                <w:sz w:val="20"/>
                <w:szCs w:val="20"/>
                <w:color w:val="auto"/>
              </w:rPr>
            </w:pPr>
            <w:r>
              <w:rPr>
                <w:rFonts w:ascii="Arial" w:cs="Arial" w:eastAsia="Arial" w:hAnsi="Arial"/>
                <w:sz w:val="17"/>
                <w:szCs w:val="17"/>
                <w:b w:val="1"/>
                <w:bCs w:val="1"/>
                <w:color w:val="auto"/>
              </w:rPr>
              <w:t>Total Securitized HECM loans UPB</w:t>
            </w:r>
          </w:p>
        </w:tc>
        <w:tc>
          <w:tcPr>
            <w:tcW w:w="6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7,488.1</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For the nine months ended September 30, 2023 and 2022, we repurchased loans from Ginnie Mae securitizations in the amount of $224.9 million and $154.3 million, respectively. Activity with regard to HMBS repurchases for the nine months ended September 30, 2023 is as follows:</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6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200"/>
              <w:spacing w:after="0"/>
              <w:rPr>
                <w:sz w:val="20"/>
                <w:szCs w:val="20"/>
                <w:color w:val="auto"/>
              </w:rPr>
            </w:pPr>
            <w:r>
              <w:rPr>
                <w:rFonts w:ascii="Arial" w:cs="Arial" w:eastAsia="Arial" w:hAnsi="Arial"/>
                <w:sz w:val="17"/>
                <w:szCs w:val="17"/>
                <w:b w:val="1"/>
                <w:bCs w:val="1"/>
                <w:color w:val="auto"/>
              </w:rPr>
              <w:t>Active</w:t>
            </w: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7"/>
                <w:szCs w:val="17"/>
                <w:b w:val="1"/>
                <w:bCs w:val="1"/>
                <w:color w:val="auto"/>
              </w:rPr>
              <w:t>Inactive</w:t>
            </w:r>
          </w:p>
        </w:tc>
        <w:tc>
          <w:tcPr>
            <w:tcW w:w="280" w:type="dxa"/>
            <w:vAlign w:val="bottom"/>
          </w:tcPr>
          <w:p>
            <w:pPr>
              <w:spacing w:after="0"/>
              <w:rPr>
                <w:sz w:val="19"/>
                <w:szCs w:val="19"/>
                <w:color w:val="auto"/>
              </w:rPr>
            </w:pPr>
          </w:p>
        </w:tc>
        <w:tc>
          <w:tcPr>
            <w:tcW w:w="1140" w:type="dxa"/>
            <w:vAlign w:val="bottom"/>
          </w:tcPr>
          <w:p>
            <w:pPr>
              <w:jc w:val="right"/>
              <w:ind w:right="494"/>
              <w:spacing w:after="0"/>
              <w:rPr>
                <w:sz w:val="20"/>
                <w:szCs w:val="20"/>
                <w:color w:val="auto"/>
              </w:rPr>
            </w:pPr>
            <w:r>
              <w:rPr>
                <w:rFonts w:ascii="Arial" w:cs="Arial" w:eastAsia="Arial" w:hAnsi="Arial"/>
                <w:sz w:val="17"/>
                <w:szCs w:val="17"/>
                <w:b w:val="1"/>
                <w:bCs w:val="1"/>
                <w:color w:val="auto"/>
              </w:rPr>
              <w:t>Total</w:t>
            </w:r>
          </w:p>
        </w:tc>
      </w:tr>
      <w:tr>
        <w:trPr>
          <w:trHeight w:val="213"/>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Beginning balance</w:t>
            </w: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70.7</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178.4</w:t>
            </w:r>
          </w:p>
        </w:tc>
      </w:tr>
      <w:tr>
        <w:trPr>
          <w:trHeight w:val="220"/>
        </w:trPr>
        <w:tc>
          <w:tcPr>
            <w:tcW w:w="6660" w:type="dxa"/>
            <w:vAlign w:val="bottom"/>
          </w:tcPr>
          <w:p>
            <w:pPr>
              <w:ind w:left="120"/>
              <w:spacing w:after="0"/>
              <w:rPr>
                <w:sz w:val="20"/>
                <w:szCs w:val="20"/>
                <w:color w:val="auto"/>
              </w:rPr>
            </w:pPr>
            <w:r>
              <w:rPr>
                <w:rFonts w:ascii="Arial" w:cs="Arial" w:eastAsia="Arial" w:hAnsi="Arial"/>
                <w:sz w:val="17"/>
                <w:szCs w:val="17"/>
                <w:color w:val="auto"/>
              </w:rPr>
              <w:t>Additions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224.9</w:t>
            </w:r>
          </w:p>
        </w:tc>
      </w:tr>
      <w:tr>
        <w:trPr>
          <w:trHeight w:val="220"/>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Recoveries, net (1)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w:t>
            </w:r>
          </w:p>
        </w:tc>
      </w:tr>
      <w:tr>
        <w:trPr>
          <w:trHeight w:val="220"/>
        </w:trPr>
        <w:tc>
          <w:tcPr>
            <w:tcW w:w="6660" w:type="dxa"/>
            <w:vAlign w:val="bottom"/>
          </w:tcPr>
          <w:p>
            <w:pPr>
              <w:ind w:left="120"/>
              <w:spacing w:after="0"/>
              <w:rPr>
                <w:sz w:val="20"/>
                <w:szCs w:val="20"/>
                <w:color w:val="auto"/>
              </w:rPr>
            </w:pPr>
            <w:r>
              <w:rPr>
                <w:rFonts w:ascii="Arial" w:cs="Arial" w:eastAsia="Arial" w:hAnsi="Arial"/>
                <w:sz w:val="17"/>
                <w:szCs w:val="17"/>
                <w:color w:val="auto"/>
              </w:rPr>
              <w:t>Transfers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6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Changes in value</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3"/>
        </w:trPr>
        <w:tc>
          <w:tcPr>
            <w:tcW w:w="6660" w:type="dxa"/>
            <w:vAlign w:val="bottom"/>
          </w:tcPr>
          <w:p>
            <w:pPr>
              <w:spacing w:after="0"/>
              <w:rPr>
                <w:sz w:val="20"/>
                <w:szCs w:val="20"/>
                <w:color w:val="auto"/>
              </w:rPr>
            </w:pPr>
            <w:r>
              <w:rPr>
                <w:rFonts w:ascii="Arial" w:cs="Arial" w:eastAsia="Arial" w:hAnsi="Arial"/>
                <w:sz w:val="17"/>
                <w:szCs w:val="17"/>
                <w:b w:val="1"/>
                <w:bCs w:val="1"/>
                <w:color w:val="auto"/>
              </w:rPr>
              <w:t>Ending balance</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170.0</w:t>
            </w:r>
          </w:p>
        </w:tc>
      </w:tr>
      <w:tr>
        <w:trPr>
          <w:trHeight w:val="20"/>
        </w:trPr>
        <w:tc>
          <w:tcPr>
            <w:tcW w:w="6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Includes amounts received upon assignment of loan to HUD, loan payoff, REO liquidation and claim proceeds less any amounts charged off as unrecoverable.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subservicing clients bear the financial obligation and risks associated with purchasing loans out of securitization pools within the portfolio we subservice.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Client Concentration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Servicing segment has exposure to concentration risk and client retention risk.</w:t>
      </w:r>
    </w:p>
    <w:p>
      <w:pPr>
        <w:spacing w:after="0" w:line="115" w:lineRule="exact"/>
        <w:rPr>
          <w:sz w:val="20"/>
          <w:szCs w:val="20"/>
          <w:color w:val="auto"/>
        </w:rPr>
      </w:pPr>
    </w:p>
    <w:p>
      <w:pPr>
        <w:ind w:right="840"/>
        <w:spacing w:after="0" w:line="283" w:lineRule="auto"/>
        <w:rPr>
          <w:sz w:val="20"/>
          <w:szCs w:val="20"/>
          <w:color w:val="auto"/>
        </w:rPr>
      </w:pPr>
      <w:r>
        <w:rPr>
          <w:rFonts w:ascii="Arial" w:cs="Arial" w:eastAsia="Arial" w:hAnsi="Arial"/>
          <w:sz w:val="17"/>
          <w:szCs w:val="17"/>
          <w:color w:val="auto"/>
        </w:rPr>
        <w:t>For the nine months ended September 30, 2023, servicing and subservicing fees from Rithm amounted to $175.1 million, or 32% of total servicing and subservicing fees (excluding ancillary income). As of September 30, 2023, our servicing portfolio</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49" w:name="page50"/>
    <w:bookmarkEnd w:id="49"/>
    <w:p>
      <w:pPr>
        <w:ind w:right="20"/>
        <w:spacing w:after="0" w:line="256" w:lineRule="auto"/>
        <w:rPr>
          <w:sz w:val="20"/>
          <w:szCs w:val="20"/>
          <w:color w:val="auto"/>
        </w:rPr>
      </w:pPr>
      <w:r>
        <w:rPr>
          <w:rFonts w:ascii="Arial" w:cs="Arial" w:eastAsia="Arial" w:hAnsi="Arial"/>
          <w:sz w:val="17"/>
          <w:szCs w:val="17"/>
          <w:color w:val="auto"/>
        </w:rPr>
        <w:t>included a significant client relationship with Rithm which represented 16% and 26% of our total servicing portfolio UPB and loan count, respectively, and approximately 68% of all delinquent loans that Ocwen services. Our Subservicing Agreements and Servicing Addendum with Rithm are in their second terms that end December 31, 2023, but they provide for automatic one-year renewals, unless Ocwen (by July 1, 2023) or Rithm (by October 1, 2023) provide advance notice of termination. Ocwen did not provide notice of termination on July 1, 2023. Ocwen and Rithm agreed to extend certain of Rithm’s termination rights through November 1, 2023. Rithm did not provide notice of termination on November 1, 2023. Accordingly, the servicing agreements with Rithm are extended through December 31, 2024, with subsequent, automatic one-year renewals. If Rithm exercises its right to terminate all or some of the agreements (for convenience by October 2024 or for cause at any time), we might need to right-size certain aspects of our servicing business as well as the related corporate support functions, and we may need to adjust our daily liquidity management due to the reduction of servicing float balances associated with the Rithm servicing agreements. The impacts to our consolidated statements of operations in connection with our Rithm agreements are disclosed in Note 8 — Other Financing Liabilities, at Fair Value. Receivables and Other liabilities recorded on our consolidated balance sheets are disclosed in Note 9 – Receivables and Note 13 – Other Liabilities, respectively.</w:t>
      </w:r>
    </w:p>
    <w:p>
      <w:pPr>
        <w:spacing w:after="0" w:line="8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In addition, for the nine months ended September 30, 2023, servicing and subservicing fees from MAV amounted to $54.9 million or 10% of total servicing and subservicing fees (excluding ancillary income). As of September 30, 2023, our servicing portfolio with MAV represented 19% and 15% of our total servicing portfolio UPB and loan count, respectively. While our servicing agreement with MAV is non-cancellable and provides us with exclusivity, MAV is permitted to sell the underlying MSR without Ocwen’s consent after May 3, 2024. See Note 10 - Investment in Equity Method Investee and Related Party Transactions and Note 8 — Other Financing Liabilities, at Fair Value.</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20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spacing w:after="0" w:line="7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0" w:name="page51"/>
    <w:bookmarkEnd w:id="50"/>
    <w:p>
      <w:pPr>
        <w:ind w:right="20"/>
        <w:spacing w:after="0" w:line="275" w:lineRule="auto"/>
        <w:rPr>
          <w:sz w:val="20"/>
          <w:szCs w:val="20"/>
          <w:color w:val="auto"/>
        </w:rPr>
      </w:pPr>
      <w:r>
        <w:rPr>
          <w:rFonts w:ascii="Arial" w:cs="Arial" w:eastAsia="Arial" w:hAnsi="Arial"/>
          <w:sz w:val="16"/>
          <w:szCs w:val="16"/>
          <w:color w:val="auto"/>
        </w:rPr>
        <w:t>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w:t>
      </w:r>
    </w:p>
    <w:p>
      <w:pPr>
        <w:spacing w:after="0" w:line="67" w:lineRule="exact"/>
        <w:rPr>
          <w:sz w:val="20"/>
          <w:szCs w:val="20"/>
          <w:color w:val="auto"/>
        </w:rPr>
      </w:pPr>
    </w:p>
    <w:p>
      <w:pPr>
        <w:jc w:val="both"/>
        <w:ind w:right="240"/>
        <w:spacing w:after="0" w:line="285" w:lineRule="auto"/>
        <w:rPr>
          <w:sz w:val="20"/>
          <w:szCs w:val="20"/>
          <w:color w:val="auto"/>
        </w:rPr>
      </w:pPr>
      <w:r>
        <w:rPr>
          <w:rFonts w:ascii="Arial" w:cs="Arial" w:eastAsia="Arial" w:hAnsi="Arial"/>
          <w:sz w:val="16"/>
          <w:szCs w:val="16"/>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56"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$9.8 million at September 30, 2023. We cannot currently estimate the amount, if any, of reasonably possible losses above amounts that have been recorded at September 30, 2023.</w:t>
      </w:r>
    </w:p>
    <w:p>
      <w:pPr>
        <w:spacing w:after="0" w:line="52"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 xml:space="preserve">As previously disclosed, we are subject to individual lawsuits relating to our FDCPA compliance and putative state law class actions based on the FDCPA and similar state statutes. We are currently defending class actions challenging, under state and federal law, our practice of charging borrowers a fee to use certain optional payment methods, including </w:t>
      </w:r>
      <w:r>
        <w:rPr>
          <w:rFonts w:ascii="Arial" w:cs="Arial" w:eastAsia="Arial" w:hAnsi="Arial"/>
          <w:sz w:val="16"/>
          <w:szCs w:val="16"/>
          <w:i w:val="1"/>
          <w:iCs w:val="1"/>
          <w:color w:val="auto"/>
        </w:rPr>
        <w:t>Forest v. PHH Mortg. Corp., et al.</w:t>
      </w:r>
      <w:r>
        <w:rPr>
          <w:rFonts w:ascii="Arial" w:cs="Arial" w:eastAsia="Arial" w:hAnsi="Arial"/>
          <w:sz w:val="16"/>
          <w:szCs w:val="16"/>
          <w:color w:val="auto"/>
        </w:rPr>
        <w:t xml:space="preserve"> (D. RI), in which the court in August 2023 granted preliminary approval of the parties’ settlement agreement, and </w:t>
      </w:r>
      <w:r>
        <w:rPr>
          <w:rFonts w:ascii="Arial" w:cs="Arial" w:eastAsia="Arial" w:hAnsi="Arial"/>
          <w:sz w:val="16"/>
          <w:szCs w:val="16"/>
          <w:i w:val="1"/>
          <w:iCs w:val="1"/>
          <w:color w:val="auto"/>
        </w:rPr>
        <w:t>Jones v. PHH Mortg. Corp., et al.</w:t>
      </w:r>
      <w:r>
        <w:rPr>
          <w:rFonts w:ascii="Arial" w:cs="Arial" w:eastAsia="Arial" w:hAnsi="Arial"/>
          <w:sz w:val="16"/>
          <w:szCs w:val="16"/>
          <w:color w:val="auto"/>
        </w:rPr>
        <w:t xml:space="preserve"> (D. NJ), which we have filed a motion to dismiss. In addition, between November 2022 and June 2023, we settled the previously disclosed cases of </w:t>
      </w:r>
      <w:r>
        <w:rPr>
          <w:rFonts w:ascii="Arial" w:cs="Arial" w:eastAsia="Arial" w:hAnsi="Arial"/>
          <w:sz w:val="16"/>
          <w:szCs w:val="16"/>
          <w:i w:val="1"/>
          <w:iCs w:val="1"/>
          <w:color w:val="auto"/>
        </w:rPr>
        <w:t>Morris v. PHH Mortg. Corp., et al.</w:t>
      </w:r>
      <w:r>
        <w:rPr>
          <w:rFonts w:ascii="Arial" w:cs="Arial" w:eastAsia="Arial" w:hAnsi="Arial"/>
          <w:sz w:val="16"/>
          <w:szCs w:val="16"/>
          <w:color w:val="auto"/>
        </w:rPr>
        <w:t xml:space="preserve"> (S.D. FL), </w:t>
      </w:r>
      <w:r>
        <w:rPr>
          <w:rFonts w:ascii="Arial" w:cs="Arial" w:eastAsia="Arial" w:hAnsi="Arial"/>
          <w:sz w:val="16"/>
          <w:szCs w:val="16"/>
          <w:i w:val="1"/>
          <w:iCs w:val="1"/>
          <w:color w:val="auto"/>
        </w:rPr>
        <w:t>Torliatt v. PHH Mortg. Corp., et al.</w:t>
      </w:r>
      <w:r>
        <w:rPr>
          <w:rFonts w:ascii="Arial" w:cs="Arial" w:eastAsia="Arial" w:hAnsi="Arial"/>
          <w:sz w:val="16"/>
          <w:szCs w:val="16"/>
          <w:color w:val="auto"/>
        </w:rPr>
        <w:t xml:space="preserve"> (N.D. CA), </w:t>
      </w:r>
      <w:r>
        <w:rPr>
          <w:rFonts w:ascii="Arial" w:cs="Arial" w:eastAsia="Arial" w:hAnsi="Arial"/>
          <w:sz w:val="16"/>
          <w:szCs w:val="16"/>
          <w:i w:val="1"/>
          <w:iCs w:val="1"/>
          <w:color w:val="auto"/>
        </w:rPr>
        <w:t>Thacker v. PHH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Mortg. Corp., et al. </w:t>
      </w:r>
      <w:r>
        <w:rPr>
          <w:rFonts w:ascii="Arial" w:cs="Arial" w:eastAsia="Arial" w:hAnsi="Arial"/>
          <w:sz w:val="16"/>
          <w:szCs w:val="16"/>
          <w:color w:val="auto"/>
        </w:rPr>
        <w:t>(N.D. WV) and</w:t>
      </w:r>
      <w:r>
        <w:rPr>
          <w:rFonts w:ascii="Arial" w:cs="Arial" w:eastAsia="Arial" w:hAnsi="Arial"/>
          <w:sz w:val="16"/>
          <w:szCs w:val="16"/>
          <w:i w:val="1"/>
          <w:iCs w:val="1"/>
          <w:color w:val="auto"/>
        </w:rPr>
        <w:t xml:space="preserve"> Williams v. PHH Mortg. Corp., et al. </w:t>
      </w:r>
      <w:r>
        <w:rPr>
          <w:rFonts w:ascii="Arial" w:cs="Arial" w:eastAsia="Arial" w:hAnsi="Arial"/>
          <w:sz w:val="16"/>
          <w:szCs w:val="16"/>
          <w:color w:val="auto"/>
        </w:rPr>
        <w:t>(S.D. TX).</w:t>
      </w:r>
    </w:p>
    <w:p>
      <w:pPr>
        <w:spacing w:after="0" w:line="74"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Arial" w:cs="Arial" w:eastAsia="Arial" w:hAnsi="Arial"/>
          <w:sz w:val="16"/>
          <w:szCs w:val="16"/>
          <w:i w:val="1"/>
          <w:iCs w:val="1"/>
          <w:color w:val="auto"/>
        </w:rPr>
        <w:t>Munoz v. PHH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Mortgage Corp. et al. </w:t>
      </w:r>
      <w:r>
        <w:rPr>
          <w:rFonts w:ascii="Arial" w:cs="Arial" w:eastAsia="Arial" w:hAnsi="Arial"/>
          <w:sz w:val="16"/>
          <w:szCs w:val="16"/>
          <w:color w:val="auto"/>
        </w:rPr>
        <w:t>(Eastern District of California). In June 2015, the court certified a class of borrowers who obtained loans with private mortgage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in February 2023 that court reversed and remanded for further proceedings. Ocwen will continue to vigorously defend itself. Our current accrual with respect to this matter is included in the $9.8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spacing w:after="0" w:line="6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Ocwen is a defendant in a certified class action in the U.S. District Court in the Eastern District of California where the plaintiffs claim Ocwen marked up fees for property valuations and title searches in violation of California state law. See </w:t>
      </w:r>
      <w:r>
        <w:rPr>
          <w:rFonts w:ascii="Arial" w:cs="Arial" w:eastAsia="Arial" w:hAnsi="Arial"/>
          <w:sz w:val="16"/>
          <w:szCs w:val="16"/>
          <w:i w:val="1"/>
          <w:iCs w:val="1"/>
          <w:color w:val="auto"/>
        </w:rPr>
        <w:t>Weiner v. Ocwen Financial Corp., et al</w:t>
      </w:r>
      <w:r>
        <w:rPr>
          <w:rFonts w:ascii="Arial" w:cs="Arial" w:eastAsia="Arial" w:hAnsi="Arial"/>
          <w:sz w:val="16"/>
          <w:szCs w:val="16"/>
          <w:color w:val="auto"/>
        </w:rPr>
        <w:t xml:space="preserve">. In May 2020, the court ruled that plaintiff’s recoverable damages are limited to out-of-pocket costs, </w:t>
      </w:r>
      <w:r>
        <w:rPr>
          <w:rFonts w:ascii="Arial" w:cs="Arial" w:eastAsia="Arial" w:hAnsi="Arial"/>
          <w:sz w:val="16"/>
          <w:szCs w:val="16"/>
          <w:i w:val="1"/>
          <w:iCs w:val="1"/>
          <w:color w:val="auto"/>
        </w:rPr>
        <w:t>i.e.</w:t>
      </w:r>
      <w:r>
        <w:rPr>
          <w:rFonts w:ascii="Arial" w:cs="Arial" w:eastAsia="Arial" w:hAnsi="Arial"/>
          <w:sz w:val="16"/>
          <w:szCs w:val="16"/>
          <w:color w:val="auto"/>
        </w:rPr>
        <w:t>, the amount of marked-up fees actually paid, rather than the entire cost of the valuation that plaintiffs sought. Trial is scheduled for November 27, 2023. However, in October 2023, the parties reached a tentative settlement to resolve the lawsuit.</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7"/>
          <w:szCs w:val="17"/>
          <w:color w:val="auto"/>
        </w:rPr>
        <w:t>The plaintiff’s deadline to file a motion for preliminary approval of the proposed settlement is December 11, 2023. If the proposed settlement is not ultimately approved, Ocwen will vigorously defend itself. Ocwen is unable to predict the outcome of this lawsuit, the possible loss or range of loss, if any, associated with the resolution of such lawsuit or the potential impact on us or our operations. If our efforts to settle or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spacing w:after="0" w:line="7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We are currently involved in a dispute with a former subservicing client, HSBC Bank USA, N.A. (HSBC). See </w:t>
      </w:r>
      <w:r>
        <w:rPr>
          <w:rFonts w:ascii="Arial" w:cs="Arial" w:eastAsia="Arial" w:hAnsi="Arial"/>
          <w:sz w:val="17"/>
          <w:szCs w:val="17"/>
          <w:i w:val="1"/>
          <w:iCs w:val="1"/>
          <w:color w:val="auto"/>
        </w:rPr>
        <w:t>HSBC Bank USA, N.A. v. PHH Mortgage Corp.</w:t>
      </w:r>
      <w:r>
        <w:rPr>
          <w:rFonts w:ascii="Arial" w:cs="Arial" w:eastAsia="Arial" w:hAnsi="Arial"/>
          <w:sz w:val="17"/>
          <w:szCs w:val="17"/>
          <w:color w:val="auto"/>
        </w:rPr>
        <w:t xml:space="preserve"> (Supreme Court of the State of New York). HSBC’s claims relate to alleged breaches of agreements entered into under a prior subservicing arrangement and origination assistance agreement. In its complaint, HSBC also asserted a claim for fraud, which 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78"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In September 2023, the Court granted in part Ocwen’s motion for summary judgment, dismissing Nomura’s “failure to notify” claim in its entirety; the Court, however, denied Ocwen’s motion with respect to Nomura’s second claim alleging failure to service loans in accordance with accepted standards. We are currently considering our appellate options. The scope of any resulting trial is uncertain, and thus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67"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52" w:name="page53"/>
    <w:bookmarkEnd w:id="52"/>
    <w:p>
      <w:pPr>
        <w:ind w:right="200"/>
        <w:spacing w:after="0" w:line="291" w:lineRule="auto"/>
        <w:rPr>
          <w:sz w:val="20"/>
          <w:szCs w:val="20"/>
          <w:color w:val="auto"/>
        </w:rPr>
      </w:pPr>
      <w:r>
        <w:rPr>
          <w:rFonts w:ascii="Arial" w:cs="Arial" w:eastAsia="Arial" w:hAnsi="Arial"/>
          <w:sz w:val="15"/>
          <w:szCs w:val="15"/>
          <w:color w:val="auto"/>
        </w:rPr>
        <w:t>(whether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w:t>
      </w:r>
    </w:p>
    <w:p>
      <w:pPr>
        <w:spacing w:after="0" w:line="1" w:lineRule="exact"/>
        <w:rPr>
          <w:sz w:val="20"/>
          <w:szCs w:val="20"/>
          <w:color w:val="auto"/>
        </w:rPr>
      </w:pPr>
    </w:p>
    <w:p>
      <w:pPr>
        <w:ind w:right="80" w:firstLine="3"/>
        <w:spacing w:after="0" w:line="299" w:lineRule="auto"/>
        <w:tabs>
          <w:tab w:leader="none" w:pos="387"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CFPB</w:t>
      </w:r>
    </w:p>
    <w:p>
      <w:pPr>
        <w:spacing w:after="0" w:line="115"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 sought consumer relief, disgorgement of allegedly improper gains, and civil money penalties. As previously disclosed, following numerous pre-trial proceedings, in May 2023 the court entered final judgment granting Ocwen’s motion for summary judgment, denied all pending motions as moot, and closed the case. The CFPB did not appeal the court’s order and therefore the case will remain closed. Our prior accrual with respect to this matter was reversed in the three months ended June 30, 2023.</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State Licensing and Other Matters</w:t>
      </w:r>
    </w:p>
    <w:p>
      <w:pPr>
        <w:spacing w:after="0" w:line="11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(including our practice of charging borrowers a fee to use certain optional payment methods);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 Put-Back and Related Contingencies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have exposure to representation, warranty and indemnification obligations relating to our lending, loan sales and securitization activities, and servicing practices. We receive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spacing w:after="0" w:line="7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At September 30, 2023 and September 30, 2022, we had outstanding representation and warranty repurchase demands of $47.7 million UPB (176 loans) and $53.3 million UPB (280 loans), respectively. We review each demand and monitor through resolution, primarily through rescission, loan repurchase or make-whole payment.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color w:val="auto"/>
        </w:rPr>
        <w:t>The following table presents the changes in our liability for representation and warranty obligations and similar indemnification obligations: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60" w:type="dxa"/>
            <w:vAlign w:val="bottom"/>
          </w:tcPr>
          <w:p>
            <w:pPr>
              <w:spacing w:after="0"/>
              <w:rPr>
                <w:sz w:val="19"/>
                <w:szCs w:val="19"/>
                <w:color w:val="auto"/>
              </w:rPr>
            </w:pPr>
          </w:p>
        </w:tc>
        <w:tc>
          <w:tcPr>
            <w:tcW w:w="31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7"/>
                <w:szCs w:val="17"/>
                <w:b w:val="1"/>
                <w:bCs w:val="1"/>
                <w:color w:val="auto"/>
              </w:rPr>
              <w:t>Nine Months Ended September 30,</w:t>
            </w:r>
          </w:p>
        </w:tc>
      </w:tr>
      <w:tr>
        <w:trPr>
          <w:trHeight w:val="213"/>
        </w:trPr>
        <w:tc>
          <w:tcPr>
            <w:tcW w:w="80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Beginning balance (1)</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r>
      <w:tr>
        <w:trPr>
          <w:trHeight w:val="220"/>
        </w:trPr>
        <w:tc>
          <w:tcPr>
            <w:tcW w:w="8060" w:type="dxa"/>
            <w:vAlign w:val="bottom"/>
          </w:tcPr>
          <w:p>
            <w:pPr>
              <w:ind w:left="140"/>
              <w:spacing w:after="0"/>
              <w:rPr>
                <w:sz w:val="20"/>
                <w:szCs w:val="20"/>
                <w:color w:val="auto"/>
              </w:rPr>
            </w:pPr>
            <w:r>
              <w:rPr>
                <w:rFonts w:ascii="Arial" w:cs="Arial" w:eastAsia="Arial" w:hAnsi="Arial"/>
                <w:sz w:val="17"/>
                <w:szCs w:val="17"/>
                <w:color w:val="auto"/>
              </w:rPr>
              <w:t>Provision for (reversal of) representation and warranty obligations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8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New production liability</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0"/>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Charge-offs and other (2)</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(1)</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right="200" w:hanging="317"/>
        <w:spacing w:after="0" w:line="252" w:lineRule="auto"/>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320" w:hanging="317"/>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principal and interest losses realized in connection with repurchased loans, make-whole, indemnification and fee payments and settlements net of recoveries, if any.</w:t>
      </w:r>
    </w:p>
    <w:p>
      <w:pPr>
        <w:spacing w:after="0" w:line="107" w:lineRule="exact"/>
        <w:rPr>
          <w:sz w:val="20"/>
          <w:szCs w:val="20"/>
          <w:color w:val="auto"/>
        </w:rPr>
      </w:pPr>
    </w:p>
    <w:p>
      <w:pPr>
        <w:ind w:right="240"/>
        <w:spacing w:after="0" w:line="320" w:lineRule="auto"/>
        <w:rPr>
          <w:sz w:val="20"/>
          <w:szCs w:val="20"/>
          <w:color w:val="auto"/>
        </w:rPr>
      </w:pPr>
      <w:r>
        <w:rPr>
          <w:rFonts w:ascii="Arial" w:cs="Arial" w:eastAsia="Arial" w:hAnsi="Arial"/>
          <w:sz w:val="15"/>
          <w:szCs w:val="15"/>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September 30, 2023</w:t>
      </w:r>
      <w:r>
        <w:rPr>
          <w:rFonts w:ascii="Arial" w:cs="Arial" w:eastAsia="Arial" w:hAnsi="Arial"/>
          <w:sz w:val="13"/>
          <w:szCs w:val="13"/>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Ocwen, on its own behalf and on behalf of various mortgage loan investors, has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entered into tolling agreements, initiated arbitration or litigation, engaged in settlement discussions, or took other similar actions. Ocwen has now settled or otherwise resolved all of its pending mortgage insurance litigation matters.</w:t>
      </w:r>
    </w:p>
    <w:p>
      <w:pPr>
        <w:spacing w:after="0" w:line="7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Note 21 –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380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07"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On October 5, 2023, we repurchased a total of $1.1 million of the PMC Senior Secured Notes in the open market for a price of $1.0 million and recognized a $0.1 million gain on debt extinguishment, net of the respective write-off of unamortized discount and debt issuance costs.</w:t>
      </w:r>
    </w:p>
    <w:p>
      <w:pPr>
        <w:spacing w:after="0" w:line="56" w:lineRule="exact"/>
        <w:rPr>
          <w:sz w:val="20"/>
          <w:szCs w:val="20"/>
          <w:color w:val="auto"/>
        </w:rPr>
      </w:pPr>
    </w:p>
    <w:p>
      <w:pPr>
        <w:ind w:right="560"/>
        <w:spacing w:after="0" w:line="315" w:lineRule="auto"/>
        <w:rPr>
          <w:sz w:val="20"/>
          <w:szCs w:val="20"/>
          <w:color w:val="auto"/>
        </w:rPr>
      </w:pPr>
      <w:r>
        <w:rPr>
          <w:rFonts w:ascii="Arial" w:cs="Arial" w:eastAsia="Arial" w:hAnsi="Arial"/>
          <w:sz w:val="16"/>
          <w:szCs w:val="16"/>
          <w:color w:val="auto"/>
        </w:rPr>
        <w:t>Rithm did not provide notice of termination by November 1, 2023, the notice deadline for certain of Rithm’s servicing agreements. Accordingly, all Rithm servicing agreements are extended for another year through December 31, 2024. Refer to Note 8 — Other Financing Liabilities, at Fair Value.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As previously disclosed, on November 2, 2022, Ocwen and Oaktree increased the maximum aggregate capital contributions to MAV Canopy by up to</w:t>
      </w:r>
    </w:p>
    <w:p>
      <w:pPr>
        <w:spacing w:after="0" w:line="35"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$250.0 million during the period ending May 2, 2024 (the Commitment Period), subject to extension. On November 1, 2023, Ocwen and Oaktree agreed to extend the Commitment Period through May 2, 2025, subject to an additional one-year extension by mutual agreement. As a result of the extension of the Commitment Period, MAV’s right of first offer to purchase certain GSE MSRs sold by PMC and Ocwen’s reciprocal right of first offer to purchase certain GSE MSRs sold by MAV which were acquired under MAV’s own first offer rights will remain in effect until May 2, 2025 or, if earlier, the date that MAV has been fully funded. No other contractual provisions of the MAV Canopy governing agreements were modified. Extension of the Commitment Period does not impact the date at which MAV is permitted to sell MSRs, in whole or in part, without Ocwen’s consent, which remains May 3,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54" w:name="page55"/>
    <w:bookmarkEnd w:id="54"/>
    <w:p>
      <w:pPr>
        <w:ind w:right="1540"/>
        <w:spacing w:after="0" w:line="354"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 (Dollars in millions, except per share amounts and unless otherwise indicated)</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are a leading non-bank mortgage servicer and originator providing solutions through our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serviced 1.4 million loans with a total UPB of $295.7 billion on behalf of more than 3,800 investors and 117 subservicing clients as of September 30, 2023.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securitize on a servicing retained basis. In addition, we grow our mortgage servicing volume through MSR flow purchase agreements, Agency Cash Window and co-issue programs, bulk MSR purchase transactions, and subservicing agreements.</w:t>
      </w:r>
    </w:p>
    <w:p>
      <w:pPr>
        <w:spacing w:after="0" w:line="6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table below summarizes the volume of Originations by channel in the third quarter of 2023 compared with the preceding quarter, and the nine months ended September 30, 2023 compared with the corresponding period of the prior year. The volume of Originations is a key driver of the profitability of our Originations segment, together with margins, and a key driver of the replenishment and growth of our Servicing segment. In the third quarter of 2023, we added $16.0 billion of new volume, with $8.3 billion of new subservicing and $7.5 billion of non-bulk new servicing, as further detailed in the below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 in billions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ind w:left="240"/>
              <w:spacing w:after="0"/>
              <w:rPr>
                <w:sz w:val="20"/>
                <w:szCs w:val="20"/>
                <w:color w:val="auto"/>
              </w:rPr>
            </w:pPr>
            <w:r>
              <w:rPr>
                <w:rFonts w:ascii="Arial" w:cs="Arial" w:eastAsia="Arial" w:hAnsi="Arial"/>
                <w:sz w:val="17"/>
                <w:szCs w:val="17"/>
                <w:b w:val="1"/>
                <w:bCs w:val="1"/>
                <w:color w:val="auto"/>
              </w:rPr>
              <w:t>UPB</w:t>
            </w: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5"/>
        </w:trPr>
        <w:tc>
          <w:tcPr>
            <w:tcW w:w="5140" w:type="dxa"/>
            <w:vAlign w:val="bottom"/>
          </w:tcPr>
          <w:p>
            <w:pPr>
              <w:spacing w:after="0"/>
              <w:rPr>
                <w:sz w:val="19"/>
                <w:szCs w:val="19"/>
                <w:color w:val="auto"/>
              </w:rPr>
            </w:pPr>
          </w:p>
        </w:tc>
        <w:tc>
          <w:tcPr>
            <w:tcW w:w="2640" w:type="dxa"/>
            <w:vAlign w:val="bottom"/>
            <w:tcBorders>
              <w:bottom w:val="single" w:sz="8" w:color="auto"/>
            </w:tcBorders>
            <w:gridSpan w:val="4"/>
          </w:tcPr>
          <w:p>
            <w:pPr>
              <w:jc w:val="right"/>
              <w:ind w:right="274"/>
              <w:spacing w:after="0"/>
              <w:rPr>
                <w:sz w:val="20"/>
                <w:szCs w:val="20"/>
                <w:color w:val="auto"/>
              </w:rPr>
            </w:pPr>
            <w:r>
              <w:rPr>
                <w:rFonts w:ascii="Arial" w:cs="Arial" w:eastAsia="Arial" w:hAnsi="Arial"/>
                <w:sz w:val="17"/>
                <w:szCs w:val="17"/>
                <w:b w:val="1"/>
                <w:bCs w:val="1"/>
                <w:color w:val="auto"/>
              </w:rPr>
              <w:t>Three Months Ended</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Nine Months Ended</w:t>
            </w:r>
          </w:p>
        </w:tc>
      </w:tr>
      <w:tr>
        <w:trPr>
          <w:trHeight w:val="226"/>
        </w:trPr>
        <w:tc>
          <w:tcPr>
            <w:tcW w:w="5140" w:type="dxa"/>
            <w:vAlign w:val="bottom"/>
          </w:tcPr>
          <w:p>
            <w:pPr>
              <w:spacing w:after="0"/>
              <w:rPr>
                <w:sz w:val="19"/>
                <w:szCs w:val="19"/>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September 30,</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June 30,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b w:val="1"/>
                <w:bCs w:val="1"/>
                <w:color w:val="auto"/>
                <w:w w:val="92"/>
              </w:rPr>
              <w:t>September 30,</w:t>
            </w:r>
          </w:p>
        </w:tc>
      </w:tr>
      <w:tr>
        <w:trPr>
          <w:trHeight w:val="245"/>
        </w:trPr>
        <w:tc>
          <w:tcPr>
            <w:tcW w:w="514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2023</w:t>
            </w:r>
          </w:p>
        </w:tc>
        <w:tc>
          <w:tcPr>
            <w:tcW w:w="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r>
      <w:tr>
        <w:trPr>
          <w:trHeight w:val="200"/>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servicing originations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0"/>
        </w:trPr>
        <w:tc>
          <w:tcPr>
            <w:tcW w:w="5140" w:type="dxa"/>
            <w:vAlign w:val="bottom"/>
          </w:tcPr>
          <w:p>
            <w:pPr>
              <w:ind w:left="100"/>
              <w:spacing w:after="0"/>
              <w:rPr>
                <w:sz w:val="20"/>
                <w:szCs w:val="20"/>
                <w:color w:val="auto"/>
              </w:rPr>
            </w:pPr>
            <w:r>
              <w:rPr>
                <w:rFonts w:ascii="Arial" w:cs="Arial" w:eastAsia="Arial" w:hAnsi="Arial"/>
                <w:sz w:val="17"/>
                <w:szCs w:val="17"/>
                <w:color w:val="auto"/>
              </w:rPr>
              <w:t>Retail - Consumer Direct MSR (1)</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0"/>
        </w:trPr>
        <w:tc>
          <w:tcPr>
            <w:tcW w:w="5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Correspondent MSR (1)</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r>
      <w:tr>
        <w:trPr>
          <w:trHeight w:val="220"/>
        </w:trPr>
        <w:tc>
          <w:tcPr>
            <w:tcW w:w="5140" w:type="dxa"/>
            <w:vAlign w:val="bottom"/>
          </w:tcPr>
          <w:p>
            <w:pPr>
              <w:ind w:left="120"/>
              <w:spacing w:after="0"/>
              <w:rPr>
                <w:sz w:val="20"/>
                <w:szCs w:val="20"/>
                <w:color w:val="auto"/>
              </w:rPr>
            </w:pPr>
            <w:r>
              <w:rPr>
                <w:rFonts w:ascii="Arial" w:cs="Arial" w:eastAsia="Arial" w:hAnsi="Arial"/>
                <w:sz w:val="17"/>
                <w:szCs w:val="17"/>
                <w:color w:val="auto"/>
              </w:rPr>
              <w:t>Flow and Agency Cash Window MSR purchases (2)</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20"/>
        </w:trPr>
        <w:tc>
          <w:tcPr>
            <w:tcW w:w="5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Reverse mortgage servicing (3)</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5140" w:type="dxa"/>
            <w:vAlign w:val="bottom"/>
          </w:tcPr>
          <w:p>
            <w:pPr>
              <w:ind w:left="220"/>
              <w:spacing w:after="0"/>
              <w:rPr>
                <w:sz w:val="20"/>
                <w:szCs w:val="20"/>
                <w:color w:val="auto"/>
              </w:rPr>
            </w:pPr>
            <w:r>
              <w:rPr>
                <w:rFonts w:ascii="Arial" w:cs="Arial" w:eastAsia="Arial" w:hAnsi="Arial"/>
                <w:sz w:val="17"/>
                <w:szCs w:val="17"/>
                <w:color w:val="auto"/>
              </w:rPr>
              <w:t>Total servicing</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20"/>
        </w:trPr>
        <w:tc>
          <w:tcPr>
            <w:tcW w:w="5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Bulk purchases (2)</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20"/>
        </w:trPr>
        <w:tc>
          <w:tcPr>
            <w:tcW w:w="5140" w:type="dxa"/>
            <w:vAlign w:val="bottom"/>
          </w:tcPr>
          <w:p>
            <w:pPr>
              <w:ind w:left="140"/>
              <w:spacing w:after="0"/>
              <w:rPr>
                <w:sz w:val="20"/>
                <w:szCs w:val="20"/>
                <w:color w:val="auto"/>
              </w:rPr>
            </w:pPr>
            <w:r>
              <w:rPr>
                <w:rFonts w:ascii="Arial" w:cs="Arial" w:eastAsia="Arial" w:hAnsi="Arial"/>
                <w:sz w:val="17"/>
                <w:szCs w:val="17"/>
                <w:color w:val="auto"/>
              </w:rPr>
              <w:t>Bulk purchases - reverse (2)</w:t>
            </w:r>
          </w:p>
        </w:tc>
        <w:tc>
          <w:tcPr>
            <w:tcW w:w="9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13"/>
        </w:trPr>
        <w:tc>
          <w:tcPr>
            <w:tcW w:w="5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servicing additions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w:t>
            </w:r>
          </w:p>
        </w:tc>
      </w:tr>
      <w:tr>
        <w:trPr>
          <w:trHeight w:val="213"/>
        </w:trPr>
        <w:tc>
          <w:tcPr>
            <w:tcW w:w="5140" w:type="dxa"/>
            <w:vAlign w:val="bottom"/>
          </w:tcPr>
          <w:p>
            <w:pPr>
              <w:ind w:left="120"/>
              <w:spacing w:after="0"/>
              <w:rPr>
                <w:sz w:val="20"/>
                <w:szCs w:val="20"/>
                <w:color w:val="auto"/>
              </w:rPr>
            </w:pPr>
            <w:r>
              <w:rPr>
                <w:rFonts w:ascii="Arial" w:cs="Arial" w:eastAsia="Arial" w:hAnsi="Arial"/>
                <w:sz w:val="17"/>
                <w:szCs w:val="17"/>
                <w:color w:val="auto"/>
              </w:rPr>
              <w:t>Interim forward subservicing</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20"/>
        </w:trPr>
        <w:tc>
          <w:tcPr>
            <w:tcW w:w="5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new forward subservicing</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0"/>
        </w:trPr>
        <w:tc>
          <w:tcPr>
            <w:tcW w:w="5140" w:type="dxa"/>
            <w:vAlign w:val="bottom"/>
          </w:tcPr>
          <w:p>
            <w:pPr>
              <w:ind w:left="120"/>
              <w:spacing w:after="0"/>
              <w:rPr>
                <w:sz w:val="20"/>
                <w:szCs w:val="20"/>
                <w:color w:val="auto"/>
              </w:rPr>
            </w:pPr>
            <w:r>
              <w:rPr>
                <w:rFonts w:ascii="Arial" w:cs="Arial" w:eastAsia="Arial" w:hAnsi="Arial"/>
                <w:sz w:val="17"/>
                <w:szCs w:val="17"/>
                <w:color w:val="auto"/>
              </w:rPr>
              <w:t>Reverse subservicing</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13"/>
        </w:trPr>
        <w:tc>
          <w:tcPr>
            <w:tcW w:w="51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Total Subservicing additions (4)</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3"/>
        </w:trPr>
        <w:tc>
          <w:tcPr>
            <w:tcW w:w="5140" w:type="dxa"/>
            <w:vAlign w:val="bottom"/>
          </w:tcPr>
          <w:p>
            <w:pPr>
              <w:ind w:left="340"/>
              <w:spacing w:after="0"/>
              <w:rPr>
                <w:sz w:val="20"/>
                <w:szCs w:val="20"/>
                <w:color w:val="auto"/>
              </w:rPr>
            </w:pPr>
            <w:r>
              <w:rPr>
                <w:rFonts w:ascii="Arial" w:cs="Arial" w:eastAsia="Arial" w:hAnsi="Arial"/>
                <w:sz w:val="17"/>
                <w:szCs w:val="17"/>
                <w:color w:val="auto"/>
              </w:rPr>
              <w:t>Total servicing and subservicing UPB additions</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r>
      <w:tr>
        <w:trPr>
          <w:trHeight w:val="20"/>
        </w:trPr>
        <w:tc>
          <w:tcPr>
            <w:tcW w:w="5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20" w:right="500" w:hanging="317"/>
        <w:spacing w:after="0" w:line="252"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(funded) during the respective periods and for which we recognize a new MSR on our consolidated balance sheets upon sale or securitization.</w:t>
      </w:r>
    </w:p>
    <w:p>
      <w:pPr>
        <w:ind w:left="320" w:right="120" w:hanging="317"/>
        <w:spacing w:after="0" w:line="238"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UPB of loans for which the MSR is purchased. Bulk purchases include 12,931 loans with a UPB of $4.1 billion for which PMC was previously performing the subservicing that were purchased from third parties during the third quarter of 2022.</w:t>
      </w:r>
    </w:p>
    <w:p>
      <w:pPr>
        <w:ind w:left="320" w:right="380" w:hanging="317"/>
        <w:spacing w:after="0" w:line="244"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interim subservicing, including the volume of UPB associated with short-term interim subservicing for certain clients as a support to their originate-to-sell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5" w:name="page56"/>
    <w:bookmarkEnd w:id="55"/>
    <w:p>
      <w:pPr>
        <w:jc w:val="both"/>
        <w:ind w:right="100"/>
        <w:spacing w:after="0" w:line="263" w:lineRule="auto"/>
        <w:rPr>
          <w:sz w:val="20"/>
          <w:szCs w:val="20"/>
          <w:color w:val="auto"/>
        </w:rPr>
      </w:pPr>
      <w:r>
        <w:rPr>
          <w:rFonts w:ascii="Arial" w:cs="Arial" w:eastAsia="Arial" w:hAnsi="Arial"/>
          <w:sz w:val="17"/>
          <w:szCs w:val="17"/>
          <w:color w:val="auto"/>
        </w:rPr>
        <w:t>The following table summarizes the average volume of our Servicing segment during the third quarter of 2023 compared with the preceding quarter, and the nine months ended September 30, 2023 compared with the corresponding period of the prior year. The average servicing volume is a key driver of the profitability of our Servicing segment. The relative weight of performing and delinquent loans or servicing and subservicing also drive the gross revenue and expenses, and their timing.</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60" w:type="dxa"/>
            <w:vAlign w:val="bottom"/>
          </w:tcPr>
          <w:p>
            <w:pPr>
              <w:ind w:left="20"/>
              <w:spacing w:after="0"/>
              <w:rPr>
                <w:sz w:val="20"/>
                <w:szCs w:val="20"/>
                <w:color w:val="auto"/>
              </w:rPr>
            </w:pPr>
            <w:r>
              <w:rPr>
                <w:rFonts w:ascii="Arial" w:cs="Arial" w:eastAsia="Arial" w:hAnsi="Arial"/>
                <w:sz w:val="17"/>
                <w:szCs w:val="17"/>
                <w:i w:val="1"/>
                <w:iCs w:val="1"/>
                <w:color w:val="auto"/>
              </w:rPr>
              <w:t>$ in billions</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rPr>
              <w:t>Average UPB</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660" w:type="dxa"/>
            <w:vAlign w:val="bottom"/>
          </w:tcPr>
          <w:p>
            <w:pPr>
              <w:spacing w:after="0"/>
              <w:rPr>
                <w:sz w:val="19"/>
                <w:szCs w:val="19"/>
                <w:color w:val="auto"/>
              </w:rPr>
            </w:pPr>
          </w:p>
        </w:tc>
        <w:tc>
          <w:tcPr>
            <w:tcW w:w="2420" w:type="dxa"/>
            <w:vAlign w:val="bottom"/>
            <w:tcBorders>
              <w:bottom w:val="single" w:sz="8" w:color="auto"/>
            </w:tcBorders>
            <w:gridSpan w:val="4"/>
          </w:tcPr>
          <w:p>
            <w:pPr>
              <w:jc w:val="right"/>
              <w:ind w:right="74"/>
              <w:spacing w:after="0"/>
              <w:rPr>
                <w:sz w:val="20"/>
                <w:szCs w:val="20"/>
                <w:color w:val="auto"/>
              </w:rPr>
            </w:pPr>
            <w:r>
              <w:rPr>
                <w:rFonts w:ascii="Arial" w:cs="Arial" w:eastAsia="Arial" w:hAnsi="Arial"/>
                <w:sz w:val="17"/>
                <w:szCs w:val="17"/>
                <w:b w:val="1"/>
                <w:bCs w:val="1"/>
                <w:color w:val="auto"/>
              </w:rPr>
              <w:t>Three Months Ended</w:t>
            </w:r>
          </w:p>
        </w:tc>
        <w:tc>
          <w:tcPr>
            <w:tcW w:w="5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p>
        </w:tc>
        <w:tc>
          <w:tcPr>
            <w:tcW w:w="1520" w:type="dxa"/>
            <w:vAlign w:val="bottom"/>
            <w:gridSpan w:val="3"/>
          </w:tcPr>
          <w:p>
            <w:pPr>
              <w:ind w:left="180"/>
              <w:spacing w:after="0"/>
              <w:rPr>
                <w:sz w:val="20"/>
                <w:szCs w:val="20"/>
                <w:color w:val="auto"/>
              </w:rPr>
            </w:pPr>
            <w:r>
              <w:rPr>
                <w:rFonts w:ascii="Arial" w:cs="Arial" w:eastAsia="Arial" w:hAnsi="Arial"/>
                <w:sz w:val="17"/>
                <w:szCs w:val="17"/>
                <w:b w:val="1"/>
                <w:bCs w:val="1"/>
                <w:color w:val="auto"/>
              </w:rPr>
              <w:t>September 30,</w:t>
            </w:r>
          </w:p>
        </w:tc>
        <w:tc>
          <w:tcPr>
            <w:tcW w:w="1520" w:type="dxa"/>
            <w:vAlign w:val="bottom"/>
            <w:gridSpan w:val="3"/>
          </w:tcPr>
          <w:p>
            <w:pPr>
              <w:ind w:left="420"/>
              <w:spacing w:after="0"/>
              <w:rPr>
                <w:sz w:val="20"/>
                <w:szCs w:val="20"/>
                <w:color w:val="auto"/>
              </w:rPr>
            </w:pPr>
            <w:r>
              <w:rPr>
                <w:rFonts w:ascii="Arial" w:cs="Arial" w:eastAsia="Arial" w:hAnsi="Arial"/>
                <w:sz w:val="17"/>
                <w:szCs w:val="17"/>
                <w:b w:val="1"/>
                <w:bCs w:val="1"/>
                <w:color w:val="auto"/>
              </w:rPr>
              <w:t>June 30,</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280" w:type="dxa"/>
            <w:vAlign w:val="bottom"/>
            <w:gridSpan w:val="3"/>
          </w:tcPr>
          <w:p>
            <w:pPr>
              <w:ind w:left="60"/>
              <w:spacing w:after="0"/>
              <w:rPr>
                <w:sz w:val="20"/>
                <w:szCs w:val="20"/>
                <w:color w:val="auto"/>
              </w:rPr>
            </w:pPr>
            <w:r>
              <w:rPr>
                <w:rFonts w:ascii="Arial" w:cs="Arial" w:eastAsia="Arial" w:hAnsi="Arial"/>
                <w:sz w:val="17"/>
                <w:szCs w:val="17"/>
                <w:b w:val="1"/>
                <w:bCs w:val="1"/>
                <w:color w:val="auto"/>
              </w:rPr>
              <w:t>Q3 2023 vs Q2</w:t>
            </w:r>
          </w:p>
        </w:tc>
        <w:tc>
          <w:tcPr>
            <w:tcW w:w="1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b w:val="1"/>
                <w:bCs w:val="1"/>
                <w:color w:val="auto"/>
                <w:w w:val="93"/>
              </w:rPr>
              <w:t>YTD 2023 vs</w:t>
            </w:r>
          </w:p>
        </w:tc>
        <w:tc>
          <w:tcPr>
            <w:tcW w:w="0" w:type="dxa"/>
            <w:vAlign w:val="bottom"/>
          </w:tcPr>
          <w:p>
            <w:pPr>
              <w:spacing w:after="0"/>
              <w:rPr>
                <w:sz w:val="1"/>
                <w:szCs w:val="1"/>
                <w:color w:val="auto"/>
              </w:rPr>
            </w:pPr>
          </w:p>
        </w:tc>
      </w:tr>
      <w:tr>
        <w:trPr>
          <w:trHeight w:val="233"/>
        </w:trPr>
        <w:tc>
          <w:tcPr>
            <w:tcW w:w="26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2023</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b w:val="1"/>
                <w:bCs w:val="1"/>
                <w:color w:val="auto"/>
              </w:rPr>
              <w:t>YTD 2022</w:t>
            </w:r>
          </w:p>
        </w:tc>
        <w:tc>
          <w:tcPr>
            <w:tcW w:w="0" w:type="dxa"/>
            <w:vAlign w:val="bottom"/>
          </w:tcPr>
          <w:p>
            <w:pPr>
              <w:spacing w:after="0"/>
              <w:rPr>
                <w:sz w:val="1"/>
                <w:szCs w:val="1"/>
                <w:color w:val="auto"/>
              </w:rPr>
            </w:pPr>
          </w:p>
        </w:tc>
      </w:tr>
      <w:tr>
        <w:trPr>
          <w:trHeight w:val="213"/>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Owned MSR</w:t>
            </w: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3"/>
              </w:rPr>
              <w:t>120.1</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3"/>
              </w:rPr>
              <w:t>126.0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7"/>
                <w:szCs w:val="17"/>
                <w:color w:val="auto"/>
              </w:rPr>
              <w:t>Rithm (formerly NRZ) and others</w:t>
            </w:r>
          </w:p>
        </w:tc>
        <w:tc>
          <w:tcPr>
            <w:tcW w:w="90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54.7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MAV</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line="168" w:lineRule="exact"/>
              <w:rPr>
                <w:sz w:val="20"/>
                <w:szCs w:val="20"/>
                <w:color w:val="auto"/>
              </w:rPr>
            </w:pPr>
            <w:r>
              <w:rPr>
                <w:rFonts w:ascii="Arial" w:cs="Arial" w:eastAsia="Arial" w:hAnsi="Arial"/>
                <w:sz w:val="17"/>
                <w:szCs w:val="17"/>
                <w:color w:val="auto"/>
              </w:rPr>
              <w:t>Subservicing (including interim</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660" w:type="dxa"/>
            <w:vAlign w:val="bottom"/>
          </w:tcPr>
          <w:p>
            <w:pPr>
              <w:ind w:left="100"/>
              <w:spacing w:after="0"/>
              <w:rPr>
                <w:sz w:val="20"/>
                <w:szCs w:val="20"/>
                <w:color w:val="auto"/>
              </w:rPr>
            </w:pPr>
            <w:r>
              <w:rPr>
                <w:rFonts w:ascii="Arial" w:cs="Arial" w:eastAsia="Arial" w:hAnsi="Arial"/>
                <w:sz w:val="17"/>
                <w:szCs w:val="17"/>
                <w:color w:val="auto"/>
              </w:rPr>
              <w:t>subservicing)</w:t>
            </w:r>
          </w:p>
        </w:tc>
        <w:tc>
          <w:tcPr>
            <w:tcW w:w="90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56.3</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ind w:right="34"/>
              <w:spacing w:after="0"/>
              <w:rPr>
                <w:sz w:val="20"/>
                <w:szCs w:val="20"/>
                <w:color w:val="auto"/>
              </w:rPr>
            </w:pPr>
            <w:r>
              <w:rPr>
                <w:rFonts w:ascii="Arial" w:cs="Arial" w:eastAsia="Arial" w:hAnsi="Arial"/>
                <w:sz w:val="17"/>
                <w:szCs w:val="17"/>
                <w:color w:val="auto"/>
              </w:rPr>
              <w:t>58.0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mortgage loans (owned)</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0"/>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Commercial and other servicing</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1.2</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148"/>
        </w:trPr>
        <w:tc>
          <w:tcPr>
            <w:tcW w:w="266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w w:val="91"/>
              </w:rPr>
              <w:t>Total serviced and subserviced UPB</w:t>
            </w:r>
          </w:p>
        </w:tc>
        <w:tc>
          <w:tcPr>
            <w:tcW w:w="900" w:type="dxa"/>
            <w:vAlign w:val="bottom"/>
            <w:vMerge w:val="restart"/>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5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93"/>
              </w:rPr>
              <w:t>291.8</w:t>
            </w: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94"/>
              <w:spacing w:after="0"/>
              <w:rPr>
                <w:sz w:val="20"/>
                <w:szCs w:val="20"/>
                <w:color w:val="auto"/>
              </w:rPr>
            </w:pPr>
            <w:r>
              <w:rPr>
                <w:rFonts w:ascii="Arial" w:cs="Arial" w:eastAsia="Arial" w:hAnsi="Arial"/>
                <w:sz w:val="17"/>
                <w:szCs w:val="17"/>
                <w:color w:val="auto"/>
              </w:rPr>
              <w:t>$</w:t>
            </w:r>
          </w:p>
        </w:tc>
        <w:tc>
          <w:tcPr>
            <w:tcW w:w="54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93"/>
              </w:rPr>
              <w:t>293.1</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292.9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279.4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26"/>
        </w:trPr>
        <w:tc>
          <w:tcPr>
            <w:tcW w:w="2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(average)</w:t>
            </w: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20"/>
        <w:spacing w:after="0" w:line="283" w:lineRule="auto"/>
        <w:rPr>
          <w:sz w:val="20"/>
          <w:szCs w:val="20"/>
          <w:color w:val="auto"/>
        </w:rPr>
      </w:pPr>
      <w:r>
        <w:rPr>
          <w:rFonts w:ascii="Arial" w:cs="Arial" w:eastAsia="Arial" w:hAnsi="Arial"/>
          <w:sz w:val="17"/>
          <w:szCs w:val="17"/>
          <w:color w:val="auto"/>
        </w:rPr>
        <w:t>As of September 30, 2023 and June 30, 2023, the total serviced and subserviced UPB amounted to $295.7 billion and $288.5 billion, respectively, a net increase of $7.1 billion or 2%.</w:t>
      </w:r>
    </w:p>
    <w:p>
      <w:pPr>
        <w:spacing w:after="0" w:line="56"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color w:val="auto"/>
        </w:rPr>
        <w:t>The following table presents key market interest rates and respective changes in the periods presented. As further discussed, the 30-year fixed rate mortgage is a key driver of the Originations volumes, the 10-year Treasury rate is a key benchmark for MSR valuation and hedging activities, and the 1-month SOFR is a key benchmark for the profitability of our Servicing segment (including float earnings and asset-backed financing cost). In the third quarter of 2023, interest rates continued to rise at historically high levels following the decision of the Federal Reserve to continue to raise its federal funds target rate (+25 basis points in July 2023), the increased uncertainties associated with the economic and geopolitical environments, and the volatility in financial markets.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spacing w:after="0"/>
              <w:rPr>
                <w:sz w:val="20"/>
                <w:szCs w:val="20"/>
                <w:color w:val="auto"/>
              </w:rPr>
            </w:pPr>
          </w:p>
        </w:tc>
        <w:tc>
          <w:tcPr>
            <w:tcW w:w="3160" w:type="dxa"/>
            <w:vAlign w:val="bottom"/>
            <w:tcBorders>
              <w:top w:val="single" w:sz="8" w:color="auto"/>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20"/>
                <w:szCs w:val="20"/>
                <w:color w:val="auto"/>
              </w:rPr>
            </w:pPr>
          </w:p>
        </w:tc>
        <w:tc>
          <w:tcPr>
            <w:tcW w:w="3260" w:type="dxa"/>
            <w:vAlign w:val="bottom"/>
            <w:tcBorders>
              <w:top w:val="single" w:sz="8" w:color="auto"/>
              <w:bottom w:val="single" w:sz="8" w:color="auto"/>
            </w:tcBorders>
            <w:gridSpan w:val="3"/>
          </w:tcPr>
          <w:p>
            <w:pPr>
              <w:jc w:val="right"/>
              <w:ind w:right="814"/>
              <w:spacing w:after="0"/>
              <w:rPr>
                <w:sz w:val="20"/>
                <w:szCs w:val="20"/>
                <w:color w:val="auto"/>
              </w:rPr>
            </w:pPr>
            <w:r>
              <w:rPr>
                <w:rFonts w:ascii="Arial" w:cs="Arial" w:eastAsia="Arial" w:hAnsi="Arial"/>
                <w:sz w:val="17"/>
                <w:szCs w:val="17"/>
                <w:b w:val="1"/>
                <w:bCs w:val="1"/>
                <w:color w:val="auto"/>
              </w:rPr>
              <w:t>Nine Months Ended</w:t>
            </w:r>
          </w:p>
        </w:tc>
      </w:tr>
      <w:tr>
        <w:trPr>
          <w:trHeight w:val="207"/>
        </w:trPr>
        <w:tc>
          <w:tcPr>
            <w:tcW w:w="458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September 30,</w:t>
            </w:r>
          </w:p>
        </w:tc>
        <w:tc>
          <w:tcPr>
            <w:tcW w:w="146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8"/>
                <w:szCs w:val="18"/>
                <w:color w:val="auto"/>
              </w:rPr>
            </w:pPr>
          </w:p>
        </w:tc>
        <w:tc>
          <w:tcPr>
            <w:tcW w:w="1800" w:type="dxa"/>
            <w:vAlign w:val="bottom"/>
            <w:gridSpan w:val="2"/>
          </w:tcPr>
          <w:p>
            <w:pPr>
              <w:ind w:left="200"/>
              <w:spacing w:after="0"/>
              <w:rPr>
                <w:sz w:val="20"/>
                <w:szCs w:val="20"/>
                <w:color w:val="auto"/>
              </w:rPr>
            </w:pPr>
            <w:r>
              <w:rPr>
                <w:rFonts w:ascii="Arial" w:cs="Arial" w:eastAsia="Arial" w:hAnsi="Arial"/>
                <w:sz w:val="17"/>
                <w:szCs w:val="17"/>
                <w:b w:val="1"/>
                <w:bCs w:val="1"/>
                <w:color w:val="auto"/>
              </w:rPr>
              <w:t>September 30,</w:t>
            </w:r>
          </w:p>
        </w:tc>
        <w:tc>
          <w:tcPr>
            <w:tcW w:w="1460" w:type="dxa"/>
            <w:vAlign w:val="bottom"/>
          </w:tcPr>
          <w:p>
            <w:pPr>
              <w:jc w:val="right"/>
              <w:ind w:right="114"/>
              <w:spacing w:after="0"/>
              <w:rPr>
                <w:sz w:val="20"/>
                <w:szCs w:val="20"/>
                <w:color w:val="auto"/>
              </w:rPr>
            </w:pPr>
            <w:r>
              <w:rPr>
                <w:rFonts w:ascii="Arial" w:cs="Arial" w:eastAsia="Arial" w:hAnsi="Arial"/>
                <w:sz w:val="17"/>
                <w:szCs w:val="17"/>
                <w:b w:val="1"/>
                <w:bCs w:val="1"/>
                <w:color w:val="auto"/>
              </w:rPr>
              <w:t>September 30,</w:t>
            </w:r>
          </w:p>
        </w:tc>
      </w:tr>
      <w:tr>
        <w:trPr>
          <w:trHeight w:val="225"/>
        </w:trPr>
        <w:tc>
          <w:tcPr>
            <w:tcW w:w="45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3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2022</w:t>
            </w: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30-year fixed rate mortgage (1)</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0"/>
        </w:trPr>
        <w:tc>
          <w:tcPr>
            <w:tcW w:w="4580" w:type="dxa"/>
            <w:vAlign w:val="bottom"/>
          </w:tcPr>
          <w:p>
            <w:pPr>
              <w:ind w:left="180"/>
              <w:spacing w:after="0"/>
              <w:rPr>
                <w:sz w:val="20"/>
                <w:szCs w:val="20"/>
                <w:color w:val="auto"/>
              </w:rPr>
            </w:pPr>
            <w:r>
              <w:rPr>
                <w:rFonts w:ascii="Arial" w:cs="Arial" w:eastAsia="Arial" w:hAnsi="Arial"/>
                <w:sz w:val="17"/>
                <w:szCs w:val="17"/>
                <w:color w:val="auto"/>
              </w:rPr>
              <w:t>End of period</w:t>
            </w:r>
          </w:p>
        </w:tc>
        <w:tc>
          <w:tcPr>
            <w:tcW w:w="1480" w:type="dxa"/>
            <w:vAlign w:val="bottom"/>
          </w:tcPr>
          <w:p>
            <w:pPr>
              <w:ind w:left="800"/>
              <w:spacing w:after="0"/>
              <w:rPr>
                <w:sz w:val="20"/>
                <w:szCs w:val="20"/>
                <w:color w:val="auto"/>
              </w:rPr>
            </w:pPr>
            <w:r>
              <w:rPr>
                <w:rFonts w:ascii="Arial" w:cs="Arial" w:eastAsia="Arial" w:hAnsi="Arial"/>
                <w:sz w:val="17"/>
                <w:szCs w:val="17"/>
                <w:color w:val="auto"/>
              </w:rPr>
              <w:t>7.31%</w:t>
            </w:r>
          </w:p>
        </w:tc>
        <w:tc>
          <w:tcPr>
            <w:tcW w:w="22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6.71%</w:t>
            </w:r>
          </w:p>
        </w:tc>
        <w:tc>
          <w:tcPr>
            <w:tcW w:w="24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7.31%</w:t>
            </w:r>
          </w:p>
        </w:tc>
        <w:tc>
          <w:tcPr>
            <w:tcW w:w="34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6.70%</w:t>
            </w:r>
          </w:p>
        </w:tc>
      </w:tr>
      <w:tr>
        <w:trPr>
          <w:trHeight w:val="220"/>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Period change (percentage points)</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0.60</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0.39</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0.89</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3.59</w:t>
            </w:r>
          </w:p>
        </w:tc>
      </w:tr>
      <w:tr>
        <w:trPr>
          <w:trHeight w:val="220"/>
        </w:trPr>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10-year Treasury rate</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0"/>
        </w:trPr>
        <w:tc>
          <w:tcPr>
            <w:tcW w:w="4580" w:type="dxa"/>
            <w:vAlign w:val="bottom"/>
          </w:tcPr>
          <w:p>
            <w:pPr>
              <w:ind w:left="180"/>
              <w:spacing w:after="0"/>
              <w:rPr>
                <w:sz w:val="20"/>
                <w:szCs w:val="20"/>
                <w:color w:val="auto"/>
              </w:rPr>
            </w:pPr>
            <w:r>
              <w:rPr>
                <w:rFonts w:ascii="Arial" w:cs="Arial" w:eastAsia="Arial" w:hAnsi="Arial"/>
                <w:sz w:val="17"/>
                <w:szCs w:val="17"/>
                <w:color w:val="auto"/>
              </w:rPr>
              <w:t>End of period</w:t>
            </w:r>
          </w:p>
        </w:tc>
        <w:tc>
          <w:tcPr>
            <w:tcW w:w="1480" w:type="dxa"/>
            <w:vAlign w:val="bottom"/>
          </w:tcPr>
          <w:p>
            <w:pPr>
              <w:ind w:left="800"/>
              <w:spacing w:after="0"/>
              <w:rPr>
                <w:sz w:val="20"/>
                <w:szCs w:val="20"/>
                <w:color w:val="auto"/>
              </w:rPr>
            </w:pPr>
            <w:r>
              <w:rPr>
                <w:rFonts w:ascii="Arial" w:cs="Arial" w:eastAsia="Arial" w:hAnsi="Arial"/>
                <w:sz w:val="17"/>
                <w:szCs w:val="17"/>
                <w:color w:val="auto"/>
              </w:rPr>
              <w:t>4.59%</w:t>
            </w:r>
          </w:p>
        </w:tc>
        <w:tc>
          <w:tcPr>
            <w:tcW w:w="22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3.81%</w:t>
            </w:r>
          </w:p>
        </w:tc>
        <w:tc>
          <w:tcPr>
            <w:tcW w:w="24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4.59%</w:t>
            </w:r>
          </w:p>
        </w:tc>
        <w:tc>
          <w:tcPr>
            <w:tcW w:w="34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3.83%</w:t>
            </w:r>
          </w:p>
        </w:tc>
      </w:tr>
      <w:tr>
        <w:trPr>
          <w:trHeight w:val="220"/>
        </w:trPr>
        <w:tc>
          <w:tcPr>
            <w:tcW w:w="45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Period change (percentage points)</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0.78</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0.33</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0.71</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2.31</w:t>
            </w:r>
          </w:p>
        </w:tc>
      </w:tr>
      <w:tr>
        <w:trPr>
          <w:trHeight w:val="155"/>
        </w:trPr>
        <w:tc>
          <w:tcPr>
            <w:tcW w:w="45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Average 1-month SOFR</w:t>
            </w:r>
          </w:p>
        </w:tc>
        <w:tc>
          <w:tcPr>
            <w:tcW w:w="1480" w:type="dxa"/>
            <w:vAlign w:val="bottom"/>
            <w:shd w:val="clear" w:color="auto" w:fill="CCEEFF"/>
          </w:tcPr>
          <w:p>
            <w:pPr>
              <w:ind w:left="800"/>
              <w:spacing w:after="0"/>
              <w:rPr>
                <w:sz w:val="20"/>
                <w:szCs w:val="20"/>
                <w:color w:val="auto"/>
              </w:rPr>
            </w:pPr>
            <w:r>
              <w:rPr>
                <w:rFonts w:ascii="Arial" w:cs="Arial" w:eastAsia="Arial" w:hAnsi="Arial"/>
                <w:sz w:val="17"/>
                <w:szCs w:val="17"/>
                <w:color w:val="auto"/>
              </w:rPr>
              <w:t>5.29%</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4.99%</w:t>
            </w: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1.19%</w:t>
            </w:r>
          </w:p>
        </w:tc>
      </w:tr>
      <w:tr>
        <w:trPr>
          <w:trHeight w:val="369"/>
        </w:trPr>
        <w:tc>
          <w:tcPr>
            <w:tcW w:w="4580" w:type="dxa"/>
            <w:vAlign w:val="bottom"/>
          </w:tcPr>
          <w:p>
            <w:pPr>
              <w:spacing w:after="0"/>
              <w:rPr>
                <w:sz w:val="20"/>
                <w:szCs w:val="20"/>
                <w:color w:val="auto"/>
              </w:rPr>
            </w:pPr>
            <w:r>
              <w:rPr>
                <w:rFonts w:ascii="Arial" w:cs="Arial" w:eastAsia="Arial" w:hAnsi="Arial"/>
                <w:sz w:val="16"/>
                <w:szCs w:val="16"/>
                <w:color w:val="auto"/>
                <w:w w:val="95"/>
              </w:rPr>
              <w:t>(1)  Source: Freddie Mac PMMS - Primary Mortgage Market Survey</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46"/>
        </w:trPr>
        <w:tc>
          <w:tcPr>
            <w:tcW w:w="4580" w:type="dxa"/>
            <w:vAlign w:val="bottom"/>
          </w:tcPr>
          <w:p>
            <w:pPr>
              <w:spacing w:after="0"/>
              <w:rPr>
                <w:sz w:val="24"/>
                <w:szCs w:val="24"/>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54</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9"/>
        </w:trPr>
        <w:tc>
          <w:tcPr>
            <w:tcW w:w="45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Results of operations for the third quarter of 2023</w:t>
      </w:r>
    </w:p>
    <w:p>
      <w:pPr>
        <w:spacing w:after="0" w:line="115"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income of $8.5 million, or $1.10 per share basic and $1.05 per share diluted</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Servicing and subservicing fee revenue of $237.8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Originations gain on sale of $9.0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$14.5 million MSR valuation gain in Servicing attributable to rate and assumption changes, net of hedging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condition at the end of the third quarter of 2023</w:t>
      </w:r>
    </w:p>
    <w:p>
      <w:pPr>
        <w:spacing w:after="0" w:line="115"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Stockholders’ equity of $445.1 million, or $57.98 book value per common share</w:t>
      </w:r>
    </w:p>
    <w:p>
      <w:pPr>
        <w:spacing w:after="0" w:line="62" w:lineRule="exact"/>
        <w:rPr>
          <w:rFonts w:ascii="Arial" w:cs="Arial" w:eastAsia="Arial" w:hAnsi="Arial"/>
          <w:sz w:val="17"/>
          <w:szCs w:val="17"/>
          <w:b w:val="1"/>
          <w:bCs w:val="1"/>
          <w:color w:val="auto"/>
        </w:rPr>
      </w:pPr>
    </w:p>
    <w:p>
      <w:pPr>
        <w:ind w:left="620" w:right="440" w:hanging="307"/>
        <w:spacing w:after="0" w:line="283"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MSR investment of $2.9 billion, up $194.6 million, with a mostly unchanged average serviced and subserviced UPB as compared with the previous quarter</w:t>
      </w:r>
    </w:p>
    <w:p>
      <w:pPr>
        <w:spacing w:after="0" w:line="4"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Cash position of $194.0 million</w:t>
      </w:r>
    </w:p>
    <w:p>
      <w:pPr>
        <w:spacing w:after="0" w:line="62"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Total assets of $13.0 billion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Initiatives</w:t>
      </w:r>
    </w:p>
    <w:p>
      <w:pPr>
        <w:spacing w:after="0" w:line="121"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We established the following key operating objectives to return to sustainable profitability and drive improved value for shareholders. As our near-term priority remains to return to sustainable profitability, we continue to execute our strategy around these objectives:</w:t>
      </w:r>
    </w:p>
    <w:p>
      <w:pPr>
        <w:spacing w:after="0" w:line="4" w:lineRule="exact"/>
        <w:rPr>
          <w:sz w:val="20"/>
          <w:szCs w:val="20"/>
          <w:color w:val="auto"/>
        </w:rPr>
      </w:pPr>
    </w:p>
    <w:p>
      <w:pPr>
        <w:ind w:left="620" w:right="80" w:hanging="307"/>
        <w:spacing w:after="0" w:line="283"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Leveraging the core strengths of our balanced and diversified business model through a continued focus on servicing and maintaining agility to address a potential recession;</w:t>
      </w:r>
    </w:p>
    <w:p>
      <w:pPr>
        <w:spacing w:after="0" w:line="4" w:lineRule="exact"/>
        <w:rPr>
          <w:rFonts w:ascii="Arial" w:cs="Arial" w:eastAsia="Arial" w:hAnsi="Arial"/>
          <w:sz w:val="17"/>
          <w:szCs w:val="17"/>
          <w:color w:val="auto"/>
        </w:rPr>
      </w:pPr>
    </w:p>
    <w:p>
      <w:pPr>
        <w:ind w:left="620" w:right="420" w:hanging="307"/>
        <w:spacing w:after="0" w:line="283"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Driving prudent growth adapted for the environment, including emphasis on subservicing to drive servicing portfolio UPB growth and expansion of higher margin originations products and clients;</w:t>
      </w:r>
    </w:p>
    <w:p>
      <w:pPr>
        <w:spacing w:after="0" w:line="4" w:lineRule="exact"/>
        <w:rPr>
          <w:rFonts w:ascii="Arial" w:cs="Arial" w:eastAsia="Arial" w:hAnsi="Arial"/>
          <w:sz w:val="17"/>
          <w:szCs w:val="17"/>
          <w:color w:val="auto"/>
        </w:rPr>
      </w:pPr>
    </w:p>
    <w:p>
      <w:pPr>
        <w:ind w:left="620" w:right="780" w:hanging="307"/>
        <w:spacing w:after="0" w:line="283"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Reducing cost structure across the organization to achieve industry cost leadership by maintaining continuous cost improvement discipline and optimizing technology, global operations, and scale;</w:t>
      </w:r>
    </w:p>
    <w:p>
      <w:pPr>
        <w:spacing w:after="0" w:line="4" w:lineRule="exact"/>
        <w:rPr>
          <w:rFonts w:ascii="Arial" w:cs="Arial" w:eastAsia="Arial" w:hAnsi="Arial"/>
          <w:sz w:val="17"/>
          <w:szCs w:val="17"/>
          <w:color w:val="auto"/>
        </w:rPr>
      </w:pPr>
    </w:p>
    <w:p>
      <w:pPr>
        <w:ind w:left="620" w:right="40" w:hanging="307"/>
        <w:spacing w:after="0" w:line="283"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Optimizing liquidity, diversifying capital sources, including leveraging our MSR asset vehicle with Oaktree and expanding our multi-investor partnership model to fund new MSR originations, repositioning for higher rates and allocating capital to deliver value for shareholders.</w:t>
      </w:r>
    </w:p>
    <w:p>
      <w:pPr>
        <w:spacing w:after="0" w:line="4"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Arial" w:cs="Arial" w:eastAsia="Arial" w:hAnsi="Arial"/>
          <w:sz w:val="17"/>
          <w:szCs w:val="17"/>
          <w:color w:val="293849"/>
        </w:rPr>
        <w:t>.</w:t>
      </w:r>
      <w:r>
        <w:rPr>
          <w:rFonts w:ascii="Arial" w:cs="Arial" w:eastAsia="Arial" w:hAnsi="Arial"/>
          <w:sz w:val="17"/>
          <w:szCs w:val="17"/>
          <w:color w:val="auto"/>
        </w:rPr>
        <w:t xml:space="preserve"> We have engaged in such transactions in the past, and we continue to explore opportunities that may be accretive to our business and stockholders’ value.</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and Financial Condition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filed on Form 10-K for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349"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5"/>
        </w:trPr>
        <w:tc>
          <w:tcPr>
            <w:tcW w:w="3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Condensed Results of Operations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w w:val="97"/>
              </w:rPr>
              <w:t>% Change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272.0</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789.4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703.4</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92"/>
              </w:rPr>
              <w:t>12 %</w:t>
            </w:r>
          </w:p>
        </w:tc>
      </w:tr>
      <w:tr>
        <w:trPr>
          <w:trHeight w:val="220"/>
        </w:trPr>
        <w:tc>
          <w:tcPr>
            <w:tcW w:w="3200" w:type="dxa"/>
            <w:vAlign w:val="bottom"/>
          </w:tcPr>
          <w:p>
            <w:pPr>
              <w:ind w:left="120"/>
              <w:spacing w:after="0"/>
              <w:rPr>
                <w:sz w:val="20"/>
                <w:szCs w:val="20"/>
                <w:color w:val="auto"/>
              </w:rPr>
            </w:pPr>
            <w:r>
              <w:rPr>
                <w:rFonts w:ascii="Arial" w:cs="Arial" w:eastAsia="Arial" w:hAnsi="Arial"/>
                <w:sz w:val="17"/>
                <w:szCs w:val="17"/>
                <w:color w:val="auto"/>
              </w:rPr>
              <w:t>MSR valuation adjustments, net</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(48.9)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2"/>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85.4</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(257)</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84.3</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4"/>
              </w:rPr>
              <w:t>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412.8</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(25)</w:t>
            </w:r>
          </w:p>
        </w:tc>
      </w:tr>
      <w:tr>
        <w:trPr>
          <w:trHeight w:val="220"/>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 (expense), net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(122.5)</w:t>
            </w:r>
          </w:p>
        </w:tc>
        <w:tc>
          <w:tcPr>
            <w:tcW w:w="96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96"/>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(359.2)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(272.3)</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32</w:t>
            </w:r>
          </w:p>
        </w:tc>
      </w:tr>
      <w:tr>
        <w:trPr>
          <w:trHeight w:val="213"/>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16.3</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103.7</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(112)</w:t>
            </w:r>
          </w:p>
        </w:tc>
      </w:tr>
      <w:tr>
        <w:trPr>
          <w:trHeight w:val="220"/>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Income tax expense (benefit)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0.9</w:t>
            </w:r>
          </w:p>
        </w:tc>
        <w:tc>
          <w:tcPr>
            <w:tcW w:w="96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4"/>
              </w:rPr>
              <w:t>16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(1.6)</w:t>
            </w:r>
          </w:p>
        </w:tc>
        <w:tc>
          <w:tcPr>
            <w:tcW w:w="11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(331)</w:t>
            </w:r>
          </w:p>
        </w:tc>
      </w:tr>
      <w:tr>
        <w:trPr>
          <w:trHeight w:val="212"/>
        </w:trPr>
        <w:tc>
          <w:tcPr>
            <w:tcW w:w="3200" w:type="dxa"/>
            <w:vAlign w:val="bottom"/>
            <w:tcBorders>
              <w:bottom w:val="single" w:sz="8" w:color="CCEEFF"/>
            </w:tcBorders>
            <w:shd w:val="clear" w:color="auto" w:fill="CCEEFF"/>
          </w:tcPr>
          <w:p>
            <w:pPr>
              <w:ind w:left="240"/>
              <w:spacing w:after="0" w:line="187" w:lineRule="exact"/>
              <w:rPr>
                <w:sz w:val="20"/>
                <w:szCs w:val="20"/>
                <w:color w:val="auto"/>
              </w:rPr>
            </w:pPr>
            <w:r>
              <w:rPr>
                <w:rFonts w:ascii="Arial" w:cs="Arial" w:eastAsia="Arial" w:hAnsi="Arial"/>
                <w:sz w:val="17"/>
                <w:szCs w:val="17"/>
                <w:b w:val="1"/>
                <w:bCs w:val="1"/>
                <w:color w:val="auto"/>
              </w:rPr>
              <w:t>Net income (loss)</w:t>
            </w: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8.5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15.5</w:t>
            </w:r>
          </w:p>
        </w:tc>
        <w:tc>
          <w:tcPr>
            <w:tcW w:w="960" w:type="dxa"/>
            <w:vAlign w:val="bottom"/>
            <w:tcBorders>
              <w:bottom w:val="single" w:sz="8" w:color="CCEEFF"/>
            </w:tcBorders>
            <w:gridSpan w:val="2"/>
            <w:shd w:val="clear" w:color="auto" w:fill="CCEEFF"/>
          </w:tcPr>
          <w:p>
            <w:pPr>
              <w:jc w:val="center"/>
              <w:spacing w:after="0" w:line="187" w:lineRule="exact"/>
              <w:rPr>
                <w:sz w:val="20"/>
                <w:szCs w:val="20"/>
                <w:color w:val="auto"/>
              </w:rPr>
            </w:pPr>
            <w:r>
              <w:rPr>
                <w:rFonts w:ascii="Arial" w:cs="Arial" w:eastAsia="Arial" w:hAnsi="Arial"/>
                <w:sz w:val="17"/>
                <w:szCs w:val="17"/>
                <w:color w:val="auto"/>
                <w:w w:val="96"/>
              </w:rPr>
              <w:t>(45)%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(16.2)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line="187" w:lineRule="exact"/>
              <w:rPr>
                <w:sz w:val="20"/>
                <w:szCs w:val="20"/>
                <w:color w:val="auto"/>
              </w:rPr>
            </w:pPr>
            <w:r>
              <w:rPr>
                <w:rFonts w:ascii="Arial" w:cs="Arial" w:eastAsia="Arial" w:hAnsi="Arial"/>
                <w:sz w:val="17"/>
                <w:szCs w:val="17"/>
                <w:color w:val="auto"/>
              </w:rPr>
              <w:t>105.4</w:t>
            </w:r>
          </w:p>
        </w:tc>
        <w:tc>
          <w:tcPr>
            <w:tcW w:w="1100" w:type="dxa"/>
            <w:vAlign w:val="bottom"/>
            <w:tcBorders>
              <w:bottom w:val="single" w:sz="8" w:color="CCEEFF"/>
            </w:tcBorders>
            <w:gridSpan w:val="2"/>
            <w:shd w:val="clear" w:color="auto" w:fill="CCEEFF"/>
          </w:tcPr>
          <w:p>
            <w:pPr>
              <w:jc w:val="right"/>
              <w:spacing w:after="0" w:line="187" w:lineRule="exact"/>
              <w:rPr>
                <w:sz w:val="20"/>
                <w:szCs w:val="20"/>
                <w:color w:val="auto"/>
              </w:rPr>
            </w:pPr>
            <w:r>
              <w:rPr>
                <w:rFonts w:ascii="Arial" w:cs="Arial" w:eastAsia="Arial" w:hAnsi="Arial"/>
                <w:sz w:val="17"/>
                <w:szCs w:val="17"/>
                <w:color w:val="auto"/>
              </w:rPr>
              <w:t>(116)%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88"/>
              </w:rPr>
              <w:t>Segment income (loss) before income taxes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20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7.1</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1"/>
              </w:rPr>
              <w:t>310%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172.3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(86)%</w:t>
            </w: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Originations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w:t>
            </w:r>
          </w:p>
        </w:tc>
        <w:tc>
          <w:tcPr>
            <w:tcW w:w="960" w:type="dxa"/>
            <w:vAlign w:val="bottom"/>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5"/>
              </w:rPr>
              <w:t>(238)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4.8</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(145)</w:t>
            </w:r>
          </w:p>
        </w:tc>
      </w:tr>
      <w:tr>
        <w:trPr>
          <w:trHeight w:val="220"/>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Items and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10.5</w:t>
            </w:r>
          </w:p>
        </w:tc>
        <w:tc>
          <w:tcPr>
            <w:tcW w:w="960" w:type="dxa"/>
            <w:vAlign w:val="bottom"/>
            <w:tcBorders>
              <w:bottom w:val="single" w:sz="8" w:color="CCEEFF"/>
            </w:tcBorders>
            <w:gridSpan w:val="2"/>
          </w:tcPr>
          <w:p>
            <w:pPr>
              <w:jc w:val="center"/>
              <w:ind w:left="14"/>
              <w:spacing w:after="0"/>
              <w:rPr>
                <w:sz w:val="20"/>
                <w:szCs w:val="20"/>
                <w:color w:val="auto"/>
              </w:rPr>
            </w:pPr>
            <w:r>
              <w:rPr>
                <w:rFonts w:ascii="Arial" w:cs="Arial" w:eastAsia="Arial" w:hAnsi="Arial"/>
                <w:sz w:val="17"/>
                <w:szCs w:val="17"/>
                <w:color w:val="auto"/>
                <w:w w:val="95"/>
              </w:rPr>
              <w:t>(305)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(73.4)</w:t>
            </w:r>
          </w:p>
        </w:tc>
        <w:tc>
          <w:tcPr>
            <w:tcW w:w="11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(54)</w:t>
            </w:r>
          </w:p>
        </w:tc>
      </w:tr>
      <w:tr>
        <w:trPr>
          <w:trHeight w:val="238"/>
        </w:trPr>
        <w:tc>
          <w:tcPr>
            <w:tcW w:w="3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16.3</w:t>
            </w:r>
          </w:p>
        </w:tc>
        <w:tc>
          <w:tcPr>
            <w:tcW w:w="9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6"/>
              </w:rPr>
              <w:t>(42)%</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103.7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ind w:right="180"/>
        <w:spacing w:after="0" w:line="283" w:lineRule="auto"/>
        <w:rPr>
          <w:sz w:val="20"/>
          <w:szCs w:val="20"/>
          <w:color w:val="auto"/>
        </w:rPr>
      </w:pPr>
      <w:r>
        <w:rPr>
          <w:rFonts w:ascii="Arial" w:cs="Arial" w:eastAsia="Arial" w:hAnsi="Arial"/>
          <w:sz w:val="17"/>
          <w:szCs w:val="17"/>
          <w:color w:val="auto"/>
        </w:rPr>
        <w:t>Ocwen reported $8.5 million net income in the third quarter of 2023, a decline of $7.0 million as compared to the $15.5 million net income in the second quarter of 2023, mostly driven by the following:</w:t>
      </w:r>
    </w:p>
    <w:p>
      <w:pPr>
        <w:spacing w:after="0" w:line="4" w:lineRule="exact"/>
        <w:rPr>
          <w:sz w:val="20"/>
          <w:szCs w:val="20"/>
          <w:color w:val="auto"/>
        </w:rPr>
      </w:pPr>
    </w:p>
    <w:p>
      <w:pPr>
        <w:ind w:left="320" w:right="1060" w:hanging="317"/>
        <w:spacing w:after="0" w:line="283" w:lineRule="auto"/>
        <w:tabs>
          <w:tab w:leader="none" w:pos="32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7"/>
          <w:szCs w:val="17"/>
          <w:color w:val="auto"/>
        </w:rPr>
        <w:t>A $16.5 million decrease in revenue, primarily due to the $15.7 million gains recognized in the second quarter of 2023 on reverse loan buyouts opportunistically acquired at a discount.</w:t>
      </w:r>
    </w:p>
    <w:p>
      <w:pPr>
        <w:spacing w:after="0" w:line="4" w:lineRule="exact"/>
        <w:rPr>
          <w:rFonts w:ascii="Arial" w:cs="Arial" w:eastAsia="Arial" w:hAnsi="Arial"/>
          <w:sz w:val="16"/>
          <w:szCs w:val="16"/>
          <w:b w:val="1"/>
          <w:bCs w:val="1"/>
          <w:i w:val="1"/>
          <w:iCs w:val="1"/>
          <w:color w:val="auto"/>
        </w:rPr>
      </w:pPr>
    </w:p>
    <w:p>
      <w:pPr>
        <w:ind w:left="320" w:right="320" w:hanging="317"/>
        <w:spacing w:after="0" w:line="283" w:lineRule="auto"/>
        <w:tabs>
          <w:tab w:leader="none" w:pos="32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7"/>
          <w:szCs w:val="17"/>
          <w:color w:val="auto"/>
        </w:rPr>
        <w:t>A $32.5 million lower loss on MSR valuation adjustments, net primarily due to favorable rate and assumption updates, net of hedging, mostly driven by a higher increase in market interest rates in the current quarter vs. the prior quarter and a lower hedge coverage ratio.</w:t>
      </w:r>
    </w:p>
    <w:p>
      <w:pPr>
        <w:spacing w:after="0" w:line="4" w:lineRule="exact"/>
        <w:rPr>
          <w:rFonts w:ascii="Arial" w:cs="Arial" w:eastAsia="Arial" w:hAnsi="Arial"/>
          <w:sz w:val="16"/>
          <w:szCs w:val="16"/>
          <w:b w:val="1"/>
          <w:bCs w:val="1"/>
          <w:i w:val="1"/>
          <w:iCs w:val="1"/>
          <w:color w:val="auto"/>
        </w:rPr>
      </w:pPr>
    </w:p>
    <w:p>
      <w:pPr>
        <w:ind w:left="320" w:right="160" w:hanging="317"/>
        <w:spacing w:after="0" w:line="293" w:lineRule="auto"/>
        <w:tabs>
          <w:tab w:leader="none" w:pos="32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7"/>
          <w:szCs w:val="17"/>
          <w:color w:val="auto"/>
        </w:rPr>
        <w:t>A $25.7 million increase in operating expenses, primarily due to the reversal of our accrual related to the CFPB matter resolved during the second quarter of 2023 partially offset by lower Servicing expense in the third quarter of 2023.</w:t>
      </w:r>
    </w:p>
    <w:p>
      <w:pPr>
        <w:ind w:left="320" w:right="360" w:hanging="317"/>
        <w:spacing w:after="0" w:line="283" w:lineRule="auto"/>
        <w:tabs>
          <w:tab w:leader="none" w:pos="320"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7"/>
          <w:szCs w:val="17"/>
          <w:color w:val="auto"/>
        </w:rPr>
        <w:t>A $2.8 million decrease in Other income (expense), net, including a $1.2 million gain on extinguishment of the $13.9 million PMC Senior Secured Notes repurchased in the third quarter of 2023.</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below table presents revenue by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231.3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248.5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594.3</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w w:val="92"/>
              </w:rPr>
              <w:t>22 %</w:t>
            </w: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Originations</w:t>
            </w: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Arial" w:cs="Arial" w:eastAsia="Arial" w:hAnsi="Arial"/>
                <w:sz w:val="17"/>
                <w:szCs w:val="17"/>
                <w:color w:val="auto"/>
              </w:rPr>
              <w:t>19.3</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55.2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119.6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(54)</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4.2</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89</w:t>
            </w:r>
          </w:p>
        </w:tc>
      </w:tr>
      <w:tr>
        <w:trPr>
          <w:trHeight w:val="213"/>
        </w:trPr>
        <w:tc>
          <w:tcPr>
            <w:tcW w:w="3140" w:type="dxa"/>
            <w:vAlign w:val="bottom"/>
          </w:tcPr>
          <w:p>
            <w:pPr>
              <w:ind w:left="240"/>
              <w:spacing w:after="0"/>
              <w:rPr>
                <w:sz w:val="20"/>
                <w:szCs w:val="20"/>
                <w:color w:val="auto"/>
              </w:rPr>
            </w:pPr>
            <w:r>
              <w:rPr>
                <w:rFonts w:ascii="Arial" w:cs="Arial" w:eastAsia="Arial" w:hAnsi="Arial"/>
                <w:sz w:val="17"/>
                <w:szCs w:val="17"/>
                <w:color w:val="auto"/>
              </w:rPr>
              <w:t>Total segment revenue (1)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255.5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272.0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789.4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718.8</w:t>
            </w:r>
          </w:p>
        </w:tc>
        <w:tc>
          <w:tcPr>
            <w:tcW w:w="1080" w:type="dxa"/>
            <w:vAlign w:val="bottom"/>
            <w:gridSpan w:val="2"/>
          </w:tcPr>
          <w:p>
            <w:pPr>
              <w:ind w:left="700"/>
              <w:spacing w:after="0"/>
              <w:rPr>
                <w:sz w:val="20"/>
                <w:szCs w:val="20"/>
                <w:color w:val="auto"/>
              </w:rPr>
            </w:pPr>
            <w:r>
              <w:rPr>
                <w:rFonts w:ascii="Arial" w:cs="Arial" w:eastAsia="Arial" w:hAnsi="Arial"/>
                <w:sz w:val="17"/>
                <w:szCs w:val="17"/>
                <w:color w:val="auto"/>
                <w:w w:val="92"/>
              </w:rPr>
              <w:t>10 %</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Refer to Note 17 – Business Segment Reporting. for a reconciliation to Total revenue for the nine months ended September 30, 2022.</w:t>
      </w:r>
    </w:p>
    <w:p>
      <w:pPr>
        <w:spacing w:after="0" w:line="96"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Total segment revenue for the three months ended September 30, 2023 decreased $16.5 million, or 6% as compared to the three months ended June 30, 2023, mostly due to a $17.2 million decrease in Servicing revenue and a $1.7 million increase in Originations revenue.</w:t>
      </w:r>
    </w:p>
    <w:p>
      <w:pPr>
        <w:spacing w:after="0" w:line="56" w:lineRule="exact"/>
        <w:rPr>
          <w:sz w:val="20"/>
          <w:szCs w:val="20"/>
          <w:color w:val="auto"/>
        </w:rPr>
      </w:pPr>
    </w:p>
    <w:p>
      <w:pPr>
        <w:ind w:left="620" w:right="1200" w:hanging="307"/>
        <w:spacing w:after="0" w:line="283" w:lineRule="auto"/>
        <w:tabs>
          <w:tab w:leader="none" w:pos="616"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color w:val="auto"/>
        </w:rPr>
        <w:t>The decrease in Servicing revenue is mostly due to $15.7 million gains recognized in the second quarter of 2023 on reverse loan buyouts opportunistically acquired at a discount.</w:t>
      </w:r>
    </w:p>
    <w:p>
      <w:pPr>
        <w:spacing w:after="0" w:line="55" w:lineRule="exact"/>
        <w:rPr>
          <w:rFonts w:ascii="Arial" w:cs="Arial" w:eastAsia="Arial" w:hAnsi="Arial"/>
          <w:sz w:val="17"/>
          <w:szCs w:val="17"/>
          <w:b w:val="1"/>
          <w:bCs w:val="1"/>
          <w:i w:val="1"/>
          <w:iCs w:val="1"/>
          <w:color w:val="auto"/>
        </w:rPr>
      </w:pPr>
    </w:p>
    <w:p>
      <w:pPr>
        <w:ind w:left="620" w:hanging="307"/>
        <w:spacing w:after="0"/>
        <w:tabs>
          <w:tab w:leader="none" w:pos="620" w:val="left"/>
        </w:tabs>
        <w:numPr>
          <w:ilvl w:val="0"/>
          <w:numId w:val="42"/>
        </w:numPr>
        <w:rPr>
          <w:rFonts w:ascii="Arial" w:cs="Arial" w:eastAsia="Arial" w:hAnsi="Arial"/>
          <w:sz w:val="15"/>
          <w:szCs w:val="15"/>
          <w:b w:val="1"/>
          <w:bCs w:val="1"/>
          <w:i w:val="1"/>
          <w:iCs w:val="1"/>
          <w:color w:val="auto"/>
        </w:rPr>
      </w:pPr>
      <w:r>
        <w:rPr>
          <w:rFonts w:ascii="Arial" w:cs="Arial" w:eastAsia="Arial" w:hAnsi="Arial"/>
          <w:sz w:val="16"/>
          <w:szCs w:val="16"/>
          <w:color w:val="auto"/>
        </w:rPr>
        <w:t>The increase in Originations revenue is mostly driven by a $1.5 million increase in correspondent and broker fees with higher origination volume.</w:t>
      </w:r>
    </w:p>
    <w:p>
      <w:pPr>
        <w:spacing w:after="0" w:line="139"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color w:val="auto"/>
        </w:rPr>
        <w:t>As compared to the nine months ended September 30, 2022, total segment revenue for the nine months ended September 30, 2023 was $70.6 million or 10% higher, primarily due to a $130.6 million increase in Servicing revenue offset by a $64.4 million decrease in Originations revenue.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58" w:name="page59"/>
    <w:bookmarkEnd w:id="58"/>
    <w:p>
      <w:pPr>
        <w:ind w:left="620" w:hanging="307"/>
        <w:spacing w:after="0" w:line="261" w:lineRule="auto"/>
        <w:tabs>
          <w:tab w:leader="none" w:pos="616"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color w:val="auto"/>
        </w:rPr>
        <w:t>The increase in Servicing revenue is mostly due to a $67.6 million increase in float earnings due to higher interest rates, $38.4 million increase in unrealized fair value gains on the reverse loans held for investment and HMBS-related borrowings, net attributable to less significant market rate increase and yield spread tightening in the current period as compared to the same period of the prior year, $15.7 million total gains on reverse loan buyouts opportunistically acquired at a discount in June 2023, and an $8.8 million loss reported in the second quarter of 2022 on certain delinquent and aged loans repurchased in connection with the Ginnie Mae EBO program.</w:t>
      </w:r>
    </w:p>
    <w:p>
      <w:pPr>
        <w:spacing w:after="0" w:line="74" w:lineRule="exact"/>
        <w:rPr>
          <w:rFonts w:ascii="Arial" w:cs="Arial" w:eastAsia="Arial" w:hAnsi="Arial"/>
          <w:sz w:val="17"/>
          <w:szCs w:val="17"/>
          <w:b w:val="1"/>
          <w:bCs w:val="1"/>
          <w:i w:val="1"/>
          <w:iCs w:val="1"/>
          <w:color w:val="auto"/>
        </w:rPr>
      </w:pPr>
    </w:p>
    <w:p>
      <w:pPr>
        <w:ind w:left="620" w:right="380" w:hanging="307"/>
        <w:spacing w:after="0" w:line="263" w:lineRule="auto"/>
        <w:tabs>
          <w:tab w:leader="none" w:pos="616" w:val="left"/>
        </w:tabs>
        <w:numPr>
          <w:ilvl w:val="0"/>
          <w:numId w:val="43"/>
        </w:numPr>
        <w:rPr>
          <w:rFonts w:ascii="Arial" w:cs="Arial" w:eastAsia="Arial" w:hAnsi="Arial"/>
          <w:sz w:val="17"/>
          <w:szCs w:val="17"/>
          <w:b w:val="1"/>
          <w:bCs w:val="1"/>
          <w:i w:val="1"/>
          <w:iCs w:val="1"/>
          <w:color w:val="auto"/>
        </w:rPr>
      </w:pPr>
      <w:r>
        <w:rPr>
          <w:rFonts w:ascii="Arial" w:cs="Arial" w:eastAsia="Arial" w:hAnsi="Arial"/>
          <w:sz w:val="17"/>
          <w:szCs w:val="17"/>
          <w:color w:val="auto"/>
        </w:rPr>
        <w:t>The decrease in Originations revenue is primarily driven by a decline in volume in our different channels due to drastic interest rate increases. Our reverse channels reported a $34.2 million decrease in gains with a 60% decline in volume, our forward channels reported a $22.8 million decrease in gains on sale, driven by lower recapture volume offset in part by higher margin, and a $7.4 million decrease in fees primarily due to the decline in volume.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MSR Valuation Adjustments, Net</w:t>
      </w:r>
    </w:p>
    <w:p>
      <w:pPr>
        <w:spacing w:after="0" w:line="115"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Refer to the Servicing and Originations segments for a discussion and analysis of MSR valuation adjustments, net and Note 17 – Business Segment Reporting for a reconciliation to the segments.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40" w:type="dxa"/>
            <w:vAlign w:val="bottom"/>
          </w:tcPr>
          <w:p>
            <w:pPr>
              <w:spacing w:after="0"/>
              <w:rPr>
                <w:sz w:val="20"/>
                <w:szCs w:val="20"/>
                <w:color w:val="auto"/>
              </w:rPr>
            </w:pPr>
            <w:r>
              <w:rPr>
                <w:rFonts w:ascii="Arial" w:cs="Arial" w:eastAsia="Arial" w:hAnsi="Arial"/>
                <w:sz w:val="17"/>
                <w:szCs w:val="17"/>
                <w:b w:val="1"/>
                <w:bCs w:val="1"/>
                <w:i w:val="1"/>
                <w:i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Servicing and origination</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52.3</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(7)</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38.0</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(74)</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(25)</w:t>
            </w:r>
          </w:p>
        </w:tc>
      </w:tr>
      <w:tr>
        <w:trPr>
          <w:trHeight w:val="220"/>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10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(37)</w:t>
            </w:r>
          </w:p>
        </w:tc>
      </w:tr>
      <w:tr>
        <w:trPr>
          <w:trHeight w:val="238"/>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operating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7"/>
                <w:szCs w:val="17"/>
                <w:color w:val="auto"/>
                <w:w w:val="92"/>
              </w:rPr>
              <w:t>30 %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204"/>
        </w:trPr>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headcount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bl>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Compensation and benefits expense for the three months ended September 30, 2023 decreased $2.0 million, as compared to the three months ended June 30, 2023, mostly due to a decrease in the fair value of cash-settled share-based awards in the quarter following the decline of our common stock price, as compared to an increase in the prior quarter.</w:t>
      </w:r>
    </w:p>
    <w:p>
      <w:pPr>
        <w:spacing w:after="0" w:line="69"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As compared to the nine months ended September 30, 2022, Compensation and benefits expense for the nine months ended September 30, 2023 decreased $51.8 million, or 23% largely due to a $41.3 million decrease in salaries and benefits. Our total average headcount declined 16% (including a 37% decline in total average U.S. based headcount), driven by a 54% decline in Originations average headcount as part of our efforts to right size resources to market opportunities, and a 27% reduction in our average U.S. based Servicing headcount, reflecting our goal to improve efficiencies and create an industry leading cost structure. Severance expense decreased by $8.5 million. In addition, commissions decreased by $9.8 million due to lower production volume and headcount in our Originations segment. Offsetting in part was a $10.3 million increase in incentive compensation primarily due to an increase in expense for cash-settled share-based awards driven by the increase in our common stock price, new awards, and lower expense recognized in the first quarter of 2022 due to forfeitures.</w:t>
      </w:r>
    </w:p>
    <w:p>
      <w:pPr>
        <w:spacing w:after="0" w:line="51"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Servicing and origination expense for the three months ended September 30, 2023 decreased $2.1 million, as compared to the three months ended June 30, 2023, mostly due to a decrease in Servicing expense. Refer to the Servicing segment discussion.</w:t>
      </w:r>
    </w:p>
    <w:p>
      <w:pPr>
        <w:spacing w:after="0" w:line="56" w:lineRule="exact"/>
        <w:rPr>
          <w:sz w:val="20"/>
          <w:szCs w:val="20"/>
          <w:color w:val="auto"/>
        </w:rPr>
      </w:pPr>
    </w:p>
    <w:p>
      <w:pPr>
        <w:jc w:val="both"/>
        <w:ind w:right="320"/>
        <w:spacing w:after="0" w:line="353" w:lineRule="auto"/>
        <w:rPr>
          <w:sz w:val="20"/>
          <w:szCs w:val="20"/>
          <w:color w:val="auto"/>
        </w:rPr>
      </w:pPr>
      <w:r>
        <w:rPr>
          <w:rFonts w:ascii="Arial" w:cs="Arial" w:eastAsia="Arial" w:hAnsi="Arial"/>
          <w:sz w:val="15"/>
          <w:szCs w:val="15"/>
          <w:color w:val="auto"/>
        </w:rPr>
        <w:t>As compared to the nine months ended September 30, 2022, Servicing and origination expense for the nine months ended September 30, 2023 decreased $3.5 million, with a reduction in Origination expense partially offset by an increase in our CR Limited (CRL) claim loss reserve reported in the Corporate segment.</w:t>
      </w:r>
    </w:p>
    <w:p>
      <w:pPr>
        <w:spacing w:after="0" w:line="9"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Professional services expense for the three months ended September 30, 2023 increased $30.4 million, as compared to the three months ended June 30, 2023, primarily due to the reversal of our accrual related to the CFPB matter resolved during the second quarter.</w:t>
      </w:r>
    </w:p>
    <w:p>
      <w:pPr>
        <w:spacing w:after="0" w:line="56" w:lineRule="exact"/>
        <w:rPr>
          <w:sz w:val="20"/>
          <w:szCs w:val="20"/>
          <w:color w:val="auto"/>
        </w:rPr>
      </w:pPr>
    </w:p>
    <w:p>
      <w:pPr>
        <w:ind w:right="580"/>
        <w:spacing w:after="0" w:line="283" w:lineRule="auto"/>
        <w:rPr>
          <w:sz w:val="20"/>
          <w:szCs w:val="20"/>
          <w:color w:val="auto"/>
        </w:rPr>
      </w:pPr>
      <w:r>
        <w:rPr>
          <w:rFonts w:ascii="Arial" w:cs="Arial" w:eastAsia="Arial" w:hAnsi="Arial"/>
          <w:sz w:val="17"/>
          <w:szCs w:val="17"/>
          <w:color w:val="auto"/>
        </w:rPr>
        <w:t>As compared to the nine months ended September 30, 2022, Professional services expense for the nine months ended September 30, 2023 decreased $28.2 million. The expense decrease is primarily due to the reversal of our accrual related to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59" w:name="page60"/>
    <w:bookmarkEnd w:id="59"/>
    <w:p>
      <w:pPr>
        <w:jc w:val="both"/>
        <w:ind w:right="40"/>
        <w:spacing w:after="0" w:line="292" w:lineRule="auto"/>
        <w:rPr>
          <w:sz w:val="20"/>
          <w:szCs w:val="20"/>
          <w:color w:val="auto"/>
        </w:rPr>
      </w:pPr>
      <w:r>
        <w:rPr>
          <w:rFonts w:ascii="Arial" w:cs="Arial" w:eastAsia="Arial" w:hAnsi="Arial"/>
          <w:sz w:val="16"/>
          <w:szCs w:val="16"/>
          <w:color w:val="auto"/>
        </w:rPr>
        <w:t>CFPB matter resolved during the second quarter of 2023, a reduction in expenses related to other legal matters and a decrease in other professional fees driven by our cost saving initiatives including the reduction of outsourced resources and insurance cost. These decreases in expense were partially offset by lower recoveries of prior year expenses in the nine months ended September 30, 2023 vs. the nine months ended September 30, 2022.</w:t>
      </w:r>
    </w:p>
    <w:p>
      <w:pPr>
        <w:spacing w:after="0" w:line="39"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color w:val="auto"/>
        </w:rPr>
        <w:t>Technology and communications expense for the three months ended September 30, 2023 was mostly flat as compared to the three months ended June 30, 2023. As compared to the nine months ended September 30, 2022, Technology and communication expense for the nine months ended September 30, 2023 decreased $4.5 million mainly due to lower Originations volume, reduced headcount and cost reduction initiatives.</w:t>
      </w:r>
    </w:p>
    <w:p>
      <w:pPr>
        <w:spacing w:after="0" w:line="69"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Occupancy and equipment expense was unchanged for the three months ended September 30, 2023 as compared to the three months ended June 30, 2023 and declined $7.9 million for the nine months ended September 30, 2023 as compared to the nine months ended September 30, 2022. The expense reduction was primarily due to our exit or downsize of certain leased office facilities in the second half of 2022, including our exit from our New Jersey leased office facility, and lower mailing costs in our Originations segment due to lower production volumes.</w:t>
      </w:r>
    </w:p>
    <w:p>
      <w:pPr>
        <w:spacing w:after="0" w:line="61"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Other expenses for the three months ended September 30, 2023 remained mostly flat as compared to the three months ended June 30, 2023. As compared to the nine months ended September 30, 2022, Other expenses for the nine months ended September 30, 2023 decreased $8.5 million mainly due to a $4.7 million decrease in advertising expense in our Originations segment due to lower production volumes and a $1.9 million decline in bank charges due to higher earnings credits as a result of higher interest rates.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2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(Loss)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40" w:type="dxa"/>
            <w:vAlign w:val="bottom"/>
          </w:tcPr>
          <w:p>
            <w:pPr>
              <w:jc w:val="right"/>
              <w:ind w:right="29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w w:val="95"/>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92"/>
              </w:rPr>
              <w:t>51 %</w:t>
            </w:r>
          </w:p>
        </w:tc>
      </w:tr>
      <w:tr>
        <w:trPr>
          <w:trHeight w:val="220"/>
        </w:trPr>
        <w:tc>
          <w:tcPr>
            <w:tcW w:w="3120" w:type="dxa"/>
            <w:vAlign w:val="bottom"/>
          </w:tcPr>
          <w:p>
            <w:pPr>
              <w:ind w:left="20"/>
              <w:spacing w:after="0"/>
              <w:rPr>
                <w:sz w:val="20"/>
                <w:szCs w:val="20"/>
                <w:color w:val="auto"/>
              </w:rPr>
            </w:pPr>
            <w:r>
              <w:rPr>
                <w:rFonts w:ascii="Arial" w:cs="Arial" w:eastAsia="Arial" w:hAnsi="Arial"/>
                <w:sz w:val="17"/>
                <w:szCs w:val="17"/>
                <w:color w:val="auto"/>
              </w:rPr>
              <w:t>Pledged MSR liability expense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(73.0)</w:t>
            </w:r>
          </w:p>
        </w:tc>
        <w:tc>
          <w:tcPr>
            <w:tcW w:w="1100" w:type="dxa"/>
            <w:vAlign w:val="bottom"/>
            <w:gridSpan w:val="2"/>
          </w:tcPr>
          <w:p>
            <w:pPr>
              <w:ind w:left="80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(188.3)</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17</w:t>
            </w: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extinguishment of debt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n/m</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29</w:t>
            </w:r>
          </w:p>
        </w:tc>
      </w:tr>
      <w:tr>
        <w:trPr>
          <w:trHeight w:val="220"/>
        </w:trPr>
        <w:tc>
          <w:tcPr>
            <w:tcW w:w="3120" w:type="dxa"/>
            <w:vAlign w:val="bottom"/>
          </w:tcPr>
          <w:p>
            <w:pPr>
              <w:ind w:left="20"/>
              <w:spacing w:after="0"/>
              <w:rPr>
                <w:sz w:val="20"/>
                <w:szCs w:val="20"/>
                <w:color w:val="auto"/>
              </w:rPr>
            </w:pPr>
            <w:r>
              <w:rPr>
                <w:rFonts w:ascii="Arial" w:cs="Arial" w:eastAsia="Arial" w:hAnsi="Arial"/>
                <w:sz w:val="17"/>
                <w:szCs w:val="17"/>
                <w:color w:val="auto"/>
              </w:rPr>
              <w:t>Earnings of equity method investee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19.3</w:t>
            </w:r>
          </w:p>
        </w:tc>
        <w:tc>
          <w:tcPr>
            <w:tcW w:w="1100" w:type="dxa"/>
            <w:vAlign w:val="bottom"/>
            <w:gridSpan w:val="2"/>
          </w:tcPr>
          <w:p>
            <w:pPr>
              <w:jc w:val="right"/>
              <w:ind w:right="74"/>
              <w:spacing w:after="0"/>
              <w:rPr>
                <w:sz w:val="20"/>
                <w:szCs w:val="20"/>
                <w:color w:val="auto"/>
              </w:rPr>
            </w:pPr>
            <w:r>
              <w:rPr>
                <w:rFonts w:ascii="Arial" w:cs="Arial" w:eastAsia="Arial" w:hAnsi="Arial"/>
                <w:sz w:val="17"/>
                <w:szCs w:val="17"/>
                <w:color w:val="auto"/>
              </w:rPr>
              <w:t>(69)</w:t>
            </w:r>
          </w:p>
        </w:tc>
      </w:tr>
      <w:tr>
        <w:trPr>
          <w:trHeight w:val="220"/>
        </w:trPr>
        <w:tc>
          <w:tcPr>
            <w:tcW w:w="3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1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(78)</w:t>
            </w:r>
          </w:p>
        </w:tc>
      </w:tr>
      <w:tr>
        <w:trPr>
          <w:trHeight w:val="213"/>
        </w:trPr>
        <w:tc>
          <w:tcPr>
            <w:tcW w:w="3120" w:type="dxa"/>
            <w:vAlign w:val="bottom"/>
          </w:tcPr>
          <w:p>
            <w:pPr>
              <w:ind w:left="180"/>
              <w:spacing w:after="0"/>
              <w:rPr>
                <w:sz w:val="20"/>
                <w:szCs w:val="20"/>
                <w:color w:val="auto"/>
              </w:rPr>
            </w:pPr>
            <w:r>
              <w:rPr>
                <w:rFonts w:ascii="Arial" w:cs="Arial" w:eastAsia="Arial" w:hAnsi="Arial"/>
                <w:sz w:val="17"/>
                <w:szCs w:val="17"/>
                <w:b w:val="1"/>
                <w:bCs w:val="1"/>
                <w:color w:val="auto"/>
              </w:rPr>
              <w:t>Other income (expense),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(272.3)</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w w:val="92"/>
              </w:rPr>
              <w:t>32 %</w:t>
            </w:r>
          </w:p>
        </w:tc>
      </w:tr>
      <w:tr>
        <w:trPr>
          <w:trHeight w:val="20"/>
        </w:trPr>
        <w:tc>
          <w:tcPr>
            <w:tcW w:w="3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56"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Net interest expense for three months ended September 30, 2023 remained flat as compared to the three months ended June 30, 2023, with higher interest income due to a higher loan balance largely offset by higher interest expense to finance such loan balance increase.</w:t>
      </w:r>
    </w:p>
    <w:p>
      <w:pPr>
        <w:spacing w:after="0" w:line="5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As compared to the nine months ended September 30, 2022, Net interest expense for the nine months ended September 30, 2023 increased $49.1 million, primarily due to higher cost of funds of our servicing asset-backed financing facilities driven by a more than 300 basis points increase in market interest rates, and the repayment of a lower cost servicing advance facility during the third quarter of 2022.</w:t>
      </w:r>
    </w:p>
    <w:p>
      <w:pPr>
        <w:spacing w:after="0" w:line="69" w:lineRule="exact"/>
        <w:rPr>
          <w:sz w:val="20"/>
          <w:szCs w:val="20"/>
          <w:color w:val="auto"/>
        </w:rPr>
      </w:pPr>
    </w:p>
    <w:p>
      <w:pPr>
        <w:jc w:val="both"/>
        <w:ind w:right="100"/>
        <w:spacing w:after="0" w:line="320" w:lineRule="auto"/>
        <w:rPr>
          <w:sz w:val="20"/>
          <w:szCs w:val="20"/>
          <w:color w:val="auto"/>
        </w:rPr>
      </w:pPr>
      <w:r>
        <w:rPr>
          <w:rFonts w:ascii="Arial" w:cs="Arial" w:eastAsia="Arial" w:hAnsi="Arial"/>
          <w:sz w:val="15"/>
          <w:szCs w:val="15"/>
          <w:color w:val="auto"/>
        </w:rPr>
        <w:t>Other, net expense for the three months ended September 30, 2023 decreased $5.7 million, as compared to the three months ended June 30, 2023, largely due to a decrease in early payoff protection expense in connection with our MSR sale transactions. As compared to the nine months ended September 30, 2022, Other, net expense for the nine months ended September 30, 2023 decreased $6.8 million driven by a decrease in early payoff protection expense, among other factors.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Refer to Servicing segment for discussion and analysis of Pledged MSR liability expense and Earnings of equity method investee.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9"/>
        </w:trPr>
        <w:tc>
          <w:tcPr>
            <w:tcW w:w="2820" w:type="dxa"/>
            <w:vAlign w:val="bottom"/>
          </w:tcPr>
          <w:p>
            <w:pPr>
              <w:spacing w:after="0"/>
              <w:rPr>
                <w:sz w:val="20"/>
                <w:szCs w:val="20"/>
                <w:color w:val="auto"/>
              </w:rPr>
            </w:pPr>
            <w:r>
              <w:rPr>
                <w:rFonts w:ascii="Arial" w:cs="Arial" w:eastAsia="Arial" w:hAnsi="Arial"/>
                <w:sz w:val="17"/>
                <w:szCs w:val="17"/>
                <w:b w:val="1"/>
                <w:bCs w:val="1"/>
                <w:i w:val="1"/>
                <w:iCs w:val="1"/>
                <w:color w:val="auto"/>
              </w:rPr>
              <w:t>Income Tax Benefit (Expense)</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49"/>
        </w:trPr>
        <w:tc>
          <w:tcPr>
            <w:tcW w:w="2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6"/>
        </w:trPr>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8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September 30,</w:t>
            </w:r>
          </w:p>
        </w:tc>
        <w:tc>
          <w:tcPr>
            <w:tcW w:w="160" w:type="dxa"/>
            <w:vAlign w:val="bottom"/>
          </w:tcPr>
          <w:p>
            <w:pPr>
              <w:spacing w:after="0"/>
              <w:rPr>
                <w:sz w:val="19"/>
                <w:szCs w:val="19"/>
                <w:color w:val="auto"/>
              </w:rPr>
            </w:pPr>
          </w:p>
        </w:tc>
        <w:tc>
          <w:tcPr>
            <w:tcW w:w="1360" w:type="dxa"/>
            <w:vAlign w:val="bottom"/>
          </w:tcPr>
          <w:p>
            <w:pPr>
              <w:jc w:val="center"/>
              <w:ind w:right="74"/>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8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 Change</w:t>
            </w:r>
          </w:p>
        </w:tc>
      </w:tr>
      <w:tr>
        <w:trPr>
          <w:trHeight w:val="213"/>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expense (benefit)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860"/>
              <w:spacing w:after="0"/>
              <w:rPr>
                <w:sz w:val="20"/>
                <w:szCs w:val="20"/>
                <w:color w:val="auto"/>
              </w:rPr>
            </w:pPr>
            <w:r>
              <w:rPr>
                <w:rFonts w:ascii="Arial" w:cs="Arial" w:eastAsia="Arial" w:hAnsi="Arial"/>
                <w:sz w:val="17"/>
                <w:szCs w:val="17"/>
                <w:color w:val="auto"/>
              </w:rPr>
              <w:t>(1.6)</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w w:val="94"/>
              </w:rPr>
              <w:t>(331)%</w:t>
            </w:r>
          </w:p>
        </w:tc>
      </w:tr>
      <w:tr>
        <w:trPr>
          <w:trHeight w:val="220"/>
        </w:trPr>
        <w:tc>
          <w:tcPr>
            <w:tcW w:w="2820" w:type="dxa"/>
            <w:vAlign w:val="bottom"/>
          </w:tcPr>
          <w:p>
            <w:pPr>
              <w:ind w:left="20"/>
              <w:spacing w:after="0"/>
              <w:rPr>
                <w:sz w:val="20"/>
                <w:szCs w:val="20"/>
                <w:color w:val="auto"/>
              </w:rPr>
            </w:pPr>
            <w:r>
              <w:rPr>
                <w:rFonts w:ascii="Arial" w:cs="Arial" w:eastAsia="Arial" w:hAnsi="Arial"/>
                <w:sz w:val="17"/>
                <w:szCs w:val="17"/>
                <w:color w:val="auto"/>
              </w:rPr>
              <w:t>Income (loss) before income taxes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34"/>
              <w:spacing w:after="0"/>
              <w:rPr>
                <w:sz w:val="20"/>
                <w:szCs w:val="20"/>
                <w:color w:val="auto"/>
              </w:rPr>
            </w:pPr>
            <w:r>
              <w:rPr>
                <w:rFonts w:ascii="Arial" w:cs="Arial" w:eastAsia="Arial" w:hAnsi="Arial"/>
                <w:sz w:val="17"/>
                <w:szCs w:val="17"/>
                <w:color w:val="auto"/>
              </w:rPr>
              <w:t>9.5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16.3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ind w:left="760"/>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134"/>
              <w:spacing w:after="0"/>
              <w:rPr>
                <w:sz w:val="20"/>
                <w:szCs w:val="20"/>
                <w:color w:val="auto"/>
              </w:rPr>
            </w:pPr>
            <w:r>
              <w:rPr>
                <w:rFonts w:ascii="Arial" w:cs="Arial" w:eastAsia="Arial" w:hAnsi="Arial"/>
                <w:sz w:val="17"/>
                <w:szCs w:val="17"/>
                <w:color w:val="auto"/>
              </w:rPr>
              <w:t>103.7</w:t>
            </w: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(112)</w:t>
            </w:r>
          </w:p>
        </w:tc>
      </w:tr>
      <w:tr>
        <w:trPr>
          <w:trHeight w:val="220"/>
        </w:trPr>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760"/>
              <w:spacing w:after="0"/>
              <w:rPr>
                <w:sz w:val="20"/>
                <w:szCs w:val="20"/>
                <w:color w:val="auto"/>
              </w:rPr>
            </w:pPr>
            <w:r>
              <w:rPr>
                <w:rFonts w:ascii="Arial" w:cs="Arial" w:eastAsia="Arial" w:hAnsi="Arial"/>
                <w:sz w:val="17"/>
                <w:szCs w:val="17"/>
                <w:color w:val="auto"/>
                <w:w w:val="94"/>
              </w:rPr>
              <w:t>(30.3)%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5"/>
              </w:rPr>
              <w:t>(1.5)%</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1"/>
              </w:rPr>
              <w:t>n/m</w:t>
            </w:r>
          </w:p>
        </w:tc>
      </w:tr>
    </w:tbl>
    <w:p>
      <w:pPr>
        <w:spacing w:after="0" w:line="181"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effective tax rate for the periods indicated in the table above differs from the federal statutory income tax rate primarily due to the full valuation allowance recorded on our net U.S. federal and state deferred tax assets.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The U.S. jurisdiction is in a cumulative loss position for the three-year period ended September 30, 2023.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taxable income in prior carryback years, and the impact of tax planning strategies that may be implemented, if warranted. We evaluated all positive and negative evidence and determined that a full valuation allowance at September 30, 2023 remains appropriate. The income tax expense (benefit) is primarily comprised of income taxes in foreign jurisdictions and changes in uncertain tax positions. Also refer to Note 19 - Income Taxes to the consolidated financial statements in our Annual Report on Form 10-K for the year ended December 31, 2022 for further details on deferred tax assets.</w:t>
      </w:r>
    </w:p>
    <w:p>
      <w:pPr>
        <w:spacing w:after="0" w:line="67"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Income tax expense for three months ended September 30, 2023 remained flat as compared to the three months ended June 30, 2023. As compared with the nine months ended September 30, 2022, income tax expense for the nine months ended September 30, 2023 increased by $5.4 million primarily due to the recognition of an income tax benefit in the nine months ended September 30, 2022 related to the favorable resolution of uncertain tax positions. The decline in the effective tax rate is primarily due to the $116.2 million decrease in pre-tax earnings in the nine months ended September 30, 2023 compared to the same period in 2022, as well as the $5.4 million increase in income tax expense in the nine months ended September 30, 2023 compared to the same period in 2022.</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9"/>
        </w:trPr>
        <w:tc>
          <w:tcPr>
            <w:tcW w:w="5520" w:type="dxa"/>
            <w:vAlign w:val="bottom"/>
          </w:tcPr>
          <w:p>
            <w:pPr>
              <w:spacing w:after="0"/>
              <w:rPr>
                <w:sz w:val="20"/>
                <w:szCs w:val="20"/>
                <w:color w:val="auto"/>
              </w:rPr>
            </w:pPr>
            <w:r>
              <w:rPr>
                <w:rFonts w:ascii="Arial" w:cs="Arial" w:eastAsia="Arial" w:hAnsi="Arial"/>
                <w:sz w:val="17"/>
                <w:szCs w:val="17"/>
                <w:b w:val="1"/>
                <w:bCs w:val="1"/>
                <w:i w:val="1"/>
                <w:iCs w:val="1"/>
                <w:color w:val="auto"/>
              </w:rPr>
              <w:t>Financial Condition</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97"/>
        </w:trPr>
        <w:tc>
          <w:tcPr>
            <w:tcW w:w="5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Financial Condition Summary</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 Change</w:t>
            </w: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(14.0)</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71.8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66.2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5.7</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9</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MSRs, at fair value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2,859.8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2,665.2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194.6</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Advances, net</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564.6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718.9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(154.3)</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(21)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325.5</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52</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Loans held for investment, at fair value</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7,783.5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7,510.8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272.7</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4</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Receivables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(16.1)</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Investment in equity method investee</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(2.7)</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(6)</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Premises and equipment,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w:t>
            </w:r>
          </w:p>
        </w:tc>
      </w:tr>
      <w:tr>
        <w:trPr>
          <w:trHeight w:val="22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369.3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364.2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5.1</w:t>
            </w:r>
          </w:p>
        </w:tc>
        <w:tc>
          <w:tcPr>
            <w:tcW w:w="1220" w:type="dxa"/>
            <w:vAlign w:val="bottom"/>
            <w:tcBorders>
              <w:bottom w:val="single" w:sz="8" w:color="CCEEFF"/>
            </w:tcBorders>
          </w:tcPr>
          <w:p>
            <w:pPr>
              <w:jc w:val="right"/>
              <w:ind w:right="114"/>
              <w:spacing w:after="0"/>
              <w:rPr>
                <w:sz w:val="20"/>
                <w:szCs w:val="20"/>
                <w:color w:val="auto"/>
              </w:rPr>
            </w:pPr>
            <w:r>
              <w:rPr>
                <w:rFonts w:ascii="Arial" w:cs="Arial" w:eastAsia="Arial" w:hAnsi="Arial"/>
                <w:sz w:val="17"/>
                <w:szCs w:val="17"/>
                <w:color w:val="auto"/>
              </w:rPr>
              <w:t>1</w:t>
            </w:r>
          </w:p>
        </w:tc>
      </w:tr>
      <w:tr>
        <w:trPr>
          <w:trHeight w:val="238"/>
        </w:trPr>
        <w:tc>
          <w:tcPr>
            <w:tcW w:w="5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13,011.7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12,399.2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612.5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01"/>
        </w:trPr>
        <w:tc>
          <w:tcPr>
            <w:tcW w:w="5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 by Segment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5520" w:type="dxa"/>
            <w:vAlign w:val="bottom"/>
          </w:tcPr>
          <w:p>
            <w:pPr>
              <w:ind w:left="140"/>
              <w:spacing w:after="0"/>
              <w:rPr>
                <w:sz w:val="20"/>
                <w:szCs w:val="20"/>
                <w:color w:val="auto"/>
              </w:rPr>
            </w:pPr>
            <w:r>
              <w:rPr>
                <w:rFonts w:ascii="Arial" w:cs="Arial" w:eastAsia="Arial" w:hAnsi="Arial"/>
                <w:sz w:val="17"/>
                <w:szCs w:val="17"/>
                <w:color w:val="auto"/>
              </w:rPr>
              <w:t>Servicing</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11,900.5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11,535.0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365.4</w:t>
            </w:r>
          </w:p>
        </w:tc>
        <w:tc>
          <w:tcPr>
            <w:tcW w:w="1220" w:type="dxa"/>
            <w:vAlign w:val="bottom"/>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Originations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842.5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570.5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272.1</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w:t>
            </w:r>
          </w:p>
        </w:tc>
      </w:tr>
      <w:tr>
        <w:trPr>
          <w:trHeight w:val="220"/>
        </w:trPr>
        <w:tc>
          <w:tcPr>
            <w:tcW w:w="552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Corporate Items and Other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268.7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293.7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(25.0)</w:t>
            </w:r>
          </w:p>
        </w:tc>
        <w:tc>
          <w:tcPr>
            <w:tcW w:w="1220" w:type="dxa"/>
            <w:vAlign w:val="bottom"/>
            <w:tcBorders>
              <w:bottom w:val="single" w:sz="8" w:color="CCEEFF"/>
            </w:tcBorders>
          </w:tcPr>
          <w:p>
            <w:pPr>
              <w:jc w:val="right"/>
              <w:ind w:right="74"/>
              <w:spacing w:after="0"/>
              <w:rPr>
                <w:sz w:val="20"/>
                <w:szCs w:val="20"/>
                <w:color w:val="auto"/>
              </w:rPr>
            </w:pPr>
            <w:r>
              <w:rPr>
                <w:rFonts w:ascii="Arial" w:cs="Arial" w:eastAsia="Arial" w:hAnsi="Arial"/>
                <w:sz w:val="17"/>
                <w:szCs w:val="17"/>
                <w:color w:val="auto"/>
              </w:rPr>
              <w:t>(9)</w:t>
            </w:r>
          </w:p>
        </w:tc>
      </w:tr>
      <w:tr>
        <w:trPr>
          <w:trHeight w:val="238"/>
        </w:trPr>
        <w:tc>
          <w:tcPr>
            <w:tcW w:w="5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13,011.7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12,399.2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612.5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101"/>
        </w:trPr>
        <w:tc>
          <w:tcPr>
            <w:tcW w:w="5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HMBS-related borrowings,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7,613.6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7,326.8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286.8</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Other financing liabilities, at fair value</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1,380.3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1,137.4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243.0</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21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match funded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(110.6)</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(22)</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Mortgage loan financing facilities, net</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1,034.7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702.7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331.9</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47</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financing facilities,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901.7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953.8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(52.1)</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w:t>
            </w: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Senior notes, net</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594.1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599.6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(5.5)</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(1)</w:t>
            </w:r>
          </w:p>
        </w:tc>
      </w:tr>
      <w:tr>
        <w:trPr>
          <w:trHeight w:val="220"/>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639.2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708.5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(69.3)</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w:t>
            </w:r>
          </w:p>
        </w:tc>
      </w:tr>
      <w:tr>
        <w:trPr>
          <w:trHeight w:val="213"/>
        </w:trPr>
        <w:tc>
          <w:tcPr>
            <w:tcW w:w="5520" w:type="dxa"/>
            <w:vAlign w:val="bottom"/>
          </w:tcPr>
          <w:p>
            <w:pPr>
              <w:ind w:left="14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18"/>
                <w:szCs w:val="18"/>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12,566.6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11,942.5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624.1</w:t>
            </w:r>
          </w:p>
        </w:tc>
        <w:tc>
          <w:tcPr>
            <w:tcW w:w="122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155"/>
        </w:trPr>
        <w:tc>
          <w:tcPr>
            <w:tcW w:w="55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456.7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(11.6)</w:t>
            </w:r>
          </w:p>
        </w:tc>
        <w:tc>
          <w:tcPr>
            <w:tcW w:w="1220" w:type="dxa"/>
            <w:vAlign w:val="bottom"/>
          </w:tcPr>
          <w:p>
            <w:pPr>
              <w:jc w:val="right"/>
              <w:ind w:right="74"/>
              <w:spacing w:after="0"/>
              <w:rPr>
                <w:sz w:val="20"/>
                <w:szCs w:val="20"/>
                <w:color w:val="auto"/>
              </w:rPr>
            </w:pPr>
            <w:r>
              <w:rPr>
                <w:rFonts w:ascii="Arial" w:cs="Arial" w:eastAsia="Arial" w:hAnsi="Arial"/>
                <w:sz w:val="17"/>
                <w:szCs w:val="17"/>
                <w:color w:val="auto"/>
              </w:rPr>
              <w:t>(3)</w:t>
            </w:r>
          </w:p>
        </w:tc>
      </w:tr>
      <w:tr>
        <w:trPr>
          <w:trHeight w:val="155"/>
        </w:trPr>
        <w:tc>
          <w:tcPr>
            <w:tcW w:w="55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13"/>
        </w:trPr>
        <w:tc>
          <w:tcPr>
            <w:tcW w:w="5520" w:type="dxa"/>
            <w:vAlign w:val="bottom"/>
          </w:tcPr>
          <w:p>
            <w:pPr>
              <w:ind w:left="140"/>
              <w:spacing w:after="0"/>
              <w:rPr>
                <w:sz w:val="20"/>
                <w:szCs w:val="20"/>
                <w:color w:val="auto"/>
              </w:rPr>
            </w:pPr>
            <w:r>
              <w:rPr>
                <w:rFonts w:ascii="Arial" w:cs="Arial" w:eastAsia="Arial" w:hAnsi="Arial"/>
                <w:sz w:val="17"/>
                <w:szCs w:val="17"/>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13,011.7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12,399.2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612.5</w:t>
            </w:r>
          </w:p>
        </w:tc>
        <w:tc>
          <w:tcPr>
            <w:tcW w:w="122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Total Liabilities by Segment</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11,427.9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11,049.0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378.9</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20"/>
        </w:trPr>
        <w:tc>
          <w:tcPr>
            <w:tcW w:w="5520" w:type="dxa"/>
            <w:vAlign w:val="bottom"/>
          </w:tcPr>
          <w:p>
            <w:pPr>
              <w:ind w:left="140"/>
              <w:spacing w:after="0"/>
              <w:rPr>
                <w:sz w:val="20"/>
                <w:szCs w:val="20"/>
                <w:color w:val="auto"/>
              </w:rPr>
            </w:pPr>
            <w:r>
              <w:rPr>
                <w:rFonts w:ascii="Arial" w:cs="Arial" w:eastAsia="Arial" w:hAnsi="Arial"/>
                <w:sz w:val="17"/>
                <w:szCs w:val="17"/>
                <w:color w:val="auto"/>
              </w:rPr>
              <w:t>Originations</w:t>
            </w: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844.3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544.2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300.1</w:t>
            </w:r>
          </w:p>
        </w:tc>
        <w:tc>
          <w:tcPr>
            <w:tcW w:w="1220" w:type="dxa"/>
            <w:vAlign w:val="bottom"/>
          </w:tcPr>
          <w:p>
            <w:pPr>
              <w:jc w:val="right"/>
              <w:ind w:right="114"/>
              <w:spacing w:after="0"/>
              <w:rPr>
                <w:sz w:val="20"/>
                <w:szCs w:val="20"/>
                <w:color w:val="auto"/>
              </w:rPr>
            </w:pPr>
            <w:r>
              <w:rPr>
                <w:rFonts w:ascii="Arial" w:cs="Arial" w:eastAsia="Arial" w:hAnsi="Arial"/>
                <w:sz w:val="17"/>
                <w:szCs w:val="17"/>
                <w:color w:val="auto"/>
              </w:rPr>
              <w:t>55</w:t>
            </w:r>
          </w:p>
        </w:tc>
      </w:tr>
      <w:tr>
        <w:trPr>
          <w:trHeight w:val="220"/>
        </w:trPr>
        <w:tc>
          <w:tcPr>
            <w:tcW w:w="55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Corporate Items and 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294.4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349.3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(54.9)</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w:t>
            </w:r>
          </w:p>
        </w:tc>
      </w:tr>
      <w:tr>
        <w:trPr>
          <w:trHeight w:val="213"/>
        </w:trPr>
        <w:tc>
          <w:tcPr>
            <w:tcW w:w="55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12,566.6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11,942.5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624.1</w:t>
            </w:r>
          </w:p>
        </w:tc>
        <w:tc>
          <w:tcPr>
            <w:tcW w:w="1220" w:type="dxa"/>
            <w:vAlign w:val="bottom"/>
          </w:tcPr>
          <w:p>
            <w:pPr>
              <w:jc w:val="right"/>
              <w:spacing w:after="0"/>
              <w:rPr>
                <w:sz w:val="20"/>
                <w:szCs w:val="20"/>
                <w:color w:val="auto"/>
              </w:rPr>
            </w:pPr>
            <w:r>
              <w:rPr>
                <w:rFonts w:ascii="Arial" w:cs="Arial" w:eastAsia="Arial" w:hAnsi="Arial"/>
                <w:sz w:val="17"/>
                <w:szCs w:val="17"/>
                <w:color w:val="auto"/>
              </w:rPr>
              <w:t>5 %</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121"/>
        </w:trPr>
        <w:tc>
          <w:tcPr>
            <w:tcW w:w="5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7"/>
                <w:szCs w:val="17"/>
                <w:color w:val="auto"/>
              </w:rPr>
              <w:t>Book value per share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57.98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54"/>
              <w:spacing w:after="0"/>
              <w:rPr>
                <w:sz w:val="20"/>
                <w:szCs w:val="20"/>
                <w:color w:val="auto"/>
              </w:rPr>
            </w:pPr>
            <w:r>
              <w:rPr>
                <w:rFonts w:ascii="Arial" w:cs="Arial" w:eastAsia="Arial" w:hAnsi="Arial"/>
                <w:sz w:val="17"/>
                <w:szCs w:val="17"/>
                <w:color w:val="auto"/>
              </w:rPr>
              <w:t>60.68</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(2.70)</w:t>
            </w: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181"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Total assets increased $612.5 million, or 5%, between December 31, 2022 and September 30, 2023 due to a $325.5 million increase in our loans held for sale portfolio mostly driven by higher forward loan production volumes, a $272.7 million fair value increase in reverse Loans held for investment mostly driven by capitalization of interest, and a $194.6 million increase in our MSR portfolio with newly originated and acquired MSRs more than offsetting portfolio runoff. These increases were offset in part by a $154.3 million decline in servicing advances that was mainly due to seasonal reduction of escrow balances (typically higher in December vs. September).</w:t>
      </w:r>
    </w:p>
    <w:p>
      <w:pPr>
        <w:spacing w:after="0" w:line="74"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Total liabilities increased by $624.1 million, or 5%, as compared to December 31, 2022, with similar effects as described above. Our borrowings under mortgage loan financing facilities increased $331.9 million due to the higher loans held for sale balance at September 30, 2023, including the issuance of the OLIT Notes in connection with the securitization of reverse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62" w:name="page63"/>
    <w:bookmarkEnd w:id="62"/>
    <w:p>
      <w:pPr>
        <w:ind w:right="40"/>
        <w:spacing w:after="0" w:line="281" w:lineRule="auto"/>
        <w:rPr>
          <w:sz w:val="20"/>
          <w:szCs w:val="20"/>
          <w:color w:val="auto"/>
        </w:rPr>
      </w:pPr>
      <w:r>
        <w:rPr>
          <w:rFonts w:ascii="Arial" w:cs="Arial" w:eastAsia="Arial" w:hAnsi="Arial"/>
          <w:sz w:val="16"/>
          <w:szCs w:val="16"/>
          <w:color w:val="auto"/>
        </w:rPr>
        <w:t>mortgage loan buyouts. Our HMBS-related borrowings increased by $286.8 million mostly due to fair value changes attributable to interest. The $243.0 million increase in Other financing liabilities is primarily due to the issuance of ESS financing liabilities and increased Pledged MSR liabilities in connection with MSR transfers that did not qualify for sale accounting. This increase in Other financing liabilities allowed for the repayment of MSR financing facilities, driving a $52.1 million decrease. This shift in financing instruments is the result of our strategy to use MSR capital partners and further de-risk our MSR exposure. Advance match funded liabilities decreased $110.6 million consistent with the decline in servicing advances discussed above.</w:t>
      </w:r>
    </w:p>
    <w:p>
      <w:pPr>
        <w:spacing w:after="0" w:line="60"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Total equity decreased $11.6 million during the nine months ended September 30, 2023 due to the $16.2 million net loss for the period and $4.6 million equity-based compensation driven by additional awards.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Trends</w:t>
      </w:r>
    </w:p>
    <w:p>
      <w:pPr>
        <w:spacing w:after="0" w:line="121"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following discussion provides information regarding certain key drivers of our financial performance and includes certain forward-looking statements that are based on the current beliefs and expectations of Ocwen’s management and are subject to significant risks and uncertainties. Refer to Forward-Looking Statements beginning on page 2 of this Form 10-Q and Part I, Item 1.A. of our Annual Report on Form 10-K for the year ended December 31, 2022, for discussion of certain of those risks and uncertainties and other factors that could cause Ocwen’s actual results to differ materially because of those risks and uncertainties. There is no assurance that actual results will be in line with the outlook information set forth below, and Ocwen does not undertake to update any forward-looking statements. Also refer to the Segment results of operations section for further detail, the description of our business environment, initiatives and risks.</w:t>
      </w:r>
    </w:p>
    <w:p>
      <w:pPr>
        <w:spacing w:after="0" w:line="50"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i w:val="1"/>
          <w:iCs w:val="1"/>
          <w:color w:val="auto"/>
        </w:rPr>
        <w:t xml:space="preserve">Servicing and subservicing fee revenue </w:t>
      </w:r>
      <w:r>
        <w:rPr>
          <w:rFonts w:ascii="Arial" w:cs="Arial" w:eastAsia="Arial" w:hAnsi="Arial"/>
          <w:sz w:val="16"/>
          <w:szCs w:val="16"/>
          <w:color w:val="auto"/>
        </w:rPr>
        <w:t>- Our servicing fee revenue is a function of the volume being serviced - UPB for servicing fees and loan 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subservicing fees. We expect we will continue to modestly grow our servicing portfolio through our multi-channel Originations platform and through MAV and other MSR capital partners, with an emphasis on subservicing. We have added $126.0 billion subservicing UPB since June 30, 2021.</w:t>
      </w:r>
    </w:p>
    <w:p>
      <w:pPr>
        <w:spacing w:after="0" w:line="52"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i w:val="1"/>
          <w:iCs w:val="1"/>
          <w:color w:val="auto"/>
        </w:rPr>
        <w:t xml:space="preserve">Gain on sale of loans held for sale </w:t>
      </w:r>
      <w:r>
        <w:rPr>
          <w:rFonts w:ascii="Arial" w:cs="Arial" w:eastAsia="Arial" w:hAnsi="Arial"/>
          <w:sz w:val="15"/>
          <w:szCs w:val="15"/>
          <w:color w:val="auto"/>
        </w:rPr>
        <w:t>- Our gain on sale is driven by both volume and margin and is channel-sensitive. The industry outlook for loan origination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remainder of 2023 and 2024 remains largely depressed, with historical low origination volumes and elevated mortgage interest rates. We expect recapture volumes in our Consumer Direct channel to remain at depressed levels, absent any significant interest rate decrease, and expect continued competitive pressure on margins across all channels. We expect to continue to prudently manage our Correspondent volume at margins that are accretive to the business.</w:t>
      </w:r>
    </w:p>
    <w:p>
      <w:pPr>
        <w:spacing w:after="0" w:line="42"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i w:val="1"/>
          <w:iCs w:val="1"/>
          <w:color w:val="auto"/>
        </w:rPr>
        <w:t xml:space="preserve">Gain on reverse loans held for investment and HMBS-related borrowings, net </w:t>
      </w:r>
      <w:r>
        <w:rPr>
          <w:rFonts w:ascii="Arial" w:cs="Arial" w:eastAsia="Arial" w:hAnsi="Arial"/>
          <w:sz w:val="16"/>
          <w:szCs w:val="16"/>
          <w:color w:val="auto"/>
        </w:rPr>
        <w:t>- The reverse mortgage origination gain is driven by the same factors as gain on sale</w:t>
      </w:r>
      <w:r>
        <w:rPr>
          <w:rFonts w:ascii="Arial" w:cs="Arial" w:eastAsia="Arial" w:hAnsi="Arial"/>
          <w:sz w:val="16"/>
          <w:szCs w:val="16"/>
          <w:i w:val="1"/>
          <w:iCs w:val="1"/>
          <w:color w:val="auto"/>
        </w:rPr>
        <w:t xml:space="preserve"> </w:t>
      </w:r>
      <w:r>
        <w:rPr>
          <w:rFonts w:ascii="Arial" w:cs="Arial" w:eastAsia="Arial" w:hAnsi="Arial"/>
          <w:sz w:val="16"/>
          <w:szCs w:val="16"/>
          <w:color w:val="auto"/>
        </w:rPr>
        <w:t>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and spread, respectively, and is part of our forward MSR hedging strategy.</w:t>
      </w:r>
    </w:p>
    <w:p>
      <w:pPr>
        <w:spacing w:after="0" w:line="60"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 xml:space="preserve">MSR valuation adjustments, net - </w:t>
      </w:r>
      <w:r>
        <w:rPr>
          <w:rFonts w:ascii="Arial" w:cs="Arial" w:eastAsia="Arial" w:hAnsi="Arial"/>
          <w:sz w:val="16"/>
          <w:szCs w:val="16"/>
          <w:color w:val="auto"/>
        </w:rPr>
        <w:t>Our net MSR fair value changes include multiple components. First, amortization of our investment is a function of the UPB,</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value of the MSR relative to the UPB, and the level of scheduled payments and prepayments. We expect the MSR realization of expected cash flows to follow the growth or size of our MSR portfolio offset by the ESS financing liabilities.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also dependent on our hedge coverage ratio. We expect that, other things being equal, the magnitude of the fair value changes of the MSR portfolio due to market interest rates, net of the MSR hedges, to decrease if our hedge coverage ratio increases, or vice versa. Refer to the sensitivity analysis in Item 3 - Quantitative and Qualitative Disclosures About Market Risk for further detail.</w:t>
      </w:r>
    </w:p>
    <w:p>
      <w:pPr>
        <w:spacing w:after="0" w:line="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 Compensation and benefits are a significant component of our cost-to-service and cost-to-originate and is directly correlated to headcount</w:t>
      </w:r>
      <w:r>
        <w:rPr>
          <w:rFonts w:ascii="Arial" w:cs="Arial" w:eastAsia="Arial" w:hAnsi="Arial"/>
          <w:sz w:val="16"/>
          <w:szCs w:val="16"/>
          <w:i w:val="1"/>
          <w:iCs w:val="1"/>
          <w:color w:val="auto"/>
        </w:rPr>
        <w:t xml:space="preserve"> </w:t>
      </w:r>
      <w:r>
        <w:rPr>
          <w:rFonts w:ascii="Arial" w:cs="Arial" w:eastAsia="Arial" w:hAnsi="Arial"/>
          <w:sz w:val="16"/>
          <w:szCs w:val="16"/>
          <w:color w:val="auto"/>
        </w:rPr>
        <w:t>levels. Headcount in Servicing is primarily driven by the number of loans or UPB being serviced and subserviced, and by the relative mix of performing, delinquent and defaulted loans. As servicing volume is expected to modestly increase (see above), we expect a stable workforce. We expect to continue to right-size and prudently manage our Originations headcount and operating expenses to align with funded volume. Our operating expenses are expected to correlate with volumes, with some productivity and efficiencies expected through our technology and continuous improvement initiatives. Elevated inflation may result in higher operating expenses due to increases in salaries and benefits and rates charged by our vendors.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7"/>
          <w:szCs w:val="17"/>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Rithm and MAV, who own the MSRs. Subservicing and special servicing fees are earned either as a percentage of UPB or on a per-loan basis. Subservicing per-loan fees typically vary based on type of investor and on loan delinquency status.</w:t>
      </w:r>
    </w:p>
    <w:p>
      <w:pPr>
        <w:spacing w:after="0" w:line="74"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As of September 30, 2023, we serviced 1.4 million mortgage loans with an aggregate UPB serviced and subserviced of $295.7 billion. The average UPB during the third quarter of 2023 was mostly flat (decreased by 0.4%) compared to the second quarter of 2023. Compared to the nine months ended September 30, 2022, the average UPB during the nine months ended September 30, 2023 increased by 5% or $13.5 billion. We manage the size of our servicing portfolio with our Originations business and by selectively purchasing MSRs based on capital allocation and financial return targets.</w:t>
      </w:r>
    </w:p>
    <w:p>
      <w:pPr>
        <w:spacing w:after="0" w:line="56"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The financial performance of our servicing segment is impacted by the changes in fair value of the MSR portfolio due to changes in market interest rates, among other factors. As interest rates decrease, the value of the servicing portfolio typically decreases as a result of higher anticipated prepayment speeds. Conversely, as interest rates increase, the value of the servicing portfolio typically increases as a result of lower anticipated prepayment speeds. Prepayments do not vary linearly with interest rates resulting in the convexity of the MSR, i.e., the interest rate sensitivity of the MSR changes when interest rates change. Specifically, as interest rates further increase, the lower the fair value of the MSR increases. The sensitivity of MSR fair value to interest rates is typically higher for higher credit quality loans, such as our Agency loans. Our Non-Agency portfolio is significantly seasoned, with an average loan age of approximately 18 years, exhibiting little response to movements in market interest rates. Our hedging strategy is designed to partially reduce the volatility of the MSR portfolio to interest rates.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Rithm (formerly NRZ) is our largest subservicing client. For the nine months ended September 30, 2023, servicing and subservicing fees from Rithm amounted to $175.1 million, or 32% of total servicing and subservicing fees (excluding ancillary income). Rithm servicing fees retained by Ocwen represented approximately 8% of the total servicing and subservicing fees earned by Ocwen, net of servicing fees remitted to Rithm during the third quarter of 2023. Rithm accounted for 16% and 26% of the total serviced UPB and loan count, respectively, as of September 30, 2023, and 68% of all delinquent loans. Consistent with a subservicing relationship, Rithm is responsible for funding the advances we service on its behalf. The servicing agreements automatically renew annually unless notice of termination is provided. Refer to Note 8 — Other Financing Liabilities, at Fair Value.</w:t>
      </w:r>
    </w:p>
    <w:p>
      <w:pPr>
        <w:spacing w:after="0" w:line="7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For the nine months ended September 30, 2023, servicing and subservicing fees from MAV amounted to $54.9 million, or 10% of total servicing and subservicing fees (excluding ancillary income). MAV represented 19% and 15% of our total servicing portfolio UPB and loan count, respectively, as of September 30, 2023. PMC has exclusive rights to service the mortgage loans underlying MSRs owned by MAV. MAV provides us with a source of additional subservicing volume, either with the MSRs that MAV purchases outright from third parties or with the MSRs that MAV purchases from PMC. Although the servicing agreement is not cancellable without mutual agreement, MAV is permitted to sell its MSR portfolio, in whole or in part, without Ocwen’s consent after May 3, 2024. Refer to Note 10 - Investment in Equity Method Investee and Related Party Transactions.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Resolutions</w:t>
      </w:r>
    </w:p>
    <w:p>
      <w:pPr>
        <w:spacing w:after="0" w:line="115"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w:t>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349" w:right="379" w:bottom="1440" w:gutter="0" w:footer="0" w:header="0"/>
        </w:sectPr>
      </w:pPr>
    </w:p>
    <w:bookmarkStart w:id="64" w:name="page65"/>
    <w:bookmarkEnd w:id="64"/>
    <w:p>
      <w:pPr>
        <w:ind w:right="200"/>
        <w:spacing w:after="0" w:line="283" w:lineRule="auto"/>
        <w:rPr>
          <w:sz w:val="20"/>
          <w:szCs w:val="20"/>
          <w:color w:val="auto"/>
        </w:rPr>
      </w:pPr>
      <w:r>
        <w:rPr>
          <w:rFonts w:ascii="Arial" w:cs="Arial" w:eastAsia="Arial" w:hAnsi="Arial"/>
          <w:sz w:val="17"/>
          <w:szCs w:val="17"/>
          <w:color w:val="auto"/>
        </w:rPr>
        <w:t>external data, including recent broker price opinions to value the mortgaged property. Our proprietary model includes, among other things, an assessment of re-default risk.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Obligation</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w:t>
      </w:r>
    </w:p>
    <w:p>
      <w:pPr>
        <w:spacing w:after="0" w:line="7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provide for prompt reimbursement of any advances from the owner of the servicing rights.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Variables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could significantly impact the results of our Servicing segment from period to period.</w:t>
      </w:r>
    </w:p>
    <w:p>
      <w:pPr>
        <w:spacing w:after="0" w:line="102"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i w:val="1"/>
          <w:iCs w:val="1"/>
          <w:color w:val="auto"/>
        </w:rPr>
        <w:t>Aggregate UPB and Loan Count</w:t>
      </w:r>
      <w:r>
        <w:rPr>
          <w:rFonts w:ascii="Arial" w:cs="Arial" w:eastAsia="Arial" w:hAnsi="Arial"/>
          <w:sz w:val="17"/>
          <w:szCs w:val="17"/>
          <w:color w:val="auto"/>
        </w:rPr>
        <w:t>. Servicing fees are generally earned as a percentage of UPB and subservicing fees are earned on a per-loan basis or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UPB. As a result, the change in aggregate UPB and loan count for which we have servicing rights or subservicing rights will directly impact our revenue contributed by our Servicing segment. Aggregate UPB and loan count decline as a result of portfolio run-off and increase to the extent we retain MSRs from new originations or engage in MSR acquisitions.</w:t>
      </w:r>
    </w:p>
    <w:p>
      <w:pPr>
        <w:spacing w:after="0" w:line="87"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i w:val="1"/>
          <w:iCs w:val="1"/>
          <w:color w:val="auto"/>
        </w:rPr>
        <w:t>Cost to Service and Operating Efficiency</w:t>
      </w:r>
      <w:r>
        <w:rPr>
          <w:rFonts w:ascii="Arial" w:cs="Arial" w:eastAsia="Arial" w:hAnsi="Arial"/>
          <w:sz w:val="17"/>
          <w:szCs w:val="17"/>
          <w:color w:val="auto"/>
        </w:rPr>
        <w:t>. Our operating results for our Servicing segment are heavily dependent on our ability to scale our operations to cost-effectively and efficiently perform servicing activities in accordance with our servicing agreements.</w:t>
      </w:r>
    </w:p>
    <w:p>
      <w:pPr>
        <w:spacing w:after="0" w:line="56" w:lineRule="exact"/>
        <w:rPr>
          <w:sz w:val="20"/>
          <w:szCs w:val="20"/>
          <w:color w:val="auto"/>
        </w:rPr>
      </w:pPr>
    </w:p>
    <w:p>
      <w:pPr>
        <w:spacing w:after="0" w:line="278" w:lineRule="auto"/>
        <w:rPr>
          <w:sz w:val="20"/>
          <w:szCs w:val="20"/>
          <w:color w:val="auto"/>
        </w:rPr>
      </w:pPr>
      <w:r>
        <w:rPr>
          <w:rFonts w:ascii="Arial" w:cs="Arial" w:eastAsia="Arial" w:hAnsi="Arial"/>
          <w:sz w:val="16"/>
          <w:szCs w:val="16"/>
          <w:i w:val="1"/>
          <w:iCs w:val="1"/>
          <w:color w:val="auto"/>
        </w:rPr>
        <w:t>Delinquencies</w:t>
      </w:r>
      <w:r>
        <w:rPr>
          <w:rFonts w:ascii="Arial" w:cs="Arial" w:eastAsia="Arial" w:hAnsi="Arial"/>
          <w:sz w:val="16"/>
          <w:szCs w:val="16"/>
          <w:color w:val="auto"/>
        </w:rPr>
        <w:t>. Delinquencies impact our financial results and operating cash flows for our Servicing segment. Non-performing loans are more expensive to</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w:t>
      </w:r>
    </w:p>
    <w:p>
      <w:pPr>
        <w:spacing w:after="0" w:line="6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spacing w:after="0" w:line="69"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i w:val="1"/>
          <w:iCs w:val="1"/>
          <w:color w:val="auto"/>
        </w:rPr>
        <w:t>Prepayment Speed</w:t>
      </w:r>
      <w:r>
        <w:rPr>
          <w:rFonts w:ascii="Arial" w:cs="Arial" w:eastAsia="Arial" w:hAnsi="Arial"/>
          <w:sz w:val="17"/>
          <w:szCs w:val="17"/>
          <w:color w:val="auto"/>
        </w:rPr>
        <w:t>. The rate at which portfolio UPB declines can have a significant impact on our Servicing segment. Items reducing UPB include scheduled and</w:t>
      </w:r>
      <w:r>
        <w:rPr>
          <w:rFonts w:ascii="Arial" w:cs="Arial" w:eastAsia="Arial" w:hAnsi="Arial"/>
          <w:sz w:val="17"/>
          <w:szCs w:val="17"/>
          <w:i w:val="1"/>
          <w:iCs w:val="1"/>
          <w:color w:val="auto"/>
        </w:rPr>
        <w:t xml:space="preserve"> </w:t>
      </w:r>
      <w:r>
        <w:rPr>
          <w:rFonts w:ascii="Arial" w:cs="Arial" w:eastAsia="Arial" w:hAnsi="Arial"/>
          <w:sz w:val="17"/>
          <w:szCs w:val="17"/>
          <w:color w:val="auto"/>
        </w:rPr>
        <w:t>unscheduled principal payments (runoff), refinancing, loan modifications involving forgiveness of principal, voluntary property sales and involuntary property sales such as foreclosures. Prepayment speed impacts future servicing fees, runoff and valuation of MSRs. Increases in anticipated lifetime prepayment speeds generally cause MSR valuation adjustments to increase because MSRs are valued based on total expected servicing income over the life of a portfolio. The converse is true when expectations for prepayment speeds decrease. Prepayments do not vary linearly with interest rates resulting in the convexity of the MSR, i.e., the interest rate sensitivity of the MSR changes when interest rates change. Specifically, as interest rates further increase, the lower the fair value of the MSR increases.</w:t>
      </w:r>
    </w:p>
    <w:p>
      <w:pPr>
        <w:spacing w:after="0" w:line="80" w:lineRule="exact"/>
        <w:rPr>
          <w:sz w:val="20"/>
          <w:szCs w:val="20"/>
          <w:color w:val="auto"/>
        </w:rPr>
      </w:pPr>
    </w:p>
    <w:p>
      <w:pPr>
        <w:ind w:right="120"/>
        <w:spacing w:after="0" w:line="315" w:lineRule="auto"/>
        <w:rPr>
          <w:sz w:val="20"/>
          <w:szCs w:val="20"/>
          <w:color w:val="auto"/>
        </w:rPr>
      </w:pPr>
      <w:r>
        <w:rPr>
          <w:rFonts w:ascii="Arial" w:cs="Arial" w:eastAsia="Arial" w:hAnsi="Arial"/>
          <w:sz w:val="16"/>
          <w:szCs w:val="16"/>
          <w:i w:val="1"/>
          <w:iCs w:val="1"/>
          <w:color w:val="auto"/>
        </w:rPr>
        <w:t>Interest rates</w:t>
      </w:r>
      <w:r>
        <w:rPr>
          <w:rFonts w:ascii="Arial" w:cs="Arial" w:eastAsia="Arial" w:hAnsi="Arial"/>
          <w:sz w:val="16"/>
          <w:szCs w:val="16"/>
          <w:color w:val="auto"/>
        </w:rPr>
        <w:t>. In addition to the impact of interest rate changes on prepayment speeds, the fair value of the MSR and associated hedging activities, float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on float balances, and the funding cost of servicing advances and MSR financing facilities are directly impacted by interest rate changes.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Mortgages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Our business activities include both the subservicing of reverse mortgage loans on behalf of investors and the servicing of our owned portfolio.</w:t>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65" w:name="page66"/>
    <w:bookmarkEnd w:id="65"/>
    <w:p>
      <w:pPr>
        <w:ind w:right="120"/>
        <w:spacing w:after="0" w:line="263" w:lineRule="auto"/>
        <w:rPr>
          <w:sz w:val="20"/>
          <w:szCs w:val="20"/>
          <w:color w:val="auto"/>
        </w:rPr>
      </w:pPr>
      <w:r>
        <w:rPr>
          <w:rFonts w:ascii="Arial" w:cs="Arial" w:eastAsia="Arial" w:hAnsi="Arial"/>
          <w:sz w:val="17"/>
          <w:szCs w:val="17"/>
          <w:color w:val="auto"/>
        </w:rPr>
        <w:t>The activities and financial performance related to our owned portfolio of reverse mortgage loans that are securitized and classified as held for investment, at fair value, together with the HMBS-related borrowings, at fair value are reflected in the Servicing segment, consistent with how the activities are managed and internally reported. Once a reverse mortgage loan is securitized, our activities are generally consistent with other loan servicing as described above, with the following variations.</w:t>
      </w:r>
    </w:p>
    <w:p>
      <w:pPr>
        <w:spacing w:after="0" w:line="7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Under the terms of ARM-based HECM loan agreements, the borrowers have additional borrowing capacity of $1.8 billion at September 30, 2023. These draws or tails are funded by the servicer and are subsequently securitized. We do not incur any 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w:t>
      </w:r>
    </w:p>
    <w:p>
      <w:pPr>
        <w:spacing w:after="0" w:line="7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As an HMBS issuer, we assume certain obligations related to each security issued. In addition to our obligation to fund tails</w:t>
      </w:r>
      <w:r>
        <w:rPr>
          <w:rFonts w:ascii="Arial" w:cs="Arial" w:eastAsia="Arial" w:hAnsi="Arial"/>
          <w:sz w:val="16"/>
          <w:szCs w:val="16"/>
          <w:color w:val="008080"/>
        </w:rPr>
        <w:t>, t</w:t>
      </w:r>
      <w:r>
        <w:rPr>
          <w:rFonts w:ascii="Arial" w:cs="Arial" w:eastAsia="Arial" w:hAnsi="Arial"/>
          <w:sz w:val="16"/>
          <w:szCs w:val="16"/>
          <w:color w:val="auto"/>
        </w:rPr>
        <w:t>he most significant obligation is the requirement to purchase loans out of the Ginnie Mae securitization pools once they reach 98% of the maximum claim amount (MCA repurchases or active buyouts). Active repurchased loans or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spacing w:after="0" w:line="70" w:lineRule="exact"/>
        <w:rPr>
          <w:sz w:val="20"/>
          <w:szCs w:val="20"/>
          <w:color w:val="auto"/>
        </w:rPr>
      </w:pPr>
    </w:p>
    <w:p>
      <w:pPr>
        <w:jc w:val="both"/>
        <w:ind w:right="220"/>
        <w:spacing w:after="0" w:line="292" w:lineRule="auto"/>
        <w:rPr>
          <w:sz w:val="20"/>
          <w:szCs w:val="20"/>
          <w:color w:val="auto"/>
        </w:rPr>
      </w:pPr>
      <w:r>
        <w:rPr>
          <w:rFonts w:ascii="Arial" w:cs="Arial" w:eastAsia="Arial" w:hAnsi="Arial"/>
          <w:sz w:val="16"/>
          <w:szCs w:val="16"/>
          <w:color w:val="auto"/>
        </w:rPr>
        <w:t>The Gain on reverse loans held for investment and HMBS-related borrowings, net reported within the Servicing segment includes the net fair value changes of securitized reverse mortgage loans held for investment and HMBS-related borrowings, for which we elected the fair value accounting option. The net fair value changes of the reverse mortgage loans and related borrowings reported within the Servicing segment include the following:</w:t>
      </w:r>
    </w:p>
    <w:p>
      <w:pPr>
        <w:spacing w:after="0" w:line="52" w:lineRule="exact"/>
        <w:rPr>
          <w:sz w:val="20"/>
          <w:szCs w:val="20"/>
          <w:color w:val="auto"/>
        </w:rPr>
      </w:pPr>
    </w:p>
    <w:p>
      <w:pPr>
        <w:ind w:left="620" w:right="160" w:hanging="307"/>
        <w:spacing w:after="0" w:line="283"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contractual interest income earned on securitized reverse mortgage loans, net of interest expense on HMBS-related borrowings, that is, the servicing fee we are contractually entitled to and collect on a monthly basis under the Ginnie Mae MBS Guide regarding servicing HMBS;</w:t>
      </w:r>
    </w:p>
    <w:p>
      <w:pPr>
        <w:spacing w:after="0" w:line="4" w:lineRule="exact"/>
        <w:rPr>
          <w:rFonts w:ascii="Arial" w:cs="Arial" w:eastAsia="Arial" w:hAnsi="Arial"/>
          <w:sz w:val="17"/>
          <w:szCs w:val="17"/>
          <w:color w:val="auto"/>
        </w:rPr>
      </w:pPr>
    </w:p>
    <w:p>
      <w:pPr>
        <w:ind w:left="620" w:right="60" w:hanging="307"/>
        <w:spacing w:after="0" w:line="283"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cash gains on tail securitization. Tails are participations in previously securitized HECMs and are created by additions to principal for borrower draws on lines-of-credit (scheduled and unscheduled), interest, servicing fees, and mortgage insurance premiums;</w:t>
      </w:r>
    </w:p>
    <w:p>
      <w:pPr>
        <w:spacing w:after="0" w:line="4" w:lineRule="exact"/>
        <w:rPr>
          <w:rFonts w:ascii="Arial" w:cs="Arial" w:eastAsia="Arial" w:hAnsi="Arial"/>
          <w:sz w:val="17"/>
          <w:szCs w:val="17"/>
          <w:color w:val="auto"/>
        </w:rPr>
      </w:pPr>
    </w:p>
    <w:p>
      <w:pPr>
        <w:ind w:left="620" w:right="120" w:hanging="307"/>
        <w:spacing w:after="0" w:line="283"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fair value changes due to the realization of other expected cash flows of the net asset balance of securitized loans held for investment and HMBS-related borrowings; and</w:t>
      </w:r>
    </w:p>
    <w:p>
      <w:pPr>
        <w:spacing w:after="0" w:line="4"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fair value changes due to the inputs and assumptions of the net balance of securitized loans held for investment and HMBS-related borrowings.</w:t>
      </w:r>
    </w:p>
    <w:p>
      <w:pPr>
        <w:spacing w:after="0" w:line="126"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fair value of our Ginnie Mae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w:t>
      </w:r>
    </w:p>
    <w:p>
      <w:pPr>
        <w:spacing w:after="0" w:line="74" w:lineRule="exact"/>
        <w:rPr>
          <w:sz w:val="20"/>
          <w:szCs w:val="20"/>
          <w:color w:val="auto"/>
        </w:rPr>
      </w:pPr>
    </w:p>
    <w:p>
      <w:pPr>
        <w:ind w:right="300"/>
        <w:spacing w:after="0" w:line="285" w:lineRule="auto"/>
        <w:rPr>
          <w:sz w:val="20"/>
          <w:szCs w:val="20"/>
          <w:color w:val="auto"/>
        </w:rPr>
      </w:pPr>
      <w:r>
        <w:rPr>
          <w:rFonts w:ascii="Arial" w:cs="Arial" w:eastAsia="Arial" w:hAnsi="Arial"/>
          <w:sz w:val="16"/>
          <w:szCs w:val="16"/>
          <w:color w:val="auto"/>
        </w:rPr>
        <w:t>Gain (loss) on reverse loans held for investment and HMBS-related borrowings, net strictly reflects the financial performance of owned loans/servicing and excludes any subservicing activity. The financial performance associated with the subservicing of reverse mortgage loans on behalf of investors is primarily reflected within Servicing and subservicing fees, net. We collect higher subservicing fees for inactive loans relative to the base subservicing fee for performing loans or active repurchased loans, commensurate with the level of servicing efforts, as described above.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Servicer Ratings</w:t>
      </w:r>
    </w:p>
    <w:p>
      <w:pPr>
        <w:spacing w:after="0" w:line="115"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Like other servicers, we are the subject of mortgage servicer ratings or rankings (collectively, ratings) issued and revised from time to time by rating agencies including Moody’s Investors Service, Inc. (Moody’s), S&amp;P Global Ratings, Inc. (S&amp;P)</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and Fitch Ratings, Inc.(Fitch). Favorable ratings from these agencies are important to the conduct of our loan servicing and lending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latest key servicer ratings:</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6420" w:type="dxa"/>
            <w:vAlign w:val="bottom"/>
          </w:tcPr>
          <w:p>
            <w:pPr>
              <w:spacing w:after="0"/>
              <w:rPr>
                <w:sz w:val="19"/>
                <w:szCs w:val="19"/>
                <w:color w:val="auto"/>
              </w:rPr>
            </w:pPr>
          </w:p>
        </w:tc>
        <w:tc>
          <w:tcPr>
            <w:tcW w:w="478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97"/>
              </w:rPr>
              <w:t>PHH Mortgage Corporation (PMC)</w:t>
            </w:r>
          </w:p>
        </w:tc>
      </w:tr>
      <w:tr>
        <w:trPr>
          <w:trHeight w:val="213"/>
        </w:trPr>
        <w:tc>
          <w:tcPr>
            <w:tcW w:w="642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Moody’s</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S&amp;P</w:t>
            </w:r>
          </w:p>
        </w:tc>
        <w:tc>
          <w:tcPr>
            <w:tcW w:w="1520" w:type="dxa"/>
            <w:vAlign w:val="bottom"/>
          </w:tcPr>
          <w:p>
            <w:pPr>
              <w:jc w:val="center"/>
              <w:spacing w:after="0"/>
              <w:rPr>
                <w:sz w:val="20"/>
                <w:szCs w:val="20"/>
                <w:color w:val="auto"/>
              </w:rPr>
            </w:pPr>
            <w:r>
              <w:rPr>
                <w:rFonts w:ascii="Arial" w:cs="Arial" w:eastAsia="Arial" w:hAnsi="Arial"/>
                <w:sz w:val="17"/>
                <w:szCs w:val="17"/>
                <w:b w:val="1"/>
                <w:bCs w:val="1"/>
                <w:color w:val="auto"/>
                <w:w w:val="93"/>
              </w:rPr>
              <w:t>Fitch</w:t>
            </w:r>
          </w:p>
        </w:tc>
      </w:tr>
      <w:tr>
        <w:trPr>
          <w:trHeight w:val="200"/>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Forward</w:t>
            </w: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0"/>
        </w:trPr>
        <w:tc>
          <w:tcPr>
            <w:tcW w:w="6420" w:type="dxa"/>
            <w:vAlign w:val="bottom"/>
          </w:tcPr>
          <w:p>
            <w:pPr>
              <w:ind w:left="120"/>
              <w:spacing w:after="0"/>
              <w:rPr>
                <w:sz w:val="20"/>
                <w:szCs w:val="20"/>
                <w:color w:val="auto"/>
              </w:rPr>
            </w:pPr>
            <w:r>
              <w:rPr>
                <w:rFonts w:ascii="Arial" w:cs="Arial" w:eastAsia="Arial" w:hAnsi="Arial"/>
                <w:sz w:val="17"/>
                <w:szCs w:val="17"/>
                <w:color w:val="auto"/>
              </w:rPr>
              <w:t>Residential Prime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88"/>
              </w:rPr>
              <w:t>RPS3+</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Subprime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RPS3+</w:t>
            </w:r>
          </w:p>
        </w:tc>
      </w:tr>
      <w:tr>
        <w:trPr>
          <w:trHeight w:val="220"/>
        </w:trPr>
        <w:tc>
          <w:tcPr>
            <w:tcW w:w="6420" w:type="dxa"/>
            <w:vAlign w:val="bottom"/>
          </w:tcPr>
          <w:p>
            <w:pPr>
              <w:ind w:left="120"/>
              <w:spacing w:after="0"/>
              <w:rPr>
                <w:sz w:val="20"/>
                <w:szCs w:val="20"/>
                <w:color w:val="auto"/>
              </w:rPr>
            </w:pPr>
            <w:r>
              <w:rPr>
                <w:rFonts w:ascii="Arial" w:cs="Arial" w:eastAsia="Arial" w:hAnsi="Arial"/>
                <w:sz w:val="17"/>
                <w:szCs w:val="17"/>
                <w:color w:val="auto"/>
              </w:rPr>
              <w:t>Residential Special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RSS3</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Second/Subordinate Lien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6420" w:type="dxa"/>
            <w:vAlign w:val="bottom"/>
          </w:tcPr>
          <w:p>
            <w:pPr>
              <w:ind w:left="120"/>
              <w:spacing w:after="0"/>
              <w:rPr>
                <w:sz w:val="20"/>
                <w:szCs w:val="20"/>
                <w:color w:val="auto"/>
              </w:rPr>
            </w:pPr>
            <w:r>
              <w:rPr>
                <w:rFonts w:ascii="Arial" w:cs="Arial" w:eastAsia="Arial" w:hAnsi="Arial"/>
                <w:sz w:val="17"/>
                <w:szCs w:val="17"/>
                <w:color w:val="auto"/>
              </w:rPr>
              <w:t>Residential Home Equity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Alt-A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RPS3</w:t>
            </w:r>
          </w:p>
        </w:tc>
      </w:tr>
      <w:tr>
        <w:trPr>
          <w:trHeight w:val="220"/>
        </w:trPr>
        <w:tc>
          <w:tcPr>
            <w:tcW w:w="6420" w:type="dxa"/>
            <w:vAlign w:val="bottom"/>
          </w:tcPr>
          <w:p>
            <w:pPr>
              <w:ind w:left="120"/>
              <w:spacing w:after="0"/>
              <w:rPr>
                <w:sz w:val="20"/>
                <w:szCs w:val="20"/>
                <w:color w:val="auto"/>
              </w:rPr>
            </w:pPr>
            <w:r>
              <w:rPr>
                <w:rFonts w:ascii="Arial" w:cs="Arial" w:eastAsia="Arial" w:hAnsi="Arial"/>
                <w:sz w:val="17"/>
                <w:szCs w:val="17"/>
                <w:color w:val="auto"/>
              </w:rPr>
              <w:t>Master Servicer</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SQ3+</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RMS3</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Ratings Outlook</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8"/>
              </w:rPr>
              <w:t>N/A</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7"/>
              </w:rPr>
              <w:t>Stable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Positive / Stable</w:t>
            </w:r>
          </w:p>
        </w:tc>
      </w:tr>
      <w:tr>
        <w:trPr>
          <w:trHeight w:val="155"/>
        </w:trPr>
        <w:tc>
          <w:tcPr>
            <w:tcW w:w="64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Date of last action</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August 10, 2023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March 22, 2023</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August 2, 2022</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b w:val="1"/>
                <w:bCs w:val="1"/>
                <w:color w:val="auto"/>
              </w:rPr>
              <w:t>Reverse</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Residential Reverse Servicer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Above Average</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r>
        <w:trPr>
          <w:trHeight w:val="220"/>
        </w:trPr>
        <w:tc>
          <w:tcPr>
            <w:tcW w:w="6420" w:type="dxa"/>
            <w:vAlign w:val="bottom"/>
          </w:tcPr>
          <w:p>
            <w:pPr>
              <w:ind w:left="120"/>
              <w:spacing w:after="0"/>
              <w:rPr>
                <w:sz w:val="20"/>
                <w:szCs w:val="20"/>
                <w:color w:val="auto"/>
              </w:rPr>
            </w:pPr>
            <w:r>
              <w:rPr>
                <w:rFonts w:ascii="Arial" w:cs="Arial" w:eastAsia="Arial" w:hAnsi="Arial"/>
                <w:sz w:val="17"/>
                <w:szCs w:val="17"/>
                <w:color w:val="auto"/>
              </w:rPr>
              <w:t>Ratings Outlook</w:t>
            </w:r>
          </w:p>
        </w:tc>
        <w:tc>
          <w:tcPr>
            <w:tcW w:w="16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Stable</w:t>
            </w: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0"/>
        </w:trPr>
        <w:tc>
          <w:tcPr>
            <w:tcW w:w="6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Date of initial rating</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3"/>
              </w:rPr>
              <w:t>—</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May 27, 2022</w:t>
            </w: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w:t>
            </w:r>
          </w:p>
        </w:tc>
      </w:tr>
    </w:tbl>
    <w:p>
      <w:pPr>
        <w:spacing w:after="0" w:line="16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spacing w:after="0" w:line="69"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On August 10,2023, Moody’s upgraded the ratings for residential prime, subprime, special servicer and second lien quality (SQ) assessments from SQ3 to SQ3+, and affirmed the master servicer assessment at SQ3+. Moody’s ratings reflects i) significant investment in technology, ii) improvement in loan boarding, iii) improvement in document management and iv) improvement in bank account reconciliation process.</w:t>
      </w:r>
    </w:p>
    <w:p>
      <w:pPr>
        <w:spacing w:after="0" w:line="42"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On March 22, 2023, S&amp;P raised the ratings for residential mortgage primary, special, subprime and subordinate-lien servicer from Average to Above Average and affirmed the overall Above Average ranking as a residential mortgage loan master servicer and the ratings outlook as Stable. S&amp;P’s rankings reflects i) senior and middle management teams, which have sound industry experience and tenure levels and low turnover, ii) multiple levels of internal controls to monitor the operations, iii) internal or external audit findings - no material findings noted, based on the reports provided, iv) effective and industry-recognized technology systems and good level of automation in reporting, accounting, and cash administration, v) proactive servicer oversight program and comprehensive practices to monitor default activity to mitigate losses; and vi) continued portfolio runoff, reflecting the securitization market's limited new business opportunities and high competition levels with several master servicers competing for those transactions.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67" w:name="page68"/>
    <w:bookmarkEnd w:id="67"/>
    <w:p>
      <w:pPr>
        <w:ind w:right="840"/>
        <w:spacing w:after="0" w:line="283" w:lineRule="auto"/>
        <w:rPr>
          <w:sz w:val="20"/>
          <w:szCs w:val="20"/>
          <w:color w:val="auto"/>
        </w:rPr>
      </w:pPr>
      <w:r>
        <w:rPr>
          <w:rFonts w:ascii="Arial" w:cs="Arial" w:eastAsia="Arial" w:hAnsi="Arial"/>
          <w:sz w:val="17"/>
          <w:szCs w:val="17"/>
          <w:color w:val="auto"/>
        </w:rPr>
        <w:t>The following table presents selected results of operations of our Servicing segment. The amounts presented are before the elimination of balances and transactions with our other segments: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 Change</w:t>
            </w:r>
          </w:p>
        </w:tc>
        <w:tc>
          <w:tcPr>
            <w:tcW w:w="12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Servicing and subservicing fees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237.2</w:t>
            </w:r>
          </w:p>
        </w:tc>
        <w:tc>
          <w:tcPr>
            <w:tcW w:w="8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7"/>
                <w:szCs w:val="17"/>
                <w:color w:val="auto"/>
              </w:rPr>
              <w:t>— %</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705.9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641.7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10 %</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Gain (loss) on loans held for sale,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15.1</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(14.0)</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72"/>
        </w:trPr>
        <w:tc>
          <w:tcPr>
            <w:tcW w:w="3140" w:type="dxa"/>
            <w:vAlign w:val="bottom"/>
          </w:tcPr>
          <w:p>
            <w:pPr>
              <w:ind w:left="120"/>
              <w:spacing w:after="0"/>
              <w:rPr>
                <w:sz w:val="20"/>
                <w:szCs w:val="20"/>
                <w:color w:val="auto"/>
              </w:rPr>
            </w:pPr>
            <w:r>
              <w:rPr>
                <w:rFonts w:ascii="Arial" w:cs="Arial" w:eastAsia="Arial" w:hAnsi="Arial"/>
                <w:sz w:val="17"/>
                <w:szCs w:val="17"/>
                <w:color w:val="auto"/>
              </w:rPr>
              <w:t>Gain (loss) on reverse loans held for</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3140" w:type="dxa"/>
            <w:vAlign w:val="bottom"/>
          </w:tcPr>
          <w:p>
            <w:pPr>
              <w:ind w:left="200"/>
              <w:spacing w:after="0" w:line="181" w:lineRule="exact"/>
              <w:rPr>
                <w:sz w:val="20"/>
                <w:szCs w:val="20"/>
                <w:color w:val="auto"/>
              </w:rPr>
            </w:pPr>
            <w:r>
              <w:rPr>
                <w:rFonts w:ascii="Arial" w:cs="Arial" w:eastAsia="Arial" w:hAnsi="Arial"/>
                <w:sz w:val="17"/>
                <w:szCs w:val="17"/>
                <w:color w:val="auto"/>
              </w:rPr>
              <w:t>investment and HMBS-related</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40" w:type="dxa"/>
            <w:vAlign w:val="bottom"/>
          </w:tcPr>
          <w:p>
            <w:pPr>
              <w:ind w:left="200"/>
              <w:spacing w:after="0"/>
              <w:rPr>
                <w:sz w:val="20"/>
                <w:szCs w:val="20"/>
                <w:color w:val="auto"/>
              </w:rPr>
            </w:pPr>
            <w:r>
              <w:rPr>
                <w:rFonts w:ascii="Arial" w:cs="Arial" w:eastAsia="Arial" w:hAnsi="Arial"/>
                <w:sz w:val="17"/>
                <w:szCs w:val="17"/>
                <w:color w:val="auto"/>
              </w:rPr>
              <w:t>borrowings, net</w:t>
            </w:r>
          </w:p>
        </w:tc>
        <w:tc>
          <w:tcPr>
            <w:tcW w:w="140" w:type="dxa"/>
            <w:vAlign w:val="bottom"/>
          </w:tcPr>
          <w:p>
            <w:pPr>
              <w:spacing w:after="0"/>
              <w:rPr>
                <w:sz w:val="19"/>
                <w:szCs w:val="19"/>
                <w:color w:val="auto"/>
              </w:rPr>
            </w:pPr>
          </w:p>
        </w:tc>
        <w:tc>
          <w:tcPr>
            <w:tcW w:w="1280" w:type="dxa"/>
            <w:vAlign w:val="bottom"/>
            <w:vMerge w:val="restart"/>
          </w:tcPr>
          <w:p>
            <w:pPr>
              <w:jc w:val="right"/>
              <w:ind w:right="134"/>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restart"/>
          </w:tcPr>
          <w:p>
            <w:pPr>
              <w:jc w:val="right"/>
              <w:ind w:right="154"/>
              <w:spacing w:after="0"/>
              <w:rPr>
                <w:sz w:val="20"/>
                <w:szCs w:val="20"/>
                <w:color w:val="auto"/>
              </w:rPr>
            </w:pPr>
            <w:r>
              <w:rPr>
                <w:rFonts w:ascii="Arial" w:cs="Arial" w:eastAsia="Arial" w:hAnsi="Arial"/>
                <w:sz w:val="17"/>
                <w:szCs w:val="17"/>
                <w:color w:val="auto"/>
              </w:rPr>
              <w:t>(4.1)</w:t>
            </w:r>
          </w:p>
        </w:tc>
        <w:tc>
          <w:tcPr>
            <w:tcW w:w="1080" w:type="dxa"/>
            <w:vAlign w:val="bottom"/>
            <w:gridSpan w:val="2"/>
            <w:vMerge w:val="restart"/>
          </w:tcPr>
          <w:p>
            <w:pPr>
              <w:jc w:val="right"/>
              <w:ind w:right="134"/>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vMerge w:val="restart"/>
          </w:tcPr>
          <w:p>
            <w:pPr>
              <w:jc w:val="right"/>
              <w:ind w:right="13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vMerge w:val="restart"/>
          </w:tcPr>
          <w:p>
            <w:pPr>
              <w:jc w:val="right"/>
              <w:ind w:right="134"/>
              <w:spacing w:after="0"/>
              <w:rPr>
                <w:sz w:val="20"/>
                <w:szCs w:val="20"/>
                <w:color w:val="auto"/>
              </w:rPr>
            </w:pPr>
            <w:r>
              <w:rPr>
                <w:rFonts w:ascii="Arial" w:cs="Arial" w:eastAsia="Arial" w:hAnsi="Arial"/>
                <w:sz w:val="17"/>
                <w:szCs w:val="17"/>
                <w:color w:val="auto"/>
              </w:rPr>
              <w:t>(34.5)</w:t>
            </w:r>
          </w:p>
        </w:tc>
        <w:tc>
          <w:tcPr>
            <w:tcW w:w="1080" w:type="dxa"/>
            <w:vAlign w:val="bottom"/>
            <w:gridSpan w:val="2"/>
            <w:vMerge w:val="restart"/>
          </w:tcPr>
          <w:p>
            <w:pPr>
              <w:jc w:val="right"/>
              <w:ind w:right="74"/>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03"/>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revenue,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0.3</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335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231.3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248.5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724.8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594.3</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00"/>
        </w:trPr>
        <w:tc>
          <w:tcPr>
            <w:tcW w:w="3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(50.5)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(142.4)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62.7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26.7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Servicing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15.3</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41.8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42.4</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Professional services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11.1</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7.1</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23.2</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11.1</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34.8</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2.2</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79.6</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242.9</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61 %</w:t>
            </w:r>
          </w:p>
        </w:tc>
        <w:tc>
          <w:tcPr>
            <w:tcW w:w="0" w:type="dxa"/>
            <w:vAlign w:val="bottom"/>
          </w:tcPr>
          <w:p>
            <w:pPr>
              <w:spacing w:after="0"/>
              <w:rPr>
                <w:sz w:val="1"/>
                <w:szCs w:val="1"/>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(43.3)</w:t>
            </w:r>
          </w:p>
        </w:tc>
        <w:tc>
          <w:tcPr>
            <w:tcW w:w="8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(128.2)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(76.3)</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Pledged MSR liability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(73.1)</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(188.4)</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Earnings of equity method investee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2.9</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19.3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(3.7)</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(6.3)</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(109.9)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(111.2)</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(328.4)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(241.8)</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36 %</w:t>
            </w:r>
          </w:p>
        </w:tc>
        <w:tc>
          <w:tcPr>
            <w:tcW w:w="0" w:type="dxa"/>
            <w:vAlign w:val="bottom"/>
          </w:tcPr>
          <w:p>
            <w:pPr>
              <w:spacing w:after="0"/>
              <w:rPr>
                <w:sz w:val="1"/>
                <w:szCs w:val="1"/>
                <w:color w:val="auto"/>
              </w:rPr>
            </w:pPr>
          </w:p>
        </w:tc>
      </w:tr>
      <w:tr>
        <w:trPr>
          <w:trHeight w:val="135"/>
        </w:trPr>
        <w:tc>
          <w:tcPr>
            <w:tcW w:w="3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29.3</w:t>
            </w:r>
          </w:p>
        </w:tc>
        <w:tc>
          <w:tcPr>
            <w:tcW w:w="10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7.1</w:t>
            </w:r>
          </w:p>
        </w:tc>
        <w:tc>
          <w:tcPr>
            <w:tcW w:w="1320" w:type="dxa"/>
            <w:vAlign w:val="bottom"/>
            <w:gridSpan w:val="4"/>
          </w:tcPr>
          <w:p>
            <w:pPr>
              <w:jc w:val="right"/>
              <w:ind w:right="60"/>
              <w:spacing w:after="0"/>
              <w:rPr>
                <w:sz w:val="20"/>
                <w:szCs w:val="20"/>
                <w:color w:val="auto"/>
              </w:rPr>
            </w:pPr>
            <w:r>
              <w:rPr>
                <w:rFonts w:ascii="Arial" w:cs="Arial" w:eastAsia="Arial" w:hAnsi="Arial"/>
                <w:sz w:val="17"/>
                <w:szCs w:val="17"/>
                <w:color w:val="auto"/>
              </w:rPr>
              <w:t>310 %  $</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172.3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n/m: not meaningful</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7"/>
          <w:szCs w:val="17"/>
          <w:color w:val="auto"/>
        </w:rPr>
        <w:t>The following table provides selected operating statistics for our Servicing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600" w:type="dxa"/>
            <w:vAlign w:val="bottom"/>
          </w:tcPr>
          <w:p>
            <w:pPr>
              <w:ind w:left="20"/>
              <w:spacing w:after="0"/>
              <w:rPr>
                <w:sz w:val="20"/>
                <w:szCs w:val="20"/>
                <w:color w:val="auto"/>
              </w:rPr>
            </w:pPr>
            <w:r>
              <w:rPr>
                <w:rFonts w:ascii="Arial" w:cs="Arial" w:eastAsia="Arial" w:hAnsi="Arial"/>
                <w:sz w:val="17"/>
                <w:szCs w:val="17"/>
                <w:b w:val="1"/>
                <w:bCs w:val="1"/>
                <w:color w:val="auto"/>
              </w:rPr>
              <w:t>Selected Operating Statistics</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7"/>
                <w:szCs w:val="17"/>
                <w:b w:val="1"/>
                <w:bCs w:val="1"/>
                <w:color w:val="auto"/>
                <w:w w:val="91"/>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 Serviced</w:t>
            </w: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4600" w:type="dxa"/>
            <w:vAlign w:val="bottom"/>
          </w:tcPr>
          <w:p>
            <w:pPr>
              <w:ind w:left="140"/>
              <w:spacing w:after="0"/>
              <w:rPr>
                <w:sz w:val="20"/>
                <w:szCs w:val="20"/>
                <w:color w:val="auto"/>
              </w:rPr>
            </w:pPr>
            <w:r>
              <w:rPr>
                <w:rFonts w:ascii="Arial" w:cs="Arial" w:eastAsia="Arial" w:hAnsi="Arial"/>
                <w:sz w:val="17"/>
                <w:szCs w:val="17"/>
                <w:i w:val="1"/>
                <w:iCs w:val="1"/>
                <w:color w:val="auto"/>
              </w:rPr>
              <w:t>Unpaid principal balance (UPB) in billions: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Performing loans (1)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Non-performing loans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13.9</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(15)</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Non-performing real estate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(21)</w:t>
            </w:r>
          </w:p>
        </w:tc>
      </w:tr>
      <w:tr>
        <w:trPr>
          <w:trHeight w:val="213"/>
        </w:trPr>
        <w:tc>
          <w:tcPr>
            <w:tcW w:w="4600" w:type="dxa"/>
            <w:vAlign w:val="bottom"/>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21"/>
        </w:trPr>
        <w:tc>
          <w:tcPr>
            <w:tcW w:w="4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Conventional loans (2)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193.7</w:t>
            </w:r>
          </w:p>
        </w:tc>
        <w:tc>
          <w:tcPr>
            <w:tcW w:w="8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187.4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180.9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7 %</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Government-insured loans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r>
      <w:tr>
        <w:trPr>
          <w:trHeight w:val="22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Non-Agency loans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67.4</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(9)</w:t>
            </w:r>
          </w:p>
        </w:tc>
      </w:tr>
      <w:tr>
        <w:trPr>
          <w:trHeight w:val="238"/>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portfolio (3)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Subservicing portfolio</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forward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29 %</w:t>
            </w:r>
          </w:p>
        </w:tc>
      </w:tr>
      <w:tr>
        <w:trPr>
          <w:trHeight w:val="220"/>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Subservicing - reverse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(23)</w:t>
            </w:r>
          </w:p>
        </w:tc>
      </w:tr>
      <w:tr>
        <w:trPr>
          <w:trHeight w:val="213"/>
        </w:trPr>
        <w:tc>
          <w:tcPr>
            <w:tcW w:w="4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subservicing</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w:t>
            </w: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MAV (4) (5)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46.6</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47.8</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19</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Rithm (formerly NRZ) (5) (6)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w:t>
            </w:r>
          </w:p>
        </w:tc>
      </w:tr>
      <w:tr>
        <w:trPr>
          <w:trHeight w:val="22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MSR capital partners (5)</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n/m</w:t>
            </w:r>
          </w:p>
        </w:tc>
      </w:tr>
      <w:tr>
        <w:trPr>
          <w:trHeight w:val="238"/>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4600" w:type="dxa"/>
            <w:vAlign w:val="bottom"/>
            <w:shd w:val="clear" w:color="auto" w:fill="CCEEFF"/>
          </w:tcPr>
          <w:p>
            <w:pPr>
              <w:ind w:left="140"/>
              <w:spacing w:after="0"/>
              <w:rPr>
                <w:sz w:val="20"/>
                <w:szCs w:val="20"/>
                <w:color w:val="auto"/>
              </w:rPr>
            </w:pPr>
            <w:r>
              <w:rPr>
                <w:rFonts w:ascii="Arial" w:cs="Arial" w:eastAsia="Arial" w:hAnsi="Arial"/>
                <w:sz w:val="17"/>
                <w:szCs w:val="17"/>
                <w:i w:val="1"/>
                <w:iCs w:val="1"/>
                <w:color w:val="auto"/>
              </w:rPr>
              <w:t>Number (in 000’s):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Performing loans (1)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1,322.5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1,307.7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1,307.2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1 %</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Non-performing loans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4600" w:type="dxa"/>
            <w:vAlign w:val="bottom"/>
          </w:tcPr>
          <w:p>
            <w:pPr>
              <w:ind w:left="320"/>
              <w:spacing w:after="0"/>
              <w:rPr>
                <w:sz w:val="20"/>
                <w:szCs w:val="20"/>
                <w:color w:val="auto"/>
              </w:rPr>
            </w:pPr>
            <w:r>
              <w:rPr>
                <w:rFonts w:ascii="Arial" w:cs="Arial" w:eastAsia="Arial" w:hAnsi="Arial"/>
                <w:sz w:val="17"/>
                <w:szCs w:val="17"/>
                <w:color w:val="auto"/>
              </w:rPr>
              <w:t>Non-performing loans - Rithm</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20.9</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28.4</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(25)</w:t>
            </w:r>
          </w:p>
        </w:tc>
      </w:tr>
      <w:tr>
        <w:trPr>
          <w:trHeight w:val="220"/>
        </w:trPr>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Non-performing loans - 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(21)</w:t>
            </w:r>
          </w:p>
        </w:tc>
      </w:tr>
      <w:tr>
        <w:trPr>
          <w:trHeight w:val="213"/>
        </w:trPr>
        <w:tc>
          <w:tcPr>
            <w:tcW w:w="4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48.5</w:t>
            </w:r>
          </w:p>
        </w:tc>
        <w:tc>
          <w:tcPr>
            <w:tcW w:w="1100" w:type="dxa"/>
            <w:vAlign w:val="bottom"/>
            <w:gridSpan w:val="2"/>
          </w:tcPr>
          <w:p>
            <w:pPr>
              <w:ind w:left="7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62.4</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(23)</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Non-performing real estate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(31)</w:t>
            </w:r>
          </w:p>
        </w:tc>
      </w:tr>
      <w:tr>
        <w:trPr>
          <w:trHeight w:val="213"/>
        </w:trPr>
        <w:tc>
          <w:tcPr>
            <w:tcW w:w="4600" w:type="dxa"/>
            <w:vAlign w:val="bottom"/>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1,359.1</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1,373.4</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121"/>
        </w:trPr>
        <w:tc>
          <w:tcPr>
            <w:tcW w:w="4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Conventional loans (2)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756.8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736.3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726.0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4 %</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Government-insured loans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w:t>
            </w:r>
          </w:p>
        </w:tc>
        <w:tc>
          <w:tcPr>
            <w:tcW w:w="11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r>
      <w:tr>
        <w:trPr>
          <w:trHeight w:val="22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Non-Agency loans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455.1</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486.5</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(9)</w:t>
            </w:r>
          </w:p>
        </w:tc>
      </w:tr>
      <w:tr>
        <w:trPr>
          <w:trHeight w:val="238"/>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1,373.4</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4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portfolio (3)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583.1</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Subservicing portfolio</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46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Subservicing - forward</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31 %</w:t>
            </w:r>
          </w:p>
        </w:tc>
      </w:tr>
      <w:tr>
        <w:trPr>
          <w:trHeight w:val="220"/>
        </w:trPr>
        <w:tc>
          <w:tcPr>
            <w:tcW w:w="46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Subservicing - reverse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74.7</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(30)</w:t>
            </w:r>
          </w:p>
        </w:tc>
      </w:tr>
      <w:tr>
        <w:trPr>
          <w:trHeight w:val="213"/>
        </w:trPr>
        <w:tc>
          <w:tcPr>
            <w:tcW w:w="46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 subservicing</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r>
      <w:tr>
        <w:trPr>
          <w:trHeight w:val="220"/>
        </w:trPr>
        <w:tc>
          <w:tcPr>
            <w:tcW w:w="4600" w:type="dxa"/>
            <w:vAlign w:val="bottom"/>
          </w:tcPr>
          <w:p>
            <w:pPr>
              <w:ind w:left="220"/>
              <w:spacing w:after="0"/>
              <w:rPr>
                <w:sz w:val="20"/>
                <w:szCs w:val="20"/>
                <w:color w:val="auto"/>
              </w:rPr>
            </w:pPr>
            <w:r>
              <w:rPr>
                <w:rFonts w:ascii="Arial" w:cs="Arial" w:eastAsia="Arial" w:hAnsi="Arial"/>
                <w:sz w:val="17"/>
                <w:szCs w:val="17"/>
                <w:color w:val="auto"/>
              </w:rPr>
              <w:t>MAV (5)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164.5</w:t>
            </w:r>
          </w:p>
        </w:tc>
        <w:tc>
          <w:tcPr>
            <w:tcW w:w="1100" w:type="dxa"/>
            <w:vAlign w:val="bottom"/>
            <w:gridSpan w:val="2"/>
          </w:tcPr>
          <w:p>
            <w:pPr>
              <w:jc w:val="right"/>
              <w:ind w:right="134"/>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180.5</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12</w:t>
            </w:r>
          </w:p>
        </w:tc>
      </w:tr>
      <w:tr>
        <w:trPr>
          <w:trHeight w:val="220"/>
        </w:trPr>
        <w:tc>
          <w:tcPr>
            <w:tcW w:w="4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Rithm (5)</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369.8</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w:t>
            </w:r>
          </w:p>
        </w:tc>
      </w:tr>
      <w:tr>
        <w:trPr>
          <w:trHeight w:val="220"/>
        </w:trPr>
        <w:tc>
          <w:tcPr>
            <w:tcW w:w="4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MSR capital partners (5)</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w:t>
            </w:r>
          </w:p>
        </w:tc>
        <w:tc>
          <w:tcPr>
            <w:tcW w:w="110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n/m</w:t>
            </w:r>
          </w:p>
        </w:tc>
      </w:tr>
      <w:tr>
        <w:trPr>
          <w:trHeight w:val="238"/>
        </w:trPr>
        <w:tc>
          <w:tcPr>
            <w:tcW w:w="4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1,373.4</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851"/>
        </w:trPr>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34"/>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9"/>
        </w:trPr>
        <w:tc>
          <w:tcPr>
            <w:tcW w:w="46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5"/>
        </w:trPr>
        <w:tc>
          <w:tcPr>
            <w:tcW w:w="2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ind w:left="540"/>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ind w:left="140"/>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7"/>
                <w:szCs w:val="17"/>
                <w:b w:val="1"/>
                <w:bCs w:val="1"/>
                <w:color w:val="auto"/>
                <w:w w:val="94"/>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2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ind w:left="400"/>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ind w:left="280"/>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rPr>
              <w:t>% Change</w:t>
            </w: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980" w:type="dxa"/>
            <w:vAlign w:val="bottom"/>
          </w:tcPr>
          <w:p>
            <w:pPr>
              <w:ind w:left="100"/>
              <w:spacing w:after="0"/>
              <w:rPr>
                <w:sz w:val="20"/>
                <w:szCs w:val="20"/>
                <w:color w:val="auto"/>
              </w:rPr>
            </w:pPr>
            <w:r>
              <w:rPr>
                <w:rFonts w:ascii="Arial" w:cs="Arial" w:eastAsia="Arial" w:hAnsi="Arial"/>
                <w:sz w:val="17"/>
                <w:szCs w:val="17"/>
                <w:b w:val="1"/>
                <w:bCs w:val="1"/>
                <w:color w:val="auto"/>
              </w:rPr>
              <w:t>% Change</w:t>
            </w:r>
          </w:p>
        </w:tc>
      </w:tr>
      <w:tr>
        <w:trPr>
          <w:trHeight w:val="200"/>
        </w:trPr>
        <w:tc>
          <w:tcPr>
            <w:tcW w:w="2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i w:val="1"/>
                <w:iCs w:val="1"/>
                <w:color w:val="auto"/>
              </w:rPr>
              <w:t>Prepayment speed (CPR) (7):</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2920" w:type="dxa"/>
            <w:vAlign w:val="bottom"/>
          </w:tcPr>
          <w:p>
            <w:pPr>
              <w:ind w:left="120"/>
              <w:spacing w:after="0"/>
              <w:rPr>
                <w:sz w:val="20"/>
                <w:szCs w:val="20"/>
                <w:color w:val="auto"/>
              </w:rPr>
            </w:pPr>
            <w:r>
              <w:rPr>
                <w:rFonts w:ascii="Arial" w:cs="Arial" w:eastAsia="Arial" w:hAnsi="Arial"/>
                <w:sz w:val="17"/>
                <w:szCs w:val="17"/>
                <w:color w:val="auto"/>
              </w:rPr>
              <w:t>% Voluntary CPR</w:t>
            </w:r>
          </w:p>
        </w:tc>
        <w:tc>
          <w:tcPr>
            <w:tcW w:w="16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Arial" w:cs="Arial" w:eastAsia="Arial" w:hAnsi="Arial"/>
                <w:sz w:val="17"/>
                <w:szCs w:val="17"/>
                <w:color w:val="auto"/>
                <w:w w:val="91"/>
              </w:rPr>
              <w:t>4.4 %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7"/>
                <w:szCs w:val="17"/>
                <w:color w:val="auto"/>
                <w:w w:val="91"/>
              </w:rPr>
              <w:t>4.8 %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8.8 %</w:t>
            </w:r>
          </w:p>
        </w:tc>
        <w:tc>
          <w:tcPr>
            <w:tcW w:w="1060" w:type="dxa"/>
            <w:vAlign w:val="bottom"/>
            <w:gridSpan w:val="2"/>
          </w:tcPr>
          <w:p>
            <w:pPr>
              <w:ind w:left="600"/>
              <w:spacing w:after="0"/>
              <w:rPr>
                <w:sz w:val="20"/>
                <w:szCs w:val="20"/>
                <w:color w:val="auto"/>
              </w:rPr>
            </w:pPr>
            <w:r>
              <w:rPr>
                <w:rFonts w:ascii="Arial" w:cs="Arial" w:eastAsia="Arial" w:hAnsi="Arial"/>
                <w:sz w:val="17"/>
                <w:szCs w:val="17"/>
                <w:color w:val="auto"/>
                <w:w w:val="96"/>
              </w:rPr>
              <w:t>(52)%</w:t>
            </w:r>
          </w:p>
        </w:tc>
      </w:tr>
      <w:tr>
        <w:trPr>
          <w:trHeight w:val="220"/>
        </w:trPr>
        <w:tc>
          <w:tcPr>
            <w:tcW w:w="2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Involuntary CPR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0.3</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(25)</w:t>
            </w:r>
          </w:p>
        </w:tc>
      </w:tr>
      <w:tr>
        <w:trPr>
          <w:trHeight w:val="220"/>
        </w:trPr>
        <w:tc>
          <w:tcPr>
            <w:tcW w:w="2920" w:type="dxa"/>
            <w:vAlign w:val="bottom"/>
          </w:tcPr>
          <w:p>
            <w:pPr>
              <w:ind w:left="120"/>
              <w:spacing w:after="0"/>
              <w:rPr>
                <w:sz w:val="20"/>
                <w:szCs w:val="20"/>
                <w:color w:val="auto"/>
              </w:rPr>
            </w:pPr>
            <w:r>
              <w:rPr>
                <w:rFonts w:ascii="Arial" w:cs="Arial" w:eastAsia="Arial" w:hAnsi="Arial"/>
                <w:sz w:val="17"/>
                <w:szCs w:val="17"/>
                <w:color w:val="auto"/>
              </w:rPr>
              <w:t>% Total CPR</w:t>
            </w:r>
          </w:p>
        </w:tc>
        <w:tc>
          <w:tcPr>
            <w:tcW w:w="160" w:type="dxa"/>
            <w:vAlign w:val="bottom"/>
          </w:tcPr>
          <w:p>
            <w:pPr>
              <w:spacing w:after="0"/>
              <w:rPr>
                <w:sz w:val="19"/>
                <w:szCs w:val="19"/>
                <w:color w:val="auto"/>
              </w:rPr>
            </w:pPr>
          </w:p>
        </w:tc>
        <w:tc>
          <w:tcPr>
            <w:tcW w:w="1320" w:type="dxa"/>
            <w:vAlign w:val="bottom"/>
          </w:tcPr>
          <w:p>
            <w:pPr>
              <w:ind w:left="900"/>
              <w:spacing w:after="0"/>
              <w:rPr>
                <w:sz w:val="20"/>
                <w:szCs w:val="20"/>
                <w:color w:val="auto"/>
              </w:rPr>
            </w:pPr>
            <w:r>
              <w:rPr>
                <w:rFonts w:ascii="Arial" w:cs="Arial" w:eastAsia="Arial" w:hAnsi="Arial"/>
                <w:sz w:val="17"/>
                <w:szCs w:val="17"/>
                <w:color w:val="auto"/>
                <w:w w:val="91"/>
              </w:rPr>
              <w:t>7.9 %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ind w:left="720"/>
              <w:spacing w:after="0"/>
              <w:rPr>
                <w:sz w:val="20"/>
                <w:szCs w:val="20"/>
                <w:color w:val="auto"/>
              </w:rPr>
            </w:pPr>
            <w:r>
              <w:rPr>
                <w:rFonts w:ascii="Arial" w:cs="Arial" w:eastAsia="Arial" w:hAnsi="Arial"/>
                <w:sz w:val="17"/>
                <w:szCs w:val="17"/>
                <w:color w:val="auto"/>
                <w:w w:val="91"/>
              </w:rPr>
              <w:t>8.3 %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12.4 %</w:t>
            </w:r>
          </w:p>
        </w:tc>
        <w:tc>
          <w:tcPr>
            <w:tcW w:w="1060" w:type="dxa"/>
            <w:vAlign w:val="bottom"/>
            <w:gridSpan w:val="2"/>
          </w:tcPr>
          <w:p>
            <w:pPr>
              <w:ind w:left="600"/>
              <w:spacing w:after="0"/>
              <w:rPr>
                <w:sz w:val="20"/>
                <w:szCs w:val="20"/>
                <w:color w:val="auto"/>
              </w:rPr>
            </w:pPr>
            <w:r>
              <w:rPr>
                <w:rFonts w:ascii="Arial" w:cs="Arial" w:eastAsia="Arial" w:hAnsi="Arial"/>
                <w:sz w:val="17"/>
                <w:szCs w:val="17"/>
                <w:color w:val="auto"/>
                <w:w w:val="96"/>
              </w:rPr>
              <w:t>(37)%</w:t>
            </w:r>
          </w:p>
        </w:tc>
      </w:tr>
      <w:tr>
        <w:trPr>
          <w:trHeight w:val="155"/>
        </w:trPr>
        <w:tc>
          <w:tcPr>
            <w:tcW w:w="2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168"/>
        </w:trPr>
        <w:tc>
          <w:tcPr>
            <w:tcW w:w="2920" w:type="dxa"/>
            <w:vAlign w:val="bottom"/>
          </w:tcPr>
          <w:p>
            <w:pPr>
              <w:ind w:left="20"/>
              <w:spacing w:after="0" w:line="168" w:lineRule="exact"/>
              <w:rPr>
                <w:sz w:val="20"/>
                <w:szCs w:val="20"/>
                <w:color w:val="auto"/>
              </w:rPr>
            </w:pPr>
            <w:r>
              <w:rPr>
                <w:rFonts w:ascii="Arial" w:cs="Arial" w:eastAsia="Arial" w:hAnsi="Arial"/>
                <w:sz w:val="17"/>
                <w:szCs w:val="17"/>
                <w:color w:val="auto"/>
                <w:w w:val="99"/>
              </w:rPr>
              <w:t xml:space="preserve">Number of completed modifications </w:t>
            </w:r>
            <w:r>
              <w:rPr>
                <w:rFonts w:ascii="Arial" w:cs="Arial" w:eastAsia="Arial" w:hAnsi="Arial"/>
                <w:sz w:val="17"/>
                <w:szCs w:val="17"/>
                <w:i w:val="1"/>
                <w:iCs w:val="1"/>
                <w:color w:val="auto"/>
                <w:w w:val="99"/>
              </w:rPr>
              <w:t>(in</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2"/>
        </w:trPr>
        <w:tc>
          <w:tcPr>
            <w:tcW w:w="2920" w:type="dxa"/>
            <w:vAlign w:val="bottom"/>
          </w:tcPr>
          <w:p>
            <w:pPr>
              <w:ind w:left="180"/>
              <w:spacing w:after="0"/>
              <w:rPr>
                <w:sz w:val="20"/>
                <w:szCs w:val="20"/>
                <w:color w:val="auto"/>
              </w:rPr>
            </w:pPr>
            <w:r>
              <w:rPr>
                <w:rFonts w:ascii="Arial" w:cs="Arial" w:eastAsia="Arial" w:hAnsi="Arial"/>
                <w:sz w:val="17"/>
                <w:szCs w:val="17"/>
                <w:i w:val="1"/>
                <w:iCs w:val="1"/>
                <w:color w:val="auto"/>
              </w:rPr>
              <w:t>000’s)</w:t>
            </w:r>
          </w:p>
        </w:tc>
        <w:tc>
          <w:tcPr>
            <w:tcW w:w="160" w:type="dxa"/>
            <w:vAlign w:val="bottom"/>
          </w:tcPr>
          <w:p>
            <w:pPr>
              <w:spacing w:after="0"/>
              <w:rPr>
                <w:sz w:val="20"/>
                <w:szCs w:val="20"/>
                <w:color w:val="auto"/>
              </w:rPr>
            </w:pPr>
          </w:p>
        </w:tc>
        <w:tc>
          <w:tcPr>
            <w:tcW w:w="1320" w:type="dxa"/>
            <w:vAlign w:val="bottom"/>
          </w:tcPr>
          <w:p>
            <w:pPr>
              <w:ind w:left="90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ind w:left="720"/>
              <w:spacing w:after="0"/>
              <w:rPr>
                <w:sz w:val="20"/>
                <w:szCs w:val="20"/>
                <w:color w:val="auto"/>
              </w:rPr>
            </w:pPr>
            <w:r>
              <w:rPr>
                <w:rFonts w:ascii="Arial" w:cs="Arial" w:eastAsia="Arial" w:hAnsi="Arial"/>
                <w:sz w:val="17"/>
                <w:szCs w:val="17"/>
                <w:color w:val="auto"/>
              </w:rPr>
              <w:t>3.5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34"/>
              <w:spacing w:after="0"/>
              <w:rPr>
                <w:sz w:val="20"/>
                <w:szCs w:val="20"/>
                <w:color w:val="auto"/>
              </w:rPr>
            </w:pPr>
            <w:r>
              <w:rPr>
                <w:rFonts w:ascii="Arial" w:cs="Arial" w:eastAsia="Arial" w:hAnsi="Arial"/>
                <w:sz w:val="17"/>
                <w:szCs w:val="17"/>
                <w:color w:val="auto"/>
              </w:rPr>
              <w:t>13.6</w:t>
            </w:r>
          </w:p>
        </w:tc>
        <w:tc>
          <w:tcPr>
            <w:tcW w:w="1060" w:type="dxa"/>
            <w:vAlign w:val="bottom"/>
            <w:gridSpan w:val="2"/>
          </w:tcPr>
          <w:p>
            <w:pPr>
              <w:ind w:left="600"/>
              <w:spacing w:after="0"/>
              <w:rPr>
                <w:sz w:val="20"/>
                <w:szCs w:val="20"/>
                <w:color w:val="auto"/>
              </w:rPr>
            </w:pPr>
            <w:r>
              <w:rPr>
                <w:rFonts w:ascii="Arial" w:cs="Arial" w:eastAsia="Arial" w:hAnsi="Arial"/>
                <w:sz w:val="17"/>
                <w:szCs w:val="17"/>
                <w:color w:val="auto"/>
                <w:w w:val="96"/>
              </w:rPr>
              <w:t>(18)%</w:t>
            </w:r>
          </w:p>
        </w:tc>
      </w:tr>
      <w:tr>
        <w:trPr>
          <w:trHeight w:val="168"/>
        </w:trPr>
        <w:tc>
          <w:tcPr>
            <w:tcW w:w="29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7"/>
              </w:rPr>
              <w:t>Revenue recognized in connection with</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2"/>
        </w:trPr>
        <w:tc>
          <w:tcPr>
            <w:tcW w:w="2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 modifications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ind w:left="720"/>
              <w:spacing w:after="0"/>
              <w:rPr>
                <w:sz w:val="20"/>
                <w:szCs w:val="20"/>
                <w:color w:val="auto"/>
              </w:rPr>
            </w:pPr>
            <w:r>
              <w:rPr>
                <w:rFonts w:ascii="Arial" w:cs="Arial" w:eastAsia="Arial" w:hAnsi="Arial"/>
                <w:sz w:val="17"/>
                <w:szCs w:val="17"/>
                <w:color w:val="auto"/>
              </w:rPr>
              <w:t>3.4</w:t>
            </w:r>
          </w:p>
        </w:tc>
        <w:tc>
          <w:tcPr>
            <w:tcW w:w="13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21 %  $</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17.8</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96"/>
              </w:rPr>
              <w:t>(38)%</w:t>
            </w:r>
          </w:p>
        </w:tc>
      </w:tr>
    </w:tbl>
    <w:p>
      <w:pPr>
        <w:spacing w:after="0" w:line="121" w:lineRule="exact"/>
        <w:rPr>
          <w:sz w:val="20"/>
          <w:szCs w:val="20"/>
          <w:color w:val="auto"/>
        </w:rPr>
      </w:pPr>
    </w:p>
    <w:p>
      <w:pPr>
        <w:ind w:left="320" w:right="600" w:hanging="317"/>
        <w:spacing w:after="0" w:line="252"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20" w:right="200" w:hanging="317"/>
        <w:spacing w:after="0" w:line="241"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Conventional loans include 65,199 and 65,796 prime loans with a UPB of $13.3 billion and $13.3 billion at September 30, 2023 and June 30, 2023, respectively, that we service or subservice. This compares to 67,752 prime loans with a UPB of $13.3 billion at September 30, 2022. Prime loans are generally good credit quality loans that meet GSE underwriting standards.</w:t>
      </w:r>
    </w:p>
    <w:p>
      <w:pPr>
        <w:spacing w:after="0" w:line="1" w:lineRule="exact"/>
        <w:rPr>
          <w:rFonts w:ascii="Arial" w:cs="Arial" w:eastAsia="Arial" w:hAnsi="Arial"/>
          <w:sz w:val="16"/>
          <w:szCs w:val="16"/>
          <w:color w:val="auto"/>
        </w:rPr>
      </w:pPr>
    </w:p>
    <w:p>
      <w:pPr>
        <w:ind w:left="320" w:hanging="317"/>
        <w:spacing w:after="0" w:line="235"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35,698 reverse mortgage loans with a UPB of $7.9 billion that are recognized in our consolidated balance sheet at September 30, 2023.</w:t>
      </w:r>
    </w:p>
    <w:p>
      <w:pPr>
        <w:ind w:left="320" w:hanging="317"/>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$27.5 billion UPB subserviced and $29.2 billion UPB of MSRs sold to MAV that did not achieve sale accounting treatment at September 30, 2023.</w:t>
      </w:r>
    </w:p>
    <w:p>
      <w:pPr>
        <w:spacing w:after="0" w:line="19" w:lineRule="exact"/>
        <w:rPr>
          <w:rFonts w:ascii="Arial" w:cs="Arial" w:eastAsia="Arial" w:hAnsi="Arial"/>
          <w:sz w:val="14"/>
          <w:szCs w:val="14"/>
          <w:color w:val="auto"/>
        </w:rPr>
      </w:pPr>
    </w:p>
    <w:p>
      <w:pPr>
        <w:ind w:left="320" w:hanging="317"/>
        <w:spacing w:after="0" w:line="235" w:lineRule="auto"/>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MAV, Rithm or others for which sale accounting is not achieved.</w:t>
      </w:r>
    </w:p>
    <w:p>
      <w:pPr>
        <w:ind w:left="320" w:hanging="317"/>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$1.8 billion UPB of subserviced loans on behalf of Rithm at September 30, 2023.</w:t>
      </w:r>
    </w:p>
    <w:p>
      <w:pPr>
        <w:ind w:left="320" w:hanging="317"/>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Total 3-month % CPR includes voluntary and involuntary prepayments, as shown in the table, plus scheduled principal amortization.</w:t>
      </w:r>
    </w:p>
    <w:p>
      <w:pPr>
        <w:spacing w:after="0" w:line="94"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The following table provides the rollforward of activity of our portfolio of mortgage loans serviced that includes MSRs, whole loans and subserviced loans, both forward and reverse: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Arial" w:cs="Arial" w:eastAsia="Arial" w:hAnsi="Arial"/>
                <w:sz w:val="17"/>
                <w:szCs w:val="17"/>
                <w:b w:val="1"/>
                <w:bCs w:val="1"/>
                <w:color w:val="auto"/>
              </w:rPr>
              <w:t>Amount of UPB (</w:t>
            </w:r>
            <w:r>
              <w:rPr>
                <w:rFonts w:ascii="Arial" w:cs="Arial" w:eastAsia="Arial" w:hAnsi="Arial"/>
                <w:sz w:val="17"/>
                <w:szCs w:val="17"/>
                <w:b w:val="1"/>
                <w:bCs w:val="1"/>
                <w:i w:val="1"/>
                <w:iCs w:val="1"/>
                <w:color w:val="auto"/>
              </w:rPr>
              <w:t>$</w:t>
            </w:r>
          </w:p>
        </w:tc>
        <w:tc>
          <w:tcPr>
            <w:tcW w:w="1260" w:type="dxa"/>
            <w:vAlign w:val="bottom"/>
            <w:gridSpan w:val="2"/>
          </w:tcPr>
          <w:p>
            <w:pPr>
              <w:ind w:left="20"/>
              <w:spacing w:after="0"/>
              <w:rPr>
                <w:sz w:val="20"/>
                <w:szCs w:val="20"/>
                <w:color w:val="auto"/>
              </w:rPr>
            </w:pPr>
            <w:r>
              <w:rPr>
                <w:rFonts w:ascii="Arial" w:cs="Arial" w:eastAsia="Arial" w:hAnsi="Arial"/>
                <w:sz w:val="17"/>
                <w:szCs w:val="17"/>
                <w:b w:val="1"/>
                <w:bCs w:val="1"/>
                <w:i w:val="1"/>
                <w:iCs w:val="1"/>
                <w:color w:val="auto"/>
              </w:rPr>
              <w:t>in billions)</w:t>
            </w:r>
          </w:p>
        </w:tc>
        <w:tc>
          <w:tcPr>
            <w:tcW w:w="2020" w:type="dxa"/>
            <w:vAlign w:val="bottom"/>
            <w:gridSpan w:val="3"/>
          </w:tcPr>
          <w:p>
            <w:pPr>
              <w:ind w:left="980"/>
              <w:spacing w:after="0"/>
              <w:rPr>
                <w:sz w:val="20"/>
                <w:szCs w:val="20"/>
                <w:color w:val="auto"/>
              </w:rPr>
            </w:pPr>
            <w:r>
              <w:rPr>
                <w:rFonts w:ascii="Arial" w:cs="Arial" w:eastAsia="Arial" w:hAnsi="Arial"/>
                <w:sz w:val="17"/>
                <w:szCs w:val="17"/>
                <w:b w:val="1"/>
                <w:bCs w:val="1"/>
                <w:color w:val="auto"/>
                <w:w w:val="94"/>
              </w:rPr>
              <w:t>Count (000’s)</w:t>
            </w:r>
          </w:p>
        </w:tc>
        <w:tc>
          <w:tcPr>
            <w:tcW w:w="940" w:type="dxa"/>
            <w:vAlign w:val="bottom"/>
          </w:tcPr>
          <w:p>
            <w:pPr>
              <w:spacing w:after="0"/>
              <w:rPr>
                <w:sz w:val="19"/>
                <w:szCs w:val="19"/>
                <w:color w:val="auto"/>
              </w:rPr>
            </w:pPr>
          </w:p>
        </w:tc>
      </w:tr>
      <w:tr>
        <w:trPr>
          <w:trHeight w:val="213"/>
        </w:trPr>
        <w:tc>
          <w:tcPr>
            <w:tcW w:w="5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Portfolio at January 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1,353.2</w:t>
            </w:r>
          </w:p>
        </w:tc>
      </w:tr>
      <w:tr>
        <w:trPr>
          <w:trHeight w:val="220"/>
        </w:trPr>
        <w:tc>
          <w:tcPr>
            <w:tcW w:w="5240" w:type="dxa"/>
            <w:vAlign w:val="bottom"/>
          </w:tcPr>
          <w:p>
            <w:pPr>
              <w:ind w:left="20"/>
              <w:spacing w:after="0"/>
              <w:rPr>
                <w:sz w:val="20"/>
                <w:szCs w:val="20"/>
                <w:color w:val="auto"/>
              </w:rPr>
            </w:pPr>
            <w:r>
              <w:rPr>
                <w:rFonts w:ascii="Arial" w:cs="Arial" w:eastAsia="Arial" w:hAnsi="Arial"/>
                <w:sz w:val="17"/>
                <w:szCs w:val="17"/>
                <w:color w:val="auto"/>
              </w:rPr>
              <w:t>Additions (1) (2)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78.1</w:t>
            </w:r>
          </w:p>
        </w:tc>
      </w:tr>
      <w:tr>
        <w:trPr>
          <w:trHeight w:val="220"/>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MSR sales (2)</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5240" w:type="dxa"/>
            <w:vAlign w:val="bottom"/>
          </w:tcPr>
          <w:p>
            <w:pPr>
              <w:ind w:left="140"/>
              <w:spacing w:after="0"/>
              <w:rPr>
                <w:sz w:val="20"/>
                <w:szCs w:val="20"/>
                <w:color w:val="auto"/>
              </w:rPr>
            </w:pPr>
            <w:r>
              <w:rPr>
                <w:rFonts w:ascii="Arial" w:cs="Arial" w:eastAsia="Arial" w:hAnsi="Arial"/>
                <w:sz w:val="17"/>
                <w:szCs w:val="17"/>
                <w:color w:val="auto"/>
              </w:rPr>
              <w:t>Servicing transfers (1)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20"/>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Runoff</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b w:val="1"/>
                <w:bCs w:val="1"/>
                <w:color w:val="auto"/>
              </w:rPr>
              <w:t>Portfolio at March 31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275.3</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1,403.7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1,375.1</w:t>
            </w:r>
          </w:p>
        </w:tc>
      </w:tr>
      <w:tr>
        <w:trPr>
          <w:trHeight w:val="220"/>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 (1)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r>
      <w:tr>
        <w:trPr>
          <w:trHeight w:val="220"/>
        </w:trPr>
        <w:tc>
          <w:tcPr>
            <w:tcW w:w="5240" w:type="dxa"/>
            <w:vAlign w:val="bottom"/>
          </w:tcPr>
          <w:p>
            <w:pPr>
              <w:ind w:left="140"/>
              <w:spacing w:after="0"/>
              <w:rPr>
                <w:sz w:val="20"/>
                <w:szCs w:val="20"/>
                <w:color w:val="auto"/>
              </w:rPr>
            </w:pPr>
            <w:r>
              <w:rPr>
                <w:rFonts w:ascii="Arial" w:cs="Arial" w:eastAsia="Arial" w:hAnsi="Arial"/>
                <w:sz w:val="17"/>
                <w:szCs w:val="17"/>
                <w:color w:val="auto"/>
              </w:rPr>
              <w:t>MSR sales</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Servicing transfers (1)</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r>
      <w:tr>
        <w:trPr>
          <w:trHeight w:val="220"/>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Runoff</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Portfolio at June 30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1,403.4</w:t>
            </w:r>
          </w:p>
        </w:tc>
      </w:tr>
      <w:tr>
        <w:trPr>
          <w:trHeight w:val="220"/>
        </w:trPr>
        <w:tc>
          <w:tcPr>
            <w:tcW w:w="5240" w:type="dxa"/>
            <w:vAlign w:val="bottom"/>
          </w:tcPr>
          <w:p>
            <w:pPr>
              <w:ind w:left="140"/>
              <w:spacing w:after="0"/>
              <w:rPr>
                <w:sz w:val="20"/>
                <w:szCs w:val="20"/>
                <w:color w:val="auto"/>
              </w:rPr>
            </w:pPr>
            <w:r>
              <w:rPr>
                <w:rFonts w:ascii="Arial" w:cs="Arial" w:eastAsia="Arial" w:hAnsi="Arial"/>
                <w:sz w:val="17"/>
                <w:szCs w:val="17"/>
                <w:color w:val="auto"/>
              </w:rPr>
              <w:t>Additions (1) (3) (4) (5)</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42.7</w:t>
            </w:r>
          </w:p>
        </w:tc>
      </w:tr>
      <w:tr>
        <w:trPr>
          <w:trHeight w:val="220"/>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Sales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2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r>
      <w:tr>
        <w:trPr>
          <w:trHeight w:val="220"/>
        </w:trPr>
        <w:tc>
          <w:tcPr>
            <w:tcW w:w="5240" w:type="dxa"/>
            <w:vAlign w:val="bottom"/>
          </w:tcPr>
          <w:p>
            <w:pPr>
              <w:ind w:left="140"/>
              <w:spacing w:after="0"/>
              <w:rPr>
                <w:sz w:val="20"/>
                <w:szCs w:val="20"/>
                <w:color w:val="auto"/>
              </w:rPr>
            </w:pPr>
            <w:r>
              <w:rPr>
                <w:rFonts w:ascii="Arial" w:cs="Arial" w:eastAsia="Arial" w:hAnsi="Arial"/>
                <w:sz w:val="17"/>
                <w:szCs w:val="17"/>
                <w:color w:val="auto"/>
              </w:rPr>
              <w:t>Servicing transfers (1) (2)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(39.3)</w:t>
            </w:r>
          </w:p>
        </w:tc>
      </w:tr>
      <w:tr>
        <w:trPr>
          <w:trHeight w:val="220"/>
        </w:trPr>
        <w:tc>
          <w:tcPr>
            <w:tcW w:w="52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Runoff</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(33.3)</w:t>
            </w:r>
          </w:p>
        </w:tc>
      </w:tr>
      <w:tr>
        <w:trPr>
          <w:trHeight w:val="213"/>
        </w:trPr>
        <w:tc>
          <w:tcPr>
            <w:tcW w:w="5240" w:type="dxa"/>
            <w:vAlign w:val="bottom"/>
          </w:tcPr>
          <w:p>
            <w:pPr>
              <w:ind w:left="20"/>
              <w:spacing w:after="0"/>
              <w:rPr>
                <w:sz w:val="20"/>
                <w:szCs w:val="20"/>
                <w:color w:val="auto"/>
              </w:rPr>
            </w:pPr>
            <w:r>
              <w:rPr>
                <w:rFonts w:ascii="Arial" w:cs="Arial" w:eastAsia="Arial" w:hAnsi="Arial"/>
                <w:sz w:val="17"/>
                <w:szCs w:val="17"/>
                <w:b w:val="1"/>
                <w:bCs w:val="1"/>
                <w:color w:val="auto"/>
              </w:rPr>
              <w:t>Portfolio at September 30</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283.3</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1,373.4</w:t>
            </w: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right="340" w:hanging="317"/>
        <w:spacing w:after="0" w:line="243"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the volume UPB associated with short-term interim subservicing for some clients as a support to their originate-to-sell business, where loans may be boarded and deboarded within the same quarter.</w:t>
      </w:r>
    </w:p>
    <w:p>
      <w:pPr>
        <w:spacing w:after="0" w:line="1" w:lineRule="exact"/>
        <w:rPr>
          <w:rFonts w:ascii="Arial" w:cs="Arial" w:eastAsia="Arial" w:hAnsi="Arial"/>
          <w:sz w:val="16"/>
          <w:szCs w:val="16"/>
          <w:color w:val="auto"/>
        </w:rPr>
      </w:pPr>
    </w:p>
    <w:p>
      <w:pPr>
        <w:ind w:left="320" w:right="200" w:hanging="317"/>
        <w:spacing w:after="0" w:line="244"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MSRs sold to an unrelated third party in the first quarter of 2022 consisting of 38,850 loans with a UPB of $11.1 billion, with the remaining active loans transferred out of the PMC servicing system in the third quarter of 2022, and for which PMC performed interim subservicing.</w:t>
      </w:r>
    </w:p>
    <w:p>
      <w:pPr>
        <w:ind w:left="320" w:right="600" w:hanging="317"/>
        <w:spacing w:after="0" w:line="253"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Additions include purchased MSRs on portfolios consisting of 577 loans with a UPB of $113.0 million that have not yet transferred to the PMC servicing system as of September 30, 2023. Because we have legal title to the MSRs, the UPB and count of the loans 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70" w:name="page71"/>
    <w:bookmarkEnd w:id="70"/>
    <w:p>
      <w:pPr>
        <w:ind w:left="320"/>
        <w:spacing w:after="0"/>
        <w:rPr>
          <w:sz w:val="20"/>
          <w:szCs w:val="20"/>
          <w:color w:val="auto"/>
        </w:rPr>
      </w:pPr>
      <w:r>
        <w:rPr>
          <w:rFonts w:ascii="Arial" w:cs="Arial" w:eastAsia="Arial" w:hAnsi="Arial"/>
          <w:sz w:val="14"/>
          <w:szCs w:val="14"/>
          <w:color w:val="auto"/>
        </w:rPr>
        <w:t>included in our reported servicing portfolio. The seller continues to subservice the loans on an interim basis between the transaction closing date and the servicing transfer date.</w:t>
      </w:r>
    </w:p>
    <w:p>
      <w:pPr>
        <w:spacing w:after="0" w:line="32" w:lineRule="exact"/>
        <w:rPr>
          <w:sz w:val="20"/>
          <w:szCs w:val="20"/>
          <w:color w:val="auto"/>
        </w:rPr>
      </w:pPr>
    </w:p>
    <w:p>
      <w:pPr>
        <w:ind w:left="320" w:right="600" w:hanging="317"/>
        <w:spacing w:after="0" w:line="277" w:lineRule="auto"/>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Additions include purchased MSRs on portfolios consisting of 962 loans with a UPB of $258.8 million that have not yet transferred to the PMC servicing system as of September 30, 2022. Because we have legal title to the MSRs, the UPB and count of the loans are included in our reported servicing portfolio. The seller continues to subservice the loans on an interim basis between the transaction closing date and the servicing transfer date.</w:t>
      </w:r>
    </w:p>
    <w:p>
      <w:pPr>
        <w:spacing w:after="0" w:line="1" w:lineRule="exact"/>
        <w:rPr>
          <w:rFonts w:ascii="Arial" w:cs="Arial" w:eastAsia="Arial" w:hAnsi="Arial"/>
          <w:sz w:val="14"/>
          <w:szCs w:val="14"/>
          <w:color w:val="auto"/>
        </w:rPr>
      </w:pPr>
    </w:p>
    <w:p>
      <w:pPr>
        <w:ind w:left="320" w:right="580" w:hanging="317"/>
        <w:spacing w:after="0" w:line="248"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MSRs acquired from unrelated third parties in the third quarter of 2022 consisting of 12,931 loans with a UPB of $4.1 billion for which PMC was previously performing the subservicing.</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a breakdown of our servicer advances: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7"/>
                <w:szCs w:val="17"/>
                <w:b w:val="1"/>
                <w:bCs w:val="1"/>
                <w:color w:val="auto"/>
              </w:rPr>
              <w:t>September 30, 2023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ind w:left="340"/>
              <w:spacing w:after="0"/>
              <w:rPr>
                <w:sz w:val="20"/>
                <w:szCs w:val="20"/>
                <w:color w:val="auto"/>
              </w:rPr>
            </w:pPr>
            <w:r>
              <w:rPr>
                <w:rFonts w:ascii="Arial" w:cs="Arial" w:eastAsia="Arial" w:hAnsi="Arial"/>
                <w:sz w:val="17"/>
                <w:szCs w:val="17"/>
                <w:b w:val="1"/>
                <w:bCs w:val="1"/>
                <w:color w:val="auto"/>
              </w:rPr>
              <w:t>December 31, 2022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9"/>
              </w:rPr>
              <w:t>Principal and</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Taxes and</w:t>
            </w: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81"/>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6"/>
                <w:szCs w:val="16"/>
                <w:b w:val="1"/>
                <w:bCs w:val="1"/>
                <w:color w:val="auto"/>
                <w:w w:val="89"/>
              </w:rPr>
              <w:t>Principal and</w:t>
            </w: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Taxes and</w:t>
            </w:r>
          </w:p>
        </w:tc>
        <w:tc>
          <w:tcPr>
            <w:tcW w:w="140" w:type="dxa"/>
            <w:vAlign w:val="bottom"/>
          </w:tcPr>
          <w:p>
            <w:pPr>
              <w:spacing w:after="0"/>
              <w:rPr>
                <w:sz w:val="12"/>
                <w:szCs w:val="12"/>
                <w:color w:val="auto"/>
              </w:rPr>
            </w:pPr>
          </w:p>
        </w:tc>
        <w:tc>
          <w:tcPr>
            <w:tcW w:w="1180" w:type="dxa"/>
            <w:vAlign w:val="bottom"/>
            <w:gridSpan w:val="2"/>
          </w:tcPr>
          <w:p>
            <w:pPr>
              <w:jc w:val="center"/>
              <w:ind w:right="220"/>
              <w:spacing w:after="0" w:line="148" w:lineRule="exact"/>
              <w:rPr>
                <w:sz w:val="20"/>
                <w:szCs w:val="20"/>
                <w:color w:val="auto"/>
              </w:rPr>
            </w:pPr>
            <w:r>
              <w:rPr>
                <w:rFonts w:ascii="Arial" w:cs="Arial" w:eastAsia="Arial" w:hAnsi="Arial"/>
                <w:sz w:val="16"/>
                <w:szCs w:val="16"/>
                <w:b w:val="1"/>
                <w:bCs w:val="1"/>
                <w:color w:val="auto"/>
                <w:w w:val="83"/>
              </w:rPr>
              <w:t>Foreclosures,</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vMerge w:val="restart"/>
          </w:tcPr>
          <w:p>
            <w:pPr>
              <w:ind w:left="20"/>
              <w:spacing w:after="0"/>
              <w:rPr>
                <w:sz w:val="20"/>
                <w:szCs w:val="20"/>
                <w:color w:val="auto"/>
              </w:rPr>
            </w:pPr>
            <w:r>
              <w:rPr>
                <w:rFonts w:ascii="Arial" w:cs="Arial" w:eastAsia="Arial" w:hAnsi="Arial"/>
                <w:sz w:val="17"/>
                <w:szCs w:val="17"/>
                <w:b w:val="1"/>
                <w:bCs w:val="1"/>
                <w:color w:val="auto"/>
                <w:w w:val="90"/>
              </w:rPr>
              <w:t>Advances by investor type</w:t>
            </w:r>
          </w:p>
        </w:tc>
        <w:tc>
          <w:tcPr>
            <w:tcW w:w="11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340" w:type="dxa"/>
            <w:vAlign w:val="bottom"/>
            <w:gridSpan w:val="3"/>
          </w:tcPr>
          <w:p>
            <w:pPr>
              <w:ind w:left="40"/>
              <w:spacing w:after="0" w:line="155" w:lineRule="exact"/>
              <w:rPr>
                <w:sz w:val="20"/>
                <w:szCs w:val="20"/>
                <w:color w:val="auto"/>
              </w:rPr>
            </w:pPr>
            <w:r>
              <w:rPr>
                <w:rFonts w:ascii="Arial" w:cs="Arial" w:eastAsia="Arial" w:hAnsi="Arial"/>
                <w:sz w:val="16"/>
                <w:szCs w:val="16"/>
                <w:b w:val="1"/>
                <w:bCs w:val="1"/>
                <w:color w:val="auto"/>
                <w:w w:val="97"/>
              </w:rPr>
              <w:t>Bankruptcy, REO</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1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20" w:type="dxa"/>
            <w:vAlign w:val="bottom"/>
            <w:gridSpan w:val="3"/>
          </w:tcPr>
          <w:p>
            <w:pPr>
              <w:ind w:left="20"/>
              <w:spacing w:after="0" w:line="155" w:lineRule="exact"/>
              <w:rPr>
                <w:sz w:val="20"/>
                <w:szCs w:val="20"/>
                <w:color w:val="auto"/>
              </w:rPr>
            </w:pPr>
            <w:r>
              <w:rPr>
                <w:rFonts w:ascii="Arial" w:cs="Arial" w:eastAsia="Arial" w:hAnsi="Arial"/>
                <w:sz w:val="16"/>
                <w:szCs w:val="16"/>
                <w:b w:val="1"/>
                <w:bCs w:val="1"/>
                <w:color w:val="auto"/>
                <w:w w:val="97"/>
              </w:rPr>
              <w:t>Bankruptcy, REO</w:t>
            </w:r>
          </w:p>
        </w:tc>
        <w:tc>
          <w:tcPr>
            <w:tcW w:w="220" w:type="dxa"/>
            <w:vAlign w:val="bottom"/>
          </w:tcPr>
          <w:p>
            <w:pPr>
              <w:spacing w:after="0"/>
              <w:rPr>
                <w:sz w:val="13"/>
                <w:szCs w:val="13"/>
                <w:color w:val="auto"/>
              </w:rPr>
            </w:pPr>
          </w:p>
        </w:tc>
        <w:tc>
          <w:tcPr>
            <w:tcW w:w="80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2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and Other</w:t>
            </w:r>
          </w:p>
        </w:tc>
        <w:tc>
          <w:tcPr>
            <w:tcW w:w="2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Interest</w:t>
            </w:r>
          </w:p>
        </w:tc>
        <w:tc>
          <w:tcPr>
            <w:tcW w:w="14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Insurance</w:t>
            </w:r>
          </w:p>
        </w:tc>
        <w:tc>
          <w:tcPr>
            <w:tcW w:w="14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and Other</w:t>
            </w: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Conventional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3.2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97.7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108.3</w:t>
            </w:r>
          </w:p>
        </w:tc>
        <w:tc>
          <w:tcPr>
            <w:tcW w:w="0" w:type="dxa"/>
            <w:vAlign w:val="bottom"/>
          </w:tcPr>
          <w:p>
            <w:pPr>
              <w:spacing w:after="0"/>
              <w:rPr>
                <w:sz w:val="1"/>
                <w:szCs w:val="1"/>
                <w:color w:val="auto"/>
              </w:rPr>
            </w:pPr>
          </w:p>
        </w:tc>
      </w:tr>
      <w:tr>
        <w:trPr>
          <w:trHeight w:val="220"/>
        </w:trPr>
        <w:tc>
          <w:tcPr>
            <w:tcW w:w="2000" w:type="dxa"/>
            <w:vAlign w:val="bottom"/>
          </w:tcPr>
          <w:p>
            <w:pPr>
              <w:ind w:left="20"/>
              <w:spacing w:after="0"/>
              <w:rPr>
                <w:sz w:val="20"/>
                <w:szCs w:val="20"/>
                <w:color w:val="auto"/>
              </w:rPr>
            </w:pPr>
            <w:r>
              <w:rPr>
                <w:rFonts w:ascii="Arial" w:cs="Arial" w:eastAsia="Arial" w:hAnsi="Arial"/>
                <w:sz w:val="17"/>
                <w:szCs w:val="17"/>
                <w:color w:val="auto"/>
              </w:rPr>
              <w:t>Government-insured</w:t>
            </w:r>
          </w:p>
        </w:tc>
        <w:tc>
          <w:tcPr>
            <w:tcW w:w="18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24.4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6"/>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auto"/>
              </w:rPr>
              <w:t>56.6</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Non-Agency</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186.9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190.8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475.2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209.1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233.9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111.0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rPr>
              <w:t>554.0</w:t>
            </w:r>
          </w:p>
        </w:tc>
        <w:tc>
          <w:tcPr>
            <w:tcW w:w="0" w:type="dxa"/>
            <w:vAlign w:val="bottom"/>
          </w:tcPr>
          <w:p>
            <w:pPr>
              <w:spacing w:after="0"/>
              <w:rPr>
                <w:sz w:val="1"/>
                <w:szCs w:val="1"/>
                <w:color w:val="auto"/>
              </w:rPr>
            </w:pPr>
          </w:p>
        </w:tc>
      </w:tr>
      <w:tr>
        <w:trPr>
          <w:trHeight w:val="213"/>
        </w:trPr>
        <w:tc>
          <w:tcPr>
            <w:tcW w:w="2000" w:type="dxa"/>
            <w:vAlign w:val="bottom"/>
          </w:tcPr>
          <w:p>
            <w:pPr>
              <w:ind w:left="140"/>
              <w:spacing w:after="0"/>
              <w:rPr>
                <w:sz w:val="20"/>
                <w:szCs w:val="20"/>
                <w:color w:val="auto"/>
              </w:rPr>
            </w:pPr>
            <w:r>
              <w:rPr>
                <w:rFonts w:ascii="Arial" w:cs="Arial" w:eastAsia="Arial" w:hAnsi="Arial"/>
                <w:sz w:val="17"/>
                <w:szCs w:val="17"/>
                <w:color w:val="auto"/>
              </w:rPr>
              <w:t>Total,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193.3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250.4</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564.6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215.3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367.5</w:t>
            </w:r>
          </w:p>
        </w:tc>
        <w:tc>
          <w:tcPr>
            <w:tcW w:w="10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136.2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718.9</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selected operating statistics related to our reverse mortgage loans reported within our Servicing segment: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80" w:type="dxa"/>
            <w:vAlign w:val="bottom"/>
          </w:tcPr>
          <w:p>
            <w:pPr>
              <w:spacing w:after="0"/>
              <w:rPr>
                <w:sz w:val="19"/>
                <w:szCs w:val="19"/>
                <w:color w:val="auto"/>
              </w:rPr>
            </w:pPr>
          </w:p>
        </w:tc>
        <w:tc>
          <w:tcPr>
            <w:tcW w:w="1240" w:type="dxa"/>
            <w:vAlign w:val="bottom"/>
          </w:tcPr>
          <w:p>
            <w:pPr>
              <w:jc w:val="right"/>
              <w:ind w:right="37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54"/>
              <w:spacing w:after="0"/>
              <w:rPr>
                <w:sz w:val="20"/>
                <w:szCs w:val="20"/>
                <w:color w:val="auto"/>
              </w:rPr>
            </w:pPr>
            <w:r>
              <w:rPr>
                <w:rFonts w:ascii="Arial" w:cs="Arial" w:eastAsia="Arial" w:hAnsi="Arial"/>
                <w:sz w:val="17"/>
                <w:szCs w:val="17"/>
                <w:b w:val="1"/>
                <w:bCs w:val="1"/>
                <w:color w:val="auto"/>
                <w:w w:val="94"/>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5"/>
        </w:trPr>
        <w:tc>
          <w:tcPr>
            <w:tcW w:w="4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360" w:type="dxa"/>
            <w:vAlign w:val="bottom"/>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Reverse Mortgage Loans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20"/>
        </w:trPr>
        <w:tc>
          <w:tcPr>
            <w:tcW w:w="4380" w:type="dxa"/>
            <w:vAlign w:val="bottom"/>
          </w:tcPr>
          <w:p>
            <w:pPr>
              <w:ind w:left="140"/>
              <w:spacing w:after="0"/>
              <w:rPr>
                <w:sz w:val="20"/>
                <w:szCs w:val="20"/>
                <w:color w:val="auto"/>
              </w:rPr>
            </w:pPr>
            <w:r>
              <w:rPr>
                <w:rFonts w:ascii="Arial" w:cs="Arial" w:eastAsia="Arial" w:hAnsi="Arial"/>
                <w:sz w:val="17"/>
                <w:szCs w:val="17"/>
                <w:i w:val="1"/>
                <w:iCs w:val="1"/>
                <w:color w:val="auto"/>
              </w:rPr>
              <w:t>Unpaid principal balance (UPB) in millions: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Loans held for investment (1)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7,488.1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7,368.7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7,090.4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r>
      <w:tr>
        <w:trPr>
          <w:trHeight w:val="220"/>
        </w:trPr>
        <w:tc>
          <w:tcPr>
            <w:tcW w:w="4380" w:type="dxa"/>
            <w:vAlign w:val="bottom"/>
          </w:tcPr>
          <w:p>
            <w:pPr>
              <w:ind w:left="220"/>
              <w:spacing w:after="0"/>
              <w:rPr>
                <w:sz w:val="20"/>
                <w:szCs w:val="20"/>
                <w:color w:val="auto"/>
              </w:rPr>
            </w:pPr>
            <w:r>
              <w:rPr>
                <w:rFonts w:ascii="Arial" w:cs="Arial" w:eastAsia="Arial" w:hAnsi="Arial"/>
                <w:sz w:val="17"/>
                <w:szCs w:val="17"/>
                <w:color w:val="auto"/>
              </w:rPr>
              <w:t>Active Buyouts (2)</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62.6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89.4</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7"/>
                <w:szCs w:val="17"/>
                <w:color w:val="auto"/>
              </w:rPr>
              <w:t>49.1</w:t>
            </w:r>
          </w:p>
        </w:tc>
        <w:tc>
          <w:tcPr>
            <w:tcW w:w="1060" w:type="dxa"/>
            <w:vAlign w:val="bottom"/>
            <w:gridSpan w:val="2"/>
          </w:tcPr>
          <w:p>
            <w:pPr>
              <w:jc w:val="right"/>
              <w:ind w:right="114"/>
              <w:spacing w:after="0"/>
              <w:rPr>
                <w:sz w:val="20"/>
                <w:szCs w:val="20"/>
                <w:color w:val="auto"/>
              </w:rPr>
            </w:pPr>
            <w:r>
              <w:rPr>
                <w:rFonts w:ascii="Arial" w:cs="Arial" w:eastAsia="Arial" w:hAnsi="Arial"/>
                <w:sz w:val="17"/>
                <w:szCs w:val="17"/>
                <w:color w:val="auto"/>
              </w:rPr>
              <w:t>28</w:t>
            </w:r>
          </w:p>
        </w:tc>
      </w:tr>
      <w:tr>
        <w:trPr>
          <w:trHeight w:val="220"/>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Inactive Buyouts (2)</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196.3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194.9</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112.3</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75</w:t>
            </w:r>
          </w:p>
        </w:tc>
      </w:tr>
      <w:tr>
        <w:trPr>
          <w:trHeight w:val="213"/>
        </w:trPr>
        <w:tc>
          <w:tcPr>
            <w:tcW w:w="4380" w:type="dxa"/>
            <w:vAlign w:val="bottom"/>
          </w:tcPr>
          <w:p>
            <w:pPr>
              <w:ind w:left="44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7,747.1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7,653.0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7,251.8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7 %</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0"/>
        </w:trPr>
        <w:tc>
          <w:tcPr>
            <w:tcW w:w="4380" w:type="dxa"/>
            <w:vAlign w:val="bottom"/>
          </w:tcPr>
          <w:p>
            <w:pPr>
              <w:ind w:left="220"/>
              <w:spacing w:after="0"/>
              <w:rPr>
                <w:sz w:val="20"/>
                <w:szCs w:val="20"/>
                <w:color w:val="auto"/>
              </w:rPr>
            </w:pPr>
            <w:r>
              <w:rPr>
                <w:rFonts w:ascii="Arial" w:cs="Arial" w:eastAsia="Arial" w:hAnsi="Arial"/>
                <w:sz w:val="17"/>
                <w:szCs w:val="17"/>
                <w:i w:val="1"/>
                <w:iCs w:val="1"/>
                <w:color w:val="auto"/>
              </w:rPr>
              <w:t>Inactive buyouts % to total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2.5 %</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1.5 %</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64 %</w:t>
            </w:r>
          </w:p>
        </w:tc>
      </w:tr>
      <w:tr>
        <w:trPr>
          <w:trHeight w:val="245"/>
        </w:trPr>
        <w:tc>
          <w:tcPr>
            <w:tcW w:w="4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20"/>
        </w:trPr>
        <w:tc>
          <w:tcPr>
            <w:tcW w:w="4380" w:type="dxa"/>
            <w:vAlign w:val="bottom"/>
          </w:tcPr>
          <w:p>
            <w:pPr>
              <w:ind w:left="140"/>
              <w:spacing w:after="0"/>
              <w:rPr>
                <w:sz w:val="20"/>
                <w:szCs w:val="20"/>
                <w:color w:val="auto"/>
              </w:rPr>
            </w:pPr>
            <w:r>
              <w:rPr>
                <w:rFonts w:ascii="Arial" w:cs="Arial" w:eastAsia="Arial" w:hAnsi="Arial"/>
                <w:sz w:val="17"/>
                <w:szCs w:val="17"/>
                <w:i w:val="1"/>
                <w:iCs w:val="1"/>
                <w:color w:val="auto"/>
              </w:rPr>
              <w:t>Future draw commitments (UPB) in millions: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1,762.2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1,757.2</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19"/>
                <w:szCs w:val="19"/>
                <w:color w:val="auto"/>
              </w:rPr>
            </w:pPr>
          </w:p>
        </w:tc>
        <w:tc>
          <w:tcPr>
            <w:tcW w:w="1360" w:type="dxa"/>
            <w:vAlign w:val="bottom"/>
          </w:tcPr>
          <w:p>
            <w:pPr>
              <w:jc w:val="right"/>
              <w:ind w:right="134"/>
              <w:spacing w:after="0"/>
              <w:rPr>
                <w:sz w:val="20"/>
                <w:szCs w:val="20"/>
                <w:color w:val="auto"/>
              </w:rPr>
            </w:pPr>
            <w:r>
              <w:rPr>
                <w:rFonts w:ascii="Arial" w:cs="Arial" w:eastAsia="Arial" w:hAnsi="Arial"/>
                <w:sz w:val="17"/>
                <w:szCs w:val="17"/>
                <w:color w:val="auto"/>
              </w:rPr>
              <w:t>1,749.8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1 %</w:t>
            </w:r>
          </w:p>
        </w:tc>
      </w:tr>
      <w:tr>
        <w:trPr>
          <w:trHeight w:val="245"/>
        </w:trPr>
        <w:tc>
          <w:tcPr>
            <w:tcW w:w="4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868" w:right="339" w:bottom="1440" w:gutter="0" w:footer="0" w:header="0"/>
        </w:sectPr>
      </w:pPr>
    </w:p>
    <w:tbl>
      <w:tblPr>
        <w:tblLayout w:type="fixed"/>
        <w:tblInd w:w="140" w:type="dxa"/>
        <w:tblCellMar>
          <w:top w:w="0" w:type="dxa"/>
          <w:left w:w="0" w:type="dxa"/>
          <w:bottom w:w="0" w:type="dxa"/>
          <w:right w:w="0" w:type="dxa"/>
        </w:tblCellMar>
      </w:tblPr>
      <w:tr>
        <w:trPr>
          <w:trHeight w:val="219"/>
        </w:trPr>
        <w:tc>
          <w:tcPr>
            <w:tcW w:w="4240" w:type="dxa"/>
            <w:vAlign w:val="bottom"/>
          </w:tcPr>
          <w:p>
            <w:pPr>
              <w:spacing w:after="0"/>
              <w:rPr>
                <w:sz w:val="20"/>
                <w:szCs w:val="20"/>
                <w:color w:val="auto"/>
              </w:rPr>
            </w:pPr>
            <w:r>
              <w:rPr>
                <w:rFonts w:ascii="Arial" w:cs="Arial" w:eastAsia="Arial" w:hAnsi="Arial"/>
                <w:sz w:val="17"/>
                <w:szCs w:val="17"/>
                <w:i w:val="1"/>
                <w:iCs w:val="1"/>
                <w:color w:val="auto"/>
              </w:rPr>
              <w:t>Fair value in millions:</w:t>
            </w: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tcPr>
          <w:p>
            <w:pPr>
              <w:ind w:left="80"/>
              <w:spacing w:after="0"/>
              <w:rPr>
                <w:sz w:val="20"/>
                <w:szCs w:val="20"/>
                <w:color w:val="auto"/>
              </w:rPr>
            </w:pPr>
            <w:r>
              <w:rPr>
                <w:rFonts w:ascii="Arial" w:cs="Arial" w:eastAsia="Arial" w:hAnsi="Arial"/>
                <w:sz w:val="17"/>
                <w:szCs w:val="17"/>
                <w:color w:val="auto"/>
              </w:rPr>
              <w:t>Loans held for investment (1)</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7,671.1</w:t>
            </w:r>
          </w:p>
        </w:tc>
        <w:tc>
          <w:tcPr>
            <w:tcW w:w="8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7,553.7</w:t>
            </w:r>
          </w:p>
        </w:tc>
        <w:tc>
          <w:tcPr>
            <w:tcW w:w="0" w:type="dxa"/>
            <w:vAlign w:val="bottom"/>
          </w:tcPr>
          <w:p>
            <w:pPr>
              <w:spacing w:after="0"/>
              <w:rPr>
                <w:sz w:val="1"/>
                <w:szCs w:val="1"/>
                <w:color w:val="auto"/>
              </w:rPr>
            </w:pPr>
          </w:p>
        </w:tc>
      </w:tr>
      <w:tr>
        <w:trPr>
          <w:trHeight w:val="219"/>
        </w:trPr>
        <w:tc>
          <w:tcPr>
            <w:tcW w:w="4240" w:type="dxa"/>
            <w:vAlign w:val="bottom"/>
          </w:tcPr>
          <w:p>
            <w:pPr>
              <w:ind w:left="80"/>
              <w:spacing w:after="0"/>
              <w:rPr>
                <w:sz w:val="20"/>
                <w:szCs w:val="20"/>
                <w:color w:val="auto"/>
              </w:rPr>
            </w:pPr>
            <w:r>
              <w:rPr>
                <w:rFonts w:ascii="Arial" w:cs="Arial" w:eastAsia="Arial" w:hAnsi="Arial"/>
                <w:sz w:val="17"/>
                <w:szCs w:val="17"/>
                <w:color w:val="auto"/>
              </w:rPr>
              <w:t>HMBS related borrowings</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7,613.6</w:t>
            </w: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7,486.4</w:t>
            </w:r>
          </w:p>
        </w:tc>
        <w:tc>
          <w:tcPr>
            <w:tcW w:w="0" w:type="dxa"/>
            <w:vAlign w:val="bottom"/>
          </w:tcPr>
          <w:p>
            <w:pPr>
              <w:spacing w:after="0"/>
              <w:rPr>
                <w:sz w:val="1"/>
                <w:szCs w:val="1"/>
                <w:color w:val="auto"/>
              </w:rPr>
            </w:pPr>
          </w:p>
        </w:tc>
      </w:tr>
      <w:tr>
        <w:trPr>
          <w:trHeight w:val="213"/>
        </w:trPr>
        <w:tc>
          <w:tcPr>
            <w:tcW w:w="4240" w:type="dxa"/>
            <w:vAlign w:val="bottom"/>
          </w:tcPr>
          <w:p>
            <w:pPr>
              <w:ind w:left="200"/>
              <w:spacing w:after="0"/>
              <w:rPr>
                <w:sz w:val="20"/>
                <w:szCs w:val="20"/>
                <w:color w:val="auto"/>
              </w:rPr>
            </w:pPr>
            <w:r>
              <w:rPr>
                <w:rFonts w:ascii="Arial" w:cs="Arial" w:eastAsia="Arial" w:hAnsi="Arial"/>
                <w:sz w:val="17"/>
                <w:szCs w:val="17"/>
                <w:color w:val="auto"/>
              </w:rPr>
              <w:t>Net asset value (3)</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57.5</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00"/>
              <w:spacing w:after="0"/>
              <w:rPr>
                <w:sz w:val="20"/>
                <w:szCs w:val="20"/>
                <w:color w:val="auto"/>
              </w:rPr>
            </w:pPr>
            <w:r>
              <w:rPr>
                <w:rFonts w:ascii="Arial" w:cs="Arial" w:eastAsia="Arial" w:hAnsi="Arial"/>
                <w:sz w:val="17"/>
                <w:szCs w:val="17"/>
                <w:color w:val="auto"/>
              </w:rPr>
              <w:t>Net asset value to UPB</w:t>
            </w: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0.77 %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0.91 %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-598805</wp:posOffset>
            </wp:positionV>
            <wp:extent cx="7138035" cy="139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-319405</wp:posOffset>
            </wp:positionV>
            <wp:extent cx="7138035" cy="163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114" w:lineRule="exact"/>
        <w:rPr>
          <w:sz w:val="20"/>
          <w:szCs w:val="20"/>
          <w:color w:val="auto"/>
        </w:rPr>
      </w:pPr>
    </w:p>
    <w:p>
      <w:pPr>
        <w:ind w:left="320" w:hanging="317"/>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Securitized loans only; excludes unsecuritized loans reported within the Originations segment.</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48"/>
        </w:numPr>
        <w:rPr>
          <w:rFonts w:ascii="Arial" w:cs="Arial" w:eastAsia="Arial" w:hAnsi="Arial"/>
          <w:sz w:val="13"/>
          <w:szCs w:val="13"/>
          <w:color w:val="auto"/>
        </w:rPr>
      </w:pPr>
      <w:r>
        <w:rPr>
          <w:rFonts w:ascii="Arial" w:cs="Arial" w:eastAsia="Arial" w:hAnsi="Arial"/>
          <w:sz w:val="13"/>
          <w:szCs w:val="13"/>
          <w:color w:val="auto"/>
        </w:rPr>
        <w:t>Buyouts are reported as Loans held for sale, Accounts Receivable or REO depending on the loan and foreclosure status.</w:t>
      </w:r>
    </w:p>
    <w:p>
      <w:pPr>
        <w:spacing w:after="0" w:line="31" w:lineRule="exact"/>
        <w:rPr>
          <w:rFonts w:ascii="Arial" w:cs="Arial" w:eastAsia="Arial" w:hAnsi="Arial"/>
          <w:sz w:val="13"/>
          <w:szCs w:val="13"/>
          <w:color w:val="auto"/>
        </w:rPr>
      </w:pPr>
    </w:p>
    <w:p>
      <w:pPr>
        <w:ind w:left="320" w:hanging="317"/>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Internally referred to as HECM or reverse MSR.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540" w:type="dxa"/>
            <w:vAlign w:val="bottom"/>
          </w:tcPr>
          <w:p>
            <w:pPr>
              <w:jc w:val="right"/>
              <w:ind w:right="14"/>
              <w:spacing w:after="0"/>
              <w:rPr>
                <w:sz w:val="20"/>
                <w:szCs w:val="20"/>
                <w:color w:val="auto"/>
              </w:rPr>
            </w:pPr>
            <w:r>
              <w:rPr>
                <w:rFonts w:ascii="Arial" w:cs="Arial" w:eastAsia="Arial" w:hAnsi="Arial"/>
                <w:sz w:val="17"/>
                <w:szCs w:val="17"/>
                <w:color w:val="auto"/>
              </w:rPr>
              <w:t>2 %</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134"/>
              <w:spacing w:after="0"/>
              <w:rPr>
                <w:sz w:val="20"/>
                <w:szCs w:val="20"/>
                <w:color w:val="auto"/>
              </w:rPr>
            </w:pPr>
            <w:r>
              <w:rPr>
                <w:rFonts w:ascii="Arial" w:cs="Arial" w:eastAsia="Arial" w:hAnsi="Arial"/>
                <w:sz w:val="17"/>
                <w:szCs w:val="17"/>
                <w:color w:val="auto"/>
              </w:rPr>
              <w:t>7,268.0</w:t>
            </w:r>
          </w:p>
        </w:tc>
        <w:tc>
          <w:tcPr>
            <w:tcW w:w="1040" w:type="dxa"/>
            <w:vAlign w:val="bottom"/>
          </w:tcPr>
          <w:p>
            <w:pPr>
              <w:jc w:val="right"/>
              <w:spacing w:after="0"/>
              <w:rPr>
                <w:sz w:val="20"/>
                <w:szCs w:val="20"/>
                <w:color w:val="auto"/>
              </w:rPr>
            </w:pPr>
            <w:r>
              <w:rPr>
                <w:rFonts w:ascii="Arial" w:cs="Arial" w:eastAsia="Arial" w:hAnsi="Arial"/>
                <w:sz w:val="17"/>
                <w:szCs w:val="17"/>
                <w:color w:val="auto"/>
              </w:rPr>
              <w:t>6 %</w:t>
            </w:r>
          </w:p>
        </w:tc>
      </w:tr>
      <w:tr>
        <w:trPr>
          <w:trHeight w:val="219"/>
        </w:trPr>
        <w:tc>
          <w:tcPr>
            <w:tcW w:w="540" w:type="dxa"/>
            <w:vAlign w:val="bottom"/>
          </w:tcPr>
          <w:p>
            <w:pPr>
              <w:jc w:val="right"/>
              <w:ind w:right="214"/>
              <w:spacing w:after="0"/>
              <w:rPr>
                <w:sz w:val="20"/>
                <w:szCs w:val="20"/>
                <w:color w:val="auto"/>
              </w:rPr>
            </w:pPr>
            <w:r>
              <w:rPr>
                <w:rFonts w:ascii="Arial" w:cs="Arial" w:eastAsia="Arial" w:hAnsi="Arial"/>
                <w:sz w:val="17"/>
                <w:szCs w:val="17"/>
                <w:color w:val="auto"/>
              </w:rPr>
              <w:t>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7,208.4</w:t>
            </w:r>
          </w:p>
        </w:tc>
        <w:tc>
          <w:tcPr>
            <w:tcW w:w="1040" w:type="dxa"/>
            <w:vAlign w:val="bottom"/>
          </w:tcPr>
          <w:p>
            <w:pPr>
              <w:jc w:val="right"/>
              <w:ind w:right="94"/>
              <w:spacing w:after="0"/>
              <w:rPr>
                <w:sz w:val="20"/>
                <w:szCs w:val="20"/>
                <w:color w:val="auto"/>
              </w:rPr>
            </w:pPr>
            <w:r>
              <w:rPr>
                <w:rFonts w:ascii="Arial" w:cs="Arial" w:eastAsia="Arial" w:hAnsi="Arial"/>
                <w:sz w:val="17"/>
                <w:szCs w:val="17"/>
                <w:color w:val="auto"/>
              </w:rPr>
              <w:t>6</w:t>
            </w:r>
          </w:p>
        </w:tc>
      </w:tr>
      <w:tr>
        <w:trPr>
          <w:trHeight w:val="213"/>
        </w:trPr>
        <w:tc>
          <w:tcPr>
            <w:tcW w:w="540" w:type="dxa"/>
            <w:vAlign w:val="bottom"/>
          </w:tcPr>
          <w:p>
            <w:pPr>
              <w:jc w:val="right"/>
              <w:ind w:right="14"/>
              <w:spacing w:after="0"/>
              <w:rPr>
                <w:sz w:val="20"/>
                <w:szCs w:val="20"/>
                <w:color w:val="auto"/>
              </w:rPr>
            </w:pPr>
            <w:r>
              <w:rPr>
                <w:rFonts w:ascii="Arial" w:cs="Arial" w:eastAsia="Arial" w:hAnsi="Arial"/>
                <w:sz w:val="17"/>
                <w:szCs w:val="17"/>
                <w:color w:val="auto"/>
                <w:w w:val="92"/>
              </w:rPr>
              <w:t>(15)%</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59.6</w:t>
            </w:r>
          </w:p>
        </w:tc>
        <w:tc>
          <w:tcPr>
            <w:tcW w:w="10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0.84 %</w:t>
            </w:r>
          </w:p>
        </w:tc>
        <w:tc>
          <w:tcPr>
            <w:tcW w:w="1040" w:type="dxa"/>
            <w:vAlign w:val="bottom"/>
          </w:tcPr>
          <w:p>
            <w:pPr>
              <w:spacing w:after="0"/>
              <w:rPr>
                <w:sz w:val="18"/>
                <w:szCs w:val="18"/>
                <w:color w:val="auto"/>
              </w:rPr>
            </w:pPr>
          </w:p>
        </w:tc>
      </w:tr>
    </w:tbl>
    <w:p>
      <w:pPr>
        <w:spacing w:after="0" w:line="891" w:lineRule="exact"/>
        <w:rPr>
          <w:sz w:val="20"/>
          <w:szCs w:val="20"/>
          <w:color w:val="auto"/>
        </w:rPr>
      </w:pPr>
    </w:p>
    <w:p>
      <w:pPr>
        <w:sectPr>
          <w:pgSz w:w="11900" w:h="16838" w:orient="portrait"/>
          <w:cols w:equalWidth="0" w:num="2">
            <w:col w:w="7760" w:space="360"/>
            <w:col w:w="3120"/>
          </w:cols>
          <w:pgMar w:left="32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25"/>
        </w:trPr>
        <w:tc>
          <w:tcPr>
            <w:tcW w:w="3360" w:type="dxa"/>
            <w:vAlign w:val="bottom"/>
            <w:gridSpan w:val="2"/>
          </w:tcPr>
          <w:p>
            <w:pPr>
              <w:spacing w:after="0"/>
              <w:rPr>
                <w:sz w:val="20"/>
                <w:szCs w:val="20"/>
                <w:color w:val="auto"/>
              </w:rPr>
            </w:pPr>
            <w:r>
              <w:rPr>
                <w:rFonts w:ascii="Arial" w:cs="Arial" w:eastAsia="Arial" w:hAnsi="Arial"/>
                <w:sz w:val="17"/>
                <w:szCs w:val="17"/>
                <w:b w:val="1"/>
                <w:bCs w:val="1"/>
                <w:color w:val="auto"/>
              </w:rPr>
              <w:t>Servicing and Subservicing Fees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4"/>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7"/>
                <w:szCs w:val="17"/>
                <w:b w:val="1"/>
                <w:bCs w:val="1"/>
                <w:color w:val="auto"/>
              </w:rPr>
              <w:t>For the Nine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Arial" w:cs="Arial" w:eastAsia="Arial" w:hAnsi="Arial"/>
                <w:sz w:val="17"/>
                <w:szCs w:val="17"/>
                <w:b w:val="1"/>
                <w:bCs w:val="1"/>
                <w:color w:val="auto"/>
                <w:w w:val="91"/>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240" w:type="dxa"/>
            <w:vAlign w:val="bottom"/>
            <w:gridSpan w:val="3"/>
          </w:tcPr>
          <w:p>
            <w:pPr>
              <w:ind w:left="120"/>
              <w:spacing w:after="0"/>
              <w:rPr>
                <w:sz w:val="20"/>
                <w:szCs w:val="20"/>
                <w:color w:val="auto"/>
              </w:rPr>
            </w:pPr>
            <w:r>
              <w:rPr>
                <w:rFonts w:ascii="Arial" w:cs="Arial" w:eastAsia="Arial" w:hAnsi="Arial"/>
                <w:sz w:val="17"/>
                <w:szCs w:val="17"/>
                <w:b w:val="1"/>
                <w:bCs w:val="1"/>
                <w:color w:val="auto"/>
              </w:rPr>
              <w:t>% Change</w:t>
            </w: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Loan servicing and subservicing fees:</w:t>
            </w: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360" w:type="dxa"/>
            <w:vAlign w:val="bottom"/>
            <w:gridSpan w:val="2"/>
          </w:tcPr>
          <w:p>
            <w:pPr>
              <w:ind w:left="120"/>
              <w:spacing w:after="0"/>
              <w:rPr>
                <w:sz w:val="20"/>
                <w:szCs w:val="20"/>
                <w:color w:val="auto"/>
              </w:rPr>
            </w:pPr>
            <w:r>
              <w:rPr>
                <w:rFonts w:ascii="Arial" w:cs="Arial" w:eastAsia="Arial" w:hAnsi="Arial"/>
                <w:sz w:val="17"/>
                <w:szCs w:val="17"/>
                <w:color w:val="auto"/>
              </w:rPr>
              <w:t>Servicing and subservicing fees</w:t>
            </w:r>
          </w:p>
        </w:tc>
        <w:tc>
          <w:tcPr>
            <w:tcW w:w="1260" w:type="dxa"/>
            <w:vAlign w:val="bottom"/>
          </w:tcPr>
          <w:p>
            <w:pPr>
              <w:jc w:val="right"/>
              <w:spacing w:after="0"/>
              <w:rPr>
                <w:sz w:val="20"/>
                <w:szCs w:val="20"/>
                <w:color w:val="auto"/>
              </w:rPr>
            </w:pPr>
            <w:r>
              <w:rPr>
                <w:rFonts w:ascii="Arial" w:cs="Arial" w:eastAsia="Arial" w:hAnsi="Arial"/>
                <w:sz w:val="17"/>
                <w:szCs w:val="17"/>
                <w:color w:val="auto"/>
              </w:rPr>
              <w:t>180.7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184.4</w:t>
            </w:r>
          </w:p>
        </w:tc>
        <w:tc>
          <w:tcPr>
            <w:tcW w:w="1000" w:type="dxa"/>
            <w:vAlign w:val="bottom"/>
          </w:tcPr>
          <w:p>
            <w:pPr>
              <w:ind w:left="640"/>
              <w:spacing w:after="0"/>
              <w:rPr>
                <w:sz w:val="20"/>
                <w:szCs w:val="20"/>
                <w:color w:val="auto"/>
              </w:rPr>
            </w:pPr>
            <w:r>
              <w:rPr>
                <w:rFonts w:ascii="Arial" w:cs="Arial" w:eastAsia="Arial" w:hAnsi="Arial"/>
                <w:sz w:val="17"/>
                <w:szCs w:val="17"/>
                <w:color w:val="auto"/>
                <w:w w:val="94"/>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556.6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32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Ancillary income</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0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80</w:t>
            </w:r>
          </w:p>
        </w:tc>
      </w:tr>
      <w:tr>
        <w:trPr>
          <w:trHeight w:val="213"/>
        </w:trPr>
        <w:tc>
          <w:tcPr>
            <w:tcW w:w="3360" w:type="dxa"/>
            <w:vAlign w:val="bottom"/>
            <w:gridSpan w:val="2"/>
          </w:tcPr>
          <w:p>
            <w:pPr>
              <w:ind w:left="322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236.9</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237.2</w:t>
            </w:r>
          </w:p>
        </w:tc>
        <w:tc>
          <w:tcPr>
            <w:tcW w:w="1240" w:type="dxa"/>
            <w:vAlign w:val="bottom"/>
            <w:gridSpan w:val="3"/>
          </w:tcPr>
          <w:p>
            <w:pPr>
              <w:ind w:left="620"/>
              <w:spacing w:after="0"/>
              <w:rPr>
                <w:sz w:val="20"/>
                <w:szCs w:val="20"/>
                <w:color w:val="auto"/>
              </w:rPr>
            </w:pPr>
            <w:r>
              <w:rPr>
                <w:rFonts w:ascii="Arial" w:cs="Arial" w:eastAsia="Arial" w:hAnsi="Arial"/>
                <w:sz w:val="17"/>
                <w:szCs w:val="17"/>
                <w:color w:val="auto"/>
              </w:rPr>
              <w:t>— %  $</w:t>
            </w:r>
          </w:p>
        </w:tc>
        <w:tc>
          <w:tcPr>
            <w:tcW w:w="1280" w:type="dxa"/>
            <w:vAlign w:val="bottom"/>
          </w:tcPr>
          <w:p>
            <w:pPr>
              <w:jc w:val="right"/>
              <w:spacing w:after="0"/>
              <w:rPr>
                <w:sz w:val="20"/>
                <w:szCs w:val="20"/>
                <w:color w:val="auto"/>
              </w:rPr>
            </w:pPr>
            <w:r>
              <w:rPr>
                <w:rFonts w:ascii="Arial" w:cs="Arial" w:eastAsia="Arial" w:hAnsi="Arial"/>
                <w:sz w:val="17"/>
                <w:szCs w:val="17"/>
                <w:color w:val="auto"/>
              </w:rPr>
              <w:t>705.9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641.7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10 %</w:t>
            </w: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tables and discussion present the respective drivers of servicing and subservicing fees and ancillary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5"/>
          </w:tcPr>
          <w:p>
            <w:pPr>
              <w:jc w:val="right"/>
              <w:ind w:right="73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b w:val="1"/>
                <w:bCs w:val="1"/>
                <w:color w:val="auto"/>
              </w:rPr>
              <w:t>September 30,</w:t>
            </w:r>
          </w:p>
        </w:tc>
        <w:tc>
          <w:tcPr>
            <w:tcW w:w="220" w:type="dxa"/>
            <w:vAlign w:val="bottom"/>
          </w:tcPr>
          <w:p>
            <w:pPr>
              <w:spacing w:after="0"/>
              <w:rPr>
                <w:sz w:val="19"/>
                <w:szCs w:val="19"/>
                <w:color w:val="auto"/>
              </w:rPr>
            </w:pPr>
          </w:p>
        </w:tc>
        <w:tc>
          <w:tcPr>
            <w:tcW w:w="1060" w:type="dxa"/>
            <w:vAlign w:val="bottom"/>
          </w:tcPr>
          <w:p>
            <w:pPr>
              <w:jc w:val="right"/>
              <w:ind w:right="254"/>
              <w:spacing w:after="0"/>
              <w:rPr>
                <w:sz w:val="20"/>
                <w:szCs w:val="20"/>
                <w:color w:val="auto"/>
              </w:rPr>
            </w:pPr>
            <w:r>
              <w:rPr>
                <w:rFonts w:ascii="Arial" w:cs="Arial" w:eastAsia="Arial" w:hAnsi="Arial"/>
                <w:sz w:val="17"/>
                <w:szCs w:val="17"/>
                <w:b w:val="1"/>
                <w:bCs w:val="1"/>
                <w:color w:val="auto"/>
              </w:rPr>
              <w:t>June 30,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b w:val="1"/>
                <w:bCs w:val="1"/>
                <w:color w:val="auto"/>
                <w:w w:val="91"/>
              </w:rPr>
              <w:t>September 30,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7"/>
                <w:szCs w:val="17"/>
                <w:b w:val="1"/>
                <w:bCs w:val="1"/>
                <w:color w:val="auto"/>
                <w:w w:val="91"/>
              </w:rPr>
              <w:t>September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94"/>
              <w:spacing w:after="0"/>
              <w:rPr>
                <w:sz w:val="20"/>
                <w:szCs w:val="20"/>
                <w:color w:val="auto"/>
              </w:rPr>
            </w:pPr>
            <w:r>
              <w:rPr>
                <w:rFonts w:ascii="Arial" w:cs="Arial" w:eastAsia="Arial" w:hAnsi="Arial"/>
                <w:sz w:val="17"/>
                <w:szCs w:val="17"/>
                <w:b w:val="1"/>
                <w:bCs w:val="1"/>
                <w:color w:val="auto"/>
              </w:rPr>
              <w:t>2023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74"/>
              <w:spacing w:after="0"/>
              <w:rPr>
                <w:sz w:val="20"/>
                <w:szCs w:val="20"/>
                <w:color w:val="auto"/>
              </w:rPr>
            </w:pPr>
            <w:r>
              <w:rPr>
                <w:rFonts w:ascii="Arial" w:cs="Arial" w:eastAsia="Arial" w:hAnsi="Arial"/>
                <w:sz w:val="17"/>
                <w:szCs w:val="17"/>
                <w:b w:val="1"/>
                <w:bCs w:val="1"/>
                <w:color w:val="auto"/>
              </w:rPr>
              <w:t>2023</w:t>
            </w:r>
          </w:p>
        </w:tc>
        <w:tc>
          <w:tcPr>
            <w:tcW w:w="24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20" w:type="dxa"/>
            <w:vAlign w:val="bottom"/>
          </w:tcPr>
          <w:p>
            <w:pPr>
              <w:spacing w:after="0"/>
              <w:rPr>
                <w:sz w:val="21"/>
                <w:szCs w:val="21"/>
                <w:color w:val="auto"/>
              </w:rPr>
            </w:pPr>
          </w:p>
        </w:tc>
        <w:tc>
          <w:tcPr>
            <w:tcW w:w="12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41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0"/>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Servicing Fees</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40" w:type="dxa"/>
            <w:vAlign w:val="bottom"/>
          </w:tcPr>
          <w:p>
            <w:pPr>
              <w:ind w:left="120"/>
              <w:spacing w:after="0"/>
              <w:rPr>
                <w:sz w:val="20"/>
                <w:szCs w:val="20"/>
                <w:color w:val="auto"/>
              </w:rPr>
            </w:pPr>
            <w:r>
              <w:rPr>
                <w:rFonts w:ascii="Arial" w:cs="Arial" w:eastAsia="Arial" w:hAnsi="Arial"/>
                <w:sz w:val="17"/>
                <w:szCs w:val="17"/>
                <w:color w:val="auto"/>
              </w:rPr>
              <w:t>Average servicing UPB (1)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202.1</w:t>
            </w:r>
          </w:p>
        </w:tc>
        <w:tc>
          <w:tcPr>
            <w:tcW w:w="16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202.0</w:t>
            </w:r>
          </w:p>
        </w:tc>
        <w:tc>
          <w:tcPr>
            <w:tcW w:w="240" w:type="dxa"/>
            <w:vAlign w:val="bottom"/>
          </w:tcPr>
          <w:p>
            <w:pPr>
              <w:spacing w:after="0"/>
              <w:rPr>
                <w:sz w:val="19"/>
                <w:szCs w:val="19"/>
                <w:color w:val="auto"/>
              </w:rPr>
            </w:pPr>
          </w:p>
        </w:tc>
        <w:tc>
          <w:tcPr>
            <w:tcW w:w="1200" w:type="dxa"/>
            <w:vAlign w:val="bottom"/>
            <w:gridSpan w:val="2"/>
          </w:tcPr>
          <w:p>
            <w:pPr>
              <w:ind w:left="580"/>
              <w:spacing w:after="0"/>
              <w:rPr>
                <w:sz w:val="20"/>
                <w:szCs w:val="20"/>
                <w:color w:val="auto"/>
              </w:rPr>
            </w:pPr>
            <w:r>
              <w:rPr>
                <w:rFonts w:ascii="Arial" w:cs="Arial" w:eastAsia="Arial" w:hAnsi="Arial"/>
                <w:sz w:val="17"/>
                <w:szCs w:val="17"/>
                <w:color w:val="auto"/>
              </w:rPr>
              <w:t>— %</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202.3</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Average servicing fee (2)</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0.32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0.32</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0.32</w:t>
            </w:r>
          </w:p>
        </w:tc>
        <w:tc>
          <w:tcPr>
            <w:tcW w:w="4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0.33</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7"/>
        </w:trPr>
        <w:tc>
          <w:tcPr>
            <w:tcW w:w="2840" w:type="dxa"/>
            <w:vAlign w:val="bottom"/>
          </w:tcPr>
          <w:p>
            <w:pPr>
              <w:ind w:left="120"/>
              <w:spacing w:after="0"/>
              <w:rPr>
                <w:sz w:val="20"/>
                <w:szCs w:val="20"/>
                <w:color w:val="auto"/>
              </w:rPr>
            </w:pPr>
            <w:r>
              <w:rPr>
                <w:rFonts w:ascii="Arial" w:cs="Arial" w:eastAsia="Arial" w:hAnsi="Arial"/>
                <w:sz w:val="17"/>
                <w:szCs w:val="17"/>
                <w:color w:val="auto"/>
              </w:rPr>
              <w:t>Servicing fees (3)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161.3</w:t>
            </w:r>
          </w:p>
        </w:tc>
        <w:tc>
          <w:tcPr>
            <w:tcW w:w="16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164.1</w:t>
            </w:r>
          </w:p>
        </w:tc>
        <w:tc>
          <w:tcPr>
            <w:tcW w:w="1200" w:type="dxa"/>
            <w:vAlign w:val="bottom"/>
            <w:gridSpan w:val="2"/>
          </w:tcPr>
          <w:p>
            <w:pPr>
              <w:ind w:left="84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491.4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499.1</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5"/>
        </w:trPr>
        <w:tc>
          <w:tcPr>
            <w:tcW w:w="2840" w:type="dxa"/>
            <w:vAlign w:val="bottom"/>
          </w:tcPr>
          <w:p>
            <w:pPr>
              <w:ind w:left="20"/>
              <w:spacing w:after="0"/>
              <w:rPr>
                <w:sz w:val="20"/>
                <w:szCs w:val="20"/>
                <w:color w:val="auto"/>
              </w:rPr>
            </w:pPr>
            <w:r>
              <w:rPr>
                <w:rFonts w:ascii="Arial" w:cs="Arial" w:eastAsia="Arial" w:hAnsi="Arial"/>
                <w:sz w:val="17"/>
                <w:szCs w:val="17"/>
                <w:b w:val="1"/>
                <w:bCs w:val="1"/>
                <w:color w:val="auto"/>
              </w:rPr>
              <w:t>Subservicing Fees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Ave. number of loans (4)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0"/>
        </w:trPr>
        <w:tc>
          <w:tcPr>
            <w:tcW w:w="28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Average monthly fee per loan (5)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w:t>
            </w:r>
          </w:p>
        </w:tc>
        <w:tc>
          <w:tcPr>
            <w:tcW w:w="1200" w:type="dxa"/>
            <w:vAlign w:val="bottom"/>
            <w:tcBorders>
              <w:bottom w:val="single" w:sz="8" w:color="CCEEFF"/>
            </w:tcBorders>
            <w:gridSpan w:val="2"/>
          </w:tcPr>
          <w:p>
            <w:pPr>
              <w:ind w:left="840"/>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23</w:t>
            </w:r>
          </w:p>
        </w:tc>
        <w:tc>
          <w:tcPr>
            <w:tcW w:w="4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w:t>
            </w:r>
          </w:p>
        </w:tc>
        <w:tc>
          <w:tcPr>
            <w:tcW w:w="106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Subservicing fees (3)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20.3</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57.6</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48"/>
        </w:trPr>
        <w:tc>
          <w:tcPr>
            <w:tcW w:w="28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7"/>
                <w:szCs w:val="17"/>
                <w:b w:val="1"/>
                <w:bCs w:val="1"/>
                <w:color w:val="auto"/>
              </w:rPr>
              <w:t>Servicing and Subservicing Fees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180.7</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184.4</w:t>
            </w:r>
          </w:p>
        </w:tc>
        <w:tc>
          <w:tcPr>
            <w:tcW w:w="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552.6</w:t>
            </w:r>
          </w:p>
        </w:tc>
        <w:tc>
          <w:tcPr>
            <w:tcW w:w="4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7"/>
                <w:szCs w:val="17"/>
                <w:color w:val="auto"/>
              </w:rPr>
              <w:t>556.6</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(excluding Ancillary income)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7"/>
                <w:szCs w:val="17"/>
                <w:color w:val="auto"/>
                <w:w w:val="94"/>
              </w:rPr>
              <w:t>(2)%</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(1) In $ billions, (2) In % of UPB, annualized, (3) In $ millions, (4) In thousands, (5) In dollars.</w:t>
      </w:r>
    </w:p>
    <w:p>
      <w:pPr>
        <w:spacing w:after="0" w:line="16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Comparing the three months ended September 30, 2023 to the three months ended June 30, 2023, servicing and subservicing fees (excluding ancillary income) decreased $3.6 million, or 2%. This decrease reflects a $2.7 million, or 2% decrease in servicing fees and a $0.9 million decline in subservicing fees primarily due to a decrease in the average number of loans in our reverse subservicing portfolio. The 2% decrease in servicing fees is driven by timing of collections and the runoff of higher fee portfolios.</w:t>
      </w:r>
    </w:p>
    <w:p>
      <w:pPr>
        <w:spacing w:after="0" w:line="73"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As compared to the nine months ended September 30, 2022, our servicing and subservicing fees (excluding ancillary income) for the nine months ended September 30, 2023 decreased $4.1 million, with a $7.7 million decrease in servicing fees partially offset by a $3.6 million increase in subservicing fees. The decrease in servicing fees is mostly driven by the timing of collections and the mix of the portfolio, with the runoff of higher fee portfolios (including the Rithm portfolio) and the growth of relatively lower fee portfolios. The $3.6 million increase in subservicing fees is mostly driven by the 12% growth of the forward subservicing portfolio ($7.2 million higher forward subservicing fee, including $2.1 million higher subservicing fees on the MAV portfolio), partially offset by a decrease in the reverse mortgage portfolio due to runoff ($3.6 million lower subservicing fees).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The following table presents the detail of our ancillary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Ancillary Income</w:t>
            </w: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Custodial accounts (float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656 %</w:t>
            </w:r>
          </w:p>
        </w:tc>
      </w:tr>
      <w:tr>
        <w:trPr>
          <w:trHeight w:val="220"/>
        </w:trPr>
        <w:tc>
          <w:tcPr>
            <w:tcW w:w="3140" w:type="dxa"/>
            <w:vAlign w:val="bottom"/>
          </w:tcPr>
          <w:p>
            <w:pPr>
              <w:ind w:left="40"/>
              <w:spacing w:after="0"/>
              <w:rPr>
                <w:sz w:val="20"/>
                <w:szCs w:val="20"/>
                <w:color w:val="auto"/>
              </w:rPr>
            </w:pPr>
            <w:r>
              <w:rPr>
                <w:rFonts w:ascii="Arial" w:cs="Arial" w:eastAsia="Arial" w:hAnsi="Arial"/>
                <w:sz w:val="17"/>
                <w:szCs w:val="17"/>
                <w:color w:val="auto"/>
              </w:rPr>
              <w:t>Late charges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9.5</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32.3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(11)</w:t>
            </w: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Reverse subservicing ancillary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9.8</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14.3</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82</w:t>
            </w:r>
          </w:p>
        </w:tc>
      </w:tr>
      <w:tr>
        <w:trPr>
          <w:trHeight w:val="220"/>
        </w:trPr>
        <w:tc>
          <w:tcPr>
            <w:tcW w:w="3140" w:type="dxa"/>
            <w:vAlign w:val="bottom"/>
          </w:tcPr>
          <w:p>
            <w:pPr>
              <w:ind w:left="40"/>
              <w:spacing w:after="0"/>
              <w:rPr>
                <w:sz w:val="20"/>
                <w:szCs w:val="20"/>
                <w:color w:val="auto"/>
              </w:rPr>
            </w:pPr>
            <w:r>
              <w:rPr>
                <w:rFonts w:ascii="Arial" w:cs="Arial" w:eastAsia="Arial" w:hAnsi="Arial"/>
                <w:sz w:val="17"/>
                <w:szCs w:val="17"/>
                <w:color w:val="auto"/>
              </w:rPr>
              <w:t>Loan collection fees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2.3</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8.5</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(15)</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Recording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(50)</w:t>
            </w:r>
          </w:p>
        </w:tc>
      </w:tr>
      <w:tr>
        <w:trPr>
          <w:trHeight w:val="220"/>
        </w:trPr>
        <w:tc>
          <w:tcPr>
            <w:tcW w:w="3140" w:type="dxa"/>
            <w:vAlign w:val="bottom"/>
          </w:tcPr>
          <w:p>
            <w:pPr>
              <w:ind w:left="40"/>
              <w:spacing w:after="0"/>
              <w:rPr>
                <w:sz w:val="20"/>
                <w:szCs w:val="20"/>
                <w:color w:val="auto"/>
              </w:rPr>
            </w:pPr>
            <w:r>
              <w:rPr>
                <w:rFonts w:ascii="Arial" w:cs="Arial" w:eastAsia="Arial" w:hAnsi="Arial"/>
                <w:sz w:val="17"/>
                <w:szCs w:val="17"/>
                <w:color w:val="auto"/>
              </w:rPr>
              <w:t>Boarding and deboarding fees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3.0</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(35)</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GSE forbearance fees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0.3</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22</w:t>
            </w:r>
          </w:p>
        </w:tc>
      </w:tr>
      <w:tr>
        <w:trPr>
          <w:trHeight w:val="220"/>
        </w:trPr>
        <w:tc>
          <w:tcPr>
            <w:tcW w:w="31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8.4</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(18)</w:t>
            </w:r>
          </w:p>
        </w:tc>
      </w:tr>
      <w:tr>
        <w:trPr>
          <w:trHeight w:val="238"/>
        </w:trPr>
        <w:tc>
          <w:tcPr>
            <w:tcW w:w="3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Ancillary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52.8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85.0</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81"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Ancillary income for the three months ended September 30, 2023 increased by $3.4 million as compared to the three months ended June 30, 2023 primarily because of a $5.3 million increase in float earnings driven by higher average float balances and higher interest rates, offset by a $1.7 million decline in reverse subservicing ancillary fees due to portfolio runoff.</w:t>
      </w:r>
    </w:p>
    <w:p>
      <w:pPr>
        <w:spacing w:after="0" w:line="69" w:lineRule="exact"/>
        <w:rPr>
          <w:sz w:val="20"/>
          <w:szCs w:val="20"/>
          <w:color w:val="auto"/>
        </w:rPr>
      </w:pPr>
    </w:p>
    <w:p>
      <w:pPr>
        <w:jc w:val="both"/>
        <w:ind w:right="180"/>
        <w:spacing w:after="0" w:line="285" w:lineRule="auto"/>
        <w:rPr>
          <w:sz w:val="20"/>
          <w:szCs w:val="20"/>
          <w:color w:val="auto"/>
        </w:rPr>
      </w:pPr>
      <w:r>
        <w:rPr>
          <w:rFonts w:ascii="Arial" w:cs="Arial" w:eastAsia="Arial" w:hAnsi="Arial"/>
          <w:sz w:val="16"/>
          <w:szCs w:val="16"/>
          <w:color w:val="auto"/>
        </w:rPr>
        <w:t>As compared to the nine months ended September 30, 2022, ancillary income for the nine months ended September 30, 2023 increased by $68.4 million largely driven by a $67.6 million increase in float earnings due to higher interest rates and an $11.8 million increase in reverse subservicing ancillary fees recognized on reverse mortgage loans boarded under the subservicing agreement with MAM (RMS) during the first half of 2022. Partially offsetting these increases, recording fees and late charges were lower by $3.9 million and $3.5 million, respectively, mostly due to the reduction in payoff volume.</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Loans Held for Sale, Net</w:t>
      </w:r>
    </w:p>
    <w:p>
      <w:pPr>
        <w:spacing w:after="0" w:line="115"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We recognized a $0.8 million loss on loans held for sale, net for the three months ended September 30, 2023, as compared to a $15.1 million gain for the three months ended June 30, 2023. The gain reported in the three months ended June 30, 2023 is mostly attributable to the revaluation of reverse mortgage buyouts opportunistically acquired at a discount and securitized in the second quarter of 2023. The loss reported in the three months ended September 30, 2023 is related to repurchased loans in connection with Ginnie Mae loan modifications and buyout activities due to the unfavorable impact of higher interest rates on redelivery.</w:t>
      </w:r>
    </w:p>
    <w:p>
      <w:pPr>
        <w:spacing w:after="0" w:line="4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the nine months ended September 30, 2023, we recognized a gain on loans held for sale, net of $13.0 million, as compared to the $14.0 million loss recognized in the nine months ended September 30, 2022. The $27.0 million improvement is mostly driven by the $15.7 million revaluation gain of reverse mortgage buyouts discussed above in the second quarter of 2023 and the $8.8 million loss reported in the second quarter of 2022 on certain delinquent and aged loans repurchased in connection with the Ginnie Mae EBO program. In addition, losses were recognized in the nine months ended September 30, 2022 on the sale of repurchased uninsured residential mortgage loans and redelivery of repurchased loans in connection with Ginnie Mae loan modifications and EBO activities, as a result of higher market interest rates.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15"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i w:val="1"/>
          <w:iCs w:val="1"/>
          <w:color w:val="auto"/>
        </w:rPr>
        <w:t>Gain (Loss) on Reverse Loans Held for Investment and HMBS-Related Borrowings, Net</w:t>
      </w:r>
    </w:p>
    <w:p>
      <w:pPr>
        <w:spacing w:after="0" w:line="115"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Gain (loss) on reverse loans held for investment and HMBS-related borrowings, net reported in the Servicing segment is the net change in fair value of securitized loans held for investment and HMBS-related borrowings. It excludes reverse subservicing that is reflected in Servicing and subservicing fees.</w:t>
      </w:r>
    </w:p>
    <w:p>
      <w:pPr>
        <w:spacing w:after="0" w:line="34" w:lineRule="exact"/>
        <w:rPr>
          <w:sz w:val="20"/>
          <w:szCs w:val="20"/>
          <w:color w:val="auto"/>
        </w:rPr>
      </w:pPr>
    </w:p>
    <w:p>
      <w:pPr>
        <w:jc w:val="both"/>
        <w:ind w:right="80"/>
        <w:spacing w:after="0" w:line="291" w:lineRule="auto"/>
        <w:rPr>
          <w:sz w:val="20"/>
          <w:szCs w:val="20"/>
          <w:color w:val="auto"/>
        </w:rPr>
      </w:pPr>
      <w:r>
        <w:rPr>
          <w:rFonts w:ascii="Arial" w:cs="Arial" w:eastAsia="Arial" w:hAnsi="Arial"/>
          <w:sz w:val="15"/>
          <w:szCs w:val="15"/>
          <w:color w:val="auto"/>
        </w:rPr>
        <w:t>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which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color w:val="auto"/>
        </w:rPr>
        <w:t>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 Change</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interest income (servicing fee)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20"/>
        </w:trPr>
        <w:tc>
          <w:tcPr>
            <w:tcW w:w="3140" w:type="dxa"/>
            <w:vAlign w:val="bottom"/>
          </w:tcPr>
          <w:p>
            <w:pPr>
              <w:ind w:left="40"/>
              <w:spacing w:after="0"/>
              <w:rPr>
                <w:sz w:val="20"/>
                <w:szCs w:val="20"/>
                <w:color w:val="auto"/>
              </w:rPr>
            </w:pPr>
            <w:r>
              <w:rPr>
                <w:rFonts w:ascii="Arial" w:cs="Arial" w:eastAsia="Arial" w:hAnsi="Arial"/>
                <w:sz w:val="17"/>
                <w:szCs w:val="17"/>
                <w:color w:val="auto"/>
              </w:rPr>
              <w:t>Realized gain on tail securitization</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2.5</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9.3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fair value gains (losses) (1)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(60.1)</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52"/>
        </w:trPr>
        <w:tc>
          <w:tcPr>
            <w:tcW w:w="3140" w:type="dxa"/>
            <w:vAlign w:val="bottom"/>
          </w:tcPr>
          <w:p>
            <w:pPr>
              <w:ind w:left="20"/>
              <w:spacing w:after="0"/>
              <w:rPr>
                <w:sz w:val="20"/>
                <w:szCs w:val="20"/>
                <w:color w:val="auto"/>
              </w:rPr>
            </w:pPr>
            <w:r>
              <w:rPr>
                <w:rFonts w:ascii="Arial" w:cs="Arial" w:eastAsia="Arial" w:hAnsi="Arial"/>
                <w:sz w:val="17"/>
                <w:szCs w:val="17"/>
                <w:color w:val="auto"/>
              </w:rPr>
              <w:t>Gain (loss) on reverse loans held for</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3140" w:type="dxa"/>
            <w:vAlign w:val="bottom"/>
          </w:tcPr>
          <w:p>
            <w:pPr>
              <w:ind w:left="100"/>
              <w:spacing w:after="0" w:line="181" w:lineRule="exact"/>
              <w:rPr>
                <w:sz w:val="20"/>
                <w:szCs w:val="20"/>
                <w:color w:val="auto"/>
              </w:rPr>
            </w:pPr>
            <w:r>
              <w:rPr>
                <w:rFonts w:ascii="Arial" w:cs="Arial" w:eastAsia="Arial" w:hAnsi="Arial"/>
                <w:sz w:val="17"/>
                <w:szCs w:val="17"/>
                <w:color w:val="auto"/>
                <w:w w:val="94"/>
              </w:rPr>
              <w:t>investment and HMBS-related borrowings,</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ind w:right="34"/>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5"/>
                <w:szCs w:val="15"/>
                <w:color w:val="auto"/>
              </w:rPr>
            </w:pP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vMerge w:val="restart"/>
          </w:tcPr>
          <w:p>
            <w:pPr>
              <w:jc w:val="right"/>
              <w:ind w:right="34"/>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vMerge w:val="restart"/>
          </w:tcPr>
          <w:p>
            <w:pPr>
              <w:jc w:val="right"/>
              <w:ind w:right="34"/>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tcPr>
          <w:p>
            <w:pPr>
              <w:jc w:val="right"/>
              <w:ind w:right="34"/>
              <w:spacing w:after="0"/>
              <w:rPr>
                <w:sz w:val="20"/>
                <w:szCs w:val="20"/>
                <w:color w:val="auto"/>
              </w:rPr>
            </w:pPr>
            <w:r>
              <w:rPr>
                <w:rFonts w:ascii="Arial" w:cs="Arial" w:eastAsia="Arial" w:hAnsi="Arial"/>
                <w:sz w:val="17"/>
                <w:szCs w:val="17"/>
                <w:color w:val="auto"/>
              </w:rPr>
              <w:t>(34.5)</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40" w:type="dxa"/>
            <w:vAlign w:val="bottom"/>
          </w:tcPr>
          <w:p>
            <w:pPr>
              <w:ind w:left="100"/>
              <w:spacing w:after="0"/>
              <w:rPr>
                <w:sz w:val="20"/>
                <w:szCs w:val="20"/>
                <w:color w:val="auto"/>
              </w:rPr>
            </w:pPr>
            <w:r>
              <w:rPr>
                <w:rFonts w:ascii="Arial" w:cs="Arial" w:eastAsia="Arial" w:hAnsi="Arial"/>
                <w:sz w:val="17"/>
                <w:szCs w:val="17"/>
                <w:color w:val="auto"/>
              </w:rPr>
              <w:t>net (Servicing)</w:t>
            </w:r>
          </w:p>
        </w:tc>
        <w:tc>
          <w:tcPr>
            <w:tcW w:w="1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48 %</w:t>
            </w: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3"/>
          <w:szCs w:val="13"/>
          <w:color w:val="auto"/>
        </w:rPr>
        <w:t>Includes realization of cash flows and fair value gains and losses due to inputs and assumptions.</w:t>
      </w:r>
    </w:p>
    <w:p>
      <w:pPr>
        <w:spacing w:after="0" w:line="96"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Loss on reverse loans held for investment and HMBS-related borrowings, net increased $2.0 million for the three months ended September 30, 2023 as compared to the three months ended June 30, 2023 mostly due to unrealized fair value losses on the HECM loan portfolio, net of HMBS attributable to higher market rates, partially offset by tighter yield spread.</w:t>
      </w:r>
    </w:p>
    <w:p>
      <w:pPr>
        <w:spacing w:after="0" w:line="69" w:lineRule="exact"/>
        <w:rPr>
          <w:sz w:val="20"/>
          <w:szCs w:val="20"/>
          <w:color w:val="auto"/>
        </w:rPr>
      </w:pPr>
    </w:p>
    <w:p>
      <w:pPr>
        <w:jc w:val="both"/>
        <w:ind w:right="280"/>
        <w:spacing w:after="0" w:line="293" w:lineRule="auto"/>
        <w:rPr>
          <w:sz w:val="20"/>
          <w:szCs w:val="20"/>
          <w:color w:val="auto"/>
        </w:rPr>
      </w:pPr>
      <w:r>
        <w:rPr>
          <w:rFonts w:ascii="Arial" w:cs="Arial" w:eastAsia="Arial" w:hAnsi="Arial"/>
          <w:sz w:val="15"/>
          <w:szCs w:val="15"/>
          <w:color w:val="auto"/>
        </w:rPr>
        <w:t>Gain on reverse loans held for investment and HMBS-related borrowings, net for the nine months ended September 30, 2023 was $3.9 million, a $38.4 million favorable change compared to the $34.5 million loss in the nine months ended September 30, 2022. The $37.4 million decline in unrealized fair value losses is mostly attributable to less significant market rate increase and yield spread tightening in the current period as compared to the same period of the prior year.</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Market interest rates and yield spreads directly impact projected asset life and the tail value of the HECM reverse mortgage loans.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while a narrowing yield spread results in higher gains.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MSR Valuation Adjustments, Net</w:t>
      </w:r>
    </w:p>
    <w:p>
      <w:pPr>
        <w:spacing w:after="0" w:line="115"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The following table summarizes the components of MSR valuation adjustments, net reported in our Servicing segment which include MSRs, MSR pledged liabilities and ESS financing liabilities at fair value: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320" w:type="dxa"/>
            <w:vAlign w:val="bottom"/>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148"/>
        </w:trPr>
        <w:tc>
          <w:tcPr>
            <w:tcW w:w="302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Realization of expected cash flows</w:t>
            </w: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32"/>
        </w:trPr>
        <w:tc>
          <w:tcPr>
            <w:tcW w:w="3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(runoff)</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(107.0)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(127.8)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168"/>
        </w:trPr>
        <w:tc>
          <w:tcPr>
            <w:tcW w:w="3020" w:type="dxa"/>
            <w:vAlign w:val="bottom"/>
          </w:tcPr>
          <w:p>
            <w:pPr>
              <w:ind w:left="20"/>
              <w:spacing w:after="0" w:line="168" w:lineRule="exact"/>
              <w:rPr>
                <w:sz w:val="20"/>
                <w:szCs w:val="20"/>
                <w:color w:val="auto"/>
              </w:rPr>
            </w:pPr>
            <w:r>
              <w:rPr>
                <w:rFonts w:ascii="Arial" w:cs="Arial" w:eastAsia="Arial" w:hAnsi="Arial"/>
                <w:sz w:val="17"/>
                <w:szCs w:val="17"/>
                <w:color w:val="auto"/>
                <w:w w:val="95"/>
              </w:rPr>
              <w:t>Fair value gains (losses) due to rates and</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2"/>
        </w:trPr>
        <w:tc>
          <w:tcPr>
            <w:tcW w:w="3020" w:type="dxa"/>
            <w:vAlign w:val="bottom"/>
          </w:tcPr>
          <w:p>
            <w:pPr>
              <w:ind w:left="100"/>
              <w:spacing w:after="0"/>
              <w:rPr>
                <w:sz w:val="20"/>
                <w:szCs w:val="20"/>
                <w:color w:val="auto"/>
              </w:rPr>
            </w:pPr>
            <w:r>
              <w:rPr>
                <w:rFonts w:ascii="Arial" w:cs="Arial" w:eastAsia="Arial" w:hAnsi="Arial"/>
                <w:sz w:val="17"/>
                <w:szCs w:val="17"/>
                <w:color w:val="auto"/>
              </w:rPr>
              <w:t>assumptions</w:t>
            </w: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83.0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50.6</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84.3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313.3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(73)</w:t>
            </w:r>
          </w:p>
        </w:tc>
      </w:tr>
      <w:tr>
        <w:trPr>
          <w:trHeight w:val="168"/>
        </w:trPr>
        <w:tc>
          <w:tcPr>
            <w:tcW w:w="30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MSR hedging derivative fair value gain</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2"/>
        </w:trPr>
        <w:tc>
          <w:tcPr>
            <w:tcW w:w="3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(loss)</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(68.6)</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(65.2)</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(119.7)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(122.9)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w:t>
            </w:r>
          </w:p>
        </w:tc>
      </w:tr>
      <w:tr>
        <w:trPr>
          <w:trHeight w:val="148"/>
        </w:trPr>
        <w:tc>
          <w:tcPr>
            <w:tcW w:w="3020" w:type="dxa"/>
            <w:vAlign w:val="bottom"/>
          </w:tcPr>
          <w:p>
            <w:pPr>
              <w:ind w:left="120"/>
              <w:spacing w:after="0" w:line="149" w:lineRule="exact"/>
              <w:rPr>
                <w:sz w:val="20"/>
                <w:szCs w:val="20"/>
                <w:color w:val="auto"/>
              </w:rPr>
            </w:pPr>
            <w:r>
              <w:rPr>
                <w:rFonts w:ascii="Arial" w:cs="Arial" w:eastAsia="Arial" w:hAnsi="Arial"/>
                <w:sz w:val="17"/>
                <w:szCs w:val="17"/>
                <w:color w:val="auto"/>
                <w:w w:val="93"/>
              </w:rPr>
              <w:t>Sub-total Fair value gains (losses) due to</w:t>
            </w: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1"/>
        </w:trPr>
        <w:tc>
          <w:tcPr>
            <w:tcW w:w="3020" w:type="dxa"/>
            <w:vAlign w:val="bottom"/>
          </w:tcPr>
          <w:p>
            <w:pPr>
              <w:ind w:left="200"/>
              <w:spacing w:after="0" w:line="181" w:lineRule="exact"/>
              <w:rPr>
                <w:sz w:val="20"/>
                <w:szCs w:val="20"/>
                <w:color w:val="auto"/>
              </w:rPr>
            </w:pPr>
            <w:r>
              <w:rPr>
                <w:rFonts w:ascii="Arial" w:cs="Arial" w:eastAsia="Arial" w:hAnsi="Arial"/>
                <w:sz w:val="17"/>
                <w:szCs w:val="17"/>
                <w:color w:val="auto"/>
                <w:w w:val="97"/>
              </w:rPr>
              <w:t>rates and assumptions, net of hedging</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9"/>
        </w:trPr>
        <w:tc>
          <w:tcPr>
            <w:tcW w:w="30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(14.6)</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190.5</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(119)</w:t>
            </w:r>
          </w:p>
        </w:tc>
      </w:tr>
      <w:tr>
        <w:trPr>
          <w:trHeight w:val="238"/>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MSR valuation adjustments,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62.7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(327)%</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108" w:lineRule="exact"/>
        <w:rPr>
          <w:sz w:val="20"/>
          <w:szCs w:val="20"/>
          <w:color w:val="auto"/>
        </w:rPr>
      </w:pPr>
    </w:p>
    <w:p>
      <w:pPr>
        <w:ind w:left="320" w:right="500" w:hanging="317"/>
        <w:spacing w:after="0" w:line="322"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fair value changes of reverse mortgage loans held-for-investment and HMBS related borrowing due to rates and assumptions that are part of the MSR hedging strategy. Also refer to the MSR Hedging Strategy section of Item 3. Quantitative and Qualitative Disclosures about Market Risks for further detail.</w:t>
      </w:r>
    </w:p>
    <w:p>
      <w:pPr>
        <w:spacing w:after="0" w:line="29"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treatment and the ESS financing liabilities for which we elected the fair value option and that is collateralized by MSRs.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$21.0 million loss in MSR valuation adjustments, net for the three months ended September 30, 2023 is comprised of $35.4 million runoff and a $14.5 million fair value gain attributed to rates and assumptions, net of hedging. The runoff in the three months ended September 30, 2023 was flat compared to the three months ended June 30, 2023 (decreased by $0.4 million) consistent with the average serviced UPB in the respective periods. The $14.5 million fair value gain due to rates and assumptions, net of hedging is primarily due to an increase in market interest rates (e.g., the 10-year Treasury rate increased by 78 basis points in the three months ended September 30, 2023) that resulted in fair value gains net of hedging loss, partially offset by unfavorable assumption updates to reflect market participant perspectives on MSRs and MSR pledged liabilities and actual trade levels. The interest rate exposure was hedged under our MSR hedging strategy with an average 73% hedge coverage ratio during the three months ended September 30, 2023.</w:t>
      </w:r>
    </w:p>
    <w:p>
      <w:pPr>
        <w:spacing w:after="0" w:line="64"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MSR valuation adjustments, net for the three months ended September 30, 2023 increased $29.5 million (lower loss) as compared to the three months ended June 30, 2023 primarily due to a $29.1 million favorable increase attributed to rate and assumption change, net of hedging gains and losses, as the portfolio runoff remained flat. This improvement is mostly driven by the change in hedge coverage ratio and a larger increase in market interest rates in the current quarter vs. the prior quarter. The 10-year Treasury rate increased by 78 basis points in the three months ended September 30, 2023 as compared to an increase of 33 basis points in the three months ended June 30, 2023. The average hedge coverage ratio decreased from 92% to 73% during the three months ended September 30, 2023.</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5" w:name="page76"/>
    <w:bookmarkEnd w:id="75"/>
    <w:p>
      <w:pPr>
        <w:ind w:right="60"/>
        <w:spacing w:after="0" w:line="296" w:lineRule="auto"/>
        <w:rPr>
          <w:sz w:val="20"/>
          <w:szCs w:val="20"/>
          <w:color w:val="auto"/>
        </w:rPr>
      </w:pPr>
      <w:r>
        <w:rPr>
          <w:rFonts w:ascii="Arial" w:cs="Arial" w:eastAsia="Arial" w:hAnsi="Arial"/>
          <w:sz w:val="15"/>
          <w:szCs w:val="15"/>
          <w:color w:val="auto"/>
        </w:rPr>
        <w:t>As compared to the nine months ended September 30, 2022, MSR valuation adjustments, net declined $205.1 million (higher loss) mainly due to the loss reported in the nine months ended September 30, 2023 and the gain reported in the nine months ended September 30, 2022 attributed to rate and assumption change, net of hedging. The change from a gain to a loss is primarily due to changes in market interest rates (e.g., the 10-year Treasury rate increased by 71 basis points in the nine months ended September 30, 2023 and by 231 basis points in the nine months ended September 30, 2022), assumption updates discussed above and the change in hedge coverage ratio. The average hedge coverage ratio during the nine months ended September 30, 2023 increased from 40% to 97%, as compared to the nine months ended September 30, 2022. Our MSR hedging policy is designed to partially reduce the volatility of the MSR portfolio fair value due to market interest rates. Refer to Item 3 - Quantitative and Qualitative Disclosures about Market Risk for further detail on our hedging strategy and its effectiveness. The $20.8 million decrease in runoff is in part due to the ESS financing liabilities issued beginning in the third quarter of 2022 and MSR sales.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40" w:type="dxa"/>
            <w:vAlign w:val="bottom"/>
          </w:tcPr>
          <w:p>
            <w:pPr>
              <w:spacing w:after="0"/>
              <w:rPr>
                <w:sz w:val="20"/>
                <w:szCs w:val="20"/>
                <w:color w:val="auto"/>
              </w:rPr>
            </w:pPr>
            <w:r>
              <w:rPr>
                <w:rFonts w:ascii="Arial" w:cs="Arial" w:eastAsia="Arial" w:hAnsi="Arial"/>
                <w:sz w:val="17"/>
                <w:szCs w:val="17"/>
                <w:b w:val="1"/>
                <w:bCs w:val="1"/>
                <w:i w:val="1"/>
                <w:iCs w:val="1"/>
                <w:color w:val="auto"/>
              </w:rPr>
              <w:t>Compensation and Benefits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1"/>
        </w:trPr>
        <w:tc>
          <w:tcPr>
            <w:tcW w:w="3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7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26.7</w:t>
            </w:r>
          </w:p>
        </w:tc>
        <w:tc>
          <w:tcPr>
            <w:tcW w:w="134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(5)%  $</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Average Employment - Servicing</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jc w:val="center"/>
              <w:ind w:right="2194"/>
              <w:spacing w:after="0"/>
              <w:rPr>
                <w:sz w:val="20"/>
                <w:szCs w:val="20"/>
                <w:color w:val="auto"/>
              </w:rPr>
            </w:pPr>
            <w:r>
              <w:rPr>
                <w:rFonts w:ascii="Arial" w:cs="Arial" w:eastAsia="Arial" w:hAnsi="Arial"/>
                <w:sz w:val="17"/>
                <w:szCs w:val="17"/>
                <w:color w:val="auto"/>
                <w:w w:val="92"/>
              </w:rPr>
              <w:t>Forward</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2,384</w:t>
            </w: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w w:val="94"/>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2,792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20"/>
        </w:trPr>
        <w:tc>
          <w:tcPr>
            <w:tcW w:w="3140" w:type="dxa"/>
            <w:vAlign w:val="bottom"/>
            <w:shd w:val="clear" w:color="auto" w:fill="CCEEFF"/>
          </w:tcPr>
          <w:p>
            <w:pPr>
              <w:jc w:val="center"/>
              <w:ind w:right="2214"/>
              <w:spacing w:after="0"/>
              <w:rPr>
                <w:sz w:val="20"/>
                <w:szCs w:val="20"/>
                <w:color w:val="auto"/>
              </w:rPr>
            </w:pPr>
            <w:r>
              <w:rPr>
                <w:rFonts w:ascii="Arial" w:cs="Arial" w:eastAsia="Arial" w:hAnsi="Arial"/>
                <w:sz w:val="17"/>
                <w:szCs w:val="17"/>
                <w:color w:val="auto"/>
                <w:w w:val="88"/>
              </w:rPr>
              <w:t>Reverse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w:t>
            </w:r>
          </w:p>
        </w:tc>
      </w:tr>
      <w:tr>
        <w:trPr>
          <w:trHeight w:val="213"/>
        </w:trPr>
        <w:tc>
          <w:tcPr>
            <w:tcW w:w="3140" w:type="dxa"/>
            <w:vAlign w:val="bottom"/>
          </w:tcPr>
          <w:p>
            <w:pPr>
              <w:jc w:val="center"/>
              <w:ind w:right="2214"/>
              <w:spacing w:after="0"/>
              <w:rPr>
                <w:sz w:val="20"/>
                <w:szCs w:val="20"/>
                <w:color w:val="auto"/>
              </w:rPr>
            </w:pPr>
            <w:r>
              <w:rPr>
                <w:rFonts w:ascii="Arial" w:cs="Arial" w:eastAsia="Arial" w:hAnsi="Arial"/>
                <w:sz w:val="17"/>
                <w:szCs w:val="17"/>
                <w:color w:val="auto"/>
                <w:w w:val="95"/>
              </w:rPr>
              <w:t>Total</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3,424</w:t>
            </w: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w w:val="94"/>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r>
      <w:tr>
        <w:trPr>
          <w:trHeight w:val="211"/>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Offshore %</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181"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Compensation and benefits expense for the three months ended September 30, 2023 decreased $1.5 million or 5% as compared to the three months ended June 30, 2023 primarily as a result of a decrease in incentive compensation and lower headcount. The fair value of cash-settled share-based awards decreased in the quarter following the decline of our common stock price, as compared to an increase in the prior quarter.</w:t>
      </w:r>
    </w:p>
    <w:p>
      <w:pPr>
        <w:spacing w:after="0" w:line="6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As compared to the nine months ended September 30, 2022, Compensation and benefits expense for the nine months ended September 30, 2023 decreased $16.3 million or 17%, largely driven by a $15.0 million decrease in salary and benefits expense and a $1.2 million decrease in severance expense. The decrease in salaries and benefit expense is driven by a 27% reduction in our average U.S. Servicing headcount, reflecting our goal to improve efficiencies and create an industry leading cost structure, also driven by the further integration of reverse servicing. The offshore-to-total average headcount ratio for Servicing increased from 72% for the nine months ended September 30, 2022 to 78% for the nine months ended September 30, 2023.</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Servicing Expense</w:t>
      </w:r>
    </w:p>
    <w:p>
      <w:pPr>
        <w:spacing w:after="0" w:line="115" w:lineRule="exact"/>
        <w:rPr>
          <w:sz w:val="20"/>
          <w:szCs w:val="20"/>
          <w:color w:val="auto"/>
        </w:rPr>
      </w:pPr>
    </w:p>
    <w:p>
      <w:pPr>
        <w:ind w:right="800"/>
        <w:spacing w:after="0" w:line="283" w:lineRule="auto"/>
        <w:rPr>
          <w:sz w:val="20"/>
          <w:szCs w:val="20"/>
          <w:color w:val="auto"/>
        </w:rPr>
      </w:pPr>
      <w:r>
        <w:rPr>
          <w:rFonts w:ascii="Arial" w:cs="Arial" w:eastAsia="Arial" w:hAnsi="Arial"/>
          <w:sz w:val="17"/>
          <w:szCs w:val="17"/>
          <w:color w:val="auto"/>
        </w:rPr>
        <w:t>Servicing expense primarily includes claim losses and interest curtailments on government-insured loans, provision expense for advances and servicing representation and warranties, and certain loan-volume related expenses.</w:t>
      </w:r>
    </w:p>
    <w:p>
      <w:pPr>
        <w:spacing w:after="0" w:line="108" w:lineRule="exact"/>
        <w:rPr>
          <w:sz w:val="20"/>
          <w:szCs w:val="20"/>
          <w:color w:val="auto"/>
        </w:rPr>
      </w:pPr>
    </w:p>
    <w:p>
      <w:pPr>
        <w:jc w:val="both"/>
        <w:ind w:right="100"/>
        <w:spacing w:after="0" w:line="268" w:lineRule="auto"/>
        <w:rPr>
          <w:sz w:val="20"/>
          <w:szCs w:val="20"/>
          <w:color w:val="auto"/>
        </w:rPr>
      </w:pPr>
      <w:r>
        <w:rPr>
          <w:rFonts w:ascii="Arial" w:cs="Arial" w:eastAsia="Arial" w:hAnsi="Arial"/>
          <w:sz w:val="17"/>
          <w:szCs w:val="17"/>
          <w:color w:val="auto"/>
        </w:rPr>
        <w:t>Servicing expense declined $3.6 million in the three months ended September 30, 2023 as compared to the three months ended June 30, 2023, primarily due to a provision reversal in the third quarter of 2023 (reduction in our loss reserve) on our forward portfolio and additional expense on our reverse mortgage portfolio in the second quarter of 2023.</w:t>
      </w:r>
    </w:p>
    <w:p>
      <w:pPr>
        <w:spacing w:after="0" w:line="69" w:lineRule="exact"/>
        <w:rPr>
          <w:sz w:val="20"/>
          <w:szCs w:val="20"/>
          <w:color w:val="auto"/>
        </w:rPr>
      </w:pPr>
    </w:p>
    <w:p>
      <w:pPr>
        <w:jc w:val="both"/>
        <w:ind w:right="120"/>
        <w:spacing w:after="0" w:line="285" w:lineRule="auto"/>
        <w:rPr>
          <w:sz w:val="20"/>
          <w:szCs w:val="20"/>
          <w:color w:val="auto"/>
        </w:rPr>
      </w:pPr>
      <w:r>
        <w:rPr>
          <w:rFonts w:ascii="Arial" w:cs="Arial" w:eastAsia="Arial" w:hAnsi="Arial"/>
          <w:sz w:val="16"/>
          <w:szCs w:val="16"/>
          <w:color w:val="auto"/>
        </w:rPr>
        <w:t>As compared to the nine months ended September 30, 2022, Servicing expense for the nine months ended September 30, 2023 was flat (declined $0.5 million or 1%). The $4.6 million reduction in satisfaction and interest on payoff expense attributable to lower payoff volume was largely offset by a $1.9 million increase in provision expense and claim losses on government-insured claims receivables driven by our reverse mortgage portfolio, and a $1.7 million increase in provision for indemnification driven by favorable settlements recorded in the nine months ended September 30, 2022.</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Expenses</w:t>
      </w:r>
    </w:p>
    <w:p>
      <w:pPr>
        <w:spacing w:after="0" w:line="115"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Other operating expenses (total operating expenses less Compensation and benefits and Servicing expense) for the three months ended September 30, 2023 decreased by $3.4 million as compared to the three months ended June 30, 2023, mostly due to a $3.1 million decline in Professional services. We incurred lower legal expenses, lower litigation settlement expenses and lower other professional fees (driven by transactions in the second quarter of 2023) during the third quarter of 2023.</w:t>
      </w:r>
    </w:p>
    <w:p>
      <w:pPr>
        <w:spacing w:after="0" w:line="73"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As compared to the nine months ended September 30, 2022, other operating expenses for the nine months ended September 30, 2023 increased by $4.5 million, with a $7.1 million increase in Professional services partially offset by a $1.6 million reduction in Occupancy and equipment expense driven by lower headcount and cost saving initiatives. The increase 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6" w:name="page77"/>
    <w:bookmarkEnd w:id="76"/>
    <w:p>
      <w:pPr>
        <w:ind w:right="300"/>
        <w:spacing w:after="0" w:line="268" w:lineRule="auto"/>
        <w:rPr>
          <w:sz w:val="20"/>
          <w:szCs w:val="20"/>
          <w:color w:val="auto"/>
        </w:rPr>
      </w:pPr>
      <w:r>
        <w:rPr>
          <w:rFonts w:ascii="Arial" w:cs="Arial" w:eastAsia="Arial" w:hAnsi="Arial"/>
          <w:sz w:val="17"/>
          <w:szCs w:val="17"/>
          <w:color w:val="auto"/>
        </w:rPr>
        <w:t>Professional services is mostly driven by reimbursements received from mortgage loan investors in the nine months ended September 30, 2022 related to prior legal expenses and payments received following resolution of legacy litigation matters. In addition, other professional services declined primarily due to cost reduction initiatives in our forward servicing and reverse subservicing businesses.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primarily includes net interest expense and pledged MSR liability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Interest Expense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Advance match funded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10.4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10.5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195 %</w:t>
            </w:r>
          </w:p>
        </w:tc>
      </w:tr>
      <w:tr>
        <w:trPr>
          <w:trHeight w:val="220"/>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5.8</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130</w:t>
            </w: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MSR financing facilities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17.8</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30.2</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72</w:t>
            </w:r>
          </w:p>
        </w:tc>
      </w:tr>
      <w:tr>
        <w:trPr>
          <w:trHeight w:val="220"/>
        </w:trPr>
        <w:tc>
          <w:tcPr>
            <w:tcW w:w="3140" w:type="dxa"/>
            <w:vAlign w:val="bottom"/>
            <w:shd w:val="clear" w:color="auto" w:fill="CCEEFF"/>
          </w:tcPr>
          <w:p>
            <w:pPr>
              <w:ind w:left="100"/>
              <w:spacing w:after="0"/>
              <w:rPr>
                <w:sz w:val="20"/>
                <w:szCs w:val="20"/>
                <w:color w:val="auto"/>
              </w:rPr>
            </w:pPr>
            <w:r>
              <w:rPr>
                <w:rFonts w:ascii="Arial" w:cs="Arial" w:eastAsia="Arial" w:hAnsi="Arial"/>
                <w:sz w:val="17"/>
                <w:szCs w:val="17"/>
                <w:color w:val="auto"/>
                <w:w w:val="94"/>
              </w:rPr>
              <w:t>Corporate debt interest expense allocation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23.3</w:t>
            </w:r>
          </w:p>
        </w:tc>
        <w:tc>
          <w:tcPr>
            <w:tcW w:w="10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r>
      <w:tr>
        <w:trPr>
          <w:trHeight w:val="220"/>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Escrow</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w:t>
            </w:r>
          </w:p>
        </w:tc>
        <w:tc>
          <w:tcPr>
            <w:tcW w:w="108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5.4</w:t>
            </w:r>
          </w:p>
        </w:tc>
        <w:tc>
          <w:tcPr>
            <w:tcW w:w="108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24</w:t>
            </w:r>
          </w:p>
        </w:tc>
      </w:tr>
      <w:tr>
        <w:trPr>
          <w:trHeight w:val="238"/>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b w:val="1"/>
                <w:bCs w:val="1"/>
                <w:color w:val="auto"/>
              </w:rPr>
              <w:t>Total 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43.3</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7"/>
                <w:szCs w:val="17"/>
                <w:color w:val="auto"/>
              </w:rPr>
              <w:t>—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128.2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76.3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68 %</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Average balances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Advance match funded liabilities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394.7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430.6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428.4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463.9</w:t>
            </w: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w w:val="94"/>
              </w:rPr>
              <w:t>(8)%</w:t>
            </w:r>
          </w:p>
        </w:tc>
      </w:tr>
      <w:tr>
        <w:trPr>
          <w:trHeight w:val="220"/>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298.7</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242.1</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7</w:t>
            </w:r>
          </w:p>
        </w:tc>
      </w:tr>
      <w:tr>
        <w:trPr>
          <w:trHeight w:val="220"/>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MSR financing facilities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821.8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884.0</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878.9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929.5</w:t>
            </w:r>
          </w:p>
        </w:tc>
        <w:tc>
          <w:tcPr>
            <w:tcW w:w="1080" w:type="dxa"/>
            <w:vAlign w:val="bottom"/>
            <w:tcBorders>
              <w:bottom w:val="single" w:sz="8" w:color="CCEEFF"/>
            </w:tcBorders>
            <w:gridSpan w:val="2"/>
          </w:tcPr>
          <w:p>
            <w:pPr>
              <w:ind w:left="720"/>
              <w:spacing w:after="0"/>
              <w:rPr>
                <w:sz w:val="20"/>
                <w:szCs w:val="20"/>
                <w:color w:val="auto"/>
              </w:rPr>
            </w:pPr>
            <w:r>
              <w:rPr>
                <w:rFonts w:ascii="Arial" w:cs="Arial" w:eastAsia="Arial" w:hAnsi="Arial"/>
                <w:sz w:val="17"/>
                <w:szCs w:val="17"/>
                <w:color w:val="auto"/>
              </w:rPr>
              <w:t>(5)</w:t>
            </w:r>
          </w:p>
        </w:tc>
      </w:tr>
      <w:tr>
        <w:trPr>
          <w:trHeight w:val="238"/>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 asset-backed financing</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1,475.8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1,613.3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1,567.2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1,635.5</w:t>
            </w:r>
          </w:p>
        </w:tc>
        <w:tc>
          <w:tcPr>
            <w:tcW w:w="10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7"/>
                <w:szCs w:val="17"/>
                <w:color w:val="auto"/>
                <w:w w:val="94"/>
              </w:rPr>
              <w:t>(4)%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Effective average interest rate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Advance match funded liabilities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10.02%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9.68%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3.02%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219 %</w:t>
            </w:r>
          </w:p>
        </w:tc>
      </w:tr>
      <w:tr>
        <w:trPr>
          <w:trHeight w:val="220"/>
        </w:trPr>
        <w:tc>
          <w:tcPr>
            <w:tcW w:w="31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Mortgage loan financing facilities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9.55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7.75</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3.79</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114</w:t>
            </w:r>
          </w:p>
        </w:tc>
      </w:tr>
      <w:tr>
        <w:trPr>
          <w:trHeight w:val="220"/>
        </w:trPr>
        <w:tc>
          <w:tcPr>
            <w:tcW w:w="3140" w:type="dxa"/>
            <w:vAlign w:val="bottom"/>
          </w:tcPr>
          <w:p>
            <w:pPr>
              <w:ind w:left="120"/>
              <w:spacing w:after="0"/>
              <w:rPr>
                <w:sz w:val="20"/>
                <w:szCs w:val="20"/>
                <w:color w:val="auto"/>
              </w:rPr>
            </w:pPr>
            <w:r>
              <w:rPr>
                <w:rFonts w:ascii="Arial" w:cs="Arial" w:eastAsia="Arial" w:hAnsi="Arial"/>
                <w:sz w:val="17"/>
                <w:szCs w:val="17"/>
                <w:color w:val="auto"/>
              </w:rPr>
              <w:t>MSR financing facilities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8.06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8.04</w:t>
            </w:r>
          </w:p>
        </w:tc>
        <w:tc>
          <w:tcPr>
            <w:tcW w:w="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4.33</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82</w:t>
            </w:r>
          </w:p>
        </w:tc>
      </w:tr>
      <w:tr>
        <w:trPr>
          <w:trHeight w:val="155"/>
        </w:trPr>
        <w:tc>
          <w:tcPr>
            <w:tcW w:w="3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color w:val="auto"/>
              </w:rPr>
              <w:t>Average 1M Term SOFR</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5.29%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5.04%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1.19%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319 %</w:t>
            </w:r>
          </w:p>
        </w:tc>
      </w:tr>
    </w:tbl>
    <w:p>
      <w:pPr>
        <w:spacing w:after="0" w:line="181"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Interest expense for the three months ended September 30, 2023 was unchanged as compared to the three months ended June 30, 2023. The increase in market interest rates on our variable rate, asset-backed financing facilities was more than offset by a decrease in average debt balances. The $1.5 million increase in escrow interest expense driven by higher escrow balances was mostly offset by the $1.2 million decrease in MSR financing cost driven by a decline in the MSR facility balance. The $179.5 million transfers/sales of MSRs to MSR capital partners in the second and third quarter of 2023 resulted in the replacement of the MSR financing facilities by other financing liabilities at fair value (failed sale accounting).</w:t>
      </w:r>
    </w:p>
    <w:p>
      <w:pPr>
        <w:spacing w:after="0" w:line="6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As compared to the nine months ended September 30, 2022, interest expense for the nine months ended September 30, 2023 increased $51.8 million, or 68%, mostly driven by a more than 300 basis points increase in short-term market interest rates. The increase in market interest rates resulted in the $21.7 million increase in interest expense on MSR financing facilities partially offset by a lower average debt balance. The $8.9 million increase in interest expense on mortgage loan financing facilities was due to higher interest cost of funds and an increase in average debt balance as part of our reverse buyout opportunistic acquisition in the second quarter of 2023. Interest expense on advance match funded facilities increased $20.5 million despite the lower average borrowings as a result of market rate increase and our repayment of lower cost OMART term notes during the third quarter of 2022.</w:t>
      </w:r>
    </w:p>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Interest income for the three months ended September 30, 2023 remained flat as compared to the three months ended June 30, 2023. As compared to the nine months ended September 30, 2022, interest income for the nine months ended September 30, 2023 increased by $6.0 million mostly due to the reverse mortgage buyouts opportunistically acquired in the second quarter of 2023 discussed above and larger reverse mortgage buyout volumes, partially offset by a decline in forward Ginnie Mae modification repurchase volumes.</w:t>
      </w:r>
    </w:p>
    <w:p>
      <w:pPr>
        <w:spacing w:after="0" w:line="73" w:lineRule="exact"/>
        <w:rPr>
          <w:sz w:val="20"/>
          <w:szCs w:val="20"/>
          <w:color w:val="auto"/>
        </w:rPr>
      </w:pPr>
    </w:p>
    <w:p>
      <w:pPr>
        <w:ind w:right="640"/>
        <w:spacing w:after="0" w:line="283" w:lineRule="auto"/>
        <w:rPr>
          <w:sz w:val="20"/>
          <w:szCs w:val="20"/>
          <w:color w:val="auto"/>
        </w:rPr>
      </w:pPr>
      <w:r>
        <w:rPr>
          <w:rFonts w:ascii="Arial" w:cs="Arial" w:eastAsia="Arial" w:hAnsi="Arial"/>
          <w:sz w:val="17"/>
          <w:szCs w:val="17"/>
          <w:color w:val="auto"/>
        </w:rPr>
        <w:t>Pledged MSR liability expense includes the servicing fee remittance related to the MSR sales or transfers that do not meet sale accounting criteria and are presented on a gross basis in our consolidated financial statements, together with the servicing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7" w:name="page78"/>
    <w:bookmarkEnd w:id="77"/>
    <w:p>
      <w:pPr>
        <w:ind w:right="100"/>
        <w:spacing w:after="0" w:line="283" w:lineRule="auto"/>
        <w:rPr>
          <w:sz w:val="20"/>
          <w:szCs w:val="20"/>
          <w:color w:val="auto"/>
        </w:rPr>
      </w:pPr>
      <w:r>
        <w:rPr>
          <w:rFonts w:ascii="Arial" w:cs="Arial" w:eastAsia="Arial" w:hAnsi="Arial"/>
          <w:sz w:val="17"/>
          <w:szCs w:val="17"/>
          <w:color w:val="auto"/>
        </w:rPr>
        <w:t>spread remittance associated with our ESS financing liability at fair value. See Note 8 — Other Financing Liabilities, at Fair Value to the Unaudited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components of Pledged MSR liability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148"/>
        </w:trPr>
        <w:tc>
          <w:tcPr>
            <w:tcW w:w="322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rPr>
              <w:t>Servicing fees collected on behalf of third</w:t>
            </w: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32"/>
        </w:trPr>
        <w:tc>
          <w:tcPr>
            <w:tcW w:w="3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party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74.7</w:t>
            </w:r>
          </w:p>
        </w:tc>
        <w:tc>
          <w:tcPr>
            <w:tcW w:w="1000" w:type="dxa"/>
            <w:vAlign w:val="bottom"/>
            <w:shd w:val="clear" w:color="auto" w:fill="CCEEFF"/>
          </w:tcPr>
          <w:p>
            <w:pPr>
              <w:ind w:left="700"/>
              <w:spacing w:after="0"/>
              <w:rPr>
                <w:sz w:val="20"/>
                <w:szCs w:val="20"/>
                <w:color w:val="auto"/>
              </w:rPr>
            </w:pPr>
            <w:r>
              <w:rPr>
                <w:rFonts w:ascii="Arial" w:cs="Arial" w:eastAsia="Arial" w:hAnsi="Arial"/>
                <w:sz w:val="17"/>
                <w:szCs w:val="17"/>
                <w:color w:val="auto"/>
                <w:w w:val="95"/>
              </w:rPr>
              <w:t>6 %</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3220" w:type="dxa"/>
            <w:vAlign w:val="bottom"/>
          </w:tcPr>
          <w:p>
            <w:pPr>
              <w:ind w:left="20"/>
              <w:spacing w:after="0"/>
              <w:rPr>
                <w:sz w:val="20"/>
                <w:szCs w:val="20"/>
                <w:color w:val="auto"/>
              </w:rPr>
            </w:pPr>
            <w:r>
              <w:rPr>
                <w:rFonts w:ascii="Arial" w:cs="Arial" w:eastAsia="Arial" w:hAnsi="Arial"/>
                <w:sz w:val="17"/>
                <w:szCs w:val="17"/>
                <w:color w:val="auto"/>
              </w:rPr>
              <w:t>Less: Subservicing fee retained</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(19.1)</w:t>
            </w:r>
          </w:p>
        </w:tc>
        <w:tc>
          <w:tcPr>
            <w:tcW w:w="1000" w:type="dxa"/>
            <w:vAlign w:val="bottom"/>
          </w:tcPr>
          <w:p>
            <w:pPr>
              <w:ind w:left="7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(62.6)</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(7)</w:t>
            </w:r>
          </w:p>
        </w:tc>
      </w:tr>
      <w:tr>
        <w:trPr>
          <w:trHeight w:val="168"/>
        </w:trPr>
        <w:tc>
          <w:tcPr>
            <w:tcW w:w="32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Ancillary fee/income and other settlement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2"/>
        </w:trPr>
        <w:tc>
          <w:tcPr>
            <w:tcW w:w="3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(including expense reimbursement)</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3.5</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3.5</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183</w:t>
            </w:r>
          </w:p>
        </w:tc>
      </w:tr>
      <w:tr>
        <w:trPr>
          <w:trHeight w:val="213"/>
        </w:trPr>
        <w:tc>
          <w:tcPr>
            <w:tcW w:w="3220" w:type="dxa"/>
            <w:vAlign w:val="bottom"/>
          </w:tcPr>
          <w:p>
            <w:pPr>
              <w:ind w:left="120"/>
              <w:spacing w:after="0"/>
              <w:rPr>
                <w:sz w:val="20"/>
                <w:szCs w:val="20"/>
                <w:color w:val="auto"/>
              </w:rPr>
            </w:pPr>
            <w:r>
              <w:rPr>
                <w:rFonts w:ascii="Arial" w:cs="Arial" w:eastAsia="Arial" w:hAnsi="Arial"/>
                <w:sz w:val="17"/>
                <w:szCs w:val="17"/>
                <w:color w:val="auto"/>
              </w:rPr>
              <w:t>Net servicing fee remittance (1)</w:t>
            </w: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59.1</w:t>
            </w:r>
          </w:p>
        </w:tc>
        <w:tc>
          <w:tcPr>
            <w:tcW w:w="1000" w:type="dxa"/>
            <w:vAlign w:val="bottom"/>
          </w:tcPr>
          <w:p>
            <w:pPr>
              <w:ind w:left="70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187.1</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(3)</w:t>
            </w:r>
          </w:p>
        </w:tc>
      </w:tr>
      <w:tr>
        <w:trPr>
          <w:trHeight w:val="220"/>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ESS servicing spread remittance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13.9</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38.1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n/m</w:t>
            </w:r>
          </w:p>
        </w:tc>
      </w:tr>
      <w:tr>
        <w:trPr>
          <w:trHeight w:val="213"/>
        </w:trPr>
        <w:tc>
          <w:tcPr>
            <w:tcW w:w="3220" w:type="dxa"/>
            <w:vAlign w:val="bottom"/>
          </w:tcPr>
          <w:p>
            <w:pPr>
              <w:ind w:left="120"/>
              <w:spacing w:after="0"/>
              <w:rPr>
                <w:sz w:val="20"/>
                <w:szCs w:val="20"/>
                <w:color w:val="auto"/>
              </w:rPr>
            </w:pPr>
            <w:r>
              <w:rPr>
                <w:rFonts w:ascii="Arial" w:cs="Arial" w:eastAsia="Arial" w:hAnsi="Arial"/>
                <w:sz w:val="17"/>
                <w:szCs w:val="17"/>
                <w:color w:val="auto"/>
              </w:rPr>
              <w:t>Pledged MSR liability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76.5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73.1</w:t>
            </w:r>
          </w:p>
        </w:tc>
        <w:tc>
          <w:tcPr>
            <w:tcW w:w="1000" w:type="dxa"/>
            <w:vAlign w:val="bottom"/>
          </w:tcPr>
          <w:p>
            <w:pPr>
              <w:ind w:left="700"/>
              <w:spacing w:after="0"/>
              <w:rPr>
                <w:sz w:val="20"/>
                <w:szCs w:val="20"/>
                <w:color w:val="auto"/>
              </w:rPr>
            </w:pPr>
            <w:r>
              <w:rPr>
                <w:rFonts w:ascii="Arial" w:cs="Arial" w:eastAsia="Arial" w:hAnsi="Arial"/>
                <w:sz w:val="17"/>
                <w:szCs w:val="17"/>
                <w:color w:val="auto"/>
                <w:w w:val="95"/>
              </w:rPr>
              <w:t>5 %</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188.4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17 %</w:t>
            </w:r>
          </w:p>
        </w:tc>
      </w:tr>
      <w:tr>
        <w:trPr>
          <w:trHeight w:val="20"/>
        </w:trPr>
        <w:tc>
          <w:tcPr>
            <w:tcW w:w="3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MSR transfers that do not meet sale accounting criteria. See Note 8 — Other Financing Liabilities, at Fair Value.</w:t>
      </w:r>
    </w:p>
    <w:p>
      <w:pPr>
        <w:spacing w:after="0" w:line="96" w:lineRule="exact"/>
        <w:rPr>
          <w:sz w:val="20"/>
          <w:szCs w:val="20"/>
          <w:color w:val="auto"/>
        </w:rPr>
      </w:pPr>
    </w:p>
    <w:p>
      <w:pPr>
        <w:ind w:right="380"/>
        <w:spacing w:after="0" w:line="353" w:lineRule="auto"/>
        <w:rPr>
          <w:sz w:val="20"/>
          <w:szCs w:val="20"/>
          <w:color w:val="auto"/>
        </w:rPr>
      </w:pPr>
      <w:r>
        <w:rPr>
          <w:rFonts w:ascii="Arial" w:cs="Arial" w:eastAsia="Arial" w:hAnsi="Arial"/>
          <w:sz w:val="15"/>
          <w:szCs w:val="15"/>
          <w:color w:val="auto"/>
        </w:rPr>
        <w:t>Pledged MSR liability expense for the three months ended September 30, 2023 increased $3.4 million, as compared to the three months ended June 30, 2023, largely due to the growth of the transferred or sold MSR portfolio, with MAV and other counterparties, offset in part by the runoff of the Rithm portfolio.</w:t>
      </w:r>
    </w:p>
    <w:p>
      <w:pPr>
        <w:spacing w:after="0" w:line="9"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As compared to the nine months ended September 30, 2022, Pledged MSR liability expense for the nine months ended September 30, 2023 increased $31.5 million, mostly due to $36.8 million increase in servicing spread remittance on the ESS financing liabilities issued beginning in the third quarter of 2022. This increase was offset in part by the decrease in net servicing fee remittance with the decline in the Rithm portfolio (non-Agency) exceeding the growth in the MAV and other portfolios (Agency).</w:t>
      </w:r>
    </w:p>
    <w:p>
      <w:pPr>
        <w:spacing w:after="0" w:line="73"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Rithm represents the largest portfolio of MSRs transferred, failing sale accounting, and the largest component of Pledged MSR liability expense. The following table presents a subset of the above table related to Rithm, specifically the subservicing fees retained by Ocwen together with the associated serviced UPB on behalf of Rithm:</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Rithm Servicing and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3"/>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Subservicing Fees</w:t>
            </w: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6"/>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4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13"/>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Servicing fees collected on behalf of Rithm</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Subservicing fee retained</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(16.9)</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(50.8)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(56.0)</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(9)</w:t>
            </w:r>
          </w:p>
        </w:tc>
      </w:tr>
      <w:tr>
        <w:trPr>
          <w:trHeight w:val="148"/>
        </w:trPr>
        <w:tc>
          <w:tcPr>
            <w:tcW w:w="310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Pledged MSR liability expense (Net</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1"/>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servicing fees remitted to Rithm) (1)</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39.9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42.1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124.3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139.3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01"/>
        </w:trPr>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20"/>
        </w:trPr>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Rithm UPB ($ in billions)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168"/>
        </w:trPr>
        <w:tc>
          <w:tcPr>
            <w:tcW w:w="3100" w:type="dxa"/>
            <w:vAlign w:val="bottom"/>
          </w:tcPr>
          <w:p>
            <w:pPr>
              <w:ind w:left="20"/>
              <w:spacing w:after="0" w:line="168" w:lineRule="exact"/>
              <w:rPr>
                <w:sz w:val="20"/>
                <w:szCs w:val="20"/>
                <w:color w:val="auto"/>
              </w:rPr>
            </w:pPr>
            <w:r>
              <w:rPr>
                <w:rFonts w:ascii="Arial" w:cs="Arial" w:eastAsia="Arial" w:hAnsi="Arial"/>
                <w:sz w:val="17"/>
                <w:szCs w:val="17"/>
                <w:color w:val="auto"/>
                <w:w w:val="96"/>
              </w:rPr>
              <w:t>Average annualized retained subservicing</w:t>
            </w: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2"/>
        </w:trPr>
        <w:tc>
          <w:tcPr>
            <w:tcW w:w="3100" w:type="dxa"/>
            <w:vAlign w:val="bottom"/>
          </w:tcPr>
          <w:p>
            <w:pPr>
              <w:ind w:left="100"/>
              <w:spacing w:after="0"/>
              <w:rPr>
                <w:sz w:val="20"/>
                <w:szCs w:val="20"/>
                <w:color w:val="auto"/>
              </w:rPr>
            </w:pPr>
            <w:r>
              <w:rPr>
                <w:rFonts w:ascii="Arial" w:cs="Arial" w:eastAsia="Arial" w:hAnsi="Arial"/>
                <w:sz w:val="17"/>
                <w:szCs w:val="17"/>
                <w:color w:val="auto"/>
              </w:rPr>
              <w:t>fees as a % of Rithm UPB</w:t>
            </w: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0.14%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4"/>
              <w:spacing w:after="0"/>
              <w:rPr>
                <w:sz w:val="20"/>
                <w:szCs w:val="20"/>
                <w:color w:val="auto"/>
              </w:rPr>
            </w:pPr>
            <w:r>
              <w:rPr>
                <w:rFonts w:ascii="Arial" w:cs="Arial" w:eastAsia="Arial" w:hAnsi="Arial"/>
                <w:sz w:val="17"/>
                <w:szCs w:val="17"/>
                <w:color w:val="auto"/>
              </w:rPr>
              <w:t>0.14%</w:t>
            </w:r>
          </w:p>
        </w:tc>
        <w:tc>
          <w:tcPr>
            <w:tcW w:w="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0.14%</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121" w:lineRule="exact"/>
        <w:rPr>
          <w:sz w:val="20"/>
          <w:szCs w:val="20"/>
          <w:color w:val="auto"/>
        </w:rPr>
      </w:pPr>
    </w:p>
    <w:p>
      <w:pPr>
        <w:ind w:left="320" w:right="380" w:hanging="317"/>
        <w:spacing w:after="0" w:line="248"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w:t>
      </w:r>
    </w:p>
    <w:p>
      <w:pPr>
        <w:ind w:left="320" w:hanging="317"/>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ancillary income.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78" w:name="page79"/>
    <w:bookmarkEnd w:id="78"/>
    <w:p>
      <w:pPr>
        <w:spacing w:after="0" w:line="281" w:lineRule="auto"/>
        <w:rPr>
          <w:sz w:val="20"/>
          <w:szCs w:val="20"/>
          <w:color w:val="auto"/>
        </w:rPr>
      </w:pPr>
      <w:r>
        <w:rPr>
          <w:rFonts w:ascii="Arial" w:cs="Arial" w:eastAsia="Arial" w:hAnsi="Arial"/>
          <w:sz w:val="16"/>
          <w:szCs w:val="16"/>
          <w:color w:val="auto"/>
        </w:rPr>
        <w:t>For the three months ended September 30, 2023, the net retained subservicing fee on our Rithm portfolio decreased $0.4 million or 2%, consistent with the underlying serviced UPB, as compared to the three months ended June 30, 2023. As compared to the nine months ended September 30, 2022, the net retained subservicing fee on our Rithm portfolio in the nine months ended September 30, 2023 decreased $5.2 million or 9%, driven by the decline in the average UPB due to portfolio runoff and prepayments. The retained subservicing fee percentage of UPB for Rithm (0.14%) reflects the nature of the portfolio (mostly non-Agency) and delinquencies (23% delinquent more than 30 days as of September 30, 2023). Also refer to Note 7 – Mortgage Servicing.</w:t>
      </w:r>
    </w:p>
    <w:p>
      <w:pPr>
        <w:spacing w:after="0" w:line="60"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With the exception of the MSRs for which title has not transferred to Rithm ($10.1 billion UPB at September 30, 2023), the MSR sale accounting criteria for MSR previously sold to Rithm will be met effective December 31, 2023. The statement of operations will prospectively reflect subservicing fee revenue as opposed to the current gross presentation of servicing fee revenue (collections) and separate presentation of servicing fee remittances within Pledged MSR liability expense.</w:t>
      </w:r>
    </w:p>
    <w:p>
      <w:pPr>
        <w:spacing w:after="0" w:line="3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Earnings of equity method investee represents our 15% share of MAV Canopy. Earnings for the three months ended September 30, 2023 remained flat (decreased $0.1 million) as compared to the three months ended June 30, 2023. The $13.4 million decrease in earnings for the nine months ended September 30, 2023 is predominantly driven by the fair value gains recorded by MAV Canopy during the nine months ended September 30, 2022 on its MSR portfolio due to interest rates rising more in 2022 than 2023 (e.g., the 10-year Treasury rate increased by 71 basis points in the nine months ended September 30, 2023 and by 231 basis points in the nine months ended September 30, 2022).</w:t>
      </w:r>
    </w:p>
    <w:p>
      <w:pPr>
        <w:spacing w:after="0" w:line="74" w:lineRule="exact"/>
        <w:rPr>
          <w:sz w:val="20"/>
          <w:szCs w:val="20"/>
          <w:color w:val="auto"/>
        </w:rPr>
      </w:pPr>
    </w:p>
    <w:p>
      <w:pPr>
        <w:jc w:val="both"/>
        <w:ind w:right="80"/>
        <w:spacing w:after="0" w:line="320" w:lineRule="auto"/>
        <w:rPr>
          <w:sz w:val="20"/>
          <w:szCs w:val="20"/>
          <w:color w:val="auto"/>
        </w:rPr>
      </w:pPr>
      <w:r>
        <w:rPr>
          <w:rFonts w:ascii="Arial" w:cs="Arial" w:eastAsia="Arial" w:hAnsi="Arial"/>
          <w:sz w:val="15"/>
          <w:szCs w:val="15"/>
          <w:color w:val="auto"/>
        </w:rPr>
        <w:t>Other, net expense for the three months ended September 30, 2023 decreased $4.8 million, as compared to the three months ended June 30, 2023, largely due to a decrease in early payoff protection expense in connection with our MSR sale transactions. As compared to the nine months ended September 30, 2022, similarly, Other, net expense for the nine months ended September 30, 2023 decreased $4.0 million primarily due to a decrease in early payoff protection expense.</w:t>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We originate and purchase loans and MSRs through multiple channels, including retail, wholesale, correspondent, flow MSR purchase agreements, the Agency Cash Window and Co-issue programs and bulk MSR purchases.</w:t>
      </w:r>
    </w:p>
    <w:p>
      <w:pPr>
        <w:spacing w:after="0" w:line="56" w:lineRule="exact"/>
        <w:rPr>
          <w:sz w:val="20"/>
          <w:szCs w:val="20"/>
          <w:color w:val="auto"/>
        </w:rPr>
      </w:pPr>
    </w:p>
    <w:p>
      <w:pPr>
        <w:jc w:val="both"/>
        <w:ind w:right="40"/>
        <w:spacing w:after="0" w:line="320" w:lineRule="auto"/>
        <w:rPr>
          <w:sz w:val="20"/>
          <w:szCs w:val="20"/>
          <w:color w:val="auto"/>
        </w:rPr>
      </w:pPr>
      <w:r>
        <w:rPr>
          <w:rFonts w:ascii="Arial" w:cs="Arial" w:eastAsia="Arial" w:hAnsi="Arial"/>
          <w:sz w:val="15"/>
          <w:szCs w:val="15"/>
          <w:color w:val="auto"/>
        </w:rPr>
        <w:t>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which are mostly insured by the FHA and we are an approved issuer of HMBS that are guaranteed by Ginnie Mae.</w:t>
      </w:r>
    </w:p>
    <w:p>
      <w:pPr>
        <w:spacing w:after="0" w:line="3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w:t>
      </w:r>
    </w:p>
    <w:p>
      <w:pPr>
        <w:spacing w:after="0" w:line="6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September 30, 2023, we have relationships with 688 approved correspondent sellers, or 88 new sellers since December 31, 2022.</w:t>
      </w:r>
    </w:p>
    <w:p>
      <w:pPr>
        <w:spacing w:after="0" w:line="6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spacing w:after="0" w:line="69"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After origination, we sell the loans in the secondary mortgage market, through GSE and Ginnie Mae securitizations on a servicing retained basis. Origination revenue mostly includes gain on sale,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originations revenue mostly include the fair value changes of the loan from lock date to securitization date that are reported in Gain on reverse loans held for investment and HMBS-related borrowings, net and fee income that is reported in Other revenue, net.</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967" w:right="359" w:bottom="1440" w:gutter="0" w:footer="0" w:header="0"/>
        </w:sectPr>
      </w:pPr>
    </w:p>
    <w:bookmarkStart w:id="79" w:name="page80"/>
    <w:bookmarkEnd w:id="79"/>
    <w:p>
      <w:pPr>
        <w:ind w:right="220"/>
        <w:spacing w:after="0" w:line="304" w:lineRule="auto"/>
        <w:rPr>
          <w:sz w:val="20"/>
          <w:szCs w:val="20"/>
          <w:color w:val="auto"/>
        </w:rPr>
      </w:pPr>
      <w:r>
        <w:rPr>
          <w:rFonts w:ascii="Arial" w:cs="Arial" w:eastAsia="Arial" w:hAnsi="Arial"/>
          <w:sz w:val="15"/>
          <w:szCs w:val="15"/>
          <w:color w:val="auto"/>
        </w:rPr>
        <w:t>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w:t>
      </w:r>
    </w:p>
    <w:p>
      <w:pPr>
        <w:spacing w:after="0" w:line="4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We do not provide or assume any origination representations and warranties in connection with our MSR purchases. As of September 30, 2023, we have relationships with 265 approved sellers through the Agency Cash Window co-issue programs, or 27 new sellers since December 31, 2022.</w:t>
      </w:r>
    </w:p>
    <w:p>
      <w:pPr>
        <w:spacing w:after="0" w:line="6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w:t>
      </w:r>
    </w:p>
    <w:p>
      <w:pPr>
        <w:spacing w:after="0" w:line="6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spacing w:after="0" w:line="5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the third quarter of 2023, our Originations business originated or purchased forward and reverse mortgage loans with a UPB of $4.4 billion and $181.0 million, respectively. In addition, we purchased $3.0 billion UPB MSR through the Agency Cash Window and flow purchase programs during the third quarter of 2023.</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Variables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factors could significantly impact the results of our Originations segment from period to period.</w:t>
      </w:r>
    </w:p>
    <w:p>
      <w:pPr>
        <w:spacing w:after="0" w:line="115"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i w:val="1"/>
          <w:iCs w:val="1"/>
          <w:color w:val="auto"/>
        </w:rPr>
        <w:t xml:space="preserve">Mortgage Rates. </w:t>
      </w:r>
      <w:r>
        <w:rPr>
          <w:rFonts w:ascii="Arial" w:cs="Arial" w:eastAsia="Arial" w:hAnsi="Arial"/>
          <w:sz w:val="15"/>
          <w:szCs w:val="15"/>
          <w:color w:val="auto"/>
        </w:rPr>
        <w:t>Changes in mortgage rates directly impact the demand for both purchase and refinance forward mortgages and therefore impact the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of our Originations segment. Small 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w:t>
      </w:r>
    </w:p>
    <w:p>
      <w:pPr>
        <w:spacing w:after="0" w:line="45"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i w:val="1"/>
          <w:iCs w:val="1"/>
          <w:color w:val="auto"/>
        </w:rPr>
        <w:t xml:space="preserve">Market Size and Composition. </w:t>
      </w:r>
      <w:r>
        <w:rPr>
          <w:rFonts w:ascii="Arial" w:cs="Arial" w:eastAsia="Arial" w:hAnsi="Arial"/>
          <w:sz w:val="16"/>
          <w:szCs w:val="16"/>
          <w:color w:val="auto"/>
        </w:rPr>
        <w:t>The volume of new or refinanced loans is impacted by changes to existing, or development of new, GSE or other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spacing w:after="0" w:line="5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i w:val="1"/>
          <w:iCs w:val="1"/>
          <w:color w:val="auto"/>
        </w:rPr>
        <w:t xml:space="preserve">Margins. </w:t>
      </w:r>
      <w:r>
        <w:rPr>
          <w:rFonts w:ascii="Arial" w:cs="Arial" w:eastAsia="Arial" w:hAnsi="Arial"/>
          <w:sz w:val="17"/>
          <w:szCs w:val="17"/>
          <w:color w:val="auto"/>
        </w:rPr>
        <w:t>Changes in pricing margin for mortgages are closely correlated with changes in market size for mortgage loans. As loan demand and market capacity</w:t>
      </w:r>
      <w:r>
        <w:rPr>
          <w:rFonts w:ascii="Arial" w:cs="Arial" w:eastAsia="Arial" w:hAnsi="Arial"/>
          <w:sz w:val="17"/>
          <w:szCs w:val="17"/>
          <w:i w:val="1"/>
          <w:iCs w:val="1"/>
          <w:color w:val="auto"/>
        </w:rPr>
        <w:t xml:space="preserve"> </w:t>
      </w:r>
      <w:r>
        <w:rPr>
          <w:rFonts w:ascii="Arial" w:cs="Arial" w:eastAsia="Arial" w:hAnsi="Arial"/>
          <w:sz w:val="17"/>
          <w:szCs w:val="17"/>
          <w:color w:val="auto"/>
        </w:rPr>
        <w:t>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wholesale channels. In our retail channel, we also identify the customer and take loan applications. As a result, our retail channel is the most people- and cost-intensive and experiences the greatest volume volatility.</w:t>
      </w:r>
    </w:p>
    <w:p>
      <w:pPr>
        <w:spacing w:after="0" w:line="7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i w:val="1"/>
          <w:iCs w:val="1"/>
          <w:color w:val="auto"/>
        </w:rPr>
        <w:t xml:space="preserve">Investor Demand. </w:t>
      </w:r>
      <w:r>
        <w:rPr>
          <w:rFonts w:ascii="Arial" w:cs="Arial" w:eastAsia="Arial" w:hAnsi="Arial"/>
          <w:sz w:val="16"/>
          <w:szCs w:val="16"/>
          <w:color w:val="auto"/>
        </w:rPr>
        <w:t>The liquidity of the secondary market for mortgage loans impacts the size of the mortgage loan market by defining loan attributes and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spacing w:after="0" w:line="52"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Economic Conditions. </w:t>
      </w:r>
      <w:r>
        <w:rPr>
          <w:rFonts w:ascii="Arial" w:cs="Arial" w:eastAsia="Arial" w:hAnsi="Arial"/>
          <w:sz w:val="17"/>
          <w:szCs w:val="17"/>
          <w:color w:val="auto"/>
        </w:rPr>
        <w:t>General economic conditions can impact the growth and revenue of our Originations segment by impacting the capacity for consumer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supply of capital. More specifically, employment levels and home prices are variables that can each have a material impact on mortgage volume. Employment levels, the level of wages and the stability of employment are underlying factors that impact credit qualification. The effect of home prices on lending volumes is significant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0" w:name="page81"/>
    <w:bookmarkEnd w:id="80"/>
    <w:p>
      <w:pPr>
        <w:ind w:right="20"/>
        <w:spacing w:after="0" w:line="258" w:lineRule="auto"/>
        <w:rPr>
          <w:sz w:val="20"/>
          <w:szCs w:val="20"/>
          <w:color w:val="auto"/>
        </w:rPr>
      </w:pPr>
      <w:r>
        <w:rPr>
          <w:rFonts w:ascii="Arial" w:cs="Arial" w:eastAsia="Arial" w:hAnsi="Arial"/>
          <w:sz w:val="17"/>
          <w:szCs w:val="17"/>
          <w:color w:val="auto"/>
        </w:rPr>
        <w:t>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spacing w:after="0" w:line="80"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The following table presents the results of operations of our Originations segment. The amounts presented are before the elimination of balances and transactions with our other segments: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color w:val="auto"/>
              </w:rPr>
              <w:t>Gain on loans held for sale, net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10.2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46.1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168"/>
        </w:trPr>
        <w:tc>
          <w:tcPr>
            <w:tcW w:w="3140" w:type="dxa"/>
            <w:vAlign w:val="bottom"/>
            <w:shd w:val="clear" w:color="auto" w:fill="CCEEFF"/>
          </w:tcPr>
          <w:p>
            <w:pPr>
              <w:ind w:left="180"/>
              <w:spacing w:after="0" w:line="168" w:lineRule="exact"/>
              <w:rPr>
                <w:sz w:val="20"/>
                <w:szCs w:val="20"/>
                <w:color w:val="auto"/>
              </w:rPr>
            </w:pPr>
            <w:r>
              <w:rPr>
                <w:rFonts w:ascii="Arial" w:cs="Arial" w:eastAsia="Arial" w:hAnsi="Arial"/>
                <w:sz w:val="17"/>
                <w:szCs w:val="17"/>
                <w:color w:val="auto"/>
                <w:w w:val="93"/>
              </w:rPr>
              <w:t>Gain on reverse loans held for investment</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2"/>
        </w:trPr>
        <w:tc>
          <w:tcPr>
            <w:tcW w:w="31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and HMBS-related borrowings, net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51.9</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(66)</w:t>
            </w:r>
          </w:p>
        </w:tc>
      </w:tr>
      <w:tr>
        <w:trPr>
          <w:trHeight w:val="220"/>
        </w:trPr>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revenue, net (1)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4.3</w:t>
            </w:r>
          </w:p>
        </w:tc>
        <w:tc>
          <w:tcPr>
            <w:tcW w:w="108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21.6</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(34)</w:t>
            </w:r>
          </w:p>
        </w:tc>
      </w:tr>
      <w:tr>
        <w:trPr>
          <w:trHeight w:val="213"/>
        </w:trPr>
        <w:tc>
          <w:tcPr>
            <w:tcW w:w="3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119.6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MSR valuation adjustments,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7.3</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12</w:t>
            </w:r>
          </w:p>
        </w:tc>
      </w:tr>
      <w:tr>
        <w:trPr>
          <w:trHeight w:val="155"/>
        </w:trPr>
        <w:tc>
          <w:tcPr>
            <w:tcW w:w="3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color w:val="auto"/>
              </w:rPr>
              <w:t>Compensation and benefits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10.9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70.6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7.4</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(27)</w:t>
            </w: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color w:val="auto"/>
              </w:rPr>
              <w:t>Origination expense</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9.3</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(66)</w:t>
            </w: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0.5</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3.8</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(58)</w:t>
            </w: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0.4</w:t>
            </w:r>
          </w:p>
        </w:tc>
        <w:tc>
          <w:tcPr>
            <w:tcW w:w="1080" w:type="dxa"/>
            <w:vAlign w:val="bottom"/>
            <w:gridSpan w:val="2"/>
          </w:tcPr>
          <w:p>
            <w:pPr>
              <w:jc w:val="right"/>
              <w:ind w:right="34"/>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4.2</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(66)</w:t>
            </w: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Corporate overhead allocations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16.7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w:t>
            </w:r>
          </w:p>
        </w:tc>
      </w:tr>
      <w:tr>
        <w:trPr>
          <w:trHeight w:val="220"/>
        </w:trPr>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1.5</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9.9</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(59)</w:t>
            </w:r>
          </w:p>
        </w:tc>
      </w:tr>
      <w:tr>
        <w:trPr>
          <w:trHeight w:val="213"/>
        </w:trPr>
        <w:tc>
          <w:tcPr>
            <w:tcW w:w="31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62.1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13.1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42 %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40.8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19.9</w:t>
            </w:r>
          </w:p>
        </w:tc>
        <w:tc>
          <w:tcPr>
            <w:tcW w:w="1080" w:type="dxa"/>
            <w:vAlign w:val="bottom"/>
            <w:gridSpan w:val="2"/>
          </w:tcPr>
          <w:p>
            <w:pPr>
              <w:ind w:left="620"/>
              <w:spacing w:after="0"/>
              <w:rPr>
                <w:sz w:val="20"/>
                <w:szCs w:val="20"/>
                <w:color w:val="auto"/>
              </w:rPr>
            </w:pPr>
            <w:r>
              <w:rPr>
                <w:rFonts w:ascii="Arial" w:cs="Arial" w:eastAsia="Arial" w:hAnsi="Arial"/>
                <w:sz w:val="17"/>
                <w:szCs w:val="17"/>
                <w:color w:val="auto"/>
                <w:w w:val="91"/>
              </w:rPr>
              <w:t>105 %</w:t>
            </w:r>
          </w:p>
        </w:tc>
      </w:tr>
      <w:tr>
        <w:trPr>
          <w:trHeight w:val="220"/>
        </w:trPr>
        <w:tc>
          <w:tcPr>
            <w:tcW w:w="31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(14.1)</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(18.3)</w:t>
            </w:r>
          </w:p>
        </w:tc>
        <w:tc>
          <w:tcPr>
            <w:tcW w:w="10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141</w:t>
            </w:r>
          </w:p>
        </w:tc>
      </w:tr>
      <w:tr>
        <w:trPr>
          <w:trHeight w:val="220"/>
        </w:trPr>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(0.2)</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(47)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(92)</w:t>
            </w:r>
          </w:p>
        </w:tc>
      </w:tr>
      <w:tr>
        <w:trPr>
          <w:trHeight w:val="213"/>
        </w:trPr>
        <w:tc>
          <w:tcPr>
            <w:tcW w:w="31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Other income (expense), net</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r>
      <w:tr>
        <w:trPr>
          <w:trHeight w:val="135"/>
        </w:trPr>
        <w:tc>
          <w:tcPr>
            <w:tcW w:w="3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0" w:type="dxa"/>
            <w:vAlign w:val="bottom"/>
            <w:tcBorders>
              <w:bottom w:val="single" w:sz="8" w:color="CCEEFF"/>
            </w:tcBorders>
          </w:tcPr>
          <w:p>
            <w:pPr>
              <w:spacing w:after="0"/>
              <w:rPr>
                <w:sz w:val="11"/>
                <w:szCs w:val="11"/>
                <w:color w:val="auto"/>
              </w:rPr>
            </w:pPr>
          </w:p>
        </w:tc>
      </w:tr>
      <w:tr>
        <w:trPr>
          <w:trHeight w:val="238"/>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95" w:lineRule="exact"/>
        <w:rPr>
          <w:sz w:val="20"/>
          <w:szCs w:val="20"/>
          <w:color w:val="auto"/>
        </w:rPr>
      </w:pPr>
    </w:p>
    <w:p>
      <w:pPr>
        <w:ind w:left="320" w:right="240" w:hanging="317"/>
        <w:spacing w:after="0" w:line="252"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ancillary fee income related to MSR acquisitions reported as Servicing and subservicing fees at the consolidated level of $0.8 million and $1.6 million for the three and nine months ended September 30, 2023, respectively, $0.4 million for the three months ended June 30, 2023 and $1.6 million for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auto"/>
        </w:rPr>
        <w:t>The following table provides selected operating statistics for our Originations segment: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2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47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148"/>
        </w:trPr>
        <w:tc>
          <w:tcPr>
            <w:tcW w:w="288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b w:val="1"/>
                <w:bCs w:val="1"/>
                <w:color w:val="auto"/>
              </w:rPr>
              <w:t xml:space="preserve">Loan Production by Channel </w:t>
            </w:r>
            <w:r>
              <w:rPr>
                <w:rFonts w:ascii="Arial" w:cs="Arial" w:eastAsia="Arial" w:hAnsi="Arial"/>
                <w:sz w:val="17"/>
                <w:szCs w:val="17"/>
                <w:i w:val="1"/>
                <w:iCs w:val="1"/>
                <w:color w:val="auto"/>
              </w:rPr>
              <w:t>(in</w:t>
            </w: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880" w:type="dxa"/>
            <w:vAlign w:val="bottom"/>
            <w:shd w:val="clear" w:color="auto" w:fill="CCEEFF"/>
          </w:tcPr>
          <w:p>
            <w:pPr>
              <w:ind w:left="100"/>
              <w:spacing w:after="0"/>
              <w:rPr>
                <w:sz w:val="20"/>
                <w:szCs w:val="20"/>
                <w:color w:val="auto"/>
              </w:rPr>
            </w:pPr>
            <w:r>
              <w:rPr>
                <w:rFonts w:ascii="Arial" w:cs="Arial" w:eastAsia="Arial" w:hAnsi="Arial"/>
                <w:sz w:val="17"/>
                <w:szCs w:val="17"/>
                <w:i w:val="1"/>
                <w:iCs w:val="1"/>
                <w:color w:val="auto"/>
              </w:rPr>
              <w:t>billions)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Arial" w:cs="Arial" w:eastAsia="Arial" w:hAnsi="Arial"/>
                <w:sz w:val="17"/>
                <w:szCs w:val="17"/>
                <w:color w:val="auto"/>
              </w:rPr>
              <w:t>Forward loans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Correspondent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11.69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0"/>
        </w:trPr>
        <w:tc>
          <w:tcPr>
            <w:tcW w:w="2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Consumer Direct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0.11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0.10</w:t>
            </w:r>
          </w:p>
        </w:tc>
        <w:tc>
          <w:tcPr>
            <w:tcW w:w="106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1.14</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4.38</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2.74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9.62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12.83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Purchase production</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c>
          <w:tcPr>
            <w:tcW w:w="10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67 %</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80" w:type="dxa"/>
            <w:vAlign w:val="bottom"/>
          </w:tcPr>
          <w:p>
            <w:pPr>
              <w:ind w:left="220"/>
              <w:spacing w:after="0"/>
              <w:rPr>
                <w:sz w:val="20"/>
                <w:szCs w:val="20"/>
                <w:color w:val="auto"/>
              </w:rPr>
            </w:pPr>
            <w:r>
              <w:rPr>
                <w:rFonts w:ascii="Arial" w:cs="Arial" w:eastAsia="Arial" w:hAnsi="Arial"/>
                <w:sz w:val="17"/>
                <w:szCs w:val="17"/>
                <w:color w:val="auto"/>
              </w:rPr>
              <w:t>% Refinance production</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16</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34</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58"/>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Arial" w:cs="Arial" w:eastAsia="Arial" w:hAnsi="Arial"/>
                <w:sz w:val="17"/>
                <w:szCs w:val="17"/>
                <w:color w:val="auto"/>
              </w:rPr>
              <w:t>Reverse loans (1)</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Correspondent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20"/>
        </w:trPr>
        <w:tc>
          <w:tcPr>
            <w:tcW w:w="2880" w:type="dxa"/>
            <w:vAlign w:val="bottom"/>
          </w:tcPr>
          <w:p>
            <w:pPr>
              <w:ind w:left="220"/>
              <w:spacing w:after="0"/>
              <w:rPr>
                <w:sz w:val="20"/>
                <w:szCs w:val="20"/>
                <w:color w:val="auto"/>
              </w:rPr>
            </w:pPr>
            <w:r>
              <w:rPr>
                <w:rFonts w:ascii="Arial" w:cs="Arial" w:eastAsia="Arial" w:hAnsi="Arial"/>
                <w:sz w:val="17"/>
                <w:szCs w:val="17"/>
                <w:color w:val="auto"/>
              </w:rPr>
              <w:t>Wholesale</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0.04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0.05</w:t>
            </w:r>
          </w:p>
        </w:tc>
        <w:tc>
          <w:tcPr>
            <w:tcW w:w="1060" w:type="dxa"/>
            <w:vAlign w:val="bottom"/>
            <w:gridSpan w:val="2"/>
          </w:tcPr>
          <w:p>
            <w:pPr>
              <w:jc w:val="right"/>
              <w:ind w:right="7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0.13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0.30</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Retail</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0.03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0.02</w:t>
            </w:r>
          </w:p>
        </w:tc>
        <w:tc>
          <w:tcPr>
            <w:tcW w:w="106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0.07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0.37</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0.18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0.18</w:t>
            </w:r>
          </w:p>
        </w:tc>
        <w:tc>
          <w:tcPr>
            <w:tcW w:w="10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0.51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1.27</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25"/>
        </w:trPr>
        <w:tc>
          <w:tcPr>
            <w:tcW w:w="2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Arial" w:cs="Arial" w:eastAsia="Arial" w:hAnsi="Arial"/>
                <w:sz w:val="17"/>
                <w:szCs w:val="17"/>
                <w:b w:val="1"/>
                <w:bCs w:val="1"/>
                <w:color w:val="auto"/>
              </w:rPr>
              <w:t xml:space="preserve">MSR Purchases by Channel </w:t>
            </w:r>
            <w:r>
              <w:rPr>
                <w:rFonts w:ascii="Arial" w:cs="Arial" w:eastAsia="Arial" w:hAnsi="Arial"/>
                <w:sz w:val="17"/>
                <w:szCs w:val="17"/>
                <w:i w:val="1"/>
                <w:iCs w:val="1"/>
                <w:color w:val="auto"/>
              </w:rPr>
              <w:t>(in</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80" w:type="dxa"/>
            <w:vAlign w:val="bottom"/>
          </w:tcPr>
          <w:p>
            <w:pPr>
              <w:ind w:left="100"/>
              <w:spacing w:after="0"/>
              <w:rPr>
                <w:sz w:val="20"/>
                <w:szCs w:val="20"/>
                <w:color w:val="auto"/>
              </w:rPr>
            </w:pPr>
            <w:r>
              <w:rPr>
                <w:rFonts w:ascii="Arial" w:cs="Arial" w:eastAsia="Arial" w:hAnsi="Arial"/>
                <w:sz w:val="17"/>
                <w:szCs w:val="17"/>
                <w:i w:val="1"/>
                <w:iCs w:val="1"/>
                <w:color w:val="auto"/>
              </w:rPr>
              <w:t>billions)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Agency Cash Window / Flow MSR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1.80</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9.35</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0"/>
        </w:trPr>
        <w:tc>
          <w:tcPr>
            <w:tcW w:w="2880" w:type="dxa"/>
            <w:vAlign w:val="bottom"/>
          </w:tcPr>
          <w:p>
            <w:pPr>
              <w:ind w:left="120"/>
              <w:spacing w:after="0"/>
              <w:rPr>
                <w:sz w:val="20"/>
                <w:szCs w:val="20"/>
                <w:color w:val="auto"/>
              </w:rPr>
            </w:pPr>
            <w:r>
              <w:rPr>
                <w:rFonts w:ascii="Arial" w:cs="Arial" w:eastAsia="Arial" w:hAnsi="Arial"/>
                <w:sz w:val="17"/>
                <w:szCs w:val="17"/>
                <w:color w:val="auto"/>
              </w:rPr>
              <w:t>Bulk purchases</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ind w:left="220"/>
              <w:spacing w:after="0"/>
              <w:rPr>
                <w:sz w:val="20"/>
                <w:szCs w:val="20"/>
                <w:color w:val="auto"/>
              </w:rPr>
            </w:pPr>
            <w:r>
              <w:rPr>
                <w:rFonts w:ascii="Arial" w:cs="Arial" w:eastAsia="Arial" w:hAnsi="Arial"/>
                <w:sz w:val="17"/>
                <w:szCs w:val="17"/>
                <w:color w:val="auto"/>
              </w:rPr>
              <w:t>n/m</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0.32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4.33</w:t>
            </w:r>
          </w:p>
        </w:tc>
        <w:tc>
          <w:tcPr>
            <w:tcW w:w="1080" w:type="dxa"/>
            <w:vAlign w:val="bottom"/>
            <w:gridSpan w:val="2"/>
          </w:tcPr>
          <w:p>
            <w:pPr>
              <w:ind w:left="300"/>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Bulk reverse purchases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0.08</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0.08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0.21</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13"/>
        </w:trPr>
        <w:tc>
          <w:tcPr>
            <w:tcW w:w="28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3.06</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1.88</w:t>
            </w:r>
          </w:p>
        </w:tc>
        <w:tc>
          <w:tcPr>
            <w:tcW w:w="106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6.98</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13.89</w:t>
            </w:r>
          </w:p>
        </w:tc>
        <w:tc>
          <w:tcPr>
            <w:tcW w:w="108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35"/>
        </w:trPr>
        <w:tc>
          <w:tcPr>
            <w:tcW w:w="28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32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2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4.80</w:t>
            </w:r>
          </w:p>
        </w:tc>
        <w:tc>
          <w:tcPr>
            <w:tcW w:w="1060" w:type="dxa"/>
            <w:vAlign w:val="bottom"/>
            <w:gridSpan w:val="2"/>
          </w:tcPr>
          <w:p>
            <w:pPr>
              <w:ind w:left="32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17.10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27.99</w:t>
            </w:r>
          </w:p>
        </w:tc>
        <w:tc>
          <w:tcPr>
            <w:tcW w:w="1080" w:type="dxa"/>
            <w:vAlign w:val="bottom"/>
            <w:gridSpan w:val="2"/>
          </w:tcPr>
          <w:p>
            <w:pPr>
              <w:ind w:left="30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20"/>
              <w:spacing w:after="0" w:line="168" w:lineRule="exact"/>
              <w:rPr>
                <w:sz w:val="20"/>
                <w:szCs w:val="20"/>
                <w:color w:val="auto"/>
              </w:rPr>
            </w:pPr>
            <w:r>
              <w:rPr>
                <w:rFonts w:ascii="Arial" w:cs="Arial" w:eastAsia="Arial" w:hAnsi="Arial"/>
                <w:sz w:val="17"/>
                <w:szCs w:val="17"/>
                <w:b w:val="1"/>
                <w:bCs w:val="1"/>
                <w:color w:val="auto"/>
              </w:rPr>
              <w:t xml:space="preserve">Short-term loan commitment </w:t>
            </w:r>
            <w:r>
              <w:rPr>
                <w:rFonts w:ascii="Arial" w:cs="Arial" w:eastAsia="Arial" w:hAnsi="Arial"/>
                <w:sz w:val="17"/>
                <w:szCs w:val="17"/>
                <w:i w:val="1"/>
                <w:iCs w:val="1"/>
                <w:color w:val="auto"/>
              </w:rPr>
              <w:t>(at</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880" w:type="dxa"/>
            <w:vAlign w:val="bottom"/>
          </w:tcPr>
          <w:p>
            <w:pPr>
              <w:ind w:left="180"/>
              <w:spacing w:after="0"/>
              <w:rPr>
                <w:sz w:val="20"/>
                <w:szCs w:val="20"/>
                <w:color w:val="auto"/>
              </w:rPr>
            </w:pPr>
            <w:r>
              <w:rPr>
                <w:rFonts w:ascii="Arial" w:cs="Arial" w:eastAsia="Arial" w:hAnsi="Arial"/>
                <w:sz w:val="17"/>
                <w:szCs w:val="17"/>
                <w:i w:val="1"/>
                <w:iCs w:val="1"/>
                <w:color w:val="auto"/>
              </w:rPr>
              <w:t>period end; in millions)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 loans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916.9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1,136.7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916.9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1,289.4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880" w:type="dxa"/>
            <w:vAlign w:val="bottom"/>
          </w:tcPr>
          <w:p>
            <w:pPr>
              <w:ind w:left="140"/>
              <w:spacing w:after="0"/>
              <w:rPr>
                <w:sz w:val="20"/>
                <w:szCs w:val="20"/>
                <w:color w:val="auto"/>
              </w:rPr>
            </w:pPr>
            <w:r>
              <w:rPr>
                <w:rFonts w:ascii="Arial" w:cs="Arial" w:eastAsia="Arial" w:hAnsi="Arial"/>
                <w:sz w:val="17"/>
                <w:szCs w:val="17"/>
                <w:color w:val="auto"/>
              </w:rPr>
              <w:t>Reverse loans</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16.4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20.2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19.2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58"/>
        </w:trPr>
        <w:tc>
          <w:tcPr>
            <w:tcW w:w="2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880" w:type="dxa"/>
            <w:vAlign w:val="bottom"/>
          </w:tcPr>
          <w:p>
            <w:pPr>
              <w:ind w:left="20"/>
              <w:spacing w:after="0"/>
              <w:rPr>
                <w:sz w:val="20"/>
                <w:szCs w:val="20"/>
                <w:color w:val="auto"/>
              </w:rPr>
            </w:pPr>
            <w:r>
              <w:rPr>
                <w:rFonts w:ascii="Arial" w:cs="Arial" w:eastAsia="Arial" w:hAnsi="Arial"/>
                <w:sz w:val="17"/>
                <w:szCs w:val="17"/>
                <w:b w:val="1"/>
                <w:bCs w:val="1"/>
                <w:color w:val="auto"/>
                <w:w w:val="98"/>
              </w:rPr>
              <w:t>Average Employment - Originations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Forward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381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821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20"/>
        </w:trPr>
        <w:tc>
          <w:tcPr>
            <w:tcW w:w="28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Reverse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105</w:t>
            </w:r>
          </w:p>
        </w:tc>
        <w:tc>
          <w:tcPr>
            <w:tcW w:w="106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282</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8"/>
        </w:trPr>
        <w:tc>
          <w:tcPr>
            <w:tcW w:w="2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509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486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504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1,103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7"/>
                <w:szCs w:val="17"/>
                <w:color w:val="auto"/>
              </w:rPr>
              <w:t>Offshore %</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54"/>
              <w:spacing w:after="0" w:line="192" w:lineRule="exact"/>
              <w:rPr>
                <w:sz w:val="20"/>
                <w:szCs w:val="20"/>
                <w:color w:val="auto"/>
              </w:rPr>
            </w:pPr>
            <w:r>
              <w:rPr>
                <w:rFonts w:ascii="Arial" w:cs="Arial" w:eastAsia="Arial" w:hAnsi="Arial"/>
                <w:sz w:val="17"/>
                <w:szCs w:val="17"/>
                <w:color w:val="auto"/>
              </w:rPr>
              <w:t>54%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4"/>
              <w:spacing w:after="0" w:line="192" w:lineRule="exact"/>
              <w:rPr>
                <w:sz w:val="20"/>
                <w:szCs w:val="20"/>
                <w:color w:val="auto"/>
              </w:rPr>
            </w:pPr>
            <w:r>
              <w:rPr>
                <w:rFonts w:ascii="Arial" w:cs="Arial" w:eastAsia="Arial" w:hAnsi="Arial"/>
                <w:sz w:val="17"/>
                <w:szCs w:val="17"/>
                <w:color w:val="auto"/>
              </w:rPr>
              <w:t>55%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54"/>
              <w:spacing w:after="0" w:line="192" w:lineRule="exact"/>
              <w:rPr>
                <w:sz w:val="20"/>
                <w:szCs w:val="20"/>
                <w:color w:val="auto"/>
              </w:rPr>
            </w:pPr>
            <w:r>
              <w:rPr>
                <w:rFonts w:ascii="Arial" w:cs="Arial" w:eastAsia="Arial" w:hAnsi="Arial"/>
                <w:sz w:val="17"/>
                <w:szCs w:val="17"/>
                <w:color w:val="auto"/>
              </w:rPr>
              <w:t>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34"/>
              <w:spacing w:after="0" w:line="192" w:lineRule="exact"/>
              <w:rPr>
                <w:sz w:val="20"/>
                <w:szCs w:val="20"/>
                <w:color w:val="auto"/>
              </w:rPr>
            </w:pPr>
            <w:r>
              <w:rPr>
                <w:rFonts w:ascii="Arial" w:cs="Arial" w:eastAsia="Arial" w:hAnsi="Arial"/>
                <w:sz w:val="17"/>
                <w:szCs w:val="17"/>
                <w:color w:val="auto"/>
              </w:rPr>
              <w:t>46%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Loan production excludes reverse mortgage loan draws by borrowers disbursed subsequent to origination that are reported within the Servicing segment.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i w:val="1"/>
          <w:iCs w:val="1"/>
          <w:color w:val="auto"/>
        </w:rPr>
        <w:t>Gain on Loans Held for Sale, Net</w:t>
      </w:r>
    </w:p>
    <w:p>
      <w:pPr>
        <w:spacing w:after="0" w:line="115" w:lineRule="exact"/>
        <w:rPr>
          <w:sz w:val="20"/>
          <w:szCs w:val="20"/>
          <w:color w:val="auto"/>
        </w:rPr>
      </w:pPr>
    </w:p>
    <w:p>
      <w:pPr>
        <w:ind w:right="700"/>
        <w:spacing w:after="0" w:line="283" w:lineRule="auto"/>
        <w:rPr>
          <w:sz w:val="20"/>
          <w:szCs w:val="20"/>
          <w:color w:val="auto"/>
        </w:rPr>
      </w:pPr>
      <w:r>
        <w:rPr>
          <w:rFonts w:ascii="Arial" w:cs="Arial" w:eastAsia="Arial" w:hAnsi="Arial"/>
          <w:sz w:val="17"/>
          <w:szCs w:val="17"/>
          <w:color w:val="auto"/>
        </w:rPr>
        <w:t>The following table provides information regarding Gain on loans held for sale by channel and the related forward loan origination volumes and margins (excluding fees that are presented in Other revenue, net):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7"/>
                <w:szCs w:val="17"/>
                <w:b w:val="1"/>
                <w:bCs w:val="1"/>
                <w:color w:val="auto"/>
              </w:rPr>
              <w:t>Nine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b w:val="1"/>
                <w:bCs w:val="1"/>
                <w:color w:val="auto"/>
                <w:w w:val="94"/>
              </w:rPr>
              <w:t>September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49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 Change</w:t>
            </w:r>
          </w:p>
        </w:tc>
      </w:tr>
      <w:tr>
        <w:trPr>
          <w:trHeight w:val="20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Gain on Loans Held for Sale (1)</w:t>
            </w: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20"/>
        </w:trPr>
        <w:tc>
          <w:tcPr>
            <w:tcW w:w="294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6.6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14.5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19.5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2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3.5</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26.6</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w:t>
            </w:r>
          </w:p>
        </w:tc>
      </w:tr>
      <w:tr>
        <w:trPr>
          <w:trHeight w:val="213"/>
        </w:trPr>
        <w:tc>
          <w:tcPr>
            <w:tcW w:w="29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23.3</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46.1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r>
      <w:tr>
        <w:trPr>
          <w:trHeight w:val="224"/>
        </w:trPr>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940" w:type="dxa"/>
            <w:vAlign w:val="bottom"/>
          </w:tcPr>
          <w:p>
            <w:pPr>
              <w:ind w:left="20"/>
              <w:spacing w:after="0"/>
              <w:rPr>
                <w:sz w:val="20"/>
                <w:szCs w:val="20"/>
                <w:color w:val="auto"/>
              </w:rPr>
            </w:pPr>
            <w:r>
              <w:rPr>
                <w:rFonts w:ascii="Arial" w:cs="Arial" w:eastAsia="Arial" w:hAnsi="Arial"/>
                <w:sz w:val="17"/>
                <w:szCs w:val="17"/>
                <w:b w:val="1"/>
                <w:bCs w:val="1"/>
                <w:color w:val="auto"/>
              </w:rPr>
              <w:t>% Gain on Sale Margin (2)</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0"/>
        </w:trPr>
        <w:tc>
          <w:tcPr>
            <w:tcW w:w="2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Correspondent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0"/>
        </w:trPr>
        <w:tc>
          <w:tcPr>
            <w:tcW w:w="2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Consumer Direct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3.17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3.67</w:t>
            </w:r>
          </w:p>
        </w:tc>
        <w:tc>
          <w:tcPr>
            <w:tcW w:w="106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2.32</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44</w:t>
            </w:r>
          </w:p>
        </w:tc>
      </w:tr>
      <w:tr>
        <w:trPr>
          <w:trHeight w:val="238"/>
        </w:trPr>
        <w:tc>
          <w:tcPr>
            <w:tcW w:w="29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0.21 %</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0.37 %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0.24 %</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0.36 %</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r>
        <w:trPr>
          <w:trHeight w:val="204"/>
        </w:trPr>
        <w:tc>
          <w:tcPr>
            <w:tcW w:w="2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0"/>
        </w:trPr>
        <w:tc>
          <w:tcPr>
            <w:tcW w:w="29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 xml:space="preserve">Origination UPB (3) </w:t>
            </w:r>
            <w:r>
              <w:rPr>
                <w:rFonts w:ascii="Arial" w:cs="Arial" w:eastAsia="Arial" w:hAnsi="Arial"/>
                <w:sz w:val="17"/>
                <w:szCs w:val="17"/>
                <w:i w:val="1"/>
                <w:iCs w:val="1"/>
                <w:color w:val="auto"/>
              </w:rPr>
              <w:t>(in billions)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0"/>
        </w:trPr>
        <w:tc>
          <w:tcPr>
            <w:tcW w:w="2940" w:type="dxa"/>
            <w:vAlign w:val="bottom"/>
          </w:tcPr>
          <w:p>
            <w:pPr>
              <w:ind w:left="220"/>
              <w:spacing w:after="0"/>
              <w:rPr>
                <w:sz w:val="20"/>
                <w:szCs w:val="20"/>
                <w:color w:val="auto"/>
              </w:rPr>
            </w:pPr>
            <w:r>
              <w:rPr>
                <w:rFonts w:ascii="Arial" w:cs="Arial" w:eastAsia="Arial" w:hAnsi="Arial"/>
                <w:sz w:val="17"/>
                <w:szCs w:val="17"/>
                <w:color w:val="auto"/>
              </w:rPr>
              <w:t>Correspondent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4.27</w:t>
            </w:r>
          </w:p>
        </w:tc>
        <w:tc>
          <w:tcPr>
            <w:tcW w:w="8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14"/>
              <w:spacing w:after="0"/>
              <w:rPr>
                <w:sz w:val="20"/>
                <w:szCs w:val="20"/>
                <w:color w:val="auto"/>
              </w:rPr>
            </w:pPr>
            <w:r>
              <w:rPr>
                <w:rFonts w:ascii="Arial" w:cs="Arial" w:eastAsia="Arial" w:hAnsi="Arial"/>
                <w:sz w:val="17"/>
                <w:szCs w:val="17"/>
                <w:color w:val="auto"/>
              </w:rPr>
              <w:t>2.64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9.35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4"/>
              <w:spacing w:after="0"/>
              <w:rPr>
                <w:sz w:val="20"/>
                <w:szCs w:val="20"/>
                <w:color w:val="auto"/>
              </w:rPr>
            </w:pPr>
            <w:r>
              <w:rPr>
                <w:rFonts w:ascii="Arial" w:cs="Arial" w:eastAsia="Arial" w:hAnsi="Arial"/>
                <w:sz w:val="17"/>
                <w:szCs w:val="17"/>
                <w:color w:val="auto"/>
              </w:rPr>
              <w:t>11.69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20"/>
        </w:trPr>
        <w:tc>
          <w:tcPr>
            <w:tcW w:w="2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Consumer Direct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0.10</w:t>
            </w:r>
          </w:p>
        </w:tc>
        <w:tc>
          <w:tcPr>
            <w:tcW w:w="10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1.14</w:t>
            </w:r>
          </w:p>
        </w:tc>
        <w:tc>
          <w:tcPr>
            <w:tcW w:w="10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(77)</w:t>
            </w:r>
          </w:p>
        </w:tc>
      </w:tr>
      <w:tr>
        <w:trPr>
          <w:trHeight w:val="213"/>
        </w:trPr>
        <w:tc>
          <w:tcPr>
            <w:tcW w:w="29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4.38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2.74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60 %</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9.62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12.83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2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right="280" w:hanging="317"/>
        <w:spacing w:after="0" w:line="243"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realized gains on loan sales and related new MSR capitalization, changes in fair value of IRLCs, changes in fair value of loans held for sale and economic hedging gains and losses.</w:t>
      </w:r>
    </w:p>
    <w:p>
      <w:pPr>
        <w:spacing w:after="0" w:line="1" w:lineRule="exact"/>
        <w:rPr>
          <w:rFonts w:ascii="Arial" w:cs="Arial" w:eastAsia="Arial" w:hAnsi="Arial"/>
          <w:sz w:val="16"/>
          <w:szCs w:val="16"/>
          <w:color w:val="auto"/>
        </w:rPr>
      </w:pPr>
    </w:p>
    <w:p>
      <w:pPr>
        <w:ind w:left="320" w:hanging="317"/>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Ratio of gain on Loans held for sale to Origination UPB. Note that the ratio differs from the day-one gain on sale margin upon lock.</w:t>
      </w:r>
    </w:p>
    <w:p>
      <w:pPr>
        <w:ind w:left="320" w:hanging="317"/>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81"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color w:val="auto"/>
        </w:rPr>
        <w:t>Gain on loans held for sale, net for the three months ended September 30, 2023 decreased by $1.2 million as compared to the three months ended June 30, 2023, mostly in our Correspondent channel. The gain decrease is due to a decrease in margin, partially offset by a 60% increase in volume quarter over quarter. The elevated and rising interest rate environment continues to adversely impact both purchase and refinance borrower activities due to a decline in affordability. The decrease in margin is driven by competitive pressure in the market and uncertain market conditions.</w:t>
      </w:r>
    </w:p>
    <w:p>
      <w:pPr>
        <w:spacing w:after="0" w:line="70"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As compared to the nine months ended September 30, 2022, Gain on loans held for sale, net for the nine months ended September 30, 2023 declined $22.8 million or 49%, with a $17.7 million decrease in our Consumer Direct channel and a $5.0 million decrease in our Correspondent channel. The decline in Consumer Direct gain is driven by a 77% decrease in loan production volume, offset in part by a higher margin. We continue to expand higher margin products such as Ginnie Mae loans and best efforts deliveries. In our Correspondent channel, the lower gain is mostly due to a 20% decrease in loan production volume.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Reverse Loans Held for Investment and HMBS-Related Borrowings, Net</w:t>
      </w:r>
    </w:p>
    <w:p>
      <w:pPr>
        <w:spacing w:after="0" w:line="115" w:lineRule="exact"/>
        <w:rPr>
          <w:sz w:val="20"/>
          <w:szCs w:val="20"/>
          <w:color w:val="auto"/>
        </w:rPr>
      </w:pPr>
    </w:p>
    <w:p>
      <w:pPr>
        <w:jc w:val="both"/>
        <w:ind w:right="20"/>
        <w:spacing w:after="0" w:line="315" w:lineRule="auto"/>
        <w:rPr>
          <w:sz w:val="20"/>
          <w:szCs w:val="20"/>
          <w:color w:val="auto"/>
        </w:rPr>
      </w:pPr>
      <w:r>
        <w:rPr>
          <w:rFonts w:ascii="Arial" w:cs="Arial" w:eastAsia="Arial" w:hAnsi="Arial"/>
          <w:sz w:val="16"/>
          <w:szCs w:val="16"/>
          <w:color w:val="auto"/>
        </w:rPr>
        <w:t>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660"/>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w:t>
            </w:r>
          </w:p>
        </w:tc>
        <w:tc>
          <w:tcPr>
            <w:tcW w:w="26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September 30,</w:t>
            </w:r>
          </w:p>
        </w:tc>
        <w:tc>
          <w:tcPr>
            <w:tcW w:w="160" w:type="dxa"/>
            <w:vAlign w:val="bottom"/>
          </w:tcPr>
          <w:p>
            <w:pPr>
              <w:spacing w:after="0"/>
              <w:rPr>
                <w:sz w:val="19"/>
                <w:szCs w:val="19"/>
                <w:color w:val="auto"/>
              </w:rPr>
            </w:pPr>
          </w:p>
        </w:tc>
        <w:tc>
          <w:tcPr>
            <w:tcW w:w="1360" w:type="dxa"/>
            <w:vAlign w:val="bottom"/>
          </w:tcPr>
          <w:p>
            <w:pPr>
              <w:jc w:val="center"/>
              <w:ind w:right="74"/>
              <w:spacing w:after="0"/>
              <w:rPr>
                <w:sz w:val="20"/>
                <w:szCs w:val="20"/>
                <w:color w:val="auto"/>
              </w:rPr>
            </w:pPr>
            <w:r>
              <w:rPr>
                <w:rFonts w:ascii="Arial" w:cs="Arial" w:eastAsia="Arial" w:hAnsi="Arial"/>
                <w:sz w:val="17"/>
                <w:szCs w:val="17"/>
                <w:b w:val="1"/>
                <w:bCs w:val="1"/>
                <w:color w:val="auto"/>
                <w:w w:val="89"/>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 Change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13"/>
        </w:trPr>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Origination UPB (1) </w:t>
            </w:r>
            <w:r>
              <w:rPr>
                <w:rFonts w:ascii="Arial" w:cs="Arial" w:eastAsia="Arial" w:hAnsi="Arial"/>
                <w:sz w:val="17"/>
                <w:szCs w:val="17"/>
                <w:i w:val="1"/>
                <w:iCs w:val="1"/>
                <w:color w:val="auto"/>
              </w:rPr>
              <w:t>(in billions)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0.18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ind w:left="840"/>
              <w:spacing w:after="0"/>
              <w:rPr>
                <w:sz w:val="20"/>
                <w:szCs w:val="20"/>
                <w:color w:val="auto"/>
              </w:rPr>
            </w:pPr>
            <w:r>
              <w:rPr>
                <w:rFonts w:ascii="Arial" w:cs="Arial" w:eastAsia="Arial" w:hAnsi="Arial"/>
                <w:sz w:val="17"/>
                <w:szCs w:val="17"/>
                <w:color w:val="auto"/>
              </w:rPr>
              <w:t>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1.27</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w w:val="96"/>
              </w:rPr>
              <w:t>(60)%</w:t>
            </w: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Origination margin (2)</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3.13 %</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2.64 %</w:t>
            </w:r>
          </w:p>
        </w:tc>
        <w:tc>
          <w:tcPr>
            <w:tcW w:w="1060" w:type="dxa"/>
            <w:vAlign w:val="bottom"/>
            <w:tcBorders>
              <w:bottom w:val="single" w:sz="8" w:color="CCEEFF"/>
            </w:tcBorders>
            <w:gridSpan w:val="2"/>
          </w:tcPr>
          <w:p>
            <w:pPr>
              <w:jc w:val="right"/>
              <w:ind w:right="114"/>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0"/>
              </w:rPr>
              <w:t>3.49 %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840"/>
              <w:spacing w:after="0"/>
              <w:rPr>
                <w:sz w:val="20"/>
                <w:szCs w:val="20"/>
                <w:color w:val="auto"/>
              </w:rPr>
            </w:pPr>
            <w:r>
              <w:rPr>
                <w:rFonts w:ascii="Arial" w:cs="Arial" w:eastAsia="Arial" w:hAnsi="Arial"/>
                <w:sz w:val="17"/>
                <w:szCs w:val="17"/>
                <w:color w:val="auto"/>
                <w:w w:val="94"/>
              </w:rPr>
              <w:t>4.08 %</w:t>
            </w:r>
          </w:p>
        </w:tc>
        <w:tc>
          <w:tcPr>
            <w:tcW w:w="1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Gain on reverse loans held for</w:t>
            </w: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00" w:type="dxa"/>
            <w:vAlign w:val="bottom"/>
            <w:shd w:val="clear" w:color="auto" w:fill="CCEEFF"/>
          </w:tcPr>
          <w:p>
            <w:pPr>
              <w:ind w:left="100"/>
              <w:spacing w:after="0" w:line="181" w:lineRule="exact"/>
              <w:rPr>
                <w:sz w:val="20"/>
                <w:szCs w:val="20"/>
                <w:color w:val="auto"/>
              </w:rPr>
            </w:pPr>
            <w:r>
              <w:rPr>
                <w:rFonts w:ascii="Arial" w:cs="Arial" w:eastAsia="Arial" w:hAnsi="Arial"/>
                <w:sz w:val="17"/>
                <w:szCs w:val="17"/>
                <w:color w:val="auto"/>
              </w:rPr>
              <w:t>investment and HMBS-related</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5.7</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vMerge w:val="restart"/>
            <w:shd w:val="clear" w:color="auto" w:fill="CCEEFF"/>
          </w:tcPr>
          <w:p>
            <w:pPr>
              <w:ind w:left="840"/>
              <w:spacing w:after="0"/>
              <w:rPr>
                <w:sz w:val="20"/>
                <w:szCs w:val="20"/>
                <w:color w:val="auto"/>
              </w:rPr>
            </w:pPr>
            <w:r>
              <w:rPr>
                <w:rFonts w:ascii="Arial" w:cs="Arial" w:eastAsia="Arial" w:hAnsi="Arial"/>
                <w:sz w:val="17"/>
                <w:szCs w:val="17"/>
                <w:color w:val="auto"/>
              </w:rPr>
              <w:t>17.7</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ind w:left="840"/>
              <w:spacing w:after="0"/>
              <w:rPr>
                <w:sz w:val="20"/>
                <w:szCs w:val="20"/>
                <w:color w:val="auto"/>
              </w:rPr>
            </w:pPr>
            <w:r>
              <w:rPr>
                <w:rFonts w:ascii="Arial" w:cs="Arial" w:eastAsia="Arial" w:hAnsi="Arial"/>
                <w:sz w:val="17"/>
                <w:szCs w:val="17"/>
                <w:color w:val="auto"/>
              </w:rPr>
              <w:t>51.9</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shd w:val="clear" w:color="auto" w:fill="CCEEFF"/>
          </w:tcPr>
          <w:p>
            <w:pPr>
              <w:ind w:left="100"/>
              <w:spacing w:after="0" w:line="194" w:lineRule="exact"/>
              <w:rPr>
                <w:sz w:val="20"/>
                <w:szCs w:val="20"/>
                <w:color w:val="auto"/>
              </w:rPr>
            </w:pPr>
            <w:r>
              <w:rPr>
                <w:rFonts w:ascii="Arial" w:cs="Arial" w:eastAsia="Arial" w:hAnsi="Arial"/>
                <w:sz w:val="17"/>
                <w:szCs w:val="17"/>
                <w:color w:val="auto"/>
              </w:rPr>
              <w:t>borrowings, net (Originations) (3)</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17 %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w w:val="96"/>
              </w:rPr>
              <w:t>(66)%</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320" w:hanging="317"/>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Defined as the UPB of loans funded in the period.</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Ratio of origination gain and fees - see (3) below - to origination UPB. Note that the ratio includes gains or losses on IRLCs.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3" w:name="page84"/>
    <w:bookmarkEnd w:id="83"/>
    <w:p>
      <w:pPr>
        <w:ind w:left="320" w:right="20" w:hanging="317"/>
        <w:spacing w:after="0" w:line="322"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gain on new origination, and loan fees and other. Includes non-cash gain on securitization of newly originated loans of $4.7 million and $14.1 million for the three and nine months ended September 30, 2023, respectively, $4.7 million for the three months ended June 30, 2023 and $27.6 million for the nine months ended September 30, 2022.</w:t>
      </w:r>
    </w:p>
    <w:p>
      <w:pPr>
        <w:spacing w:after="0" w:line="4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reported $5.7 million Originations Gain on reverse loans held for investment and HMBS-related borrowings, net for the three months ended September 30, 2023, a $0.8 million, or 17% increase as compared to the three months ended June 30, 2023, primarily driven by higher margins in our Correspondent and Wholesale channels, partially offset by lower margins in our Retail channel. The higher margins were mostly driven by HECM spreads tightening (approximately 5 basis points) during the third quarter of 2023, while spreads widened (approximately 20 basis points) during the second quarter of 2023 mostly due to economic conditions and investors’ interest for reverse mortgage products.</w:t>
      </w:r>
    </w:p>
    <w:p>
      <w:pPr>
        <w:spacing w:after="0" w:line="7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As compared to the nine months ended September 30, 2022, Gain on reverse loans held for investment and HMBS-related borrowings, net for the nine months ended September 30, 2023 decreased $34.2 million, or 66%. $26.0 million of the gain decrease is attributable to our Retail channel. The decrease is primarily driven by a decline in volume. While the Retail channel was mostly impacted by declining volumes, all channels experienced significantly lower volumes largely due to a drastic increase in market interest rates. Industry-wide HECM securitization volume saw a 66% decrease in volumes when comparing these two periods, and industry-wide HECM endorsements were similarly down 52%. By comparison, our funded volumes were down 60% in this same time period. Higher rates directly reduce HECM loan proceeds available to borrowers and have been a material driving force in reducing HECM market volume. While our Retail and Correspondent channels reported higher margins, and our Wholesale channel margin was flat, the aggregate margin decreased due to the significant decline in relative weight of the higher margin Retail channel due to its more pronounced volume decline.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Revenue, net</w:t>
      </w:r>
    </w:p>
    <w:p>
      <w:pPr>
        <w:spacing w:after="0" w:line="115" w:lineRule="exact"/>
        <w:rPr>
          <w:sz w:val="20"/>
          <w:szCs w:val="20"/>
          <w:color w:val="auto"/>
        </w:rPr>
      </w:pPr>
    </w:p>
    <w:p>
      <w:pPr>
        <w:jc w:val="both"/>
        <w:ind w:right="280"/>
        <w:spacing w:after="0" w:line="268" w:lineRule="auto"/>
        <w:rPr>
          <w:sz w:val="20"/>
          <w:szCs w:val="20"/>
          <w:color w:val="auto"/>
        </w:rPr>
      </w:pPr>
      <w:r>
        <w:rPr>
          <w:rFonts w:ascii="Arial" w:cs="Arial" w:eastAsia="Arial" w:hAnsi="Arial"/>
          <w:sz w:val="17"/>
          <w:szCs w:val="17"/>
          <w:color w:val="auto"/>
        </w:rPr>
        <w:t>Other revenue for the three months ended September 30, 2023 increased $2.0 million as compared to the three months ended June 30, 2023 primarily due to an increase in correspondent fees with higher origination volume. As compared to the nine months ended September 30, 2022, Other revenue for the nine months ended September 30, 2023 declined $7.4 million primarily due to a decline in volume.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MSR Valuation Adjustments, Net</w:t>
      </w:r>
    </w:p>
    <w:p>
      <w:pPr>
        <w:spacing w:after="0" w:line="115"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Quarter over quarter changes in MSR valuation adjustments, net are mostly due to volume changes.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5" w:lineRule="exact"/>
        <w:rPr>
          <w:sz w:val="20"/>
          <w:szCs w:val="20"/>
          <w:color w:val="auto"/>
        </w:rPr>
      </w:pPr>
    </w:p>
    <w:p>
      <w:pPr>
        <w:ind w:right="360"/>
        <w:spacing w:after="0" w:line="283" w:lineRule="auto"/>
        <w:rPr>
          <w:sz w:val="20"/>
          <w:szCs w:val="20"/>
          <w:color w:val="auto"/>
        </w:rPr>
      </w:pPr>
      <w:r>
        <w:rPr>
          <w:rFonts w:ascii="Arial" w:cs="Arial" w:eastAsia="Arial" w:hAnsi="Arial"/>
          <w:sz w:val="17"/>
          <w:szCs w:val="17"/>
          <w:color w:val="auto"/>
        </w:rPr>
        <w:t>Operating expenses for the three months ended September 30, 2023 increased $1.3 million, or 6%, as compared to the three months ended June 30, 2023. The increase is primarily attributed to the increase in production volume.</w:t>
      </w:r>
    </w:p>
    <w:p>
      <w:pPr>
        <w:spacing w:after="0" w:line="5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As compared to the nine months ended September 30, 2022, Operating expenses for the nine months ended September 30, 2023 declined $59.9 million or 49%, as a result of our efforts to right size our resources to lower market opportunities. Compensation and benefits decreased $38.5 million, or 55% with a $25.2 million decrease in salaries and benefit expenses, a $9.3 million decrease in commissions due to lower production volume and headcount and a $3.8 million decrease in severance expense. The decrease in salaries and benefit expenses is primarily driven by the 54% decrease in Originations average total headcount. Other operating expenses (total operating expenses less Compensation and benefits) decreased $21.3 million as compared to the nine months ended September 30, 2022, primarily attributed to the decline in production volumes. All expense categories decreased, including a $6.2 million decrease in Origination expense driven by lower production volume, $4.7 million decrease in advertising expense, $2.8 million decrease in Professional services driven by lower outsourced resources, $2.2 million decrease in Occupancy and equipment expense driven by lower occupancy cost allocation and mailing and postage expenses, $2.0 million decrease in Technology and communications due to lower origination volume and $2.3 million decrease in overhead allocations due to lower corporate overhead and average headcount.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Interest income consists primarily of interest earned on newly-originated and purchased loans during the pipeline period prior to securitization or sale to investors. Interest expense is incurred to finance the mortgage loans during the same pipeline period, generally approximately 20 days. We finance originated and purchased forward and reverse mortgage loans with repurchase and participation agreements, commonly referred to as warehouse lines. Our net interest margin is driven by the difference between the average mortgage note rate and the average warehouse line cost of funds, and by the average number of days loans remain in the pipeline.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84" w:name="page85"/>
    <w:bookmarkEnd w:id="84"/>
    <w:p>
      <w:pPr>
        <w:jc w:val="both"/>
        <w:ind w:right="20"/>
        <w:spacing w:after="0" w:line="320" w:lineRule="auto"/>
        <w:rPr>
          <w:sz w:val="20"/>
          <w:szCs w:val="20"/>
          <w:color w:val="auto"/>
        </w:rPr>
      </w:pPr>
      <w:r>
        <w:rPr>
          <w:rFonts w:ascii="Arial" w:cs="Arial" w:eastAsia="Arial" w:hAnsi="Arial"/>
          <w:sz w:val="15"/>
          <w:szCs w:val="15"/>
          <w:color w:val="auto"/>
        </w:rPr>
        <w:t>Interest income for the three months ended September 30, 2023 increased $5.6 million as compared to the three months ended June 30, 2023 primarily due to the increase in origination volume. Similarly, interest expense for the three months ended September 30, 2023 increased $5.9 million as compared to the three months ended June 30, 2023 primarily due to the increase in average warehouse facility debt balances consistent with higher average held for sale loan balances.</w:t>
      </w:r>
    </w:p>
    <w:p>
      <w:pPr>
        <w:spacing w:after="0" w:line="3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compared to the nine months ended September 30, 2022, interest income for the nine months ended September 30, 2023 increased $20.9 million primarily due to higher interest rates, offset in part by lower origination volume. Similarly, interest expense for the nine months ended September 30, 2023 increased $25.7 million primarily due to an increase in effective interest rates.</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9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with the exception of the OFC Senior Secured Notes.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w:t>
      </w:r>
    </w:p>
    <w:p>
      <w:pPr>
        <w:spacing w:after="0" w:line="5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Corporate support services include finance, facilities, human resources, internal audit, legal, risk and compliance, capital markets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spacing w:after="0" w:line="78"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The reinsurance agreement expires on June 30, 2024, but may be terminated by either party at any time with six months advance written notice. The agreement will automatically renew for additional one-year terms unless either party provides 180 days advance written notice prior to renewal.</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sectPr>
      </w:pPr>
    </w:p>
    <w:bookmarkStart w:id="85" w:name="page86"/>
    <w:bookmarkEnd w:id="85"/>
    <w:p>
      <w:pPr>
        <w:ind w:right="560"/>
        <w:spacing w:after="0" w:line="283" w:lineRule="auto"/>
        <w:rPr>
          <w:sz w:val="20"/>
          <w:szCs w:val="20"/>
          <w:color w:val="auto"/>
        </w:rPr>
      </w:pPr>
      <w:r>
        <w:rPr>
          <w:rFonts w:ascii="Arial" w:cs="Arial" w:eastAsia="Arial" w:hAnsi="Arial"/>
          <w:sz w:val="17"/>
          <w:szCs w:val="17"/>
          <w:color w:val="auto"/>
        </w:rPr>
        <w:t>The following table presents selected results of operations of Corporate Items and Other. The amounts presented are before the elimination of balances and transactions with our other segments: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Nine Months Ended</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240" w:type="dxa"/>
            <w:vAlign w:val="bottom"/>
          </w:tcPr>
          <w:p>
            <w:pPr>
              <w:spacing w:after="0"/>
              <w:rPr>
                <w:sz w:val="19"/>
                <w:szCs w:val="19"/>
                <w:color w:val="auto"/>
              </w:rPr>
            </w:pPr>
          </w:p>
        </w:tc>
        <w:tc>
          <w:tcPr>
            <w:tcW w:w="1160" w:type="dxa"/>
            <w:vAlign w:val="bottom"/>
          </w:tcPr>
          <w:p>
            <w:pPr>
              <w:jc w:val="right"/>
              <w:ind w:right="314"/>
              <w:spacing w:after="0"/>
              <w:rPr>
                <w:sz w:val="20"/>
                <w:szCs w:val="20"/>
                <w:color w:val="auto"/>
              </w:rPr>
            </w:pPr>
            <w:r>
              <w:rPr>
                <w:rFonts w:ascii="Arial" w:cs="Arial" w:eastAsia="Arial" w:hAnsi="Arial"/>
                <w:sz w:val="17"/>
                <w:szCs w:val="17"/>
                <w:b w:val="1"/>
                <w:bCs w:val="1"/>
                <w:color w:val="auto"/>
              </w:rPr>
              <w:t>June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September 30,</w:t>
            </w:r>
          </w:p>
        </w:tc>
        <w:tc>
          <w:tcPr>
            <w:tcW w:w="140" w:type="dxa"/>
            <w:vAlign w:val="bottom"/>
          </w:tcPr>
          <w:p>
            <w:pPr>
              <w:spacing w:after="0"/>
              <w:rPr>
                <w:sz w:val="19"/>
                <w:szCs w:val="19"/>
                <w:color w:val="auto"/>
              </w:rPr>
            </w:pPr>
          </w:p>
        </w:tc>
        <w:tc>
          <w:tcPr>
            <w:tcW w:w="1280" w:type="dxa"/>
            <w:vAlign w:val="bottom"/>
          </w:tcPr>
          <w:p>
            <w:pPr>
              <w:jc w:val="right"/>
              <w:ind w:right="94"/>
              <w:spacing w:after="0"/>
              <w:rPr>
                <w:sz w:val="20"/>
                <w:szCs w:val="20"/>
                <w:color w:val="auto"/>
              </w:rPr>
            </w:pPr>
            <w:r>
              <w:rPr>
                <w:rFonts w:ascii="Arial" w:cs="Arial" w:eastAsia="Arial" w:hAnsi="Arial"/>
                <w:sz w:val="17"/>
                <w:szCs w:val="17"/>
                <w:b w:val="1"/>
                <w:bCs w:val="1"/>
                <w:color w:val="auto"/>
                <w:w w:val="92"/>
              </w:rPr>
              <w:t>September 30,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45"/>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80" w:type="dxa"/>
            <w:vAlign w:val="bottom"/>
          </w:tcPr>
          <w:p>
            <w:pPr>
              <w:spacing w:after="0"/>
              <w:rPr>
                <w:sz w:val="21"/>
                <w:szCs w:val="21"/>
                <w:color w:val="auto"/>
              </w:rPr>
            </w:pPr>
          </w:p>
        </w:tc>
        <w:tc>
          <w:tcPr>
            <w:tcW w:w="1080" w:type="dxa"/>
            <w:vAlign w:val="bottom"/>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21"/>
                <w:szCs w:val="21"/>
                <w:color w:val="auto"/>
              </w:rPr>
            </w:pPr>
          </w:p>
        </w:tc>
        <w:tc>
          <w:tcPr>
            <w:tcW w:w="1260" w:type="dxa"/>
            <w:vAlign w:val="bottom"/>
          </w:tcPr>
          <w:p>
            <w:pPr>
              <w:jc w:val="right"/>
              <w:ind w:right="454"/>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ind w:right="4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b w:val="1"/>
                <w:bCs w:val="1"/>
                <w:color w:val="auto"/>
              </w:rPr>
              <w:t>% Change</w:t>
            </w:r>
          </w:p>
        </w:tc>
      </w:tr>
      <w:tr>
        <w:trPr>
          <w:trHeight w:val="20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Reinsurance premiums (CRL)</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3.9</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98 %</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0.3</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0.4</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(20)</w:t>
            </w:r>
          </w:p>
        </w:tc>
      </w:tr>
      <w:tr>
        <w:trPr>
          <w:trHeight w:val="213"/>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revenue</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4.2</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5.0</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89 %</w:t>
            </w: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Compensation and benefits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20.1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Professional services</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(28.4)</w:t>
            </w:r>
          </w:p>
        </w:tc>
        <w:tc>
          <w:tcPr>
            <w:tcW w:w="1080" w:type="dxa"/>
            <w:vAlign w:val="bottom"/>
            <w:gridSpan w:val="2"/>
          </w:tcPr>
          <w:p>
            <w:pPr>
              <w:jc w:val="right"/>
              <w:ind w:right="94"/>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14.0</w:t>
            </w:r>
          </w:p>
        </w:tc>
        <w:tc>
          <w:tcPr>
            <w:tcW w:w="1080" w:type="dxa"/>
            <w:vAlign w:val="bottom"/>
            <w:gridSpan w:val="2"/>
          </w:tcPr>
          <w:p>
            <w:pPr>
              <w:jc w:val="right"/>
              <w:ind w:right="74"/>
              <w:spacing w:after="0"/>
              <w:rPr>
                <w:sz w:val="20"/>
                <w:szCs w:val="20"/>
                <w:color w:val="auto"/>
              </w:rPr>
            </w:pPr>
            <w:r>
              <w:rPr>
                <w:rFonts w:ascii="Arial" w:cs="Arial" w:eastAsia="Arial" w:hAnsi="Arial"/>
                <w:sz w:val="17"/>
                <w:szCs w:val="17"/>
                <w:color w:val="auto"/>
              </w:rPr>
              <w:t>(232)</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Technology and communications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5.1</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17.7</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(13)</w:t>
            </w: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Servicing and origination</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ind w:right="13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512</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Occupancy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957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(81)</w:t>
            </w:r>
          </w:p>
        </w:tc>
      </w:tr>
      <w:tr>
        <w:trPr>
          <w:trHeight w:val="220"/>
        </w:trPr>
        <w:tc>
          <w:tcPr>
            <w:tcW w:w="314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expenses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1.4</w:t>
            </w:r>
          </w:p>
        </w:tc>
        <w:tc>
          <w:tcPr>
            <w:tcW w:w="1080" w:type="dxa"/>
            <w:vAlign w:val="bottom"/>
            <w:tcBorders>
              <w:bottom w:val="single" w:sz="8" w:color="CCEEFF"/>
            </w:tcBorders>
            <w:gridSpan w:val="2"/>
          </w:tcPr>
          <w:p>
            <w:pPr>
              <w:jc w:val="right"/>
              <w:ind w:right="134"/>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7.0</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(39)</w:t>
            </w:r>
          </w:p>
        </w:tc>
      </w:tr>
      <w:tr>
        <w:trPr>
          <w:trHeight w:val="148"/>
        </w:trPr>
        <w:tc>
          <w:tcPr>
            <w:tcW w:w="314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1"/>
              </w:rPr>
              <w:t>Total operating expenses before corporate</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232"/>
        </w:trPr>
        <w:tc>
          <w:tcPr>
            <w:tcW w:w="31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overhead allocations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n/m</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64.1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99.4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Corporate overhead allocations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0"/>
        </w:trPr>
        <w:tc>
          <w:tcPr>
            <w:tcW w:w="31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Servicing segment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Originations segment</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(5.0)</w:t>
            </w:r>
          </w:p>
        </w:tc>
        <w:tc>
          <w:tcPr>
            <w:tcW w:w="1080" w:type="dxa"/>
            <w:vAlign w:val="bottom"/>
            <w:tcBorders>
              <w:bottom w:val="single" w:sz="8" w:color="CCEEFF"/>
            </w:tcBorders>
            <w:gridSpan w:val="2"/>
          </w:tcPr>
          <w:p>
            <w:pPr>
              <w:jc w:val="right"/>
              <w:ind w:right="94"/>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(16.7)</w:t>
            </w:r>
          </w:p>
        </w:tc>
        <w:tc>
          <w:tcPr>
            <w:tcW w:w="1080" w:type="dxa"/>
            <w:vAlign w:val="bottom"/>
            <w:tcBorders>
              <w:bottom w:val="single" w:sz="8" w:color="CCEEFF"/>
            </w:tcBorders>
            <w:gridSpan w:val="2"/>
          </w:tcPr>
          <w:p>
            <w:pPr>
              <w:jc w:val="right"/>
              <w:ind w:right="74"/>
              <w:spacing w:after="0"/>
              <w:rPr>
                <w:sz w:val="20"/>
                <w:szCs w:val="20"/>
                <w:color w:val="auto"/>
              </w:rPr>
            </w:pPr>
            <w:r>
              <w:rPr>
                <w:rFonts w:ascii="Arial" w:cs="Arial" w:eastAsia="Arial" w:hAnsi="Arial"/>
                <w:sz w:val="17"/>
                <w:szCs w:val="17"/>
                <w:color w:val="auto"/>
              </w:rPr>
              <w:t>(14)</w:t>
            </w:r>
          </w:p>
        </w:tc>
      </w:tr>
      <w:tr>
        <w:trPr>
          <w:trHeight w:val="213"/>
        </w:trPr>
        <w:tc>
          <w:tcPr>
            <w:tcW w:w="31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(16.4)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47.9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w:t>
            </w:r>
          </w:p>
        </w:tc>
      </w:tr>
      <w:tr>
        <w:trPr>
          <w:trHeight w:val="135"/>
        </w:trPr>
        <w:tc>
          <w:tcPr>
            <w:tcW w:w="3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0.7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389 %</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(10.9)</w:t>
            </w:r>
          </w:p>
        </w:tc>
        <w:tc>
          <w:tcPr>
            <w:tcW w:w="10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(31.5)</w:t>
            </w:r>
          </w:p>
        </w:tc>
        <w:tc>
          <w:tcPr>
            <w:tcW w:w="108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4</w:t>
            </w:r>
          </w:p>
        </w:tc>
      </w:tr>
      <w:tr>
        <w:trPr>
          <w:trHeight w:val="220"/>
        </w:trPr>
        <w:tc>
          <w:tcPr>
            <w:tcW w:w="3140" w:type="dxa"/>
            <w:vAlign w:val="bottom"/>
          </w:tcPr>
          <w:p>
            <w:pPr>
              <w:ind w:left="140"/>
              <w:spacing w:after="0"/>
              <w:rPr>
                <w:sz w:val="20"/>
                <w:szCs w:val="20"/>
                <w:color w:val="auto"/>
              </w:rPr>
            </w:pPr>
            <w:r>
              <w:rPr>
                <w:rFonts w:ascii="Arial" w:cs="Arial" w:eastAsia="Arial" w:hAnsi="Arial"/>
                <w:sz w:val="17"/>
                <w:szCs w:val="17"/>
                <w:color w:val="auto"/>
              </w:rPr>
              <w:t>Gain on extinguishment of debt</w:t>
            </w: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7"/>
                <w:szCs w:val="17"/>
                <w:color w:val="auto"/>
              </w:rPr>
              <w:t>n/m</w:t>
            </w: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0.9</w:t>
            </w:r>
          </w:p>
        </w:tc>
        <w:tc>
          <w:tcPr>
            <w:tcW w:w="1080" w:type="dxa"/>
            <w:vAlign w:val="bottom"/>
            <w:gridSpan w:val="2"/>
          </w:tcPr>
          <w:p>
            <w:pPr>
              <w:jc w:val="right"/>
              <w:ind w:right="114"/>
              <w:spacing w:after="0"/>
              <w:rPr>
                <w:sz w:val="20"/>
                <w:szCs w:val="20"/>
                <w:color w:val="auto"/>
              </w:rPr>
            </w:pPr>
            <w:r>
              <w:rPr>
                <w:rFonts w:ascii="Arial" w:cs="Arial" w:eastAsia="Arial" w:hAnsi="Arial"/>
                <w:sz w:val="17"/>
                <w:szCs w:val="17"/>
                <w:color w:val="auto"/>
              </w:rPr>
              <w:t>25</w:t>
            </w:r>
          </w:p>
        </w:tc>
      </w:tr>
      <w:tr>
        <w:trPr>
          <w:trHeight w:val="220"/>
        </w:trPr>
        <w:tc>
          <w:tcPr>
            <w:tcW w:w="31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(0.4)</w:t>
            </w:r>
          </w:p>
        </w:tc>
        <w:tc>
          <w:tcPr>
            <w:tcW w:w="10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(165)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(0.6)</w:t>
            </w:r>
          </w:p>
        </w:tc>
        <w:tc>
          <w:tcPr>
            <w:tcW w:w="10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(202)</w:t>
            </w:r>
          </w:p>
        </w:tc>
      </w:tr>
      <w:tr>
        <w:trPr>
          <w:trHeight w:val="213"/>
        </w:trPr>
        <w:tc>
          <w:tcPr>
            <w:tcW w:w="31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(expense), net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(10.1)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(30.5)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w:t>
            </w:r>
          </w:p>
        </w:tc>
      </w:tr>
      <w:tr>
        <w:trPr>
          <w:trHeight w:val="135"/>
        </w:trPr>
        <w:tc>
          <w:tcPr>
            <w:tcW w:w="3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10.5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(305)%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(73.4)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(54)%</w:t>
            </w:r>
          </w:p>
        </w:tc>
      </w:tr>
      <w:tr>
        <w:trPr>
          <w:trHeight w:val="20"/>
        </w:trPr>
        <w:tc>
          <w:tcPr>
            <w:tcW w:w="3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115" w:lineRule="exact"/>
        <w:rPr>
          <w:sz w:val="20"/>
          <w:szCs w:val="20"/>
          <w:color w:val="auto"/>
        </w:rPr>
      </w:pPr>
    </w:p>
    <w:p>
      <w:pPr>
        <w:jc w:val="both"/>
        <w:ind w:right="40"/>
        <w:spacing w:after="0" w:line="268" w:lineRule="auto"/>
        <w:rPr>
          <w:sz w:val="20"/>
          <w:szCs w:val="20"/>
          <w:color w:val="auto"/>
        </w:rPr>
      </w:pPr>
      <w:r>
        <w:rPr>
          <w:rFonts w:ascii="Arial" w:cs="Arial" w:eastAsia="Arial" w:hAnsi="Arial"/>
          <w:sz w:val="17"/>
          <w:szCs w:val="17"/>
          <w:color w:val="auto"/>
        </w:rPr>
        <w:t>Compensation and benefits expense for the three months ended September 30, 2023 declined $1.3 million, or 6%, as compared to the three months ended June 30, 2023 primarily as a result of a decrease in incentive compensation with a decrease in the fair value of cash-settled share-based awards in the quarter following the decline of our common stock price, as compared to an increase in the prior quarter.</w:t>
      </w:r>
    </w:p>
    <w:p>
      <w:pPr>
        <w:spacing w:after="0" w:line="6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As compared to the nine months ended September 30, 2022, Compensation and benefits expense for the nine months ended September 30, 2023 increased $3.0 million, or 5%, primarily as a result of an $9.8 million increase in incentive compensation offset by a $3.6 million decline in severance and a $2.9 million decline in salaries and benefit expense. The increase in incentive compensation is primarily due to an increase in share-based awards expense associated with the change in our common stock price, new awards and lower expense in the first quarter of 2022 due to forfeitures. The average Corporate headcount declined by 11% and the offshore-to-total average headcount ratio increased from 73% for the nine months ended September 30, 2022 to 75% for the nine months ended September 30, 2023.</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Professional services expense for the three months ended September 30, 2023 increased $33.2 million as compared to the three months ended June 30, 2023, primarily due to the reversal of our accrual related to the CFPB matter resolved in the second quarter of 2023 and certain recoveries of prior years’ legal expenses from private mortgage insurers recorded in the second quarter of 2023.</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6" w:name="page87"/>
    <w:bookmarkEnd w:id="86"/>
    <w:p>
      <w:pPr>
        <w:ind w:right="60"/>
        <w:spacing w:after="0" w:line="259" w:lineRule="auto"/>
        <w:rPr>
          <w:sz w:val="20"/>
          <w:szCs w:val="20"/>
          <w:color w:val="auto"/>
        </w:rPr>
      </w:pPr>
      <w:r>
        <w:rPr>
          <w:rFonts w:ascii="Arial" w:cs="Arial" w:eastAsia="Arial" w:hAnsi="Arial"/>
          <w:sz w:val="17"/>
          <w:szCs w:val="17"/>
          <w:color w:val="auto"/>
        </w:rPr>
        <w:t>As compared to the nine months ended September 30, 2022, Professional services expense for the nine months ended September 30, 2023 declined $32.5 million due to a $27.9 million decline in legal expense and a $3.8 million decline in other professional fees. The net decline in legal expenses is mostly due to the reversal of our accrual related to the CFPB matter during the second quarter of 2023, as described above, offset by a $3.4 million reduction in reimbursements received from mortgage loan investors related to prior year legal expenses. The decline in other professional fees is mostly due to lower insurance expense driven by cost reduction initiatives and our exit or downsize of certain leased office facilities in the second half of 2022, and lower utilization of consulting services related to corporate strategy and business initiatives.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Expenses</w:t>
      </w:r>
    </w:p>
    <w:p>
      <w:pPr>
        <w:spacing w:after="0" w:line="102"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Occupancy and equipment expense was mostly flat for the three months ended September 30, 2023 as compared to the three months ended June 30, 2023. As compared to the nine months ended September 30, 2022, Occupancy and equipment expense for the nine months ended September 30, 2023 declined $4.1 million primarily due to our exit or downsize of certain leased office facilities in the second half of 2022, offset in part by a treduction in expense allocated to the Servicing and Originations segments due to lower corporate overhead and headcount.</w:t>
      </w:r>
    </w:p>
    <w:p>
      <w:pPr>
        <w:spacing w:after="0" w:line="74"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Technology and communications expense for the three months ended September 30, 2023 was mostly flat as compared to the three months ended June 30, 2023. As compared to the nine months ended September 30, 2022, Technology and communication expense for the nine months ended September 30, 2023 declined $2.2 million mainly due to cost reduction initiatives.</w:t>
      </w:r>
    </w:p>
    <w:p>
      <w:pPr>
        <w:spacing w:after="0" w:line="76"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As compared to the nine months ended September 30, 2022, Servicing and originations expense for the nine months ended September 30, 2023 increased $3.2 million primarily due to an increase in our claim losses associated with a higher average number of REO properties insured, consistent with the increase in CRL reinsurance premium revenue.</w:t>
      </w:r>
    </w:p>
    <w:p>
      <w:pPr>
        <w:spacing w:after="0" w:line="6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Other expenses for the three months ended September 30, 2023 remained mostly flat as compared to the three months ended June 30, 2023. As compared to the nine months ended September 30, 2022, Other expenses for the nine months ended September 30, 2023 decreased $2.7 million mainly driven by a decline in bank charges due to higher earnings credits as a result of higher interest rates, and other corporate expenses due to cost reduction initiatives.</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215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the normal course of business, we are actively engaged with our lenders and as a result, renew, replace or extend our debt agreements to the extent necessary to finance our operations and optimize our financing costs. See Note 12 – Borrowings to the Unaudited Consolidated Financial Statements for additional information.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A summary of borrowing capacity under our advance facilities, mortgage warehouse facilities and MSR financing facilities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2023</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1"/>
              </w:rPr>
              <w:t>December 31, 2022</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40"/>
              <w:spacing w:after="0" w:line="156" w:lineRule="exact"/>
              <w:rPr>
                <w:sz w:val="20"/>
                <w:szCs w:val="20"/>
                <w:color w:val="auto"/>
              </w:rPr>
            </w:pPr>
            <w:r>
              <w:rPr>
                <w:rFonts w:ascii="Arial" w:cs="Arial" w:eastAsia="Arial" w:hAnsi="Arial"/>
                <w:sz w:val="16"/>
                <w:szCs w:val="16"/>
                <w:b w:val="1"/>
                <w:bCs w:val="1"/>
                <w:color w:val="auto"/>
                <w:w w:val="93"/>
              </w:rPr>
              <w:t>Available</w:t>
            </w:r>
          </w:p>
        </w:tc>
        <w:tc>
          <w:tcPr>
            <w:tcW w:w="200" w:type="dxa"/>
            <w:vAlign w:val="bottom"/>
          </w:tcPr>
          <w:p>
            <w:pPr>
              <w:spacing w:after="0"/>
              <w:rPr>
                <w:sz w:val="13"/>
                <w:szCs w:val="13"/>
                <w:color w:val="auto"/>
              </w:rPr>
            </w:pPr>
          </w:p>
        </w:tc>
        <w:tc>
          <w:tcPr>
            <w:tcW w:w="1160" w:type="dxa"/>
            <w:vAlign w:val="bottom"/>
          </w:tcPr>
          <w:p>
            <w:pPr>
              <w:jc w:val="center"/>
              <w:ind w:right="138"/>
              <w:spacing w:after="0" w:line="156" w:lineRule="exact"/>
              <w:rPr>
                <w:sz w:val="20"/>
                <w:szCs w:val="20"/>
                <w:color w:val="auto"/>
              </w:rPr>
            </w:pPr>
            <w:r>
              <w:rPr>
                <w:rFonts w:ascii="Arial" w:cs="Arial" w:eastAsia="Arial" w:hAnsi="Arial"/>
                <w:sz w:val="16"/>
                <w:szCs w:val="16"/>
                <w:b w:val="1"/>
                <w:bCs w:val="1"/>
                <w:color w:val="auto"/>
                <w:w w:val="93"/>
              </w:rPr>
              <w:t>Available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w w:val="93"/>
              </w:rPr>
              <w:t>Available</w:t>
            </w:r>
          </w:p>
        </w:tc>
        <w:tc>
          <w:tcPr>
            <w:tcW w:w="200" w:type="dxa"/>
            <w:vAlign w:val="bottom"/>
          </w:tcPr>
          <w:p>
            <w:pPr>
              <w:spacing w:after="0"/>
              <w:rPr>
                <w:sz w:val="13"/>
                <w:szCs w:val="13"/>
                <w:color w:val="auto"/>
              </w:rPr>
            </w:pPr>
          </w:p>
        </w:tc>
        <w:tc>
          <w:tcPr>
            <w:tcW w:w="1160" w:type="dxa"/>
            <w:vAlign w:val="bottom"/>
          </w:tcPr>
          <w:p>
            <w:pPr>
              <w:jc w:val="center"/>
              <w:ind w:right="118"/>
              <w:spacing w:after="0" w:line="156" w:lineRule="exact"/>
              <w:rPr>
                <w:sz w:val="20"/>
                <w:szCs w:val="20"/>
                <w:color w:val="auto"/>
              </w:rPr>
            </w:pPr>
            <w:r>
              <w:rPr>
                <w:rFonts w:ascii="Arial" w:cs="Arial" w:eastAsia="Arial" w:hAnsi="Arial"/>
                <w:sz w:val="16"/>
                <w:szCs w:val="16"/>
                <w:b w:val="1"/>
                <w:bCs w:val="1"/>
                <w:color w:val="auto"/>
                <w:w w:val="91"/>
              </w:rPr>
              <w:t>Available</w:t>
            </w:r>
          </w:p>
        </w:tc>
        <w:tc>
          <w:tcPr>
            <w:tcW w:w="0" w:type="dxa"/>
            <w:vAlign w:val="bottom"/>
          </w:tcPr>
          <w:p>
            <w:pPr>
              <w:spacing w:after="0"/>
              <w:rPr>
                <w:sz w:val="1"/>
                <w:szCs w:val="1"/>
                <w:color w:val="auto"/>
              </w:rPr>
            </w:pPr>
          </w:p>
        </w:tc>
      </w:tr>
      <w:tr>
        <w:trPr>
          <w:trHeight w:val="168"/>
        </w:trPr>
        <w:tc>
          <w:tcPr>
            <w:tcW w:w="266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Borrowing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line="168" w:lineRule="exact"/>
              <w:rPr>
                <w:sz w:val="20"/>
                <w:szCs w:val="20"/>
                <w:color w:val="auto"/>
              </w:rPr>
            </w:pPr>
            <w:r>
              <w:rPr>
                <w:rFonts w:ascii="Arial" w:cs="Arial" w:eastAsia="Arial" w:hAnsi="Arial"/>
                <w:sz w:val="16"/>
                <w:szCs w:val="16"/>
                <w:b w:val="1"/>
                <w:bCs w:val="1"/>
                <w:color w:val="auto"/>
                <w:w w:val="92"/>
              </w:rPr>
              <w:t>Borrowing</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8" w:lineRule="exact"/>
              <w:rPr>
                <w:sz w:val="20"/>
                <w:szCs w:val="20"/>
                <w:color w:val="auto"/>
              </w:rPr>
            </w:pPr>
            <w:r>
              <w:rPr>
                <w:rFonts w:ascii="Arial" w:cs="Arial" w:eastAsia="Arial" w:hAnsi="Arial"/>
                <w:sz w:val="16"/>
                <w:szCs w:val="16"/>
                <w:b w:val="1"/>
                <w:bCs w:val="1"/>
                <w:color w:val="auto"/>
                <w:w w:val="92"/>
              </w:rPr>
              <w:t>Borrowing</w:t>
            </w:r>
          </w:p>
        </w:tc>
        <w:tc>
          <w:tcPr>
            <w:tcW w:w="10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Borrowing</w:t>
            </w:r>
          </w:p>
        </w:tc>
        <w:tc>
          <w:tcPr>
            <w:tcW w:w="140" w:type="dxa"/>
            <w:vAlign w:val="bottom"/>
          </w:tcPr>
          <w:p>
            <w:pPr>
              <w:spacing w:after="0"/>
              <w:rPr>
                <w:sz w:val="14"/>
                <w:szCs w:val="14"/>
                <w:color w:val="auto"/>
              </w:rPr>
            </w:pPr>
          </w:p>
        </w:tc>
        <w:tc>
          <w:tcPr>
            <w:tcW w:w="132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2"/>
              </w:rPr>
              <w:t>Borrowing</w:t>
            </w:r>
          </w:p>
        </w:tc>
        <w:tc>
          <w:tcPr>
            <w:tcW w:w="200" w:type="dxa"/>
            <w:vAlign w:val="bottom"/>
          </w:tcPr>
          <w:p>
            <w:pPr>
              <w:spacing w:after="0"/>
              <w:rPr>
                <w:sz w:val="14"/>
                <w:szCs w:val="14"/>
                <w:color w:val="auto"/>
              </w:rPr>
            </w:pPr>
          </w:p>
        </w:tc>
        <w:tc>
          <w:tcPr>
            <w:tcW w:w="1160" w:type="dxa"/>
            <w:vAlign w:val="bottom"/>
          </w:tcPr>
          <w:p>
            <w:pPr>
              <w:jc w:val="center"/>
              <w:ind w:right="118"/>
              <w:spacing w:after="0" w:line="168" w:lineRule="exact"/>
              <w:rPr>
                <w:sz w:val="20"/>
                <w:szCs w:val="20"/>
                <w:color w:val="auto"/>
              </w:rPr>
            </w:pPr>
            <w:r>
              <w:rPr>
                <w:rFonts w:ascii="Arial" w:cs="Arial" w:eastAsia="Arial" w:hAnsi="Arial"/>
                <w:sz w:val="16"/>
                <w:szCs w:val="16"/>
                <w:b w:val="1"/>
                <w:bCs w:val="1"/>
                <w:color w:val="auto"/>
                <w:w w:val="94"/>
              </w:rPr>
              <w:t>Borrowing</w:t>
            </w:r>
          </w:p>
        </w:tc>
        <w:tc>
          <w:tcPr>
            <w:tcW w:w="0" w:type="dxa"/>
            <w:vAlign w:val="bottom"/>
          </w:tcPr>
          <w:p>
            <w:pPr>
              <w:spacing w:after="0"/>
              <w:rPr>
                <w:sz w:val="1"/>
                <w:szCs w:val="1"/>
                <w:color w:val="auto"/>
              </w:rPr>
            </w:pPr>
          </w:p>
        </w:tc>
      </w:tr>
      <w:tr>
        <w:trPr>
          <w:trHeight w:val="164"/>
        </w:trPr>
        <w:tc>
          <w:tcPr>
            <w:tcW w:w="26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20"/>
              <w:spacing w:after="0" w:line="164" w:lineRule="exact"/>
              <w:rPr>
                <w:sz w:val="20"/>
                <w:szCs w:val="20"/>
                <w:color w:val="auto"/>
              </w:rPr>
            </w:pPr>
            <w:r>
              <w:rPr>
                <w:rFonts w:ascii="Arial" w:cs="Arial" w:eastAsia="Arial" w:hAnsi="Arial"/>
                <w:sz w:val="16"/>
                <w:szCs w:val="16"/>
                <w:b w:val="1"/>
                <w:bCs w:val="1"/>
                <w:color w:val="auto"/>
                <w:w w:val="94"/>
              </w:rPr>
              <w:t>Capacity -</w:t>
            </w:r>
          </w:p>
        </w:tc>
        <w:tc>
          <w:tcPr>
            <w:tcW w:w="200" w:type="dxa"/>
            <w:vAlign w:val="bottom"/>
          </w:tcPr>
          <w:p>
            <w:pPr>
              <w:spacing w:after="0"/>
              <w:rPr>
                <w:sz w:val="14"/>
                <w:szCs w:val="14"/>
                <w:color w:val="auto"/>
              </w:rPr>
            </w:pPr>
          </w:p>
        </w:tc>
        <w:tc>
          <w:tcPr>
            <w:tcW w:w="1240" w:type="dxa"/>
            <w:vAlign w:val="bottom"/>
            <w:gridSpan w:val="2"/>
          </w:tcPr>
          <w:p>
            <w:pPr>
              <w:jc w:val="center"/>
              <w:ind w:right="280"/>
              <w:spacing w:after="0" w:line="164" w:lineRule="exact"/>
              <w:rPr>
                <w:sz w:val="20"/>
                <w:szCs w:val="20"/>
                <w:color w:val="auto"/>
              </w:rPr>
            </w:pPr>
            <w:r>
              <w:rPr>
                <w:rFonts w:ascii="Arial" w:cs="Arial" w:eastAsia="Arial" w:hAnsi="Arial"/>
                <w:sz w:val="16"/>
                <w:szCs w:val="16"/>
                <w:b w:val="1"/>
                <w:bCs w:val="1"/>
                <w:color w:val="auto"/>
                <w:w w:val="94"/>
              </w:rPr>
              <w:t>Capacity -</w:t>
            </w:r>
          </w:p>
        </w:tc>
        <w:tc>
          <w:tcPr>
            <w:tcW w:w="1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4" w:lineRule="exact"/>
              <w:rPr>
                <w:sz w:val="20"/>
                <w:szCs w:val="20"/>
                <w:color w:val="auto"/>
              </w:rPr>
            </w:pPr>
            <w:r>
              <w:rPr>
                <w:rFonts w:ascii="Arial" w:cs="Arial" w:eastAsia="Arial" w:hAnsi="Arial"/>
                <w:sz w:val="16"/>
                <w:szCs w:val="16"/>
                <w:b w:val="1"/>
                <w:bCs w:val="1"/>
                <w:color w:val="auto"/>
                <w:w w:val="94"/>
              </w:rPr>
              <w:t>Capacity -</w:t>
            </w:r>
          </w:p>
        </w:tc>
        <w:tc>
          <w:tcPr>
            <w:tcW w:w="200" w:type="dxa"/>
            <w:vAlign w:val="bottom"/>
          </w:tcPr>
          <w:p>
            <w:pPr>
              <w:spacing w:after="0"/>
              <w:rPr>
                <w:sz w:val="14"/>
                <w:szCs w:val="14"/>
                <w:color w:val="auto"/>
              </w:rPr>
            </w:pPr>
          </w:p>
        </w:tc>
        <w:tc>
          <w:tcPr>
            <w:tcW w:w="1160" w:type="dxa"/>
            <w:vAlign w:val="bottom"/>
          </w:tcPr>
          <w:p>
            <w:pPr>
              <w:jc w:val="center"/>
              <w:ind w:right="118"/>
              <w:spacing w:after="0" w:line="164" w:lineRule="exact"/>
              <w:rPr>
                <w:sz w:val="20"/>
                <w:szCs w:val="20"/>
                <w:color w:val="auto"/>
              </w:rPr>
            </w:pPr>
            <w:r>
              <w:rPr>
                <w:rFonts w:ascii="Arial" w:cs="Arial" w:eastAsia="Arial" w:hAnsi="Arial"/>
                <w:sz w:val="16"/>
                <w:szCs w:val="16"/>
                <w:b w:val="1"/>
                <w:bCs w:val="1"/>
                <w:color w:val="auto"/>
                <w:w w:val="94"/>
              </w:rPr>
              <w:t>Capacity -</w:t>
            </w:r>
          </w:p>
        </w:tc>
        <w:tc>
          <w:tcPr>
            <w:tcW w:w="0" w:type="dxa"/>
            <w:vAlign w:val="bottom"/>
          </w:tcPr>
          <w:p>
            <w:pPr>
              <w:spacing w:after="0"/>
              <w:rPr>
                <w:sz w:val="1"/>
                <w:szCs w:val="1"/>
                <w:color w:val="auto"/>
              </w:rPr>
            </w:pPr>
          </w:p>
        </w:tc>
      </w:tr>
      <w:tr>
        <w:trPr>
          <w:trHeight w:val="218"/>
        </w:trPr>
        <w:tc>
          <w:tcPr>
            <w:tcW w:w="26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7"/>
              <w:spacing w:after="0"/>
              <w:rPr>
                <w:sz w:val="20"/>
                <w:szCs w:val="20"/>
                <w:color w:val="auto"/>
              </w:rPr>
            </w:pPr>
            <w:r>
              <w:rPr>
                <w:rFonts w:ascii="Arial" w:cs="Arial" w:eastAsia="Arial" w:hAnsi="Arial"/>
                <w:sz w:val="16"/>
                <w:szCs w:val="16"/>
                <w:b w:val="1"/>
                <w:bCs w:val="1"/>
                <w:color w:val="auto"/>
                <w:w w:val="99"/>
              </w:rPr>
              <w:t>Capacity (1)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4"/>
              </w:rPr>
              <w:t>Committed (1)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Uncommitted (1)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Capacity (1)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w w:val="94"/>
              </w:rPr>
              <w:t>Committed (1)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5"/>
              </w:rPr>
              <w:t>Uncommitted (1)</w:t>
            </w:r>
          </w:p>
        </w:tc>
        <w:tc>
          <w:tcPr>
            <w:tcW w:w="0" w:type="dxa"/>
            <w:vAlign w:val="bottom"/>
          </w:tcPr>
          <w:p>
            <w:pPr>
              <w:spacing w:after="0"/>
              <w:rPr>
                <w:sz w:val="1"/>
                <w:szCs w:val="1"/>
                <w:color w:val="auto"/>
              </w:rPr>
            </w:pPr>
          </w:p>
        </w:tc>
      </w:tr>
      <w:tr>
        <w:trPr>
          <w:trHeight w:val="214"/>
        </w:trPr>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714.4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297.9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554.4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20"/>
        </w:trPr>
        <w:tc>
          <w:tcPr>
            <w:tcW w:w="2660" w:type="dxa"/>
            <w:vAlign w:val="bottom"/>
          </w:tcPr>
          <w:p>
            <w:pPr>
              <w:ind w:left="20"/>
              <w:spacing w:after="0"/>
              <w:rPr>
                <w:sz w:val="20"/>
                <w:szCs w:val="20"/>
                <w:color w:val="auto"/>
              </w:rPr>
            </w:pPr>
            <w:r>
              <w:rPr>
                <w:rFonts w:ascii="Arial" w:cs="Arial" w:eastAsia="Arial" w:hAnsi="Arial"/>
                <w:sz w:val="17"/>
                <w:szCs w:val="17"/>
                <w:color w:val="auto"/>
              </w:rPr>
              <w:t>Mortgage loan financing facilities</w:t>
            </w:r>
          </w:p>
        </w:tc>
        <w:tc>
          <w:tcPr>
            <w:tcW w:w="180" w:type="dxa"/>
            <w:vAlign w:val="bottom"/>
          </w:tcPr>
          <w:p>
            <w:pPr>
              <w:spacing w:after="0"/>
              <w:rPr>
                <w:sz w:val="19"/>
                <w:szCs w:val="19"/>
                <w:color w:val="auto"/>
              </w:rPr>
            </w:pPr>
          </w:p>
        </w:tc>
        <w:tc>
          <w:tcPr>
            <w:tcW w:w="1160" w:type="dxa"/>
            <w:vAlign w:val="bottom"/>
          </w:tcPr>
          <w:p>
            <w:pPr>
              <w:jc w:val="right"/>
              <w:ind w:right="37"/>
              <w:spacing w:after="0"/>
              <w:rPr>
                <w:sz w:val="20"/>
                <w:szCs w:val="20"/>
                <w:color w:val="auto"/>
              </w:rPr>
            </w:pPr>
            <w:r>
              <w:rPr>
                <w:rFonts w:ascii="Arial" w:cs="Arial" w:eastAsia="Arial" w:hAnsi="Arial"/>
                <w:sz w:val="16"/>
                <w:szCs w:val="16"/>
                <w:color w:val="auto"/>
              </w:rPr>
              <w:t>2,680.9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312.1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58"/>
              <w:spacing w:after="0"/>
              <w:rPr>
                <w:sz w:val="20"/>
                <w:szCs w:val="20"/>
                <w:color w:val="auto"/>
              </w:rPr>
            </w:pPr>
            <w:r>
              <w:rPr>
                <w:rFonts w:ascii="Arial" w:cs="Arial" w:eastAsia="Arial" w:hAnsi="Arial"/>
                <w:sz w:val="16"/>
                <w:szCs w:val="16"/>
                <w:color w:val="auto"/>
              </w:rPr>
              <w:t>1,500.5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6"/>
                <w:szCs w:val="16"/>
                <w:color w:val="auto"/>
              </w:rPr>
              <w:t>2,133.0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332.6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1,097.6</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MSR financing facilities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6"/>
                <w:szCs w:val="16"/>
                <w:color w:val="auto"/>
              </w:rPr>
              <w:t>915.0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59.3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1,025.0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3"/>
        </w:trPr>
        <w:tc>
          <w:tcPr>
            <w:tcW w:w="2660" w:type="dxa"/>
            <w:vAlign w:val="bottom"/>
          </w:tcPr>
          <w:p>
            <w:pPr>
              <w:ind w:left="1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4,310.3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636.1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1,573.3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3,712.4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503.5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1,128.0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left="320" w:right="260" w:hanging="317"/>
        <w:spacing w:after="0" w:line="251"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Total Borrowing Capacity represents the maximum amount which can be borrowed, subject to eligible collateral. Available Borrowing Capacity represents Total Borrowing Capacity less outstanding borrowings.</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At September 30, 2023, none of the available borrowing capacity under our advance financing facilities could be funded based on the amount of eligible collateral that had been pledged to such facilities. Also, none of our uncommitted borrowing capacity was available to fund advances at September 30, 2023 under our Ginnie Mae MSR financing facility based on the amount of eligible collateral. We may utilize committed borrowing capacity under our mortgage loan financing facilities and MSR financing facilities to the extent we have sufficient eligible collateral to borrow against and otherwise satisfy the applicable conditions to funding. At September 30, 2023, we had no committed borrowing capacity under our mortgage loan financing facilities and no committed borrowing capacity under our MSR financing facilities, based on the amount of eligible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7" w:name="page88"/>
    <w:bookmarkEnd w:id="87"/>
    <w:p>
      <w:pPr>
        <w:ind w:right="40"/>
        <w:spacing w:after="0" w:line="283" w:lineRule="auto"/>
        <w:rPr>
          <w:sz w:val="20"/>
          <w:szCs w:val="20"/>
          <w:color w:val="auto"/>
        </w:rPr>
      </w:pPr>
      <w:r>
        <w:rPr>
          <w:rFonts w:ascii="Arial" w:cs="Arial" w:eastAsia="Arial" w:hAnsi="Arial"/>
          <w:sz w:val="17"/>
          <w:szCs w:val="17"/>
          <w:color w:val="auto"/>
        </w:rPr>
        <w:t>collateral. Uncommitted amounts can be advanced at the discretion of the lender, and there can be no assurance that any uncommitted amounts will be available to us at any particular time.</w:t>
      </w:r>
    </w:p>
    <w:p>
      <w:pPr>
        <w:spacing w:after="0" w:line="5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At September 30, 2023, our total liquidity was $194.0 million compared to $219.1 million at December 31, 2022, which comprised an unrestricted cash position of $194.0 million compared to $208.0 million at December 31, 2022. The decrease of our cash position is primarily driven by our $13.9 million corporate debt buy-back (PMC Senior Secured Notes) at the end of September 2023.</w:t>
      </w:r>
    </w:p>
    <w:p>
      <w:pPr>
        <w:spacing w:after="0" w:line="69"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Effective September 30, 2023, we implemented the revised minimum capital and liquidity requirements for GSE and Ginnie Mae seller/servicers. Also refer to Note 18 – Regulatory Requirements.</w:t>
      </w:r>
    </w:p>
    <w:p>
      <w:pPr>
        <w:spacing w:after="0" w:line="5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We typically invest cash in excess of our immediate operating needs in deposit accounts and other liquid assets. We optimize our daily cash position to reduce financing costs while closely monitoring our liquidity needs and ongoing funding requirements. We regularly monitor and project cash flows over various time horizons to anticipate and mitigate liquidity risk. We maintain liquidity buffers to be responsive to the level of risks, including stressed market interest rate conditions and operational risk.</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Funds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primary near-term uses of funds in the normal course include:</w:t>
      </w:r>
    </w:p>
    <w:p>
      <w:pPr>
        <w:spacing w:after="0" w:line="115" w:lineRule="exact"/>
        <w:rPr>
          <w:sz w:val="20"/>
          <w:szCs w:val="20"/>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Payment of operating costs and corporate expenses;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Payments for servicing advances in excess of collections;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Investment in MSRs, other asset acquisitions and MAV Canopy equity contributions;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Originated, purchased and repurchased loans;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Payment of margin calls under our MSR financing facilities and derivative instruments;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Net negative working capital and other general corporate cash outflows.</w:t>
      </w:r>
    </w:p>
    <w:p>
      <w:pPr>
        <w:spacing w:after="0" w:line="102"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have short-term commitments to lend $937.1 million in connection with our forward and reverse mortgage loan IRLCs outstanding at September 30, 2023. In addition, we have originated floating-rate reverse mortgage loans under which the borrowers have additional borrowing capacity of $1.8 billion at September 30, 2023. During the nine months ended September 30, 2023, we funded $198.6 million out of the $1.8 billion borrowing capacity available as of December 31, 2022. As an HMBS issuer, we are required to repurchase loans out of the Ginnie Mae securitization pools once the outstanding principal balance of the loan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w:t>
      </w:r>
    </w:p>
    <w:p>
      <w:pPr>
        <w:spacing w:after="0" w:line="8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Regarding the current maturities of our borrowings, as of September 30, 2023, we have approximately $1.3 billion of debt outstanding that would either come due, begin amortizing or require partial repayment in the next 12 months. This amount is comprised of $868.3 million of borrowings under forward and reverse mortgage loan warehouse facilities, none of notes under advance financing facilities, $431.3 million outstanding under Agency and Ginnie Mae MSR financing facilities maturing in the next 12 months and $14.7 million of scheduled principal amortization on the PLS Notes secured by PLS MSRs.</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servicing advances and certain P&amp;I advances under the Ocwen agreements.</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8" w:name="page89"/>
    <w:bookmarkEnd w:id="88"/>
    <w:p>
      <w:pPr>
        <w:ind w:right="120"/>
        <w:spacing w:after="0" w:line="283" w:lineRule="auto"/>
        <w:rPr>
          <w:sz w:val="20"/>
          <w:szCs w:val="20"/>
          <w:color w:val="auto"/>
        </w:rPr>
      </w:pPr>
      <w:r>
        <w:rPr>
          <w:rFonts w:ascii="Arial" w:cs="Arial" w:eastAsia="Arial" w:hAnsi="Arial"/>
          <w:sz w:val="17"/>
          <w:szCs w:val="17"/>
          <w:color w:val="auto"/>
        </w:rPr>
        <w:t>the clearing counterparties. While the objective of our hedging strategy is to reduce volatility due to interest rates, it is also designed to address cash and liquidity considerations.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Our medium- and long-term requirements for cash include:</w:t>
      </w:r>
    </w:p>
    <w:p>
      <w:pPr>
        <w:spacing w:after="0" w:line="63" w:lineRule="exact"/>
        <w:rPr>
          <w:sz w:val="20"/>
          <w:szCs w:val="20"/>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Payment of interest and principal repayment of our corporate debt that matures in 2026 and 2027;</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payments associated with the confirmation of loss contingencies;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other payments required under contractual obligations discussed above that extend beyond one year.</w:t>
      </w:r>
    </w:p>
    <w:p>
      <w:pPr>
        <w:spacing w:after="0" w:line="102" w:lineRule="exact"/>
        <w:rPr>
          <w:sz w:val="20"/>
          <w:szCs w:val="20"/>
          <w:color w:val="auto"/>
        </w:rPr>
      </w:pPr>
    </w:p>
    <w:p>
      <w:pPr>
        <w:ind w:right="660"/>
        <w:spacing w:after="0" w:line="283" w:lineRule="auto"/>
        <w:rPr>
          <w:sz w:val="20"/>
          <w:szCs w:val="20"/>
          <w:color w:val="auto"/>
        </w:rPr>
      </w:pPr>
      <w:r>
        <w:rPr>
          <w:rFonts w:ascii="Arial" w:cs="Arial" w:eastAsia="Arial" w:hAnsi="Arial"/>
          <w:sz w:val="17"/>
          <w:szCs w:val="17"/>
          <w:color w:val="auto"/>
        </w:rPr>
        <w:t>We are focused on ensuring that we have sufficient liquidity sources to continue to operate and support our business initiatives. We continuously evaluate alternative financings to diversify our sources of funds, optimize maturities and reduce our funding cost.</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Funds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primary sources of funds for near-term liquidity in normal course include:</w:t>
      </w:r>
    </w:p>
    <w:p>
      <w:pPr>
        <w:spacing w:after="0" w:line="115" w:lineRule="exact"/>
        <w:rPr>
          <w:sz w:val="20"/>
          <w:szCs w:val="20"/>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Collections of servicing and subservicing fees and ancillary revenues;</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Collections of advances in excess of new advances;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Proceeds from match funded advance financing facilities;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Proceeds from other borrowings, including warehouse facilities, MSR financing facilities, MSR transfers and ESS financing;</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Proceeds from sales and securitizations of originated loans and purchased loans; and</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Net positive working capital from changes in other assets and liabilities.</w:t>
      </w:r>
    </w:p>
    <w:p>
      <w:pPr>
        <w:spacing w:after="0" w:line="102"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typically have a revolving period of 12 months. Additionally, certain of our financing and subservicing agreements permit us to retain advance collections for a period ranging from one to two business days before remittance, thus providing a source of short-term liquidity.</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use mortgage loan repurchase and participation facilities (commonly called warehouse lines) to fund newly-originated or purchased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 In June 2023, we issued a private placement securitization of reverse mortgage buyouts with an initial principal amount of $264.9 million, expanding our access to capital markets and reducing our reliance on warehouse financing facilities.</w:t>
      </w:r>
    </w:p>
    <w:p>
      <w:pPr>
        <w:spacing w:after="0" w:line="74"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We regularly evaluate financing structure options that we believe will most effectively provide the necessary capacity to support our investment plans, address upcoming debt maturities and accommodate our business needs. We strive to diversify our sources of funds and reduce our reliance on existing asset-backed financing facilities. We continuously evaluate the allocation of our capital to MSR investments, the related returns, funding and liquidity requirements. The relationship with MAV and other MSR capital partners may continue to provide PMC with an additional means to finance MSRs and maintain liquidity while maintaining servicing volume. With the development of MAV and our relationships with other MSR capital partners, additional opportunities to rebalance our servicing and subservicing portfolio mix are available to us and may result in further sales of MSRs while we would perform subservicing for the sold portfolio (i.e., subservicing retained), or further ESS issuances.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Covenants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89" w:name="page90"/>
    <w:bookmarkEnd w:id="89"/>
    <w:p>
      <w:pPr>
        <w:ind w:right="180"/>
        <w:spacing w:after="0" w:line="277" w:lineRule="auto"/>
        <w:rPr>
          <w:sz w:val="20"/>
          <w:szCs w:val="20"/>
          <w:color w:val="auto"/>
        </w:rPr>
      </w:pPr>
      <w:r>
        <w:rPr>
          <w:rFonts w:ascii="Arial" w:cs="Arial" w:eastAsia="Arial" w:hAnsi="Arial"/>
          <w:sz w:val="16"/>
          <w:szCs w:val="16"/>
          <w:color w:val="auto"/>
        </w:rPr>
        <w:t>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to the Unaudited Consolidated Financial Statements for additional information regarding our covenants. The most restrictive liquidity requirement under our debt agreements is for a minimum of $75.0 million in consolidated liquidity, as defined, under certain of our mortgage loan financing and MSR financing facilities agreements. At September 30, 2023, we held unrestricted cash in excess of this minimum amount.</w:t>
      </w:r>
    </w:p>
    <w:p>
      <w:pPr>
        <w:spacing w:after="0" w:line="6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September 30, 2023.</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12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20" w:type="dxa"/>
            <w:vAlign w:val="bottom"/>
            <w:tcBorders>
              <w:bottom w:val="single" w:sz="8" w:color="auto"/>
            </w:tcBorders>
          </w:tcPr>
          <w:p>
            <w:pPr>
              <w:ind w:left="1460"/>
              <w:spacing w:after="0"/>
              <w:rPr>
                <w:sz w:val="20"/>
                <w:szCs w:val="20"/>
                <w:color w:val="auto"/>
              </w:rPr>
            </w:pPr>
            <w:r>
              <w:rPr>
                <w:rFonts w:ascii="Arial" w:cs="Arial" w:eastAsia="Arial" w:hAnsi="Arial"/>
                <w:sz w:val="17"/>
                <w:szCs w:val="17"/>
                <w:b w:val="1"/>
                <w:bCs w:val="1"/>
                <w:color w:val="auto"/>
              </w:rPr>
              <w:t>Rating Agency</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Long-term Corporate Rating</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Review Status / Outlook</w:t>
            </w:r>
          </w:p>
        </w:tc>
        <w:tc>
          <w:tcPr>
            <w:tcW w:w="100" w:type="dxa"/>
            <w:vAlign w:val="bottom"/>
            <w:tcBorders>
              <w:bottom w:val="single" w:sz="8" w:color="CCEEFF"/>
            </w:tcBorders>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Date of last action</w:t>
            </w:r>
          </w:p>
        </w:tc>
      </w:tr>
      <w:tr>
        <w:trPr>
          <w:trHeight w:val="21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Moody’s</w:t>
            </w:r>
          </w:p>
        </w:tc>
        <w:tc>
          <w:tcPr>
            <w:tcW w:w="24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3"/>
              </w:rPr>
              <w:t>Caa1</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Positive</w:t>
            </w:r>
          </w:p>
        </w:tc>
        <w:tc>
          <w:tcPr>
            <w:tcW w:w="2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August 15, 2022</w:t>
            </w:r>
          </w:p>
        </w:tc>
      </w:tr>
      <w:tr>
        <w:trPr>
          <w:trHeight w:val="220"/>
        </w:trPr>
        <w:tc>
          <w:tcPr>
            <w:tcW w:w="4120" w:type="dxa"/>
            <w:vAlign w:val="bottom"/>
            <w:gridSpan w:val="2"/>
          </w:tcPr>
          <w:p>
            <w:pPr>
              <w:ind w:left="20"/>
              <w:spacing w:after="0"/>
              <w:rPr>
                <w:sz w:val="20"/>
                <w:szCs w:val="20"/>
                <w:color w:val="auto"/>
              </w:rPr>
            </w:pPr>
            <w:r>
              <w:rPr>
                <w:rFonts w:ascii="Arial" w:cs="Arial" w:eastAsia="Arial" w:hAnsi="Arial"/>
                <w:sz w:val="17"/>
                <w:szCs w:val="17"/>
                <w:color w:val="auto"/>
              </w:rPr>
              <w:t>S&amp;P</w:t>
            </w:r>
          </w:p>
        </w:tc>
        <w:tc>
          <w:tcPr>
            <w:tcW w:w="2400" w:type="dxa"/>
            <w:vAlign w:val="bottom"/>
            <w:gridSpan w:val="2"/>
          </w:tcPr>
          <w:p>
            <w:pPr>
              <w:jc w:val="center"/>
              <w:ind w:right="100"/>
              <w:spacing w:after="0"/>
              <w:rPr>
                <w:sz w:val="20"/>
                <w:szCs w:val="20"/>
                <w:color w:val="auto"/>
              </w:rPr>
            </w:pPr>
            <w:r>
              <w:rPr>
                <w:rFonts w:ascii="Arial" w:cs="Arial" w:eastAsia="Arial" w:hAnsi="Arial"/>
                <w:sz w:val="17"/>
                <w:szCs w:val="17"/>
                <w:color w:val="auto"/>
              </w:rPr>
              <w:t>B-</w:t>
            </w:r>
          </w:p>
        </w:tc>
        <w:tc>
          <w:tcPr>
            <w:tcW w:w="23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Stable</w:t>
            </w:r>
          </w:p>
        </w:tc>
        <w:tc>
          <w:tcPr>
            <w:tcW w:w="2300" w:type="dxa"/>
            <w:vAlign w:val="bottom"/>
          </w:tcPr>
          <w:p>
            <w:pPr>
              <w:jc w:val="center"/>
              <w:spacing w:after="0"/>
              <w:rPr>
                <w:sz w:val="20"/>
                <w:szCs w:val="20"/>
                <w:color w:val="auto"/>
              </w:rPr>
            </w:pPr>
            <w:r>
              <w:rPr>
                <w:rFonts w:ascii="Arial" w:cs="Arial" w:eastAsia="Arial" w:hAnsi="Arial"/>
                <w:sz w:val="17"/>
                <w:szCs w:val="17"/>
                <w:color w:val="auto"/>
                <w:w w:val="89"/>
              </w:rPr>
              <w:t>January 24, 2023</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On January 24, 2023, S&amp;P affirmed the long-term corporate rating of Ocwen at “B-” and affirmed the “B” rating of the PMC Senior Secured Notes.</w:t>
      </w:r>
    </w:p>
    <w:p>
      <w:pPr>
        <w:spacing w:after="0" w:line="115"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It is possible that additional actions by credit rating agencies could have a material adverse impact on our liquidity and funding position, including materially changing the terms on which we may be able to borrow money.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We classify changes in HECM loans held for investment as investing activity and changes in the related HMBS borrowings as financing activity.</w:t>
      </w:r>
    </w:p>
    <w:p>
      <w:pPr>
        <w:spacing w:after="0" w:line="73"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Our Rithm agreements represent an important component of our liquidity management, and have a significant impact on our consolidated statements of cash flows. Because the payments we received in connection with our agreements with Rithm were recorded as secured financings, additions to, and reductions in, the balance of those secured financings were presented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20"/>
                <w:szCs w:val="20"/>
                <w:color w:val="auto"/>
              </w:rPr>
            </w:pPr>
            <w:r>
              <w:rPr>
                <w:rFonts w:ascii="Arial" w:cs="Arial" w:eastAsia="Arial" w:hAnsi="Arial"/>
                <w:sz w:val="17"/>
                <w:szCs w:val="17"/>
                <w:color w:val="auto"/>
              </w:rPr>
              <w:t>Our cash flows are summarized as follows: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49"/>
        </w:trPr>
        <w:tc>
          <w:tcPr>
            <w:tcW w:w="8100" w:type="dxa"/>
            <w:vAlign w:val="bottom"/>
          </w:tcPr>
          <w:p>
            <w:pPr>
              <w:ind w:left="120"/>
              <w:spacing w:after="0"/>
              <w:rPr>
                <w:sz w:val="20"/>
                <w:szCs w:val="20"/>
                <w:color w:val="auto"/>
              </w:rPr>
            </w:pPr>
            <w:r>
              <w:rPr>
                <w:rFonts w:ascii="Arial" w:cs="Arial" w:eastAsia="Arial" w:hAnsi="Arial"/>
                <w:sz w:val="17"/>
                <w:szCs w:val="17"/>
                <w:b w:val="1"/>
                <w:bCs w:val="1"/>
                <w:i w:val="1"/>
                <w:iCs w:val="1"/>
                <w:color w:val="auto"/>
              </w:rPr>
              <w:t>$ in millions</w:t>
            </w: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b w:val="1"/>
                <w:bCs w:val="1"/>
                <w:color w:val="auto"/>
                <w:w w:val="95"/>
              </w:rPr>
              <w:t>Nine Months Ended September 30,</w:t>
            </w:r>
          </w:p>
        </w:tc>
      </w:tr>
      <w:tr>
        <w:trPr>
          <w:trHeight w:val="213"/>
        </w:trPr>
        <w:tc>
          <w:tcPr>
            <w:tcW w:w="8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13"/>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271</w:t>
            </w:r>
          </w:p>
        </w:tc>
      </w:tr>
      <w:tr>
        <w:trPr>
          <w:trHeight w:val="220"/>
        </w:trPr>
        <w:tc>
          <w:tcPr>
            <w:tcW w:w="810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(221)</w:t>
            </w:r>
          </w:p>
        </w:tc>
      </w:tr>
      <w:tr>
        <w:trPr>
          <w:trHeight w:val="22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(42)</w:t>
            </w:r>
          </w:p>
        </w:tc>
      </w:tr>
      <w:tr>
        <w:trPr>
          <w:trHeight w:val="213"/>
        </w:trPr>
        <w:tc>
          <w:tcPr>
            <w:tcW w:w="810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266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272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nine months ended September 30, 2023</w:t>
      </w:r>
    </w:p>
    <w:p>
      <w:pPr>
        <w:spacing w:after="0" w:line="115"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Our operating activities used $271.4 million of cash primarily due to net cash paid on loans held for sale of $488.7 million as loan production volume exceeded sales. Offsetting operating cash inflows include net collections of servicing advances of $147.7 million.</w:t>
      </w:r>
    </w:p>
    <w:p>
      <w:pPr>
        <w:spacing w:after="0" w:line="5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Our investing activities used $43.6 million of cash. The primary use of cash in our investing activities was $89.6 million to purchase MSRs. Offsetting cash inflows include $36.3 million net cash inflows in connection with our HECM reverse mortgages, $2.7 million of capital distributions, net of contributions, from our equity method investee MAV Canopy and $6.1 million proceeds from the sale of advances.</w:t>
      </w:r>
    </w:p>
    <w:p>
      <w:pPr>
        <w:spacing w:after="0" w:line="69"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Our financing activities provided $306.7 million of cash. Financing cash inflows are primarily comprised of $332.9 million net from borrowings under our mortgage loan financing facilities, including the OLIT securitization, due to the increase in loans held for sale, $173.1 million of proceeds from the sale of MSRs accounted for as a financing in connection with sales of MSRs. and $68.7 million of proceeds from excess servicing spread (ESS) financing. Offsetting cash outflows include $110.6 million of net repayments on advance match funded liabilities due to the decline in servicing advances, $51.0 million of net repayments on MSR financing facilities, and $70.3 million of net payments on the financing liabilities related to MSRs transferred and ESS financings due to runoff. We also paid $12.5 million to repurchase $13.9 million of our 7.875% PMC Senior Secured Notes. Cash inflows of $783.7 million received in connection with our reverse mortgage securitizations, which are accounted for as secured financings, were more than offset by repayments on the related financing liability of $802.4 million.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for the nine months ended September 30, 2022</w:t>
      </w:r>
    </w:p>
    <w:p>
      <w:pPr>
        <w:spacing w:after="0" w:line="115"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Our operating activities provided $270.6 million of cash including net collections of servicing advances of $101.8 million, mostly T&amp;I advances, and net cash received on loans held for sale of $38.2 million due to higher forward loan production volumes. In addition, we received earnings distributions of $19.3 million from MAV Canopy.</w:t>
      </w:r>
    </w:p>
    <w:p>
      <w:pPr>
        <w:spacing w:after="0" w:line="69"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Our investing activities used $220.6 million of cash. The primary uses of cash in our investing activities include $174.9 million to purchase MSRs, $171.4 million net cash outflows in connection with our HECM reverse mortgages, $6.9 million acquisition of reverse subservicing agreement and $15.5 million of capital contributions, net of distributions, to MAV Canopy. Offsetting cash inflows include $149.1 million proceeds from the sale of MSRs to an unrelated third party.</w:t>
      </w:r>
    </w:p>
    <w:p>
      <w:pPr>
        <w:spacing w:after="0" w:line="34"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Our financing activities used $41.6 million of cash. Cash outflows include $143.5 million net repayments of borrowings under our mortgage loan financing facilities and MSR financing facilities due to the decline in loans held for sale, $54.8 million of net repayments on advance match funded liabilities due to the decline in servicing advances, and $80.6 million of net payments on the financing liabilities related to MSRs transferred due to runoff. We also paid $23.6 million to repurchase $25.0 million of our 7.875% PMC Senior Secured Notes and $38.8 million to repurchase 1,338,498 shares of our common stock. Cash inflows include $1.5 billion received in connection with our reverse mortgage securitizations, which are accounted for as secured financings, partially offset by repayments on the related financing liability of $1.3 billion, $78.7 million of proceeds from the sale of MSRs accounted for as a financing in connection with sales of MSRs to MAV, and $36.2 million of proceeds from the ESS financing.</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auto"/>
        </w:rPr>
        <w:t>assumptions, and management is required to review critical accounting policies and estimates with the Audit Committee of the Board of Directors.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Our accounting policies and estimates involving significant judgments primarily relate to fair value measurements, income taxes, allowance for losses, and loss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liabilities, Loans held for sale, Loans held for investment-Reverse mortgages, and HMBS-related borrowings. As of September 30, 2023, 89% of our assets and 72% of our liabilities were reported at fair value, with fair value changes reported in our statement of operations. Substantially all our assets and liabilities at fair value were classified as Level 3 instruments due to unobservable inputs.</w:t>
      </w:r>
    </w:p>
    <w:p>
      <w:pPr>
        <w:spacing w:after="0" w:line="78" w:lineRule="exact"/>
        <w:rPr>
          <w:sz w:val="20"/>
          <w:szCs w:val="20"/>
          <w:color w:val="auto"/>
        </w:rPr>
      </w:pPr>
    </w:p>
    <w:p>
      <w:pPr>
        <w:jc w:val="both"/>
        <w:ind w:right="140"/>
        <w:spacing w:after="0" w:line="268" w:lineRule="auto"/>
        <w:rPr>
          <w:sz w:val="20"/>
          <w:szCs w:val="20"/>
          <w:color w:val="auto"/>
        </w:rPr>
      </w:pPr>
      <w:r>
        <w:rPr>
          <w:rFonts w:ascii="Arial" w:cs="Arial" w:eastAsia="Arial" w:hAnsi="Arial"/>
          <w:sz w:val="17"/>
          <w:szCs w:val="17"/>
          <w:color w:val="auto"/>
        </w:rPr>
        <w:t>Our significant accounting policies and critical accounting estimates are disclosed in our Annual Report on Form 10-K for the year ended December 31, 2022 in Note 1 to the Consolidated Financial Statements and in Management’s Discussion and Analysis of Financial Condition and Results of Operations under “Critical Accounting Policies and Estimates.”</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712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307"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See Note 1 - Organization and Basis of Presentation to the Unaudited Consolidated Financial Statements for information related to recent accounting standards updates.</w:t>
      </w:r>
    </w:p>
    <w:p>
      <w:pPr>
        <w:spacing w:after="0" w:line="102" w:lineRule="exact"/>
        <w:rPr>
          <w:sz w:val="20"/>
          <w:szCs w:val="20"/>
          <w:color w:val="auto"/>
        </w:rPr>
      </w:pPr>
    </w:p>
    <w:p>
      <w:pPr>
        <w:ind w:right="740"/>
        <w:spacing w:after="0" w:line="384" w:lineRule="auto"/>
        <w:rPr>
          <w:sz w:val="20"/>
          <w:szCs w:val="20"/>
          <w:color w:val="auto"/>
        </w:rPr>
      </w:pPr>
      <w:r>
        <w:rPr>
          <w:rFonts w:ascii="Arial" w:cs="Arial" w:eastAsia="Arial" w:hAnsi="Arial"/>
          <w:sz w:val="17"/>
          <w:szCs w:val="17"/>
          <w:b w:val="1"/>
          <w:bCs w:val="1"/>
          <w:color w:val="auto"/>
        </w:rPr>
        <w:t>ITEM 3. QUANTITATIVE AND QUALITATIVE DISCLOSURES ABOUT MARKET RISK (Dollars in millions unless otherwise indicated) Interest Rates</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spacing w:after="0" w:line="73"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color w:val="auto"/>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the counterparties with whom we are permitted to enter into hedging transactions and our liquidity risk profile. See Note 14 – Derivative Financial Instruments and Hedging Activities to the Unaudited Consolidated Financial Statements for additional information regarding our use of derivatives.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MSR Hedging Strategy</w:t>
      </w:r>
    </w:p>
    <w:p>
      <w:pPr>
        <w:spacing w:after="0" w:line="121"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MSRs are carried at fair value with changes in fair value being recorded in earnings in the period in which the changes occur. The fair value of MSRs is subject to changes in market interest rates, among other inputs and assumptions.</w:t>
      </w:r>
    </w:p>
    <w:p>
      <w:pPr>
        <w:spacing w:after="0" w:line="56" w:lineRule="exact"/>
        <w:rPr>
          <w:sz w:val="20"/>
          <w:szCs w:val="20"/>
          <w:color w:val="auto"/>
        </w:rPr>
      </w:pPr>
    </w:p>
    <w:p>
      <w:pPr>
        <w:ind w:right="820"/>
        <w:spacing w:after="0" w:line="283" w:lineRule="auto"/>
        <w:rPr>
          <w:sz w:val="20"/>
          <w:szCs w:val="20"/>
          <w:color w:val="auto"/>
        </w:rPr>
      </w:pPr>
      <w:r>
        <w:rPr>
          <w:rFonts w:ascii="Arial" w:cs="Arial" w:eastAsia="Arial" w:hAnsi="Arial"/>
          <w:sz w:val="17"/>
          <w:szCs w:val="17"/>
          <w:color w:val="auto"/>
        </w:rPr>
        <w:t>The objective of our risk management MSR hedge policy is to protect against the fair value volatility of interest-rate sensitive MSR portfolio exposure, considering market and liquidity conditions. The interest-rate sensitive MSR portfolio exposure is defined as follows:</w:t>
      </w:r>
    </w:p>
    <w:p>
      <w:pPr>
        <w:spacing w:after="0" w:line="56" w:lineRule="exact"/>
        <w:rPr>
          <w:sz w:val="20"/>
          <w:szCs w:val="20"/>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Agency MSR portfolio,</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expected Agency MSR bulk transactions subject to letters of intent (LOI),</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60"/>
        </w:numPr>
        <w:rPr>
          <w:rFonts w:ascii="Arial" w:cs="Arial" w:eastAsia="Arial" w:hAnsi="Arial"/>
          <w:sz w:val="16"/>
          <w:szCs w:val="16"/>
          <w:b w:val="1"/>
          <w:bCs w:val="1"/>
          <w:i w:val="1"/>
          <w:iCs w:val="1"/>
          <w:color w:val="auto"/>
        </w:rPr>
      </w:pPr>
      <w:r>
        <w:rPr>
          <w:rFonts w:ascii="Arial" w:cs="Arial" w:eastAsia="Arial" w:hAnsi="Arial"/>
          <w:sz w:val="17"/>
          <w:szCs w:val="17"/>
          <w:color w:val="auto"/>
        </w:rPr>
        <w:t>less the Agency MSRs subject to our sale agreements with Rithm, MAV and others (See Note 8 — Other Financing Liabilities, at Fair Value),</w:t>
      </w:r>
    </w:p>
    <w:p>
      <w:pPr>
        <w:spacing w:after="0" w:line="11" w:lineRule="exact"/>
        <w:rPr>
          <w:rFonts w:ascii="Arial" w:cs="Arial" w:eastAsia="Arial" w:hAnsi="Arial"/>
          <w:sz w:val="16"/>
          <w:szCs w:val="16"/>
          <w:b w:val="1"/>
          <w:bCs w:val="1"/>
          <w:i w:val="1"/>
          <w:iCs w:val="1"/>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less the asset value for securitized HECM loans, net of the corresponding HMBS-related borrowings (internally referred to as Reverse MSR).</w:t>
      </w:r>
    </w:p>
    <w:p>
      <w:pPr>
        <w:spacing w:after="0" w:line="102"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The hedge coverage ratio, defined as the ratio of hedge and asset rate sensitivity (referred to as DV01) at the time of measurement, is subject to lower and upper thresholds, as modeled. Our MSR hedge policy establishes a minimum 25% and 30% hedge coverage ratio required for interest rate declines less than, and more</w:t>
      </w:r>
    </w:p>
    <w:p>
      <w:pPr>
        <w:spacing w:after="0" w:line="1"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than 50 basis points, respectively. Prior to September 30, 2022, the hedge coverage ratio was required to remain within a minimum of 40% and maximum of 60%.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2" w:name="page93"/>
    <w:bookmarkEnd w:id="92"/>
    <w:p>
      <w:pPr>
        <w:ind w:right="180"/>
        <w:spacing w:after="0" w:line="261" w:lineRule="auto"/>
        <w:rPr>
          <w:sz w:val="20"/>
          <w:szCs w:val="20"/>
          <w:color w:val="auto"/>
        </w:rPr>
      </w:pPr>
      <w:r>
        <w:rPr>
          <w:rFonts w:ascii="Arial" w:cs="Arial" w:eastAsia="Arial" w:hAnsi="Arial"/>
          <w:sz w:val="17"/>
          <w:szCs w:val="17"/>
          <w:color w:val="auto"/>
        </w:rPr>
        <w:t>the Market Risk Committee, in order to preserve liquidity and/or optimize asset returns. During the second quarter of 2023, management raised its minimum hedge coverage ratio to 60%.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and efficiency of our interest rate hedging strategy.</w:t>
      </w:r>
    </w:p>
    <w:p>
      <w:pPr>
        <w:spacing w:after="0" w:line="7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following table illustrates the interest rate sensitivity of our MSR portfolio exposure and associated hedges at September 30, 2023.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and other factors may apply, such as change in yield or other assumptions. The amounts based on market risk sensitive measures are hypothetical and presented for illustrative purposes only.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vMerge w:val="restart"/>
          </w:tcPr>
          <w:p>
            <w:pPr>
              <w:jc w:val="right"/>
              <w:ind w:right="474"/>
              <w:spacing w:after="0"/>
              <w:rPr>
                <w:sz w:val="20"/>
                <w:szCs w:val="20"/>
                <w:color w:val="auto"/>
              </w:rPr>
            </w:pPr>
            <w:r>
              <w:rPr>
                <w:rFonts w:ascii="Arial" w:cs="Arial" w:eastAsia="Arial" w:hAnsi="Arial"/>
                <w:sz w:val="17"/>
                <w:szCs w:val="17"/>
                <w:b w:val="1"/>
                <w:bCs w:val="1"/>
                <w:color w:val="auto"/>
              </w:rPr>
              <w:t>Fair value at</w:t>
            </w:r>
          </w:p>
        </w:tc>
        <w:tc>
          <w:tcPr>
            <w:tcW w:w="140" w:type="dxa"/>
            <w:vAlign w:val="bottom"/>
          </w:tcPr>
          <w:p>
            <w:pPr>
              <w:spacing w:after="0"/>
              <w:rPr>
                <w:sz w:val="16"/>
                <w:szCs w:val="16"/>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Hypothetical change in</w:t>
            </w:r>
          </w:p>
        </w:tc>
        <w:tc>
          <w:tcPr>
            <w:tcW w:w="120" w:type="dxa"/>
            <w:vAlign w:val="bottom"/>
          </w:tcPr>
          <w:p>
            <w:pPr>
              <w:spacing w:after="0"/>
              <w:rPr>
                <w:sz w:val="16"/>
                <w:szCs w:val="16"/>
                <w:color w:val="auto"/>
              </w:rPr>
            </w:pPr>
          </w:p>
        </w:tc>
        <w:tc>
          <w:tcPr>
            <w:tcW w:w="1880" w:type="dxa"/>
            <w:vAlign w:val="bottom"/>
          </w:tcPr>
          <w:p>
            <w:pPr>
              <w:jc w:val="center"/>
              <w:ind w:right="14"/>
              <w:spacing w:after="0"/>
              <w:rPr>
                <w:sz w:val="20"/>
                <w:szCs w:val="20"/>
                <w:color w:val="auto"/>
              </w:rPr>
            </w:pPr>
            <w:r>
              <w:rPr>
                <w:rFonts w:ascii="Arial" w:cs="Arial" w:eastAsia="Arial" w:hAnsi="Arial"/>
                <w:sz w:val="17"/>
                <w:szCs w:val="17"/>
                <w:b w:val="1"/>
                <w:bCs w:val="1"/>
                <w:color w:val="auto"/>
                <w:w w:val="91"/>
              </w:rPr>
              <w:t>Hypothetical change in</w:t>
            </w:r>
          </w:p>
        </w:tc>
        <w:tc>
          <w:tcPr>
            <w:tcW w:w="0" w:type="dxa"/>
            <w:vAlign w:val="bottom"/>
          </w:tcPr>
          <w:p>
            <w:pPr>
              <w:spacing w:after="0"/>
              <w:rPr>
                <w:sz w:val="1"/>
                <w:szCs w:val="1"/>
                <w:color w:val="auto"/>
              </w:rPr>
            </w:pPr>
          </w:p>
        </w:tc>
      </w:tr>
      <w:tr>
        <w:trPr>
          <w:trHeight w:val="168"/>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center"/>
              <w:ind w:right="220"/>
              <w:spacing w:after="0" w:line="168" w:lineRule="exact"/>
              <w:rPr>
                <w:sz w:val="20"/>
                <w:szCs w:val="20"/>
                <w:color w:val="auto"/>
              </w:rPr>
            </w:pPr>
            <w:r>
              <w:rPr>
                <w:rFonts w:ascii="Arial" w:cs="Arial" w:eastAsia="Arial" w:hAnsi="Arial"/>
                <w:sz w:val="17"/>
                <w:szCs w:val="17"/>
                <w:b w:val="1"/>
                <w:bCs w:val="1"/>
                <w:color w:val="auto"/>
                <w:w w:val="89"/>
              </w:rPr>
              <w:t>fair value due to 25 bps</w:t>
            </w:r>
          </w:p>
        </w:tc>
        <w:tc>
          <w:tcPr>
            <w:tcW w:w="120" w:type="dxa"/>
            <w:vAlign w:val="bottom"/>
          </w:tcPr>
          <w:p>
            <w:pPr>
              <w:spacing w:after="0"/>
              <w:rPr>
                <w:sz w:val="14"/>
                <w:szCs w:val="14"/>
                <w:color w:val="auto"/>
              </w:rPr>
            </w:pPr>
          </w:p>
        </w:tc>
        <w:tc>
          <w:tcPr>
            <w:tcW w:w="1880" w:type="dxa"/>
            <w:vAlign w:val="bottom"/>
          </w:tcPr>
          <w:p>
            <w:pPr>
              <w:jc w:val="center"/>
              <w:ind w:right="34"/>
              <w:spacing w:after="0" w:line="168" w:lineRule="exact"/>
              <w:rPr>
                <w:sz w:val="20"/>
                <w:szCs w:val="20"/>
                <w:color w:val="auto"/>
              </w:rPr>
            </w:pPr>
            <w:r>
              <w:rPr>
                <w:rFonts w:ascii="Arial" w:cs="Arial" w:eastAsia="Arial" w:hAnsi="Arial"/>
                <w:sz w:val="17"/>
                <w:szCs w:val="17"/>
                <w:b w:val="1"/>
                <w:bCs w:val="1"/>
                <w:color w:val="auto"/>
                <w:w w:val="90"/>
              </w:rPr>
              <w:t>fair value due to 25 bps</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ind w:right="234"/>
              <w:spacing w:after="0"/>
              <w:rPr>
                <w:sz w:val="20"/>
                <w:szCs w:val="20"/>
                <w:color w:val="auto"/>
              </w:rPr>
            </w:pPr>
            <w:r>
              <w:rPr>
                <w:rFonts w:ascii="Arial" w:cs="Arial" w:eastAsia="Arial" w:hAnsi="Arial"/>
                <w:sz w:val="17"/>
                <w:szCs w:val="17"/>
                <w:b w:val="1"/>
                <w:bCs w:val="1"/>
                <w:color w:val="auto"/>
                <w:w w:val="91"/>
              </w:rPr>
              <w:t>September 30, 2023</w:t>
            </w:r>
          </w:p>
        </w:tc>
        <w:tc>
          <w:tcPr>
            <w:tcW w:w="14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rate decrease (1)</w:t>
            </w:r>
          </w:p>
        </w:tc>
        <w:tc>
          <w:tcPr>
            <w:tcW w:w="120" w:type="dxa"/>
            <w:vAlign w:val="bottom"/>
          </w:tcPr>
          <w:p>
            <w:pPr>
              <w:spacing w:after="0"/>
              <w:rPr>
                <w:sz w:val="19"/>
                <w:szCs w:val="19"/>
                <w:color w:val="auto"/>
              </w:rPr>
            </w:pPr>
          </w:p>
        </w:tc>
        <w:tc>
          <w:tcPr>
            <w:tcW w:w="1880" w:type="dxa"/>
            <w:vAlign w:val="bottom"/>
          </w:tcPr>
          <w:p>
            <w:pPr>
              <w:jc w:val="center"/>
              <w:ind w:right="14"/>
              <w:spacing w:after="0"/>
              <w:rPr>
                <w:sz w:val="20"/>
                <w:szCs w:val="20"/>
                <w:color w:val="auto"/>
              </w:rPr>
            </w:pPr>
            <w:r>
              <w:rPr>
                <w:rFonts w:ascii="Arial" w:cs="Arial" w:eastAsia="Arial" w:hAnsi="Arial"/>
                <w:sz w:val="17"/>
                <w:szCs w:val="17"/>
                <w:b w:val="1"/>
                <w:bCs w:val="1"/>
                <w:color w:val="auto"/>
                <w:w w:val="90"/>
              </w:rPr>
              <w:t>rate increase (1)</w:t>
            </w: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Agency MSRs - interest rate sensitive (excluding MAV, Rithm and others) $</w:t>
            </w:r>
          </w:p>
        </w:tc>
        <w:tc>
          <w:tcPr>
            <w:tcW w:w="18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1,591.9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(45.8)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43.9</w:t>
            </w:r>
          </w:p>
        </w:tc>
        <w:tc>
          <w:tcPr>
            <w:tcW w:w="0" w:type="dxa"/>
            <w:vAlign w:val="bottom"/>
          </w:tcPr>
          <w:p>
            <w:pPr>
              <w:spacing w:after="0"/>
              <w:rPr>
                <w:sz w:val="1"/>
                <w:szCs w:val="1"/>
                <w:color w:val="auto"/>
              </w:rPr>
            </w:pPr>
          </w:p>
        </w:tc>
      </w:tr>
      <w:tr>
        <w:trPr>
          <w:trHeight w:val="148"/>
        </w:trPr>
        <w:tc>
          <w:tcPr>
            <w:tcW w:w="5120" w:type="dxa"/>
            <w:vAlign w:val="bottom"/>
          </w:tcPr>
          <w:p>
            <w:pPr>
              <w:ind w:left="20"/>
              <w:spacing w:after="0" w:line="149" w:lineRule="exact"/>
              <w:rPr>
                <w:sz w:val="20"/>
                <w:szCs w:val="20"/>
                <w:color w:val="auto"/>
              </w:rPr>
            </w:pPr>
            <w:r>
              <w:rPr>
                <w:rFonts w:ascii="Arial" w:cs="Arial" w:eastAsia="Arial" w:hAnsi="Arial"/>
                <w:sz w:val="17"/>
                <w:szCs w:val="17"/>
                <w:color w:val="auto"/>
                <w:w w:val="94"/>
              </w:rPr>
              <w:t>Asset value of securitized HECM loans, net of HMBS-related borrowing</w:t>
            </w:r>
          </w:p>
        </w:tc>
        <w:tc>
          <w:tcPr>
            <w:tcW w:w="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5120" w:type="dxa"/>
            <w:vAlign w:val="bottom"/>
          </w:tcPr>
          <w:p>
            <w:pPr>
              <w:ind w:left="180"/>
              <w:spacing w:after="0"/>
              <w:rPr>
                <w:sz w:val="20"/>
                <w:szCs w:val="20"/>
                <w:color w:val="auto"/>
              </w:rPr>
            </w:pPr>
            <w:r>
              <w:rPr>
                <w:rFonts w:ascii="Arial" w:cs="Arial" w:eastAsia="Arial" w:hAnsi="Arial"/>
                <w:sz w:val="17"/>
                <w:szCs w:val="17"/>
                <w:color w:val="auto"/>
              </w:rPr>
              <w:t>(Reverse MSR)</w:t>
            </w:r>
          </w:p>
        </w:tc>
        <w:tc>
          <w:tcPr>
            <w:tcW w:w="220" w:type="dxa"/>
            <w:vAlign w:val="bottom"/>
          </w:tcPr>
          <w:p>
            <w:pPr>
              <w:spacing w:after="0"/>
              <w:rPr>
                <w:sz w:val="20"/>
                <w:szCs w:val="20"/>
                <w:color w:val="auto"/>
              </w:rPr>
            </w:pPr>
          </w:p>
        </w:tc>
        <w:tc>
          <w:tcPr>
            <w:tcW w:w="1800" w:type="dxa"/>
            <w:vAlign w:val="bottom"/>
          </w:tcPr>
          <w:p>
            <w:pPr>
              <w:jc w:val="right"/>
              <w:ind w:right="234"/>
              <w:spacing w:after="0"/>
              <w:rPr>
                <w:sz w:val="20"/>
                <w:szCs w:val="20"/>
                <w:color w:val="auto"/>
              </w:rPr>
            </w:pPr>
            <w:r>
              <w:rPr>
                <w:rFonts w:ascii="Arial" w:cs="Arial" w:eastAsia="Arial" w:hAnsi="Arial"/>
                <w:sz w:val="17"/>
                <w:szCs w:val="17"/>
                <w:color w:val="auto"/>
              </w:rPr>
              <w:t>57.5</w:t>
            </w:r>
          </w:p>
        </w:tc>
        <w:tc>
          <w:tcPr>
            <w:tcW w:w="140" w:type="dxa"/>
            <w:vAlign w:val="bottom"/>
          </w:tcPr>
          <w:p>
            <w:pPr>
              <w:spacing w:after="0"/>
              <w:rPr>
                <w:sz w:val="20"/>
                <w:szCs w:val="20"/>
                <w:color w:val="auto"/>
              </w:rPr>
            </w:pPr>
          </w:p>
        </w:tc>
        <w:tc>
          <w:tcPr>
            <w:tcW w:w="1880" w:type="dxa"/>
            <w:vAlign w:val="bottom"/>
          </w:tcPr>
          <w:p>
            <w:pPr>
              <w:jc w:val="right"/>
              <w:ind w:right="134"/>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right"/>
              <w:ind w:right="74"/>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MSR hedging derivative instruments</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(21.3)</w:t>
            </w:r>
          </w:p>
        </w:tc>
        <w:tc>
          <w:tcPr>
            <w:tcW w:w="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7"/>
                <w:szCs w:val="17"/>
                <w:color w:val="auto"/>
              </w:rPr>
              <w:t>Total hedge position</w:t>
            </w: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ind w:right="134"/>
              <w:spacing w:after="0"/>
              <w:rPr>
                <w:sz w:val="20"/>
                <w:szCs w:val="20"/>
                <w:color w:val="auto"/>
              </w:rPr>
            </w:pPr>
            <w:r>
              <w:rPr>
                <w:rFonts w:ascii="Arial" w:cs="Arial" w:eastAsia="Arial" w:hAnsi="Arial"/>
                <w:sz w:val="17"/>
                <w:szCs w:val="17"/>
                <w:color w:val="auto"/>
              </w:rPr>
              <w:t>29.0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Pr>
          <w:p>
            <w:pPr>
              <w:jc w:val="right"/>
              <w:ind w:right="74"/>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Hypothetical hedge coverage ratio (2)</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0" w:type="dxa"/>
            <w:vAlign w:val="bottom"/>
          </w:tcPr>
          <w:p>
            <w:pPr>
              <w:spacing w:after="0"/>
              <w:rPr>
                <w:sz w:val="1"/>
                <w:szCs w:val="1"/>
                <w:color w:val="auto"/>
              </w:rPr>
            </w:pPr>
          </w:p>
        </w:tc>
      </w:tr>
      <w:tr>
        <w:trPr>
          <w:trHeight w:val="155"/>
        </w:trPr>
        <w:tc>
          <w:tcPr>
            <w:tcW w:w="51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8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Hypothetical residual exposure to changes in interest rates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(16.9)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320" w:hanging="317"/>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baseline for the hypothetical change in fair value is based on a 10-year swap rate of 4.55% at September 30, 2023.</w:t>
      </w:r>
    </w:p>
    <w:p>
      <w:pPr>
        <w:spacing w:after="0" w:line="12" w:lineRule="exact"/>
        <w:rPr>
          <w:rFonts w:ascii="Arial" w:cs="Arial" w:eastAsia="Arial" w:hAnsi="Arial"/>
          <w:sz w:val="16"/>
          <w:szCs w:val="16"/>
          <w:color w:val="auto"/>
        </w:rPr>
      </w:pPr>
    </w:p>
    <w:p>
      <w:pPr>
        <w:ind w:left="320" w:hanging="317"/>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hypothetical hedge coverage ratio above is calculated as the change in fair value of the total hedge position divided by the change in value of the Agency MSR position.</w:t>
      </w:r>
    </w:p>
    <w:p>
      <w:pPr>
        <w:spacing w:after="0" w:line="117"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The above hypothetical hedge coverage ratio reflects the instrument sensitivities as of September 30, 2023. The actual hedge coverage ratio during the three months ended September 30, 2023, as monitored by Risk Management, may be summarized as follows: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180" w:type="dxa"/>
            <w:vAlign w:val="bottom"/>
          </w:tcPr>
          <w:p>
            <w:pPr>
              <w:spacing w:after="0"/>
              <w:rPr>
                <w:sz w:val="16"/>
                <w:szCs w:val="16"/>
                <w:color w:val="auto"/>
              </w:rPr>
            </w:pPr>
          </w:p>
        </w:tc>
        <w:tc>
          <w:tcPr>
            <w:tcW w:w="2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Fair value changes during</w:t>
            </w:r>
          </w:p>
        </w:tc>
      </w:tr>
      <w:tr>
        <w:trPr>
          <w:trHeight w:val="175"/>
        </w:trPr>
        <w:tc>
          <w:tcPr>
            <w:tcW w:w="9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jc w:val="center"/>
              <w:ind w:right="54"/>
              <w:spacing w:after="0" w:line="176" w:lineRule="exact"/>
              <w:rPr>
                <w:sz w:val="20"/>
                <w:szCs w:val="20"/>
                <w:color w:val="auto"/>
              </w:rPr>
            </w:pPr>
            <w:r>
              <w:rPr>
                <w:rFonts w:ascii="Arial" w:cs="Arial" w:eastAsia="Arial" w:hAnsi="Arial"/>
                <w:sz w:val="17"/>
                <w:szCs w:val="17"/>
                <w:b w:val="1"/>
                <w:bCs w:val="1"/>
                <w:color w:val="auto"/>
                <w:w w:val="89"/>
              </w:rPr>
              <w:t>the three months ended</w:t>
            </w:r>
          </w:p>
        </w:tc>
      </w:tr>
      <w:tr>
        <w:trPr>
          <w:trHeight w:val="225"/>
        </w:trPr>
        <w:tc>
          <w:tcPr>
            <w:tcW w:w="9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center"/>
              <w:ind w:right="54"/>
              <w:spacing w:after="0"/>
              <w:rPr>
                <w:sz w:val="20"/>
                <w:szCs w:val="20"/>
                <w:color w:val="auto"/>
              </w:rPr>
            </w:pPr>
            <w:r>
              <w:rPr>
                <w:rFonts w:ascii="Arial" w:cs="Arial" w:eastAsia="Arial" w:hAnsi="Arial"/>
                <w:sz w:val="17"/>
                <w:szCs w:val="17"/>
                <w:b w:val="1"/>
                <w:bCs w:val="1"/>
                <w:color w:val="auto"/>
                <w:w w:val="90"/>
              </w:rPr>
              <w:t>September 30, 2023</w:t>
            </w:r>
          </w:p>
        </w:tc>
      </w:tr>
      <w:tr>
        <w:trPr>
          <w:trHeight w:val="103"/>
        </w:trPr>
        <w:tc>
          <w:tcPr>
            <w:tcW w:w="9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00" w:type="dxa"/>
            <w:vAlign w:val="bottom"/>
          </w:tcPr>
          <w:p>
            <w:pPr>
              <w:spacing w:after="0"/>
              <w:rPr>
                <w:sz w:val="8"/>
                <w:szCs w:val="8"/>
                <w:color w:val="auto"/>
              </w:rPr>
            </w:pPr>
          </w:p>
        </w:tc>
      </w:tr>
      <w:tr>
        <w:trPr>
          <w:trHeight w:val="220"/>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10-year swap (basis points)</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70</w:t>
            </w:r>
          </w:p>
        </w:tc>
      </w:tr>
      <w:tr>
        <w:trPr>
          <w:trHeight w:val="220"/>
        </w:trPr>
        <w:tc>
          <w:tcPr>
            <w:tcW w:w="9180" w:type="dxa"/>
            <w:vAlign w:val="bottom"/>
          </w:tcPr>
          <w:p>
            <w:pPr>
              <w:ind w:left="20"/>
              <w:spacing w:after="0"/>
              <w:rPr>
                <w:sz w:val="20"/>
                <w:szCs w:val="20"/>
                <w:color w:val="auto"/>
              </w:rPr>
            </w:pPr>
            <w:r>
              <w:rPr>
                <w:rFonts w:ascii="Arial" w:cs="Arial" w:eastAsia="Arial" w:hAnsi="Arial"/>
                <w:sz w:val="17"/>
                <w:szCs w:val="17"/>
                <w:color w:val="auto"/>
              </w:rPr>
              <w:t>Agency MSRs - interest rate sensitive (excluding MAV, Rithm and others)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Pr>
          <w:p>
            <w:pPr>
              <w:jc w:val="right"/>
              <w:ind w:right="134"/>
              <w:spacing w:after="0"/>
              <w:rPr>
                <w:sz w:val="20"/>
                <w:szCs w:val="20"/>
                <w:color w:val="auto"/>
              </w:rPr>
            </w:pPr>
            <w:r>
              <w:rPr>
                <w:rFonts w:ascii="Arial" w:cs="Arial" w:eastAsia="Arial" w:hAnsi="Arial"/>
                <w:sz w:val="17"/>
                <w:szCs w:val="17"/>
                <w:color w:val="auto"/>
              </w:rPr>
              <w:t>108.2</w:t>
            </w:r>
          </w:p>
        </w:tc>
      </w:tr>
      <w:tr>
        <w:trPr>
          <w:trHeight w:val="220"/>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 value of securitized HECM loans, net of HMBS-related borrowing (Reverse MSR)</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(10.0)</w:t>
            </w:r>
          </w:p>
        </w:tc>
      </w:tr>
      <w:tr>
        <w:trPr>
          <w:trHeight w:val="22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MSR hedging derivative instruments</w:t>
            </w: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(68.6)</w:t>
            </w:r>
          </w:p>
        </w:tc>
      </w:tr>
      <w:tr>
        <w:trPr>
          <w:trHeight w:val="213"/>
        </w:trPr>
        <w:tc>
          <w:tcPr>
            <w:tcW w:w="9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hedge position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(78.6)</w:t>
            </w:r>
          </w:p>
        </w:tc>
      </w:tr>
      <w:tr>
        <w:trPr>
          <w:trHeight w:val="220"/>
        </w:trPr>
        <w:tc>
          <w:tcPr>
            <w:tcW w:w="9180" w:type="dxa"/>
            <w:vAlign w:val="bottom"/>
          </w:tcPr>
          <w:p>
            <w:pPr>
              <w:ind w:left="20"/>
              <w:spacing w:after="0"/>
              <w:rPr>
                <w:sz w:val="20"/>
                <w:szCs w:val="20"/>
                <w:color w:val="auto"/>
              </w:rPr>
            </w:pPr>
            <w:r>
              <w:rPr>
                <w:rFonts w:ascii="Arial" w:cs="Arial" w:eastAsia="Arial" w:hAnsi="Arial"/>
                <w:sz w:val="17"/>
                <w:szCs w:val="17"/>
                <w:color w:val="auto"/>
              </w:rPr>
              <w:t>Actual hedge coverage ratio during the period</w:t>
            </w: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155"/>
        </w:trPr>
        <w:tc>
          <w:tcPr>
            <w:tcW w:w="9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900" w:type="dxa"/>
            <w:vAlign w:val="bottom"/>
            <w:tcBorders>
              <w:bottom w:val="single" w:sz="8" w:color="auto"/>
            </w:tcBorders>
            <w:shd w:val="clear" w:color="auto" w:fill="CCEEFF"/>
          </w:tcPr>
          <w:p>
            <w:pPr>
              <w:spacing w:after="0"/>
              <w:rPr>
                <w:sz w:val="13"/>
                <w:szCs w:val="13"/>
                <w:color w:val="auto"/>
              </w:rPr>
            </w:pPr>
          </w:p>
        </w:tc>
      </w:tr>
      <w:tr>
        <w:trPr>
          <w:trHeight w:val="213"/>
        </w:trPr>
        <w:tc>
          <w:tcPr>
            <w:tcW w:w="9180" w:type="dxa"/>
            <w:vAlign w:val="bottom"/>
          </w:tcPr>
          <w:p>
            <w:pPr>
              <w:ind w:left="20"/>
              <w:spacing w:after="0"/>
              <w:rPr>
                <w:sz w:val="20"/>
                <w:szCs w:val="20"/>
                <w:color w:val="auto"/>
              </w:rPr>
            </w:pPr>
            <w:r>
              <w:rPr>
                <w:rFonts w:ascii="Arial" w:cs="Arial" w:eastAsia="Arial" w:hAnsi="Arial"/>
                <w:sz w:val="17"/>
                <w:szCs w:val="17"/>
                <w:color w:val="auto"/>
              </w:rPr>
              <w:t>Residual fair value changes due to changes in interest rates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9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29.6</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derivative instruments include Agency TBAs with different banking counterparties, exchange-traded interest rate swap futures and interest rate options. TBAs, or To-Be-Announced securities are actively traded, forward contracts to purchase or sell Agency MBS on a specific future date.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Such inter-segment derivatives are eliminated in our consolidated financial statements.</w:t>
      </w:r>
    </w:p>
    <w:p>
      <w:pPr>
        <w:spacing w:after="0" w:line="78" w:lineRule="exact"/>
        <w:rPr>
          <w:sz w:val="20"/>
          <w:szCs w:val="20"/>
          <w:color w:val="auto"/>
        </w:rPr>
      </w:pPr>
    </w:p>
    <w:p>
      <w:pPr>
        <w:ind w:right="280"/>
        <w:spacing w:after="0" w:line="283" w:lineRule="auto"/>
        <w:rPr>
          <w:sz w:val="20"/>
          <w:szCs w:val="20"/>
          <w:color w:val="auto"/>
        </w:rPr>
      </w:pPr>
      <w:r>
        <w:rPr>
          <w:rFonts w:ascii="Arial" w:cs="Arial" w:eastAsia="Arial" w:hAnsi="Arial"/>
          <w:sz w:val="17"/>
          <w:szCs w:val="17"/>
          <w:color w:val="auto"/>
        </w:rPr>
        <w:t>The derivative instruments are subject to margin requirements, posted as either initial or variation margin. Ocwen may be required to post or may be entitled to receive cash collateral with its counterparties through margin calls, based on daily value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3" w:name="page94"/>
    <w:bookmarkEnd w:id="93"/>
    <w:p>
      <w:pPr>
        <w:ind w:right="300"/>
        <w:spacing w:after="0" w:line="283" w:lineRule="auto"/>
        <w:rPr>
          <w:sz w:val="20"/>
          <w:szCs w:val="20"/>
          <w:color w:val="auto"/>
        </w:rPr>
      </w:pPr>
      <w:r>
        <w:rPr>
          <w:rFonts w:ascii="Arial" w:cs="Arial" w:eastAsia="Arial" w:hAnsi="Arial"/>
          <w:sz w:val="17"/>
          <w:szCs w:val="17"/>
          <w:color w:val="auto"/>
        </w:rPr>
        <w:t>changes of the instruments. Changes in market factors, including interest rates, and our credit rating may require us to post additional cash collateral and could have a material adverse impact on our financial condition and liquidity.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Loans Held for Investment and HMBS-related Borrowings</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w:t>
      </w:r>
      <w:r>
        <w:rPr>
          <w:rFonts w:ascii="Arial" w:cs="Arial" w:eastAsia="Arial" w:hAnsi="Arial"/>
          <w:sz w:val="18"/>
          <w:szCs w:val="18"/>
          <w:color w:val="auto"/>
        </w:rPr>
        <w:t>.</w:t>
      </w:r>
      <w:r>
        <w:rPr>
          <w:rFonts w:ascii="Arial" w:cs="Arial" w:eastAsia="Arial" w:hAnsi="Arial"/>
          <w:sz w:val="17"/>
          <w:szCs w:val="17"/>
          <w:color w:val="auto"/>
        </w:rPr>
        <w:t xml:space="preserve"> Additionally, portfolio value is heavily influenced by market spreads for fixed and discount margin for ARMs.</w:t>
      </w:r>
    </w:p>
    <w:p>
      <w:pPr>
        <w:spacing w:after="0" w:line="6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fair value of our securitized HECM loan portfolio net of the fair value of the HMBS-related borrowings represent a reverse mortgage economic MSR (HMSR) for risk management purposes. The HMSR acts as a partial hedge for our forward MSR value sensitivity. This HMSR exposure is used as a partial offset to our forward MSR exposure and managed as part of our MSR hedging strategy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Pipeline Hedging Strategy - Loans Held for Sale and IRLCs</w:t>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In our Originations business, we are exposed to interest rate risk and related price risk during the period from the date of the interest rate lock commitment through</w:t>
      </w:r>
    </w:p>
    <w:p>
      <w:pPr>
        <w:spacing w:after="0" w:line="35" w:lineRule="exact"/>
        <w:rPr>
          <w:sz w:val="20"/>
          <w:szCs w:val="20"/>
          <w:color w:val="auto"/>
        </w:rPr>
      </w:pPr>
    </w:p>
    <w:p>
      <w:pPr>
        <w:ind w:right="20" w:firstLine="3"/>
        <w:spacing w:after="0" w:line="282" w:lineRule="auto"/>
        <w:tabs>
          <w:tab w:leader="none" w:pos="206"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lock commitment cancellation or expiration date or (ii) through the date of sale of the resulting loan into the secondary mortgage market. Loan commitments for forward loans generally range from 5 to 75 days, with the majority of our commitments to borrowers for 40 to 60 days and our commitments to correspondent sellers for 5 to 15 days.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minimize the use of third-party derivatives. Such inter-segment derivatives are eliminated in our consolidated financial statements. Reverse origination pipeline is hedged under the same principles as described above, for unsecuritized loans held for investment.</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Interest Rate-Sensitive Financial Instruments</w:t>
      </w:r>
    </w:p>
    <w:p>
      <w:pPr>
        <w:spacing w:after="0" w:line="121" w:lineRule="exact"/>
        <w:rPr>
          <w:sz w:val="20"/>
          <w:szCs w:val="20"/>
          <w:color w:val="auto"/>
        </w:rPr>
      </w:pPr>
    </w:p>
    <w:p>
      <w:pPr>
        <w:ind w:right="680"/>
        <w:spacing w:after="0" w:line="283" w:lineRule="auto"/>
        <w:rPr>
          <w:sz w:val="20"/>
          <w:szCs w:val="20"/>
          <w:color w:val="auto"/>
        </w:rPr>
      </w:pPr>
      <w:r>
        <w:rPr>
          <w:rFonts w:ascii="Arial" w:cs="Arial" w:eastAsia="Arial" w:hAnsi="Arial"/>
          <w:sz w:val="17"/>
          <w:szCs w:val="17"/>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5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5"/>
          </w:tcPr>
          <w:p>
            <w:pPr>
              <w:ind w:left="500"/>
              <w:spacing w:after="0"/>
              <w:rPr>
                <w:sz w:val="20"/>
                <w:szCs w:val="20"/>
                <w:color w:val="auto"/>
              </w:rPr>
            </w:pPr>
            <w:r>
              <w:rPr>
                <w:rFonts w:ascii="Arial" w:cs="Arial" w:eastAsia="Arial" w:hAnsi="Arial"/>
                <w:sz w:val="17"/>
                <w:szCs w:val="17"/>
                <w:b w:val="1"/>
                <w:bCs w:val="1"/>
                <w:color w:val="auto"/>
              </w:rPr>
              <w:t>September 30, 2023</w:t>
            </w:r>
          </w:p>
        </w:tc>
        <w:tc>
          <w:tcPr>
            <w:tcW w:w="260" w:type="dxa"/>
            <w:vAlign w:val="bottom"/>
          </w:tcPr>
          <w:p>
            <w:pPr>
              <w:spacing w:after="0"/>
              <w:rPr>
                <w:sz w:val="19"/>
                <w:szCs w:val="19"/>
                <w:color w:val="auto"/>
              </w:rPr>
            </w:pPr>
          </w:p>
        </w:tc>
        <w:tc>
          <w:tcPr>
            <w:tcW w:w="2720" w:type="dxa"/>
            <w:vAlign w:val="bottom"/>
            <w:gridSpan w:val="4"/>
          </w:tcPr>
          <w:p>
            <w:pPr>
              <w:jc w:val="right"/>
              <w:ind w:right="714"/>
              <w:spacing w:after="0"/>
              <w:rPr>
                <w:sz w:val="20"/>
                <w:szCs w:val="20"/>
                <w:color w:val="auto"/>
              </w:rPr>
            </w:pPr>
            <w:r>
              <w:rPr>
                <w:rFonts w:ascii="Arial" w:cs="Arial" w:eastAsia="Arial" w:hAnsi="Arial"/>
                <w:sz w:val="17"/>
                <w:szCs w:val="17"/>
                <w:b w:val="1"/>
                <w:bCs w:val="1"/>
                <w:color w:val="auto"/>
              </w:rPr>
              <w:t>December 31, 2022</w:t>
            </w: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Balance</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99"/>
              </w:rPr>
              <w:t>Fair Value (1)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Balance</w:t>
            </w: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b w:val="1"/>
                <w:bCs w:val="1"/>
                <w:color w:val="auto"/>
                <w:w w:val="97"/>
              </w:rPr>
              <w:t>Fair Value (1)</w:t>
            </w:r>
          </w:p>
        </w:tc>
        <w:tc>
          <w:tcPr>
            <w:tcW w:w="0" w:type="dxa"/>
            <w:vAlign w:val="bottom"/>
          </w:tcPr>
          <w:p>
            <w:pPr>
              <w:spacing w:after="0"/>
              <w:rPr>
                <w:sz w:val="1"/>
                <w:szCs w:val="1"/>
                <w:color w:val="auto"/>
              </w:rPr>
            </w:pPr>
          </w:p>
        </w:tc>
      </w:tr>
      <w:tr>
        <w:trPr>
          <w:trHeight w:val="20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Assets:</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20"/>
              <w:spacing w:after="0"/>
              <w:rPr>
                <w:sz w:val="20"/>
                <w:szCs w:val="20"/>
                <w:color w:val="auto"/>
              </w:rPr>
            </w:pPr>
            <w:r>
              <w:rPr>
                <w:rFonts w:ascii="Arial" w:cs="Arial" w:eastAsia="Arial" w:hAnsi="Arial"/>
                <w:sz w:val="17"/>
                <w:szCs w:val="17"/>
                <w:color w:val="auto"/>
              </w:rPr>
              <w:t>Interest-earning cash</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174.5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174.5</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186.1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186.1</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Loans held for sale, at fair value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617.8</w:t>
            </w:r>
          </w:p>
        </w:tc>
        <w:tc>
          <w:tcPr>
            <w:tcW w:w="0" w:type="dxa"/>
            <w:vAlign w:val="bottom"/>
          </w:tcPr>
          <w:p>
            <w:pPr>
              <w:spacing w:after="0"/>
              <w:rPr>
                <w:sz w:val="1"/>
                <w:szCs w:val="1"/>
                <w:color w:val="auto"/>
              </w:rPr>
            </w:pPr>
          </w:p>
        </w:tc>
      </w:tr>
      <w:tr>
        <w:trPr>
          <w:trHeight w:val="220"/>
        </w:trPr>
        <w:tc>
          <w:tcPr>
            <w:tcW w:w="5000" w:type="dxa"/>
            <w:vAlign w:val="bottom"/>
          </w:tcPr>
          <w:p>
            <w:pPr>
              <w:ind w:left="120"/>
              <w:spacing w:after="0"/>
              <w:rPr>
                <w:sz w:val="20"/>
                <w:szCs w:val="20"/>
                <w:color w:val="auto"/>
              </w:rPr>
            </w:pPr>
            <w:r>
              <w:rPr>
                <w:rFonts w:ascii="Arial" w:cs="Arial" w:eastAsia="Arial" w:hAnsi="Arial"/>
                <w:sz w:val="17"/>
                <w:szCs w:val="17"/>
                <w:color w:val="auto"/>
              </w:rPr>
              <w:t>Loans held for sale, at lower of cost or fair value (2)</w:t>
            </w:r>
          </w:p>
        </w:tc>
        <w:tc>
          <w:tcPr>
            <w:tcW w:w="2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Loans held for investment, at fair value</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7,777.6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7,777.6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7,504.1</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Debt service accounts and time deposits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rate-sensitive assets</w:t>
            </w: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8,930.6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8,930.6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8,335.7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8,335.7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Liabilities (3):</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0" w:type="dxa"/>
            <w:vAlign w:val="bottom"/>
          </w:tcPr>
          <w:p>
            <w:pPr>
              <w:ind w:left="120"/>
              <w:spacing w:after="0"/>
              <w:rPr>
                <w:sz w:val="20"/>
                <w:szCs w:val="20"/>
                <w:color w:val="auto"/>
              </w:rPr>
            </w:pPr>
            <w:r>
              <w:rPr>
                <w:rFonts w:ascii="Arial" w:cs="Arial" w:eastAsia="Arial" w:hAnsi="Arial"/>
                <w:sz w:val="17"/>
                <w:szCs w:val="17"/>
                <w:color w:val="auto"/>
              </w:rPr>
              <w:t>Match funded liabilities</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403.0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403.0</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513.7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513.7</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Senior notes (4)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555.2</w:t>
            </w:r>
          </w:p>
        </w:tc>
        <w:tc>
          <w:tcPr>
            <w:tcW w:w="0" w:type="dxa"/>
            <w:vAlign w:val="bottom"/>
          </w:tcPr>
          <w:p>
            <w:pPr>
              <w:spacing w:after="0"/>
              <w:rPr>
                <w:sz w:val="1"/>
                <w:szCs w:val="1"/>
                <w:color w:val="auto"/>
              </w:rPr>
            </w:pPr>
          </w:p>
        </w:tc>
      </w:tr>
      <w:tr>
        <w:trPr>
          <w:trHeight w:val="220"/>
        </w:trPr>
        <w:tc>
          <w:tcPr>
            <w:tcW w:w="5000" w:type="dxa"/>
            <w:vAlign w:val="bottom"/>
          </w:tcPr>
          <w:p>
            <w:pPr>
              <w:ind w:left="120"/>
              <w:spacing w:after="0"/>
              <w:rPr>
                <w:sz w:val="20"/>
                <w:szCs w:val="20"/>
                <w:color w:val="auto"/>
              </w:rPr>
            </w:pPr>
            <w:r>
              <w:rPr>
                <w:rFonts w:ascii="Arial" w:cs="Arial" w:eastAsia="Arial" w:hAnsi="Arial"/>
                <w:sz w:val="17"/>
                <w:szCs w:val="17"/>
                <w:color w:val="auto"/>
              </w:rPr>
              <w:t>Mortgage loan financing facilities (4)</w:t>
            </w:r>
          </w:p>
        </w:tc>
        <w:tc>
          <w:tcPr>
            <w:tcW w:w="28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7"/>
                <w:szCs w:val="17"/>
                <w:color w:val="auto"/>
              </w:rPr>
              <w:t>1,058.6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1,038.5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7"/>
                <w:szCs w:val="17"/>
                <w:color w:val="auto"/>
              </w:rPr>
              <w:t>702.7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7"/>
                <w:szCs w:val="17"/>
                <w:color w:val="auto"/>
              </w:rPr>
              <w:t>702.7</w:t>
            </w: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MSR financing facilities (4)</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884.0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954.6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932.1</w:t>
            </w:r>
          </w:p>
        </w:tc>
        <w:tc>
          <w:tcPr>
            <w:tcW w:w="0" w:type="dxa"/>
            <w:vAlign w:val="bottom"/>
          </w:tcPr>
          <w:p>
            <w:pPr>
              <w:spacing w:after="0"/>
              <w:rPr>
                <w:sz w:val="1"/>
                <w:szCs w:val="1"/>
                <w:color w:val="auto"/>
              </w:rPr>
            </w:pPr>
          </w:p>
        </w:tc>
      </w:tr>
      <w:tr>
        <w:trPr>
          <w:trHeight w:val="220"/>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ESS financing liability, at fair value</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255.4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199.0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199.0</w:t>
            </w:r>
          </w:p>
        </w:tc>
        <w:tc>
          <w:tcPr>
            <w:tcW w:w="0" w:type="dxa"/>
            <w:vAlign w:val="bottom"/>
          </w:tcPr>
          <w:p>
            <w:pPr>
              <w:spacing w:after="0"/>
              <w:rPr>
                <w:sz w:val="1"/>
                <w:szCs w:val="1"/>
                <w:color w:val="auto"/>
              </w:rPr>
            </w:pPr>
          </w:p>
        </w:tc>
      </w:tr>
      <w:tr>
        <w:trPr>
          <w:trHeight w:val="200"/>
        </w:trPr>
        <w:tc>
          <w:tcPr>
            <w:tcW w:w="50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rate-sensitive liabilities</w:t>
            </w:r>
          </w:p>
        </w:tc>
        <w:tc>
          <w:tcPr>
            <w:tcW w:w="28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3,265.3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3,133.0</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3,030.0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2,902.7</w:t>
            </w:r>
          </w:p>
        </w:tc>
        <w:tc>
          <w:tcPr>
            <w:tcW w:w="0" w:type="dxa"/>
            <w:vAlign w:val="bottom"/>
          </w:tcPr>
          <w:p>
            <w:pPr>
              <w:spacing w:after="0"/>
              <w:rPr>
                <w:sz w:val="1"/>
                <w:szCs w:val="1"/>
                <w:color w:val="auto"/>
              </w:rPr>
            </w:pPr>
          </w:p>
        </w:tc>
      </w:tr>
      <w:tr>
        <w:trPr>
          <w:trHeight w:val="97"/>
        </w:trPr>
        <w:tc>
          <w:tcPr>
            <w:tcW w:w="50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vMerge w:val="continue"/>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2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auto"/>
            </w:tcBorders>
            <w:vMerge w:val="continue"/>
            <w:shd w:val="clear" w:color="auto" w:fill="CCEEFF"/>
          </w:tcPr>
          <w:p>
            <w:pPr>
              <w:spacing w:after="0"/>
              <w:rPr>
                <w:sz w:val="8"/>
                <w:szCs w:val="8"/>
                <w:color w:val="auto"/>
              </w:rPr>
            </w:pPr>
          </w:p>
        </w:tc>
        <w:tc>
          <w:tcPr>
            <w:tcW w:w="11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2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5"/>
          </w:tcPr>
          <w:p>
            <w:pPr>
              <w:ind w:left="580"/>
              <w:spacing w:after="0"/>
              <w:rPr>
                <w:sz w:val="20"/>
                <w:szCs w:val="20"/>
                <w:color w:val="auto"/>
              </w:rPr>
            </w:pPr>
            <w:r>
              <w:rPr>
                <w:rFonts w:ascii="Arial" w:cs="Arial" w:eastAsia="Arial" w:hAnsi="Arial"/>
                <w:sz w:val="17"/>
                <w:szCs w:val="17"/>
                <w:b w:val="1"/>
                <w:bCs w:val="1"/>
                <w:color w:val="auto"/>
              </w:rPr>
              <w:t>September 30, 2023</w:t>
            </w:r>
          </w:p>
        </w:tc>
        <w:tc>
          <w:tcPr>
            <w:tcW w:w="280" w:type="dxa"/>
            <w:vAlign w:val="bottom"/>
          </w:tcPr>
          <w:p>
            <w:pPr>
              <w:spacing w:after="0"/>
              <w:rPr>
                <w:sz w:val="19"/>
                <w:szCs w:val="19"/>
                <w:color w:val="auto"/>
              </w:rPr>
            </w:pPr>
          </w:p>
        </w:tc>
        <w:tc>
          <w:tcPr>
            <w:tcW w:w="286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December 31, 2022</w:t>
            </w:r>
          </w:p>
        </w:tc>
      </w:tr>
      <w:tr>
        <w:trPr>
          <w:trHeight w:val="168"/>
        </w:trPr>
        <w:tc>
          <w:tcPr>
            <w:tcW w:w="48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80"/>
              <w:spacing w:after="0" w:line="168" w:lineRule="exact"/>
              <w:rPr>
                <w:sz w:val="20"/>
                <w:szCs w:val="20"/>
                <w:color w:val="auto"/>
              </w:rPr>
            </w:pPr>
            <w:r>
              <w:rPr>
                <w:rFonts w:ascii="Arial" w:cs="Arial" w:eastAsia="Arial" w:hAnsi="Arial"/>
                <w:sz w:val="17"/>
                <w:szCs w:val="17"/>
                <w:b w:val="1"/>
                <w:bCs w:val="1"/>
                <w:color w:val="auto"/>
                <w:w w:val="94"/>
              </w:rPr>
              <w:t>Notional</w:t>
            </w: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74"/>
              <w:spacing w:after="0" w:line="168" w:lineRule="exact"/>
              <w:rPr>
                <w:sz w:val="20"/>
                <w:szCs w:val="20"/>
                <w:color w:val="auto"/>
              </w:rPr>
            </w:pPr>
            <w:r>
              <w:rPr>
                <w:rFonts w:ascii="Arial" w:cs="Arial" w:eastAsia="Arial" w:hAnsi="Arial"/>
                <w:sz w:val="17"/>
                <w:szCs w:val="17"/>
                <w:b w:val="1"/>
                <w:bCs w:val="1"/>
                <w:color w:val="auto"/>
              </w:rPr>
              <w:t>Fair</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jc w:val="center"/>
              <w:ind w:right="380"/>
              <w:spacing w:after="0" w:line="168" w:lineRule="exact"/>
              <w:rPr>
                <w:sz w:val="20"/>
                <w:szCs w:val="20"/>
                <w:color w:val="auto"/>
              </w:rPr>
            </w:pPr>
            <w:r>
              <w:rPr>
                <w:rFonts w:ascii="Arial" w:cs="Arial" w:eastAsia="Arial" w:hAnsi="Arial"/>
                <w:sz w:val="17"/>
                <w:szCs w:val="17"/>
                <w:b w:val="1"/>
                <w:bCs w:val="1"/>
                <w:color w:val="auto"/>
                <w:w w:val="94"/>
              </w:rPr>
              <w:t>Notional</w:t>
            </w:r>
          </w:p>
        </w:tc>
        <w:tc>
          <w:tcPr>
            <w:tcW w:w="2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34"/>
              <w:spacing w:after="0" w:line="168" w:lineRule="exact"/>
              <w:rPr>
                <w:sz w:val="20"/>
                <w:szCs w:val="20"/>
                <w:color w:val="auto"/>
              </w:rPr>
            </w:pPr>
            <w:r>
              <w:rPr>
                <w:rFonts w:ascii="Arial" w:cs="Arial" w:eastAsia="Arial" w:hAnsi="Arial"/>
                <w:sz w:val="17"/>
                <w:szCs w:val="17"/>
                <w:b w:val="1"/>
                <w:bCs w:val="1"/>
                <w:color w:val="auto"/>
              </w:rPr>
              <w:t>Fair</w:t>
            </w:r>
          </w:p>
        </w:tc>
      </w:tr>
      <w:tr>
        <w:trPr>
          <w:trHeight w:val="225"/>
        </w:trPr>
        <w:tc>
          <w:tcPr>
            <w:tcW w:w="4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Balance</w:t>
            </w:r>
          </w:p>
        </w:tc>
        <w:tc>
          <w:tcPr>
            <w:tcW w:w="260" w:type="dxa"/>
            <w:vAlign w:val="bottom"/>
          </w:tcPr>
          <w:p>
            <w:pPr>
              <w:spacing w:after="0"/>
              <w:rPr>
                <w:sz w:val="19"/>
                <w:szCs w:val="19"/>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Value (1)</w:t>
            </w:r>
          </w:p>
        </w:tc>
        <w:tc>
          <w:tcPr>
            <w:tcW w:w="28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Balance</w:t>
            </w:r>
          </w:p>
        </w:tc>
        <w:tc>
          <w:tcPr>
            <w:tcW w:w="260" w:type="dxa"/>
            <w:vAlign w:val="bottom"/>
          </w:tcPr>
          <w:p>
            <w:pPr>
              <w:spacing w:after="0"/>
              <w:rPr>
                <w:sz w:val="19"/>
                <w:szCs w:val="19"/>
                <w:color w:val="auto"/>
              </w:rPr>
            </w:pPr>
          </w:p>
        </w:tc>
        <w:tc>
          <w:tcPr>
            <w:tcW w:w="1260" w:type="dxa"/>
            <w:vAlign w:val="bottom"/>
          </w:tcPr>
          <w:p>
            <w:pPr>
              <w:jc w:val="right"/>
              <w:ind w:right="354"/>
              <w:spacing w:after="0"/>
              <w:rPr>
                <w:sz w:val="20"/>
                <w:szCs w:val="20"/>
                <w:color w:val="auto"/>
              </w:rPr>
            </w:pPr>
            <w:r>
              <w:rPr>
                <w:rFonts w:ascii="Arial" w:cs="Arial" w:eastAsia="Arial" w:hAnsi="Arial"/>
                <w:sz w:val="17"/>
                <w:szCs w:val="17"/>
                <w:b w:val="1"/>
                <w:bCs w:val="1"/>
                <w:color w:val="auto"/>
              </w:rPr>
              <w:t>Value (1)</w:t>
            </w:r>
          </w:p>
        </w:tc>
      </w:tr>
      <w:tr>
        <w:trPr>
          <w:trHeight w:val="20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Rate-Sensitive Derivative Financial Instruments:</w:t>
            </w: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0"/>
        </w:trPr>
        <w:tc>
          <w:tcPr>
            <w:tcW w:w="4860" w:type="dxa"/>
            <w:vAlign w:val="bottom"/>
          </w:tcPr>
          <w:p>
            <w:pPr>
              <w:ind w:left="140"/>
              <w:spacing w:after="0"/>
              <w:rPr>
                <w:sz w:val="20"/>
                <w:szCs w:val="20"/>
                <w:color w:val="auto"/>
              </w:rPr>
            </w:pPr>
            <w:r>
              <w:rPr>
                <w:rFonts w:ascii="Arial" w:cs="Arial" w:eastAsia="Arial" w:hAnsi="Arial"/>
                <w:sz w:val="17"/>
                <w:szCs w:val="17"/>
                <w:color w:val="auto"/>
              </w:rPr>
              <w:t>Derivative assets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IRLCs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553.9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(0.7)</w:t>
            </w: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Forward sales of loans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140.0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0.5</w:t>
            </w: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rate swap futures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670.0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(13.6)</w:t>
            </w: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TBA forward MBS trades</w:t>
            </w:r>
          </w:p>
        </w:tc>
        <w:tc>
          <w:tcPr>
            <w:tcW w:w="260" w:type="dxa"/>
            <w:vAlign w:val="bottom"/>
          </w:tcPr>
          <w:p>
            <w:pPr>
              <w:spacing w:after="0"/>
              <w:rPr>
                <w:sz w:val="19"/>
                <w:szCs w:val="19"/>
                <w:color w:val="auto"/>
              </w:rPr>
            </w:pPr>
          </w:p>
        </w:tc>
        <w:tc>
          <w:tcPr>
            <w:tcW w:w="1240" w:type="dxa"/>
            <w:vAlign w:val="bottom"/>
          </w:tcPr>
          <w:p>
            <w:pPr>
              <w:jc w:val="right"/>
              <w:ind w:right="134"/>
              <w:spacing w:after="0"/>
              <w:rPr>
                <w:sz w:val="20"/>
                <w:szCs w:val="20"/>
                <w:color w:val="auto"/>
              </w:rPr>
            </w:pPr>
            <w:r>
              <w:rPr>
                <w:rFonts w:ascii="Arial" w:cs="Arial" w:eastAsia="Arial" w:hAnsi="Arial"/>
                <w:sz w:val="17"/>
                <w:szCs w:val="17"/>
                <w:color w:val="auto"/>
              </w:rPr>
              <w:t>2,107.0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889.0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7"/>
                <w:szCs w:val="17"/>
                <w:color w:val="auto"/>
              </w:rPr>
              <w:t>5.9</w:t>
            </w: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rate option contracts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900.0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r>
      <w:tr>
        <w:trPr>
          <w:trHeight w:val="22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(0.1)</w:t>
            </w:r>
          </w:p>
        </w:tc>
      </w:tr>
      <w:tr>
        <w:trPr>
          <w:trHeight w:val="238"/>
        </w:trPr>
        <w:tc>
          <w:tcPr>
            <w:tcW w:w="4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Derivatives, net</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5,466.9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2,309.3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(8.0)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20" w:hanging="317"/>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See Note 3 – Fair Value to the Unaudited Consolidated Financial Statements for additional fair value information on financial instruments.</w:t>
      </w:r>
    </w:p>
    <w:p>
      <w:pPr>
        <w:spacing w:after="0" w:line="8" w:lineRule="exact"/>
        <w:rPr>
          <w:rFonts w:ascii="Arial" w:cs="Arial" w:eastAsia="Arial" w:hAnsi="Arial"/>
          <w:sz w:val="16"/>
          <w:szCs w:val="16"/>
          <w:color w:val="auto"/>
        </w:rPr>
      </w:pPr>
    </w:p>
    <w:p>
      <w:pPr>
        <w:ind w:left="320" w:hanging="317"/>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ind w:left="320" w:right="120" w:hanging="317"/>
        <w:spacing w:after="0" w:line="244" w:lineRule="auto"/>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20" w:hanging="317"/>
        <w:spacing w:after="0"/>
        <w:tabs>
          <w:tab w:leader="none" w:pos="3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Amounts are exclusive of any related discount or unamortized debt issuance costs.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MSRs, Loans Held for Sale, Loans Held for Investment and Related Derivatives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assess and manage our interest rate risk primarily using sensitivity analyses. Sensitivity analyses are used to determine the impact on the balance sheet and earnings across various interest rate scenarios that could be expected over different time horizons. The following table summarizes the estimated change in the fair value of our MSRs, HECM loans held for investment and loans held for sale that we have elected to carry at fair value as well as any related derivatives at September 30, 2023, given hypothetical instantaneous parallel shifts in the yield curve.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25"/>
        </w:trPr>
        <w:tc>
          <w:tcPr>
            <w:tcW w:w="8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b w:val="1"/>
                <w:bCs w:val="1"/>
                <w:color w:val="auto"/>
              </w:rPr>
              <w:t>Change in Fair Value</w:t>
            </w:r>
          </w:p>
        </w:tc>
      </w:tr>
      <w:tr>
        <w:trPr>
          <w:trHeight w:val="213"/>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Down 25 bps</w:t>
            </w:r>
          </w:p>
        </w:tc>
        <w:tc>
          <w:tcPr>
            <w:tcW w:w="220" w:type="dxa"/>
            <w:vAlign w:val="bottom"/>
          </w:tcPr>
          <w:p>
            <w:pPr>
              <w:spacing w:after="0"/>
              <w:rPr>
                <w:sz w:val="18"/>
                <w:szCs w:val="18"/>
                <w:color w:val="auto"/>
              </w:rPr>
            </w:pPr>
          </w:p>
        </w:tc>
        <w:tc>
          <w:tcPr>
            <w:tcW w:w="1200" w:type="dxa"/>
            <w:vAlign w:val="bottom"/>
          </w:tcPr>
          <w:p>
            <w:pPr>
              <w:jc w:val="right"/>
              <w:ind w:right="254"/>
              <w:spacing w:after="0"/>
              <w:rPr>
                <w:sz w:val="20"/>
                <w:szCs w:val="20"/>
                <w:color w:val="auto"/>
              </w:rPr>
            </w:pPr>
            <w:r>
              <w:rPr>
                <w:rFonts w:ascii="Arial" w:cs="Arial" w:eastAsia="Arial" w:hAnsi="Arial"/>
                <w:sz w:val="17"/>
                <w:szCs w:val="17"/>
                <w:b w:val="1"/>
                <w:bCs w:val="1"/>
                <w:color w:val="auto"/>
              </w:rPr>
              <w:t>Up 25 bps</w:t>
            </w:r>
          </w:p>
        </w:tc>
      </w:tr>
      <w:tr>
        <w:trPr>
          <w:trHeight w:val="213"/>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 value of securitized HECM loans, net of HMBS-related borrowing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Loans held for investment - Unsecuritized HECM loans and tails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(0.02)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Loans held for sale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8280" w:type="dxa"/>
            <w:vAlign w:val="bottom"/>
          </w:tcPr>
          <w:p>
            <w:pPr>
              <w:ind w:left="20"/>
              <w:spacing w:after="0"/>
              <w:rPr>
                <w:sz w:val="20"/>
                <w:szCs w:val="20"/>
                <w:color w:val="auto"/>
              </w:rPr>
            </w:pPr>
            <w:r>
              <w:rPr>
                <w:rFonts w:ascii="Arial" w:cs="Arial" w:eastAsia="Arial" w:hAnsi="Arial"/>
                <w:sz w:val="17"/>
                <w:szCs w:val="17"/>
                <w:color w:val="auto"/>
              </w:rPr>
              <w:t>Derivative instruments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220"/>
        </w:trPr>
        <w:tc>
          <w:tcPr>
            <w:tcW w:w="8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MSRs - Agency and non-Agency (1)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r>
      <w:tr>
        <w:trPr>
          <w:trHeight w:val="22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IRLCs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8"/>
        </w:trPr>
        <w:tc>
          <w:tcPr>
            <w:tcW w:w="8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180" w:hanging="317"/>
        <w:spacing w:after="0" w:line="251"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Rithm and MAV pledged MSR financing liabilities and ESS financing liabilities.</w:t>
      </w:r>
    </w:p>
    <w:p>
      <w:pPr>
        <w:spacing w:after="0" w:line="76"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The decrease in our net sensitivity from December 31, 2022 to September 30, 2023 (from approximately $23.5 - $(26.1) million) to $16.7 - $(18.6) million for a 25 basis point parallel shift in the yield curve, up and down, respectively) is primarily driven by the increase in interest rates on our MSR portfolio (due to convexity), the sales of owned MSRs as part of our de-risking strategy, and the increased use of hedging instruments and higher hedge coverage ratio in the nine months ended September 30, 2023.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Borrowings</w:t>
      </w:r>
    </w:p>
    <w:p>
      <w:pPr>
        <w:spacing w:after="0" w:line="115"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The majority of the collateralized debt used to finance our operations is based on variable rates, but remains exposed to interest rate fluctuations between repricing dates. Our corporate debt is based on fixed interest rates. As servicer, we are also exposed to the impact of interest rate fluctuations on the float income we earn on balances held in trust from the date a loan payment is received from borrowers to the date funds are forwarded to investors.</w:t>
      </w:r>
    </w:p>
    <w:p>
      <w:pPr>
        <w:spacing w:after="0" w:line="5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Based on September 30, 2023 balances, if interest rates were to increase by 100 bps on our variable-rate debt and cash and float balances, we estimate a net positive impact of approximately $5.2 million resulting from an increase of $24.5 million in annual interest income and other credits on deposits, and an increase of $19.4 million in annual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5"/>
          <w:szCs w:val="15"/>
          <w:color w:val="auto"/>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nine months ended September 30, 2023.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Home Prices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1"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September 30, 2023.</w:t>
      </w:r>
    </w:p>
    <w:p>
      <w:pPr>
        <w:spacing w:after="0" w:line="6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Based on such evaluation, management concluded that our disclosure controls and procedures as of September 30, 2023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96" w:name="page97"/>
    <w:bookmarkEnd w:id="96"/>
    <w:p>
      <w:pPr>
        <w:ind w:right="460"/>
        <w:spacing w:after="0" w:line="283" w:lineRule="auto"/>
        <w:rPr>
          <w:sz w:val="20"/>
          <w:szCs w:val="20"/>
          <w:color w:val="auto"/>
        </w:rPr>
      </w:pPr>
      <w:r>
        <w:rPr>
          <w:rFonts w:ascii="Arial" w:cs="Arial" w:eastAsia="Arial" w:hAnsi="Arial"/>
          <w:sz w:val="17"/>
          <w:szCs w:val="17"/>
          <w:color w:val="auto"/>
        </w:rPr>
        <w:t>There have not been any changes in our internal control over financial reporting that occurred during the fiscal quarter ended September 30, 2023 that have materially affected, or are reasonably likely to materially affect, our internal control over financial reporting.</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 – 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w:t>
        <w:tab/>
        <w:t>LEGAL PROCEEDINGS</w:t>
      </w:r>
    </w:p>
    <w:p>
      <w:pPr>
        <w:spacing w:after="0" w:line="121" w:lineRule="exact"/>
        <w:rPr>
          <w:sz w:val="20"/>
          <w:szCs w:val="20"/>
          <w:color w:val="auto"/>
        </w:rPr>
      </w:pPr>
    </w:p>
    <w:p>
      <w:pPr>
        <w:ind w:right="620"/>
        <w:spacing w:after="0" w:line="283" w:lineRule="auto"/>
        <w:rPr>
          <w:sz w:val="20"/>
          <w:szCs w:val="20"/>
          <w:color w:val="auto"/>
        </w:rPr>
      </w:pPr>
      <w:r>
        <w:rPr>
          <w:rFonts w:ascii="Arial" w:cs="Arial" w:eastAsia="Arial" w:hAnsi="Arial"/>
          <w:sz w:val="17"/>
          <w:szCs w:val="17"/>
          <w:color w:val="auto"/>
        </w:rPr>
        <w:t>See Note 20 – Contingencies to the Unaudited Consolidated Financial Statements for a description of our material legal proceedings. That information is incorporated into this item by reference.</w:t>
      </w:r>
    </w:p>
    <w:p>
      <w:pPr>
        <w:spacing w:after="0" w:line="10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An investment in our common stock involves significant risk. We describe the most significant risks that management believes affect or could affect us under Part I, Item 1.A. of our Annual Report on Form 10-K for the year ended December 31, 2022. There have been no material changes to our risk factors since our Annual Report on Form 10-K for the year ended December 31, 2022.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Arial" w:cs="Arial" w:eastAsia="Arial" w:hAnsi="Arial"/>
                <w:sz w:val="17"/>
                <w:szCs w:val="17"/>
                <w:b w:val="1"/>
                <w:bCs w:val="1"/>
                <w:color w:val="auto"/>
              </w:rPr>
              <w:t>ITEM 6.   EXHIBITS</w:t>
            </w:r>
          </w:p>
        </w:tc>
        <w:tc>
          <w:tcPr>
            <w:tcW w:w="9200" w:type="dxa"/>
            <w:vAlign w:val="bottom"/>
          </w:tcPr>
          <w:p>
            <w:pPr>
              <w:spacing w:after="0"/>
              <w:rPr>
                <w:sz w:val="19"/>
                <w:szCs w:val="19"/>
                <w:color w:val="auto"/>
              </w:rPr>
            </w:pPr>
          </w:p>
        </w:tc>
      </w:tr>
      <w:tr>
        <w:trPr>
          <w:trHeight w:val="349"/>
        </w:trPr>
        <w:tc>
          <w:tcPr>
            <w:tcW w:w="1840" w:type="dxa"/>
            <w:vAlign w:val="bottom"/>
          </w:tcPr>
          <w:p>
            <w:pPr>
              <w:ind w:left="1060"/>
              <w:spacing w:after="0"/>
              <w:rPr>
                <w:rFonts w:ascii="Arial" w:cs="Arial" w:eastAsia="Arial" w:hAnsi="Arial"/>
                <w:sz w:val="17"/>
                <w:szCs w:val="17"/>
                <w:color w:val="auto"/>
              </w:rPr>
            </w:pPr>
            <w:hyperlink r:id="rId149">
              <w:r>
                <w:rPr>
                  <w:rFonts w:ascii="Arial" w:cs="Arial" w:eastAsia="Arial" w:hAnsi="Arial"/>
                  <w:sz w:val="17"/>
                  <w:szCs w:val="17"/>
                  <w:color w:val="auto"/>
                </w:rPr>
                <w:t>3.1</w:t>
              </w:r>
            </w:hyperlink>
          </w:p>
        </w:tc>
        <w:tc>
          <w:tcPr>
            <w:tcW w:w="9200" w:type="dxa"/>
            <w:vAlign w:val="bottom"/>
          </w:tcPr>
          <w:p>
            <w:pPr>
              <w:ind w:left="140"/>
              <w:spacing w:after="0"/>
              <w:rPr>
                <w:rFonts w:ascii="Arial" w:cs="Arial" w:eastAsia="Arial" w:hAnsi="Arial"/>
                <w:sz w:val="17"/>
                <w:szCs w:val="17"/>
                <w:color w:val="auto"/>
              </w:rPr>
            </w:pPr>
            <w:hyperlink r:id="rId149">
              <w:r>
                <w:rPr>
                  <w:rFonts w:ascii="Arial" w:cs="Arial" w:eastAsia="Arial" w:hAnsi="Arial"/>
                  <w:sz w:val="17"/>
                  <w:szCs w:val="17"/>
                  <w:color w:val="auto"/>
                </w:rPr>
                <w:t>Amended and Restated Articles of Incorporation, as amended (1)</w:t>
              </w:r>
            </w:hyperlink>
          </w:p>
        </w:tc>
      </w:tr>
      <w:tr>
        <w:trPr>
          <w:trHeight w:val="220"/>
        </w:trPr>
        <w:tc>
          <w:tcPr>
            <w:tcW w:w="1840" w:type="dxa"/>
            <w:vAlign w:val="bottom"/>
          </w:tcPr>
          <w:p>
            <w:pPr>
              <w:ind w:left="1060"/>
              <w:spacing w:after="0"/>
              <w:rPr>
                <w:rFonts w:ascii="Arial" w:cs="Arial" w:eastAsia="Arial" w:hAnsi="Arial"/>
                <w:sz w:val="17"/>
                <w:szCs w:val="17"/>
                <w:color w:val="auto"/>
              </w:rPr>
            </w:pPr>
            <w:hyperlink r:id="rId150">
              <w:r>
                <w:rPr>
                  <w:rFonts w:ascii="Arial" w:cs="Arial" w:eastAsia="Arial" w:hAnsi="Arial"/>
                  <w:sz w:val="17"/>
                  <w:szCs w:val="17"/>
                  <w:color w:val="auto"/>
                </w:rPr>
                <w:t>3.2</w:t>
              </w:r>
            </w:hyperlink>
          </w:p>
        </w:tc>
        <w:tc>
          <w:tcPr>
            <w:tcW w:w="9200" w:type="dxa"/>
            <w:vAlign w:val="bottom"/>
          </w:tcPr>
          <w:p>
            <w:pPr>
              <w:ind w:left="140"/>
              <w:spacing w:after="0"/>
              <w:rPr>
                <w:rFonts w:ascii="Arial" w:cs="Arial" w:eastAsia="Arial" w:hAnsi="Arial"/>
                <w:sz w:val="17"/>
                <w:szCs w:val="17"/>
                <w:color w:val="auto"/>
              </w:rPr>
            </w:pPr>
            <w:hyperlink r:id="rId150">
              <w:r>
                <w:rPr>
                  <w:rFonts w:ascii="Arial" w:cs="Arial" w:eastAsia="Arial" w:hAnsi="Arial"/>
                  <w:sz w:val="17"/>
                  <w:szCs w:val="17"/>
                  <w:color w:val="auto"/>
                </w:rPr>
                <w:t>Amended and Restated Bylaws of Ocwen Financial Corporation (2)</w:t>
              </w:r>
            </w:hyperlink>
          </w:p>
        </w:tc>
      </w:tr>
      <w:tr>
        <w:trPr>
          <w:trHeight w:val="168"/>
        </w:trPr>
        <w:tc>
          <w:tcPr>
            <w:tcW w:w="1840" w:type="dxa"/>
            <w:vAlign w:val="bottom"/>
          </w:tcPr>
          <w:p>
            <w:pPr>
              <w:ind w:left="1060"/>
              <w:spacing w:after="0" w:line="168" w:lineRule="exact"/>
              <w:rPr>
                <w:sz w:val="20"/>
                <w:szCs w:val="20"/>
                <w:color w:val="auto"/>
              </w:rPr>
            </w:pPr>
            <w:r>
              <w:rPr>
                <w:rFonts w:ascii="Arial" w:cs="Arial" w:eastAsia="Arial" w:hAnsi="Arial"/>
                <w:sz w:val="17"/>
                <w:szCs w:val="17"/>
                <w:color w:val="auto"/>
              </w:rPr>
              <w:t>4.1</w:t>
            </w:r>
          </w:p>
        </w:tc>
        <w:tc>
          <w:tcPr>
            <w:tcW w:w="9200" w:type="dxa"/>
            <w:vAlign w:val="bottom"/>
          </w:tcPr>
          <w:p>
            <w:pPr>
              <w:ind w:left="140"/>
              <w:spacing w:after="0" w:line="168" w:lineRule="exact"/>
              <w:rPr>
                <w:sz w:val="20"/>
                <w:szCs w:val="20"/>
                <w:color w:val="auto"/>
              </w:rPr>
            </w:pPr>
            <w:r>
              <w:rPr>
                <w:rFonts w:ascii="Arial" w:cs="Arial" w:eastAsia="Arial" w:hAnsi="Arial"/>
                <w:sz w:val="17"/>
                <w:szCs w:val="17"/>
                <w:color w:val="auto"/>
                <w:w w:val="90"/>
              </w:rPr>
              <w:t>The Company agrees to furnish to the Securities and Exchange Commission upon request a copy of each instrument with respect to</w:t>
            </w:r>
          </w:p>
        </w:tc>
      </w:tr>
      <w:tr>
        <w:trPr>
          <w:trHeight w:val="181"/>
        </w:trPr>
        <w:tc>
          <w:tcPr>
            <w:tcW w:w="1840" w:type="dxa"/>
            <w:vAlign w:val="bottom"/>
          </w:tcPr>
          <w:p>
            <w:pPr>
              <w:spacing w:after="0"/>
              <w:rPr>
                <w:sz w:val="15"/>
                <w:szCs w:val="15"/>
                <w:color w:val="auto"/>
              </w:rPr>
            </w:pPr>
          </w:p>
        </w:tc>
        <w:tc>
          <w:tcPr>
            <w:tcW w:w="9200" w:type="dxa"/>
            <w:vAlign w:val="bottom"/>
          </w:tcPr>
          <w:p>
            <w:pPr>
              <w:ind w:left="140"/>
              <w:spacing w:after="0" w:line="181" w:lineRule="exact"/>
              <w:rPr>
                <w:sz w:val="20"/>
                <w:szCs w:val="20"/>
                <w:color w:val="auto"/>
              </w:rPr>
            </w:pPr>
            <w:r>
              <w:rPr>
                <w:rFonts w:ascii="Arial" w:cs="Arial" w:eastAsia="Arial" w:hAnsi="Arial"/>
                <w:sz w:val="17"/>
                <w:szCs w:val="17"/>
                <w:color w:val="auto"/>
                <w:w w:val="91"/>
              </w:rPr>
              <w:t>the issuance of long-term debt of the Company and its subsidiaries, the authorized principal amount of which does not exceed 10%</w:t>
            </w:r>
          </w:p>
        </w:tc>
      </w:tr>
      <w:tr>
        <w:trPr>
          <w:trHeight w:val="219"/>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Arial" w:cs="Arial" w:eastAsia="Arial" w:hAnsi="Arial"/>
                <w:sz w:val="17"/>
                <w:szCs w:val="17"/>
                <w:color w:val="auto"/>
              </w:rPr>
              <w:t>of the consolidated assets of the Company and its subsidiaries.</w:t>
            </w:r>
          </w:p>
        </w:tc>
      </w:tr>
      <w:tr>
        <w:trPr>
          <w:trHeight w:val="220"/>
        </w:trPr>
        <w:tc>
          <w:tcPr>
            <w:tcW w:w="1840" w:type="dxa"/>
            <w:vAlign w:val="bottom"/>
          </w:tcPr>
          <w:p>
            <w:pPr>
              <w:ind w:left="1060"/>
              <w:spacing w:after="0"/>
              <w:rPr>
                <w:sz w:val="20"/>
                <w:szCs w:val="20"/>
                <w:color w:val="auto"/>
              </w:rPr>
            </w:pPr>
            <w:r>
              <w:rPr>
                <w:rFonts w:ascii="Arial" w:cs="Arial" w:eastAsia="Arial" w:hAnsi="Arial"/>
                <w:sz w:val="17"/>
                <w:szCs w:val="17"/>
                <w:color w:val="auto"/>
              </w:rPr>
              <w:t>31.1</w:t>
            </w:r>
          </w:p>
        </w:tc>
        <w:tc>
          <w:tcPr>
            <w:tcW w:w="9200" w:type="dxa"/>
            <w:vAlign w:val="bottom"/>
          </w:tcPr>
          <w:p>
            <w:pPr>
              <w:ind w:left="140"/>
              <w:spacing w:after="0"/>
              <w:rPr>
                <w:sz w:val="20"/>
                <w:szCs w:val="20"/>
                <w:color w:val="auto"/>
              </w:rPr>
            </w:pPr>
            <w:r>
              <w:rPr>
                <w:rFonts w:ascii="Arial" w:cs="Arial" w:eastAsia="Arial" w:hAnsi="Arial"/>
                <w:sz w:val="17"/>
                <w:szCs w:val="17"/>
                <w:color w:val="auto"/>
              </w:rPr>
              <w:t>Certification of the principal executive officer pursuant to Section 302 of the Sarbanes-Oxley Act of 2002 (filed herewith)</w:t>
            </w:r>
          </w:p>
        </w:tc>
      </w:tr>
      <w:tr>
        <w:trPr>
          <w:trHeight w:val="220"/>
        </w:trPr>
        <w:tc>
          <w:tcPr>
            <w:tcW w:w="1840" w:type="dxa"/>
            <w:vAlign w:val="bottom"/>
          </w:tcPr>
          <w:p>
            <w:pPr>
              <w:ind w:left="1060"/>
              <w:spacing w:after="0"/>
              <w:rPr>
                <w:sz w:val="20"/>
                <w:szCs w:val="20"/>
                <w:color w:val="auto"/>
              </w:rPr>
            </w:pPr>
            <w:r>
              <w:rPr>
                <w:rFonts w:ascii="Arial" w:cs="Arial" w:eastAsia="Arial" w:hAnsi="Arial"/>
                <w:sz w:val="17"/>
                <w:szCs w:val="17"/>
                <w:color w:val="auto"/>
              </w:rPr>
              <w:t>31.2</w:t>
            </w:r>
          </w:p>
        </w:tc>
        <w:tc>
          <w:tcPr>
            <w:tcW w:w="9200" w:type="dxa"/>
            <w:vAlign w:val="bottom"/>
          </w:tcPr>
          <w:p>
            <w:pPr>
              <w:ind w:left="140"/>
              <w:spacing w:after="0"/>
              <w:rPr>
                <w:sz w:val="20"/>
                <w:szCs w:val="20"/>
                <w:color w:val="auto"/>
              </w:rPr>
            </w:pPr>
            <w:r>
              <w:rPr>
                <w:rFonts w:ascii="Arial" w:cs="Arial" w:eastAsia="Arial" w:hAnsi="Arial"/>
                <w:sz w:val="17"/>
                <w:szCs w:val="17"/>
                <w:color w:val="auto"/>
              </w:rPr>
              <w:t>Certification of the principal financial officer pursuant to Section 302 of the Sarbanes-Oxley Act of 2002 (filed herewith)</w:t>
            </w:r>
          </w:p>
        </w:tc>
      </w:tr>
      <w:tr>
        <w:trPr>
          <w:trHeight w:val="168"/>
        </w:trPr>
        <w:tc>
          <w:tcPr>
            <w:tcW w:w="1840" w:type="dxa"/>
            <w:vAlign w:val="bottom"/>
          </w:tcPr>
          <w:p>
            <w:pPr>
              <w:ind w:left="1060"/>
              <w:spacing w:after="0" w:line="168" w:lineRule="exact"/>
              <w:rPr>
                <w:sz w:val="20"/>
                <w:szCs w:val="20"/>
                <w:color w:val="auto"/>
              </w:rPr>
            </w:pPr>
            <w:r>
              <w:rPr>
                <w:rFonts w:ascii="Arial" w:cs="Arial" w:eastAsia="Arial" w:hAnsi="Arial"/>
                <w:sz w:val="17"/>
                <w:szCs w:val="17"/>
                <w:color w:val="auto"/>
              </w:rPr>
              <w:t>32.1</w:t>
            </w:r>
          </w:p>
        </w:tc>
        <w:tc>
          <w:tcPr>
            <w:tcW w:w="9200" w:type="dxa"/>
            <w:vAlign w:val="bottom"/>
          </w:tcPr>
          <w:p>
            <w:pPr>
              <w:ind w:left="140"/>
              <w:spacing w:after="0" w:line="168" w:lineRule="exact"/>
              <w:rPr>
                <w:sz w:val="20"/>
                <w:szCs w:val="20"/>
                <w:color w:val="auto"/>
              </w:rPr>
            </w:pPr>
            <w:r>
              <w:rPr>
                <w:rFonts w:ascii="Arial" w:cs="Arial" w:eastAsia="Arial" w:hAnsi="Arial"/>
                <w:sz w:val="17"/>
                <w:szCs w:val="17"/>
                <w:color w:val="auto"/>
                <w:w w:val="97"/>
              </w:rPr>
              <w:t>Certification of the principal executive officer pursuant to 18 U.S.C. Section 1350, as adopted pursuant to Section 906 of the</w:t>
            </w:r>
          </w:p>
        </w:tc>
      </w:tr>
      <w:tr>
        <w:trPr>
          <w:trHeight w:val="219"/>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Arial" w:cs="Arial" w:eastAsia="Arial" w:hAnsi="Arial"/>
                <w:sz w:val="17"/>
                <w:szCs w:val="17"/>
                <w:color w:val="auto"/>
              </w:rPr>
              <w:t>Sarbanes-Oxley Act of 2002 (furnished herewith)</w:t>
            </w:r>
          </w:p>
        </w:tc>
      </w:tr>
      <w:tr>
        <w:trPr>
          <w:trHeight w:val="181"/>
        </w:trPr>
        <w:tc>
          <w:tcPr>
            <w:tcW w:w="1840" w:type="dxa"/>
            <w:vAlign w:val="bottom"/>
          </w:tcPr>
          <w:p>
            <w:pPr>
              <w:ind w:left="1060"/>
              <w:spacing w:after="0" w:line="181" w:lineRule="exact"/>
              <w:rPr>
                <w:sz w:val="20"/>
                <w:szCs w:val="20"/>
                <w:color w:val="auto"/>
              </w:rPr>
            </w:pPr>
            <w:r>
              <w:rPr>
                <w:rFonts w:ascii="Arial" w:cs="Arial" w:eastAsia="Arial" w:hAnsi="Arial"/>
                <w:sz w:val="17"/>
                <w:szCs w:val="17"/>
                <w:color w:val="auto"/>
              </w:rPr>
              <w:t>32.2</w:t>
            </w:r>
          </w:p>
        </w:tc>
        <w:tc>
          <w:tcPr>
            <w:tcW w:w="9200" w:type="dxa"/>
            <w:vAlign w:val="bottom"/>
          </w:tcPr>
          <w:p>
            <w:pPr>
              <w:ind w:left="140"/>
              <w:spacing w:after="0" w:line="181" w:lineRule="exact"/>
              <w:rPr>
                <w:sz w:val="20"/>
                <w:szCs w:val="20"/>
                <w:color w:val="auto"/>
              </w:rPr>
            </w:pPr>
            <w:r>
              <w:rPr>
                <w:rFonts w:ascii="Arial" w:cs="Arial" w:eastAsia="Arial" w:hAnsi="Arial"/>
                <w:sz w:val="17"/>
                <w:szCs w:val="17"/>
                <w:color w:val="auto"/>
                <w:w w:val="98"/>
              </w:rPr>
              <w:t>Certification of the principal financial officer pursuant to 18 U.S.C. Section 1350, as adopted pursuant to Section 906 of the</w:t>
            </w:r>
          </w:p>
        </w:tc>
      </w:tr>
      <w:tr>
        <w:trPr>
          <w:trHeight w:val="219"/>
        </w:trPr>
        <w:tc>
          <w:tcPr>
            <w:tcW w:w="184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Arial" w:cs="Arial" w:eastAsia="Arial" w:hAnsi="Arial"/>
                <w:sz w:val="17"/>
                <w:szCs w:val="17"/>
                <w:color w:val="auto"/>
              </w:rPr>
              <w:t>Sarbanes-Oxley Act of 2002 (furnished herewith)</w:t>
            </w:r>
          </w:p>
        </w:tc>
      </w:tr>
    </w:tbl>
    <w:p>
      <w:pPr>
        <w:spacing w:after="0" w:line="13" w:lineRule="exact"/>
        <w:rPr>
          <w:sz w:val="20"/>
          <w:szCs w:val="20"/>
          <w:color w:val="auto"/>
        </w:rPr>
      </w:pPr>
    </w:p>
    <w:p>
      <w:pPr>
        <w:ind w:left="1980" w:right="160" w:hanging="861"/>
        <w:spacing w:after="0" w:line="261" w:lineRule="auto"/>
        <w:tabs>
          <w:tab w:leader="none" w:pos="198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following financial statements from the Company’s Quarterly Report on Form 10-Q for the quarter ended September 30, 2023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spacing w:after="0" w:line="219" w:lineRule="exact"/>
        <w:rPr>
          <w:sz w:val="20"/>
          <w:szCs w:val="20"/>
          <w:color w:val="auto"/>
        </w:rPr>
      </w:pPr>
    </w:p>
    <w:p>
      <w:pPr>
        <w:ind w:left="1980" w:right="120" w:hanging="861"/>
        <w:spacing w:after="0" w:line="237" w:lineRule="auto"/>
        <w:tabs>
          <w:tab w:leader="none" w:pos="198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cover page from the Company’s Quarterly Report on Form 10-Q for the quarter ended September 30, 2023, formatted in Inline XBRL (Included as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8" w:lineRule="exact"/>
        <w:rPr>
          <w:rFonts w:ascii="Arial" w:cs="Arial" w:eastAsia="Arial" w:hAnsi="Arial"/>
          <w:sz w:val="17"/>
          <w:szCs w:val="17"/>
          <w:color w:val="auto"/>
        </w:rPr>
      </w:pPr>
    </w:p>
    <w:p>
      <w:pPr>
        <w:ind w:left="320" w:right="280" w:hanging="317"/>
        <w:spacing w:after="0" w:line="277" w:lineRule="auto"/>
        <w:tabs>
          <w:tab w:leader="none" w:pos="3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to the Registrant’s Form 10-Q for the period ended September 30, 2020 filed on November 3, 2020.</w:t>
      </w:r>
    </w:p>
    <w:p>
      <w:pPr>
        <w:spacing w:after="0" w:line="1" w:lineRule="exact"/>
        <w:rPr>
          <w:rFonts w:ascii="Arial" w:cs="Arial" w:eastAsia="Arial" w:hAnsi="Arial"/>
          <w:sz w:val="17"/>
          <w:szCs w:val="17"/>
          <w:color w:val="auto"/>
        </w:rPr>
      </w:pPr>
    </w:p>
    <w:p>
      <w:pPr>
        <w:ind w:left="300" w:hanging="297"/>
        <w:spacing w:after="0"/>
        <w:tabs>
          <w:tab w:leader="none" w:pos="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967" w:right="41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8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Ocwen Financial Corporation</w:t>
      </w:r>
    </w:p>
    <w:p>
      <w:pPr>
        <w:spacing w:after="0" w:line="244" w:lineRule="exact"/>
        <w:rPr>
          <w:sz w:val="20"/>
          <w:szCs w:val="20"/>
          <w:color w:val="auto"/>
        </w:rPr>
      </w:pPr>
    </w:p>
    <w:p>
      <w:pPr>
        <w:ind w:left="5520"/>
        <w:spacing w:after="0"/>
        <w:tabs>
          <w:tab w:leader="none" w:pos="62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15240</wp:posOffset>
            </wp:positionV>
            <wp:extent cx="31673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167380" cy="8255"/>
                    </a:xfrm>
                    <a:prstGeom prst="rect">
                      <a:avLst/>
                    </a:prstGeom>
                    <a:noFill/>
                  </pic:spPr>
                </pic:pic>
              </a:graphicData>
            </a:graphic>
          </wp:anchor>
        </w:drawing>
      </w:r>
    </w:p>
    <w:p>
      <w:pPr>
        <w:spacing w:after="0" w:line="1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Sean B. O’Neil</w:t>
      </w:r>
    </w:p>
    <w:p>
      <w:pPr>
        <w:spacing w:after="0" w:line="11"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Executive Vice President and Chief Financial Officer</w:t>
      </w:r>
    </w:p>
    <w:p>
      <w:pPr>
        <w:ind w:left="624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November 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200"/>
          </w:cols>
          <w:pgMar w:left="320" w:top="1013" w:right="37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Glen A. Messina, certify that:</w:t>
      </w:r>
    </w:p>
    <w:p>
      <w:pPr>
        <w:spacing w:after="0" w:line="218" w:lineRule="exact"/>
        <w:rPr>
          <w:sz w:val="20"/>
          <w:szCs w:val="20"/>
          <w:color w:val="auto"/>
        </w:rPr>
      </w:pPr>
    </w:p>
    <w:p>
      <w:pPr>
        <w:ind w:left="860" w:hanging="314"/>
        <w:spacing w:after="0"/>
        <w:tabs>
          <w:tab w:leader="none" w:pos="8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Ocwen Financial Corporation;</w:t>
      </w:r>
    </w:p>
    <w:p>
      <w:pPr>
        <w:spacing w:after="0" w:line="243" w:lineRule="exact"/>
        <w:rPr>
          <w:rFonts w:ascii="Arial" w:cs="Arial" w:eastAsia="Arial" w:hAnsi="Arial"/>
          <w:sz w:val="17"/>
          <w:szCs w:val="17"/>
          <w:color w:val="auto"/>
        </w:rPr>
      </w:pPr>
    </w:p>
    <w:p>
      <w:pPr>
        <w:jc w:val="both"/>
        <w:ind w:left="860" w:right="380" w:hanging="314"/>
        <w:spacing w:after="0" w:line="268" w:lineRule="auto"/>
        <w:tabs>
          <w:tab w:leader="none" w:pos="8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860" w:right="80" w:hanging="314"/>
        <w:spacing w:after="0" w:line="283" w:lineRule="auto"/>
        <w:tabs>
          <w:tab w:leader="none" w:pos="8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80" w:hanging="314"/>
        <w:spacing w:after="0" w:line="268" w:lineRule="auto"/>
        <w:tabs>
          <w:tab w:leader="none" w:pos="854"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7" w:lineRule="exact"/>
        <w:rPr>
          <w:rFonts w:ascii="Arial" w:cs="Arial" w:eastAsia="Arial" w:hAnsi="Arial"/>
          <w:sz w:val="17"/>
          <w:szCs w:val="17"/>
          <w:color w:val="auto"/>
        </w:rPr>
      </w:pPr>
    </w:p>
    <w:p>
      <w:pPr>
        <w:ind w:left="1160" w:right="320" w:hanging="304"/>
        <w:spacing w:after="0" w:line="268" w:lineRule="auto"/>
        <w:tabs>
          <w:tab w:leader="none" w:pos="115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60" w:hanging="304"/>
        <w:spacing w:after="0" w:line="268" w:lineRule="auto"/>
        <w:tabs>
          <w:tab w:leader="none" w:pos="11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60" w:right="760" w:hanging="304"/>
        <w:spacing w:after="0" w:line="353" w:lineRule="auto"/>
        <w:tabs>
          <w:tab w:leader="none" w:pos="1150" w:val="left"/>
        </w:tabs>
        <w:numPr>
          <w:ilvl w:val="1"/>
          <w:numId w:val="6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60" w:right="20" w:hanging="304"/>
        <w:spacing w:after="0" w:line="268" w:lineRule="auto"/>
        <w:tabs>
          <w:tab w:leader="none" w:pos="11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60" w:right="80" w:hanging="314"/>
        <w:spacing w:after="0" w:line="315" w:lineRule="auto"/>
        <w:tabs>
          <w:tab w:leader="none" w:pos="85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160" w:right="220" w:hanging="304"/>
        <w:spacing w:after="0" w:line="283" w:lineRule="auto"/>
        <w:tabs>
          <w:tab w:leader="none" w:pos="115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60" w:right="160" w:hanging="304"/>
        <w:spacing w:after="0" w:line="261" w:lineRule="auto"/>
        <w:tabs>
          <w:tab w:leader="none" w:pos="11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Date: November 7, 2023</w:t>
      </w:r>
      <w:r>
        <w:rPr>
          <w:sz w:val="20"/>
          <w:szCs w:val="20"/>
          <w:color w:val="auto"/>
        </w:rPr>
        <w:tab/>
      </w:r>
      <w:r>
        <w:rPr>
          <w:rFonts w:ascii="Arial" w:cs="Arial" w:eastAsia="Arial" w:hAnsi="Arial"/>
          <w:sz w:val="15"/>
          <w:szCs w:val="15"/>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wp:posOffset>
            </wp:positionV>
            <wp:extent cx="31997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Glen A. Messina, President</w:t>
      </w:r>
    </w:p>
    <w:p>
      <w:pPr>
        <w:ind w:left="6200"/>
        <w:spacing w:after="0"/>
        <w:rPr>
          <w:sz w:val="20"/>
          <w:szCs w:val="20"/>
          <w:color w:val="auto"/>
        </w:rPr>
      </w:pPr>
      <w:r>
        <w:rPr>
          <w:rFonts w:ascii="Arial" w:cs="Arial" w:eastAsia="Arial" w:hAnsi="Arial"/>
          <w:sz w:val="17"/>
          <w:szCs w:val="17"/>
          <w:color w:val="auto"/>
        </w:rPr>
        <w:t>and Chief Executive Officer</w:t>
      </w:r>
    </w:p>
    <w:p>
      <w:pPr>
        <w:sectPr>
          <w:pgSz w:w="11900" w:h="16838" w:orient="portrait"/>
          <w:cols w:equalWidth="0" w:num="1">
            <w:col w:w="11240"/>
          </w:cols>
          <w:pgMar w:left="320" w:top="1038"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Sean B. O'Neil, certify that:</w:t>
      </w:r>
    </w:p>
    <w:p>
      <w:pPr>
        <w:spacing w:after="0" w:line="218" w:lineRule="exact"/>
        <w:rPr>
          <w:sz w:val="20"/>
          <w:szCs w:val="20"/>
          <w:color w:val="auto"/>
        </w:rPr>
      </w:pPr>
    </w:p>
    <w:p>
      <w:pPr>
        <w:ind w:left="860" w:hanging="314"/>
        <w:spacing w:after="0"/>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Ocwen Financial Corporation;</w:t>
      </w:r>
    </w:p>
    <w:p>
      <w:pPr>
        <w:spacing w:after="0" w:line="243" w:lineRule="exact"/>
        <w:rPr>
          <w:rFonts w:ascii="Arial" w:cs="Arial" w:eastAsia="Arial" w:hAnsi="Arial"/>
          <w:sz w:val="17"/>
          <w:szCs w:val="17"/>
          <w:color w:val="auto"/>
        </w:rPr>
      </w:pPr>
    </w:p>
    <w:p>
      <w:pPr>
        <w:jc w:val="both"/>
        <w:ind w:left="860" w:right="380" w:hanging="314"/>
        <w:spacing w:after="0" w:line="268" w:lineRule="auto"/>
        <w:tabs>
          <w:tab w:leader="none" w:pos="8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860" w:right="80" w:hanging="314"/>
        <w:spacing w:after="0" w:line="283" w:lineRule="auto"/>
        <w:tabs>
          <w:tab w:leader="none" w:pos="8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860" w:right="80" w:hanging="314"/>
        <w:spacing w:after="0" w:line="268" w:lineRule="auto"/>
        <w:tabs>
          <w:tab w:leader="none" w:pos="85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97" w:lineRule="exact"/>
        <w:rPr>
          <w:rFonts w:ascii="Arial" w:cs="Arial" w:eastAsia="Arial" w:hAnsi="Arial"/>
          <w:sz w:val="17"/>
          <w:szCs w:val="17"/>
          <w:color w:val="auto"/>
        </w:rPr>
      </w:pPr>
    </w:p>
    <w:p>
      <w:pPr>
        <w:ind w:left="1160" w:right="320" w:hanging="304"/>
        <w:spacing w:after="0" w:line="268" w:lineRule="auto"/>
        <w:tabs>
          <w:tab w:leader="none" w:pos="115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60" w:hanging="304"/>
        <w:spacing w:after="0" w:line="268" w:lineRule="auto"/>
        <w:tabs>
          <w:tab w:leader="none" w:pos="11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60" w:right="760" w:hanging="304"/>
        <w:spacing w:after="0" w:line="353" w:lineRule="auto"/>
        <w:tabs>
          <w:tab w:leader="none" w:pos="1150" w:val="left"/>
        </w:tabs>
        <w:numPr>
          <w:ilvl w:val="1"/>
          <w:numId w:val="6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60" w:right="20" w:hanging="304"/>
        <w:spacing w:after="0" w:line="268" w:lineRule="auto"/>
        <w:tabs>
          <w:tab w:leader="none" w:pos="11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2" w:lineRule="exact"/>
        <w:rPr>
          <w:rFonts w:ascii="Arial" w:cs="Arial" w:eastAsia="Arial" w:hAnsi="Arial"/>
          <w:sz w:val="17"/>
          <w:szCs w:val="17"/>
          <w:color w:val="auto"/>
        </w:rPr>
      </w:pPr>
    </w:p>
    <w:p>
      <w:pPr>
        <w:ind w:left="860" w:right="80" w:hanging="314"/>
        <w:spacing w:after="0" w:line="315" w:lineRule="auto"/>
        <w:tabs>
          <w:tab w:leader="none" w:pos="85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160" w:right="220" w:hanging="304"/>
        <w:spacing w:after="0" w:line="283" w:lineRule="auto"/>
        <w:tabs>
          <w:tab w:leader="none" w:pos="115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160" w:right="160" w:hanging="304"/>
        <w:spacing w:after="0" w:line="283" w:lineRule="auto"/>
        <w:tabs>
          <w:tab w:leader="none" w:pos="11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November 7, 2023</w:t>
      </w:r>
      <w:r>
        <w:rPr>
          <w:sz w:val="20"/>
          <w:szCs w:val="20"/>
          <w:color w:val="auto"/>
        </w:rPr>
        <w:tab/>
      </w:r>
      <w:r>
        <w:rPr>
          <w:rFonts w:ascii="Arial" w:cs="Arial" w:eastAsia="Arial" w:hAnsi="Arial"/>
          <w:sz w:val="15"/>
          <w:szCs w:val="15"/>
          <w:color w:val="auto"/>
        </w:rPr>
        <w:t>/s/ Sean B. O'Neil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15240</wp:posOffset>
            </wp:positionV>
            <wp:extent cx="3199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3199765" cy="825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Sean O'Neil, Executive Vice President and Chief Financial Officer</w:t>
      </w:r>
    </w:p>
    <w:p>
      <w:pPr>
        <w:sectPr>
          <w:pgSz w:w="11900" w:h="16838" w:orient="portrait"/>
          <w:cols w:equalWidth="0" w:num="1">
            <w:col w:w="11240"/>
          </w:cols>
          <w:pgMar w:left="320" w:top="1039"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Glen A. Messina, state and attest that:</w:t>
      </w:r>
    </w:p>
    <w:p>
      <w:pPr>
        <w:spacing w:after="0" w:line="218" w:lineRule="exact"/>
        <w:rPr>
          <w:sz w:val="20"/>
          <w:szCs w:val="20"/>
          <w:color w:val="auto"/>
        </w:rPr>
      </w:pPr>
    </w:p>
    <w:p>
      <w:pPr>
        <w:ind w:left="460" w:hanging="379"/>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am the principal executive officer of Ocwen Financial Corporation (the Registrant).</w:t>
      </w:r>
    </w:p>
    <w:p>
      <w:pPr>
        <w:spacing w:after="0" w:line="243" w:lineRule="exact"/>
        <w:rPr>
          <w:rFonts w:ascii="Arial" w:cs="Arial" w:eastAsia="Arial" w:hAnsi="Arial"/>
          <w:sz w:val="17"/>
          <w:szCs w:val="17"/>
          <w:color w:val="auto"/>
        </w:rPr>
      </w:pPr>
    </w:p>
    <w:p>
      <w:pPr>
        <w:ind w:left="460" w:hanging="379"/>
        <w:spacing w:after="0"/>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hereby certify, pursuant to 18 U.S.C. Section 1350, as adopted pursuant to Section 906 of the Sarbanes-Oxley Act of 2002, that</w:t>
      </w:r>
    </w:p>
    <w:p>
      <w:pPr>
        <w:spacing w:after="0" w:line="243" w:lineRule="exact"/>
        <w:rPr>
          <w:rFonts w:ascii="Arial" w:cs="Arial" w:eastAsia="Arial" w:hAnsi="Arial"/>
          <w:sz w:val="17"/>
          <w:szCs w:val="17"/>
          <w:color w:val="auto"/>
        </w:rPr>
      </w:pPr>
    </w:p>
    <w:p>
      <w:pPr>
        <w:ind w:left="940" w:right="20" w:hanging="316"/>
        <w:spacing w:after="0" w:line="353" w:lineRule="auto"/>
        <w:tabs>
          <w:tab w:leader="none" w:pos="936" w:val="left"/>
        </w:tabs>
        <w:numPr>
          <w:ilvl w:val="1"/>
          <w:numId w:val="70"/>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September 30, 2023 (the periodic report) containing financial statements fully complies with the requirements of Section 13(a) or 15(d), as applicable, of the Securities Exchange Act of 1934 (15 U.S.C. 78m or 78o(d)); and</w:t>
      </w:r>
    </w:p>
    <w:p>
      <w:pPr>
        <w:spacing w:after="0" w:line="138" w:lineRule="exact"/>
        <w:rPr>
          <w:rFonts w:ascii="Arial" w:cs="Arial" w:eastAsia="Arial" w:hAnsi="Arial"/>
          <w:sz w:val="15"/>
          <w:szCs w:val="15"/>
          <w:color w:val="auto"/>
        </w:rPr>
      </w:pPr>
    </w:p>
    <w:p>
      <w:pPr>
        <w:ind w:left="940" w:right="440" w:hanging="316"/>
        <w:spacing w:after="0" w:line="283" w:lineRule="auto"/>
        <w:tabs>
          <w:tab w:leader="none" w:pos="936"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Glen A. Messina</w:t>
            </w:r>
          </w:p>
        </w:tc>
      </w:tr>
      <w:tr>
        <w:trPr>
          <w:trHeight w:val="226"/>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538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245"/>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5380" w:type="dxa"/>
            <w:vAlign w:val="bottom"/>
          </w:tcPr>
          <w:p>
            <w:pPr>
              <w:ind w:left="20"/>
              <w:spacing w:after="0"/>
              <w:rPr>
                <w:sz w:val="20"/>
                <w:szCs w:val="20"/>
                <w:color w:val="auto"/>
              </w:rPr>
            </w:pPr>
            <w:r>
              <w:rPr>
                <w:rFonts w:ascii="Arial" w:cs="Arial" w:eastAsia="Arial" w:hAnsi="Arial"/>
                <w:sz w:val="17"/>
                <w:szCs w:val="17"/>
                <w:color w:val="auto"/>
              </w:rPr>
              <w:t>November 7, 2023</w:t>
            </w:r>
          </w:p>
        </w:tc>
      </w:tr>
    </w:tbl>
    <w:p>
      <w:pPr>
        <w:sectPr>
          <w:pgSz w:w="11900" w:h="16838" w:orient="portrait"/>
          <w:cols w:equalWidth="0" w:num="1">
            <w:col w:w="11240"/>
          </w:cols>
          <w:pgMar w:left="320" w:top="1038"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213360</wp:posOffset>
            </wp:positionH>
            <wp:positionV relativeFrom="page">
              <wp:posOffset>572770</wp:posOffset>
            </wp:positionV>
            <wp:extent cx="712152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21525" cy="16510"/>
                    </a:xfrm>
                    <a:prstGeom prst="rect">
                      <a:avLst/>
                    </a:prstGeom>
                    <a:noFill/>
                  </pic:spPr>
                </pic:pic>
              </a:graphicData>
            </a:graphic>
          </wp:anchor>
        </w:drawing>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 Sean B. O'Neil, state and attest that:</w:t>
      </w:r>
    </w:p>
    <w:p>
      <w:pPr>
        <w:spacing w:after="0" w:line="218" w:lineRule="exact"/>
        <w:rPr>
          <w:sz w:val="20"/>
          <w:szCs w:val="20"/>
          <w:color w:val="auto"/>
        </w:rPr>
      </w:pPr>
    </w:p>
    <w:p>
      <w:pPr>
        <w:ind w:left="460" w:hanging="379"/>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am the principal financial officer of Ocwen Financial Corporation (the Registrant).</w:t>
      </w:r>
    </w:p>
    <w:p>
      <w:pPr>
        <w:spacing w:after="0" w:line="243" w:lineRule="exact"/>
        <w:rPr>
          <w:rFonts w:ascii="Arial" w:cs="Arial" w:eastAsia="Arial" w:hAnsi="Arial"/>
          <w:sz w:val="17"/>
          <w:szCs w:val="17"/>
          <w:color w:val="auto"/>
        </w:rPr>
      </w:pPr>
    </w:p>
    <w:p>
      <w:pPr>
        <w:ind w:left="460" w:hanging="379"/>
        <w:spacing w:after="0"/>
        <w:tabs>
          <w:tab w:leader="none" w:pos="4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 hereby certify, pursuant to 18 U.S.C. Section 1350, as adopted pursuant to Section 906 of the Sarbanes-Oxley Act of 2002, that</w:t>
      </w:r>
    </w:p>
    <w:p>
      <w:pPr>
        <w:spacing w:after="0" w:line="243" w:lineRule="exact"/>
        <w:rPr>
          <w:rFonts w:ascii="Arial" w:cs="Arial" w:eastAsia="Arial" w:hAnsi="Arial"/>
          <w:sz w:val="17"/>
          <w:szCs w:val="17"/>
          <w:color w:val="auto"/>
        </w:rPr>
      </w:pPr>
    </w:p>
    <w:p>
      <w:pPr>
        <w:ind w:left="940" w:right="20" w:hanging="316"/>
        <w:spacing w:after="0" w:line="353" w:lineRule="auto"/>
        <w:tabs>
          <w:tab w:leader="none" w:pos="936" w:val="left"/>
        </w:tabs>
        <w:numPr>
          <w:ilvl w:val="1"/>
          <w:numId w:val="71"/>
        </w:numPr>
        <w:rPr>
          <w:rFonts w:ascii="Arial" w:cs="Arial" w:eastAsia="Arial" w:hAnsi="Arial"/>
          <w:sz w:val="15"/>
          <w:szCs w:val="15"/>
          <w:color w:val="auto"/>
        </w:rPr>
      </w:pPr>
      <w:r>
        <w:rPr>
          <w:rFonts w:ascii="Arial" w:cs="Arial" w:eastAsia="Arial" w:hAnsi="Arial"/>
          <w:sz w:val="15"/>
          <w:szCs w:val="15"/>
          <w:color w:val="auto"/>
        </w:rPr>
        <w:t>the Quarterly Report on Form 10-Q of the Registrant for the quarter ended September 30, 2023 (the periodic report) containing financial statements fully complies with the requirements of Section 13(a) or 15(d), as applicable, of the Securities Exchange Act of 1934 (15 U.S.C. 78m or 78o(d)); and</w:t>
      </w:r>
    </w:p>
    <w:p>
      <w:pPr>
        <w:spacing w:after="0" w:line="138" w:lineRule="exact"/>
        <w:rPr>
          <w:rFonts w:ascii="Arial" w:cs="Arial" w:eastAsia="Arial" w:hAnsi="Arial"/>
          <w:sz w:val="15"/>
          <w:szCs w:val="15"/>
          <w:color w:val="auto"/>
        </w:rPr>
      </w:pPr>
    </w:p>
    <w:p>
      <w:pPr>
        <w:ind w:left="940" w:right="440" w:hanging="316"/>
        <w:spacing w:after="0" w:line="283" w:lineRule="auto"/>
        <w:tabs>
          <w:tab w:leader="none" w:pos="936"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represents, in all material respects, the financial condition and results of operations of the Registrant for the periods presented.</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219"/>
        </w:trPr>
        <w:tc>
          <w:tcPr>
            <w:tcW w:w="760" w:type="dxa"/>
            <w:vAlign w:val="bottom"/>
          </w:tcPr>
          <w:p>
            <w:pPr>
              <w:spacing w:after="0"/>
              <w:rPr>
                <w:sz w:val="20"/>
                <w:szCs w:val="20"/>
                <w:color w:val="auto"/>
              </w:rPr>
            </w:pPr>
            <w:r>
              <w:rPr>
                <w:rFonts w:ascii="Arial" w:cs="Arial" w:eastAsia="Arial" w:hAnsi="Arial"/>
                <w:sz w:val="17"/>
                <w:szCs w:val="17"/>
                <w:color w:val="auto"/>
              </w:rPr>
              <w:t>Name:</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B. O'Neil</w:t>
            </w:r>
          </w:p>
        </w:tc>
      </w:tr>
      <w:tr>
        <w:trPr>
          <w:trHeight w:val="239"/>
        </w:trPr>
        <w:tc>
          <w:tcPr>
            <w:tcW w:w="760" w:type="dxa"/>
            <w:vAlign w:val="bottom"/>
          </w:tcPr>
          <w:p>
            <w:pPr>
              <w:spacing w:after="0"/>
              <w:rPr>
                <w:sz w:val="20"/>
                <w:szCs w:val="20"/>
                <w:color w:val="auto"/>
              </w:rPr>
            </w:pPr>
            <w:r>
              <w:rPr>
                <w:rFonts w:ascii="Arial" w:cs="Arial" w:eastAsia="Arial" w:hAnsi="Arial"/>
                <w:sz w:val="17"/>
                <w:szCs w:val="17"/>
                <w:color w:val="auto"/>
              </w:rPr>
              <w:t>Title:</w:t>
            </w:r>
          </w:p>
        </w:tc>
        <w:tc>
          <w:tcPr>
            <w:tcW w:w="538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45"/>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5380" w:type="dxa"/>
            <w:vAlign w:val="bottom"/>
          </w:tcPr>
          <w:p>
            <w:pPr>
              <w:ind w:left="20"/>
              <w:spacing w:after="0"/>
              <w:rPr>
                <w:sz w:val="20"/>
                <w:szCs w:val="20"/>
                <w:color w:val="auto"/>
              </w:rPr>
            </w:pPr>
            <w:r>
              <w:rPr>
                <w:rFonts w:ascii="Arial" w:cs="Arial" w:eastAsia="Arial" w:hAnsi="Arial"/>
                <w:sz w:val="17"/>
                <w:szCs w:val="17"/>
                <w:color w:val="auto"/>
              </w:rPr>
              <w:t>November 7, 2023</w:t>
            </w:r>
          </w:p>
        </w:tc>
      </w:tr>
    </w:tbl>
    <w:p>
      <w:pPr>
        <w:spacing w:after="0" w:line="1" w:lineRule="exact"/>
        <w:rPr>
          <w:sz w:val="20"/>
          <w:szCs w:val="20"/>
          <w:color w:val="auto"/>
        </w:rPr>
      </w:pPr>
    </w:p>
    <w:sectPr>
      <w:pgSz w:w="11900" w:h="16838" w:orient="portrait"/>
      <w:cols w:equalWidth="0" w:num="1">
        <w:col w:w="11240"/>
      </w:cols>
      <w:pgMar w:left="320" w:top="10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1)"/>
      <w:numFmt w:val="decimal"/>
      <w:start w:val="2"/>
    </w:lvl>
  </w:abstractNum>
  <w:abstractNum w:abstractNumId="7">
    <w:nsid w:val="51EAD36B"/>
    <w:multiLevelType w:val="hybridMultilevel"/>
    <w:lvl w:ilvl="0">
      <w:lvlJc w:val="left"/>
      <w:lvlText w:val="(%1)"/>
      <w:numFmt w:val="lowerLetter"/>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1)"/>
      <w:numFmt w:val="decimal"/>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2"/>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3"/>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4"/>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1)"/>
      <w:numFmt w:val="decimal"/>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lowerRoman"/>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lowerRoman"/>
      <w:start w:val="8"/>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1)"/>
      <w:numFmt w:val="decimal"/>
      <w:start w:val="1"/>
    </w:lvl>
  </w:abstractNum>
  <w:abstractNum w:abstractNumId="45">
    <w:nsid w:val="47398C89"/>
    <w:multiLevelType w:val="hybridMultilevel"/>
    <w:lvl w:ilvl="0">
      <w:lvlJc w:val="left"/>
      <w:lvlText w:val="(%1)"/>
      <w:numFmt w:val="decimal"/>
      <w:start w:val="1"/>
    </w:lvl>
  </w:abstractNum>
  <w:abstractNum w:abstractNumId="46">
    <w:nsid w:val="354FE9F9"/>
    <w:multiLevelType w:val="hybridMultilevel"/>
    <w:lvl w:ilvl="0">
      <w:lvlJc w:val="left"/>
      <w:lvlText w:val="(%1)"/>
      <w:numFmt w:val="decimal"/>
      <w:start w:val="4"/>
    </w:lvl>
  </w:abstractNum>
  <w:abstractNum w:abstractNumId="47">
    <w:nsid w:val="15B5AF5C"/>
    <w:multiLevelType w:val="hybridMultilevel"/>
    <w:lvl w:ilvl="0">
      <w:lvlJc w:val="left"/>
      <w:lvlText w:val="(%1)"/>
      <w:numFmt w:val="decimal"/>
      <w:start w:val="1"/>
    </w:lvl>
  </w:abstractNum>
  <w:abstractNum w:abstractNumId="48">
    <w:nsid w:val="741226BB"/>
    <w:multiLevelType w:val="hybridMultilevel"/>
    <w:lvl w:ilvl="0">
      <w:lvlJc w:val="left"/>
      <w:lvlText w:val="(%1)"/>
      <w:numFmt w:val="decimal"/>
      <w:start w:val="1"/>
    </w:lvl>
  </w:abstractNum>
  <w:abstractNum w:abstractNumId="49">
    <w:nsid w:val="D34B6A8"/>
    <w:multiLevelType w:val="hybridMultilevel"/>
    <w:lvl w:ilvl="0">
      <w:lvlJc w:val="left"/>
      <w:lvlText w:val="(%1)"/>
      <w:numFmt w:val="decimal"/>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decimal"/>
      <w:start w:val="1"/>
    </w:lvl>
  </w:abstractNum>
  <w:abstractNum w:abstractNumId="53">
    <w:nsid w:val="7E0C57B1"/>
    <w:multiLevelType w:val="hybridMultilevel"/>
    <w:lvl w:ilvl="0">
      <w:lvlJc w:val="left"/>
      <w:lvlText w:val="(%1)"/>
      <w:numFmt w:val="decimal"/>
      <w:start w:val="1"/>
    </w:lvl>
  </w:abstractNum>
  <w:abstractNum w:abstractNumId="54">
    <w:nsid w:val="77AE35EB"/>
    <w:multiLevelType w:val="hybridMultilevel"/>
    <w:lvl w:ilvl="0">
      <w:lvlJc w:val="left"/>
      <w:lvlText w:val="(%1)"/>
      <w:numFmt w:val="decimal"/>
      <w:start w:val="3"/>
    </w:lvl>
  </w:abstractNum>
  <w:abstractNum w:abstractNumId="55">
    <w:nsid w:val="579BE4F1"/>
    <w:multiLevelType w:val="hybridMultilevel"/>
    <w:lvl w:ilvl="0">
      <w:lvlJc w:val="left"/>
      <w:lvlText w:val="(%1)"/>
      <w:numFmt w:val="decimal"/>
      <w:start w:val="1"/>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1)"/>
      <w:numFmt w:val="decimal"/>
      <w:start w:val="1"/>
    </w:lvl>
  </w:abstractNum>
  <w:abstractNum w:abstractNumId="61">
    <w:nsid w:val="4AD084E9"/>
    <w:multiLevelType w:val="hybridMultilevel"/>
    <w:lvl w:ilvl="0">
      <w:lvlJc w:val="left"/>
      <w:lvlText w:val="(%1)"/>
      <w:numFmt w:val="lowerRoman"/>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01"/>
    </w:lvl>
  </w:abstractNum>
  <w:abstractNum w:abstractNumId="65">
    <w:nsid w:val="100F8FCA"/>
    <w:multiLevelType w:val="hybridMultilevel"/>
    <w:lvl w:ilvl="0">
      <w:lvlJc w:val="left"/>
      <w:lvlText w:val="%1"/>
      <w:numFmt w:val="decimal"/>
      <w:start w:val="1"/>
    </w:lvl>
    <w:lvl w:ilvl="1">
      <w:lvlJc w:val="left"/>
      <w:lvlText w:val="%2"/>
      <w:numFmt w:val="decimal"/>
      <w:start w:val="104"/>
    </w:lvl>
  </w:abstractNum>
  <w:abstractNum w:abstractNumId="66">
    <w:nsid w:val="6590700B"/>
    <w:multiLevelType w:val="hybridMultilevel"/>
    <w:lvl w:ilvl="0">
      <w:lvlJc w:val="left"/>
      <w:lvlText w:val="(%1)"/>
      <w:numFmt w:val="decimal"/>
      <w:start w:val="1"/>
    </w:lvl>
    <w:lvl w:ilvl="1">
      <w:lvlJc w:val="left"/>
      <w:lvlText w:val="%2"/>
      <w:numFmt w:val="decimal"/>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
      <w:numFmt w:val="bullet"/>
      <w:start w:val="1"/>
    </w:lvl>
  </w:abstractNum>
  <w:abstractNum w:abstractNumId="70">
    <w:nsid w:val="799D0247"/>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49" Type="http://schemas.openxmlformats.org/officeDocument/2006/relationships/hyperlink" Target="http://www.sec.gov/Archives/edgar/data/873860/000162828020015371/a20200930ex31.htm" TargetMode="External"/><Relationship Id="rId150"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2023-11-07T16:02:28Z</dcterms:created>
  <dcterms:modified xsi:type="dcterms:W3CDTF">2023-11-07T16:02:28Z</dcterms:modified>
</cp:coreProperties>
</file>