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820" w:hanging="812"/>
        <w:spacing w:after="0"/>
        <w:tabs>
          <w:tab w:leader="none" w:pos="820"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REPORT PURSUANT TO SECTION 13 OR 15(d) OF THE SECURITIES EXCHANGE ACT OF 1934</w:t>
      </w:r>
    </w:p>
    <w:p>
      <w:pPr>
        <w:spacing w:after="0" w:line="22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29"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48"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96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93"/>
              </w:rPr>
              <w:t>Florida</w:t>
            </w:r>
          </w:p>
        </w:tc>
        <w:tc>
          <w:tcPr>
            <w:tcW w:w="34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65-0039856</w:t>
            </w:r>
          </w:p>
        </w:tc>
        <w:tc>
          <w:tcPr>
            <w:tcW w:w="0" w:type="dxa"/>
            <w:vAlign w:val="bottom"/>
          </w:tcPr>
          <w:p>
            <w:pPr>
              <w:spacing w:after="0"/>
              <w:rPr>
                <w:sz w:val="1"/>
                <w:szCs w:val="1"/>
                <w:color w:val="auto"/>
              </w:rPr>
            </w:pPr>
          </w:p>
        </w:tc>
      </w:tr>
      <w:tr>
        <w:trPr>
          <w:trHeight w:val="202"/>
        </w:trPr>
        <w:tc>
          <w:tcPr>
            <w:tcW w:w="5180" w:type="dxa"/>
            <w:vAlign w:val="bottom"/>
            <w:tcBorders>
              <w:top w:val="single" w:sz="8" w:color="auto"/>
            </w:tcBorders>
            <w:gridSpan w:val="3"/>
          </w:tcPr>
          <w:p>
            <w:pPr>
              <w:jc w:val="center"/>
              <w:ind w:right="20"/>
              <w:spacing w:after="0" w:line="201" w:lineRule="exact"/>
              <w:rPr>
                <w:sz w:val="20"/>
                <w:szCs w:val="20"/>
                <w:color w:val="auto"/>
              </w:rPr>
            </w:pPr>
            <w:r>
              <w:rPr>
                <w:rFonts w:ascii="Arial" w:cs="Arial" w:eastAsia="Arial" w:hAnsi="Arial"/>
                <w:sz w:val="18"/>
                <w:szCs w:val="18"/>
                <w:color w:val="auto"/>
                <w:w w:val="91"/>
              </w:rPr>
              <w:t>(State or other jurisdiction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590"/>
              <w:spacing w:after="0" w:line="201"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7960" w:type="dxa"/>
            <w:vAlign w:val="bottom"/>
            <w:gridSpan w:val="9"/>
          </w:tcPr>
          <w:p>
            <w:pPr>
              <w:jc w:val="center"/>
              <w:ind w:right="2800"/>
              <w:spacing w:after="0"/>
              <w:rPr>
                <w:sz w:val="20"/>
                <w:szCs w:val="20"/>
                <w:color w:val="auto"/>
              </w:rPr>
            </w:pPr>
            <w:r>
              <w:rPr>
                <w:rFonts w:ascii="Arial" w:cs="Arial" w:eastAsia="Arial" w:hAnsi="Arial"/>
                <w:sz w:val="18"/>
                <w:szCs w:val="18"/>
                <w:color w:val="auto"/>
                <w:w w:val="92"/>
              </w:rPr>
              <w:t>of incorporation or organization)</w:t>
            </w:r>
          </w:p>
        </w:tc>
        <w:tc>
          <w:tcPr>
            <w:tcW w:w="3460" w:type="dxa"/>
            <w:vAlign w:val="bottom"/>
          </w:tcPr>
          <w:p>
            <w:pPr>
              <w:jc w:val="center"/>
              <w:ind w:right="1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4"/>
                <w:szCs w:val="24"/>
                <w:color w:val="auto"/>
              </w:rPr>
            </w:pPr>
          </w:p>
        </w:tc>
        <w:tc>
          <w:tcPr>
            <w:tcW w:w="20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2002 Summit Boulevard, 6</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70"/>
              </w:rPr>
              <w:t>th</w:t>
            </w:r>
          </w:p>
        </w:tc>
        <w:tc>
          <w:tcPr>
            <w:tcW w:w="23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0"/>
              </w:rPr>
              <w:t>Floor, Atlanta, Georgia 30319</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80" w:type="dxa"/>
            <w:vAlign w:val="bottom"/>
          </w:tcPr>
          <w:p>
            <w:pPr>
              <w:spacing w:after="0"/>
              <w:rPr>
                <w:sz w:val="2"/>
                <w:szCs w:val="2"/>
                <w:color w:val="auto"/>
              </w:rPr>
            </w:pPr>
          </w:p>
        </w:tc>
        <w:tc>
          <w:tcPr>
            <w:tcW w:w="2040" w:type="dxa"/>
            <w:vAlign w:val="bottom"/>
            <w:tcBorders>
              <w:bottom w:val="single" w:sz="8" w:color="auto"/>
            </w:tcBorders>
            <w:gridSpan w:val="3"/>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Borders>
              <w:bottom w:val="single" w:sz="8" w:color="auto"/>
            </w:tcBorders>
            <w:gridSpan w:val="3"/>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4480" w:type="dxa"/>
            <w:vAlign w:val="bottom"/>
            <w:gridSpan w:val="8"/>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80" w:type="dxa"/>
            <w:vAlign w:val="bottom"/>
            <w:gridSpan w:val="7"/>
          </w:tcPr>
          <w:p>
            <w:pPr>
              <w:jc w:val="center"/>
              <w:ind w:left="5070"/>
              <w:spacing w:after="0"/>
              <w:rPr>
                <w:sz w:val="20"/>
                <w:szCs w:val="20"/>
                <w:color w:val="auto"/>
              </w:rPr>
            </w:pPr>
            <w:r>
              <w:rPr>
                <w:rFonts w:ascii="Arial" w:cs="Arial" w:eastAsia="Arial" w:hAnsi="Arial"/>
                <w:sz w:val="18"/>
                <w:szCs w:val="18"/>
                <w:b w:val="1"/>
                <w:bCs w:val="1"/>
                <w:color w:val="auto"/>
                <w:w w:val="90"/>
              </w:rPr>
              <w:t>(561) 682-8000</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p>
        </w:tc>
        <w:tc>
          <w:tcPr>
            <w:tcW w:w="4480" w:type="dxa"/>
            <w:vAlign w:val="bottom"/>
            <w:gridSpan w:val="8"/>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140" w:firstLine="32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20"/>
        <w:spacing w:after="0"/>
        <w:rPr>
          <w:sz w:val="20"/>
          <w:szCs w:val="20"/>
          <w:color w:val="auto"/>
        </w:rPr>
      </w:pPr>
      <w:r>
        <w:rPr>
          <w:rFonts w:ascii="Arial" w:cs="Arial" w:eastAsia="Arial" w:hAnsi="Arial"/>
          <w:sz w:val="16"/>
          <w:szCs w:val="16"/>
          <w:color w:val="auto"/>
        </w:rPr>
        <w:t>Yes x No o</w:t>
      </w:r>
    </w:p>
    <w:p>
      <w:pPr>
        <w:spacing w:after="0" w:line="261" w:lineRule="exact"/>
        <w:rPr>
          <w:sz w:val="24"/>
          <w:szCs w:val="24"/>
          <w:color w:val="auto"/>
        </w:rPr>
      </w:pPr>
    </w:p>
    <w:p>
      <w:pPr>
        <w:ind w:right="40"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620"/>
        <w:spacing w:after="0"/>
        <w:rPr>
          <w:sz w:val="20"/>
          <w:szCs w:val="20"/>
          <w:color w:val="auto"/>
        </w:rPr>
      </w:pPr>
      <w:r>
        <w:rPr>
          <w:rFonts w:ascii="Arial" w:cs="Arial" w:eastAsia="Arial" w:hAnsi="Arial"/>
          <w:sz w:val="16"/>
          <w:szCs w:val="16"/>
          <w:color w:val="auto"/>
        </w:rPr>
        <w:t>Yes x No o</w:t>
      </w:r>
    </w:p>
    <w:p>
      <w:pPr>
        <w:spacing w:after="0" w:line="261"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74" w:lineRule="exact"/>
        <w:rPr>
          <w:sz w:val="24"/>
          <w:szCs w:val="24"/>
          <w:color w:val="auto"/>
        </w:rPr>
      </w:pPr>
    </w:p>
    <w:p>
      <w:pPr>
        <w:ind w:left="580" w:right="3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60" w:lineRule="exact"/>
        <w:rPr>
          <w:sz w:val="24"/>
          <w:szCs w:val="24"/>
          <w:color w:val="auto"/>
        </w:rPr>
      </w:pPr>
    </w:p>
    <w:p>
      <w:pPr>
        <w:sectPr>
          <w:pgSz w:w="11900" w:h="16838" w:orient="portrait"/>
          <w:cols w:equalWidth="0" w:num="3">
            <w:col w:w="2500" w:space="720"/>
            <w:col w:w="4940" w:space="720"/>
            <w:col w:w="2540"/>
          </w:cols>
          <w:pgMar w:left="240" w:top="22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7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Number of shares of Common Stock, $0.01 par value, outstanding as of November 4, 2011: 101,101,951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gridSpan w:val="2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0240" w:type="dxa"/>
            <w:vAlign w:val="bottom"/>
            <w:gridSpan w:val="22"/>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40" w:type="dxa"/>
            <w:vAlign w:val="bottom"/>
            <w:gridSpan w:val="4"/>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September 30, 2011 and December 31, 2010</w:t>
              </w:r>
            </w:hyperlink>
          </w:p>
        </w:tc>
        <w:tc>
          <w:tcPr>
            <w:tcW w:w="3460" w:type="dxa"/>
            <w:vAlign w:val="bottom"/>
            <w:gridSpan w:val="6"/>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2011 and 2010</w:t>
              </w:r>
            </w:hyperlink>
          </w:p>
        </w:tc>
        <w:tc>
          <w:tcPr>
            <w:tcW w:w="1180" w:type="dxa"/>
            <w:vAlign w:val="bottom"/>
            <w:gridSpan w:val="2"/>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 for the Three and Nine Months Ended September 30, 2011</w:t>
              </w:r>
            </w:hyperlink>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2010</w:t>
              </w:r>
            </w:hyperlink>
          </w:p>
        </w:tc>
        <w:tc>
          <w:tcPr>
            <w:tcW w:w="11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Equity for the Nine Months Ended September 30, 2011 and 2010</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60" w:type="dxa"/>
            <w:vAlign w:val="bottom"/>
            <w:tcBorders>
              <w:top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Consolidated Statements of Cash Flows for the Nine Months Ended September 30, 2011 and 2010</w:t>
              </w:r>
            </w:hyperlink>
          </w:p>
        </w:tc>
        <w:tc>
          <w:tcPr>
            <w:tcW w:w="1420" w:type="dxa"/>
            <w:vAlign w:val="bottom"/>
            <w:gridSpan w:val="3"/>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8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Interim Consolidated Financial Statements</w:t>
              </w:r>
            </w:hyperlink>
          </w:p>
        </w:tc>
        <w:tc>
          <w:tcPr>
            <w:tcW w:w="1900" w:type="dxa"/>
            <w:vAlign w:val="bottom"/>
            <w:gridSpan w:val="4"/>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2.</w:t>
              </w:r>
            </w:hyperlink>
          </w:p>
        </w:tc>
        <w:tc>
          <w:tcPr>
            <w:tcW w:w="720" w:type="dxa"/>
            <w:vAlign w:val="bottom"/>
            <w:gridSpan w:val="3"/>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Item 3.</w:t>
              </w:r>
            </w:hyperlink>
          </w:p>
        </w:tc>
        <w:tc>
          <w:tcPr>
            <w:tcW w:w="720" w:type="dxa"/>
            <w:vAlign w:val="bottom"/>
            <w:gridSpan w:val="3"/>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40" w:type="dxa"/>
            <w:vAlign w:val="bottom"/>
            <w:gridSpan w:val="2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 OTHER INFORMATION</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1.</w:t>
              </w:r>
            </w:hyperlink>
          </w:p>
        </w:tc>
        <w:tc>
          <w:tcPr>
            <w:tcW w:w="720" w:type="dxa"/>
            <w:vAlign w:val="bottom"/>
            <w:tcBorders>
              <w:top w:val="single" w:sz="8" w:color="0000EE"/>
            </w:tcBorders>
            <w:gridSpan w:val="3"/>
          </w:tcPr>
          <w:p>
            <w:pPr>
              <w:spacing w:after="0"/>
              <w:rPr>
                <w:sz w:val="24"/>
                <w:szCs w:val="24"/>
                <w:color w:val="auto"/>
              </w:rPr>
            </w:pPr>
          </w:p>
        </w:tc>
        <w:tc>
          <w:tcPr>
            <w:tcW w:w="1600" w:type="dxa"/>
            <w:vAlign w:val="bottom"/>
            <w:tcBorders>
              <w:top w:val="single" w:sz="8" w:color="0000EE"/>
            </w:tcBorders>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7380" w:type="dxa"/>
            <w:vAlign w:val="bottom"/>
            <w:gridSpan w:val="12"/>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40" w:type="dxa"/>
            <w:vAlign w:val="bottom"/>
            <w:gridSpan w:val="1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898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6.</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98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628"/>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gridSpan w:val="11"/>
          </w:tcPr>
          <w:p>
            <w:pPr>
              <w:ind w:left="440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as they are subject to certain assumptions, inherent risks and uncertainties in predicting future results. Important factors that could cause actual results to differ materially include, but are not limited to, the following:</w:t>
      </w:r>
    </w:p>
    <w:p>
      <w:pPr>
        <w:spacing w:after="0" w:line="215" w:lineRule="exact"/>
        <w:rPr>
          <w:sz w:val="20"/>
          <w:szCs w:val="20"/>
          <w:color w:val="auto"/>
        </w:rPr>
      </w:pPr>
    </w:p>
    <w:p>
      <w:pPr>
        <w:ind w:left="920" w:right="520" w:hanging="453"/>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sources of liquidity; our ability to fund and recover advances, repay borrowings, and comply with debt covenants; and the adequacy of financial resources;</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servicing portfolio characteristics, including prepayment speeds, float balances, delinquency and advances rates;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or otherwise adapt our business, including the availability of new servicing opportunities and joint ventures;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general economic and market conditions, delinquency rates, home prices and real-estate owned disposition timelines;</w:t>
      </w:r>
    </w:p>
    <w:p>
      <w:pPr>
        <w:spacing w:after="0" w:line="236" w:lineRule="exact"/>
        <w:rPr>
          <w:rFonts w:ascii="Arial" w:cs="Arial" w:eastAsia="Arial" w:hAnsi="Arial"/>
          <w:sz w:val="17"/>
          <w:szCs w:val="17"/>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including mortgage-backed securities investors, regarding loan putbacks or legal actions;</w:t>
      </w:r>
    </w:p>
    <w:p>
      <w:pPr>
        <w:spacing w:after="0" w:line="236" w:lineRule="exact"/>
        <w:rPr>
          <w:rFonts w:ascii="Arial" w:cs="Arial" w:eastAsia="Arial" w:hAnsi="Arial"/>
          <w:sz w:val="17"/>
          <w:szCs w:val="17"/>
          <w:color w:val="auto"/>
        </w:rPr>
      </w:pPr>
    </w:p>
    <w:p>
      <w:pPr>
        <w:ind w:left="920" w:right="620" w:hanging="453"/>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litigation or dispute resolution and inquiries from government agencies into past servicing and foreclosure practices;</w:t>
      </w:r>
    </w:p>
    <w:p>
      <w:pPr>
        <w:spacing w:after="0" w:line="236" w:lineRule="exact"/>
        <w:rPr>
          <w:rFonts w:ascii="Arial" w:cs="Arial" w:eastAsia="Arial" w:hAnsi="Arial"/>
          <w:sz w:val="17"/>
          <w:szCs w:val="17"/>
          <w:color w:val="auto"/>
        </w:rPr>
      </w:pPr>
    </w:p>
    <w:p>
      <w:pPr>
        <w:ind w:left="920" w:hanging="453"/>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2010, our quarterly reports on Form 10-Q and our current reports on Form 8-K. Forward-looking statements speak only as of the date they were made and should not be relied upon. Ocwen Financial Corporation undertakes no obligation to update or revise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152,037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118,872</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3,756,834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60,389</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53,141</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57,380</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23,364</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4,897,175</w:t>
            </w:r>
          </w:p>
        </w:tc>
        <w:tc>
          <w:tcPr>
            <w:tcW w:w="260" w:type="dxa"/>
            <w:vAlign w:val="bottom"/>
            <w:shd w:val="clear" w:color="auto" w:fill="EAF9E8"/>
          </w:tcPr>
          <w:p>
            <w:pPr>
              <w:spacing w:after="0"/>
              <w:rPr>
                <w:sz w:val="22"/>
                <w:szCs w:val="22"/>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260" w:type="dxa"/>
            <w:vAlign w:val="bottom"/>
            <w:shd w:val="clear" w:color="auto" w:fill="EAF9E8"/>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3,080,228</w:t>
            </w:r>
          </w:p>
        </w:tc>
        <w:tc>
          <w:tcPr>
            <w:tcW w:w="260" w:type="dxa"/>
            <w:vAlign w:val="bottom"/>
            <w:shd w:val="clear" w:color="auto" w:fill="EAF9E8"/>
          </w:tcPr>
          <w:p>
            <w:pPr>
              <w:spacing w:after="0"/>
              <w:rPr>
                <w:sz w:val="18"/>
                <w:szCs w:val="18"/>
                <w:color w:val="auto"/>
              </w:rPr>
            </w:pP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55,323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555,110</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82,554</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3,919,232</w:t>
            </w: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2,016,592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Commitments and Contingencies (Note 22)</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Ocwen Financial Corporation 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EAF9E8"/>
          </w:tcPr>
          <w:p>
            <w:pPr>
              <w:ind w:left="320"/>
              <w:spacing w:after="0" w:line="201" w:lineRule="exact"/>
              <w:rPr>
                <w:sz w:val="20"/>
                <w:szCs w:val="20"/>
                <w:color w:val="auto"/>
              </w:rPr>
            </w:pPr>
            <w:r>
              <w:rPr>
                <w:rFonts w:ascii="Arial" w:cs="Arial" w:eastAsia="Arial" w:hAnsi="Arial"/>
                <w:sz w:val="18"/>
                <w:szCs w:val="18"/>
                <w:color w:val="auto"/>
                <w:w w:val="98"/>
              </w:rPr>
              <w:t>Common stock, $.01 par value; 200,000,000 shares authorized; 101,093,217 and 100,726,947 shares</w:t>
            </w:r>
          </w:p>
        </w:tc>
        <w:tc>
          <w:tcPr>
            <w:tcW w:w="2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issued and outstanding at September 30, 2011 and December 31, 2010, respectively</w:t>
            </w:r>
          </w:p>
        </w:tc>
        <w:tc>
          <w:tcPr>
            <w:tcW w:w="260" w:type="dxa"/>
            <w:vAlign w:val="bottom"/>
            <w:shd w:val="clear" w:color="auto" w:fill="EAF9E8"/>
          </w:tcPr>
          <w:p>
            <w:pPr>
              <w:spacing w:after="0"/>
              <w:rPr>
                <w:sz w:val="20"/>
                <w:szCs w:val="20"/>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1,011</w:t>
            </w:r>
          </w:p>
        </w:tc>
        <w:tc>
          <w:tcPr>
            <w:tcW w:w="2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514,136</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445,456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Accumulated other comprehensive loss, net of income taxes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(8,307)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Ocwen Financial Corporation (OCN) stockholders’ equity</w:t>
            </w: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977,702</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904,571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Non-controlling interest in subsidiaries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977,943</w:t>
            </w:r>
          </w:p>
        </w:tc>
        <w:tc>
          <w:tcPr>
            <w:tcW w:w="2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904,817</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4,897,175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112,611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86,424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310,953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9,215</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7,911</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26,151</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122,462</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95,569</w:t>
            </w:r>
          </w:p>
        </w:tc>
        <w:tc>
          <w:tcPr>
            <w:tcW w:w="2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339,305</w:t>
            </w:r>
          </w:p>
        </w:tc>
        <w:tc>
          <w:tcPr>
            <w:tcW w:w="1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29,067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43,886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59,107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11,210</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7,874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30,059</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5,192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8,529</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6,727</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21,774</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10,729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6,720</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5,201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15,003</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7,239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65,650</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93,374</w:t>
            </w:r>
          </w:p>
        </w:tc>
        <w:tc>
          <w:tcPr>
            <w:tcW w:w="2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149,103</w:t>
            </w:r>
          </w:p>
        </w:tc>
        <w:tc>
          <w:tcPr>
            <w:tcW w:w="1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173,209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56,812</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190,202</w:t>
            </w:r>
          </w:p>
        </w:tc>
        <w:tc>
          <w:tcPr>
            <w:tcW w:w="1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2,186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6,644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(27,658)</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(24,187)</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(87,014)</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(3,531)</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Equity in (loss) earnings of unconsolidated entities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(27,861)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(22,907)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(85,726)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28,951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(20,712)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104,476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8,730</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(7,487)</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35,808</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Income (loss) from continuing operations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20,221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68,668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Income from discontinued operations, net of taxes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20,221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68,668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Net income (loss) attributable to OCN</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20,228</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(8,835)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68,680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w:t>
            </w:r>
          </w:p>
        </w:tc>
        <w:tc>
          <w:tcPr>
            <w:tcW w:w="5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0.64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income (loss) attributable to OCN</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0.64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101,016,777</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100,329,915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99"/>
              </w:rPr>
              <w:t>100,908,473</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100,159,547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108,273,444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100,329,915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108,067,981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107,379,725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20,221</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(8,842)</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68,668</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w w:val="99"/>
              </w:rPr>
              <w:t>Other comprehensive income (loss), net of income taxes: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Unrealized foreign currency translation income (loss )</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arising during the period (1)</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2"/>
              </w:rPr>
              <w:t>Change in deferred loss on cash flow hedges arising during</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the period (2)</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(5,835)</w:t>
            </w:r>
          </w:p>
        </w:tc>
        <w:tc>
          <w:tcPr>
            <w:tcW w:w="2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w w:val="93"/>
              </w:rPr>
              <w:t>Reclassification adjustment for losses on cash flow hedges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included in net income (3)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ind w:left="480"/>
              <w:spacing w:after="0"/>
              <w:rPr>
                <w:sz w:val="20"/>
                <w:szCs w:val="20"/>
                <w:color w:val="auto"/>
              </w:rPr>
            </w:pPr>
            <w:r>
              <w:rPr>
                <w:rFonts w:ascii="Arial" w:cs="Arial" w:eastAsia="Arial" w:hAnsi="Arial"/>
                <w:sz w:val="18"/>
                <w:szCs w:val="18"/>
                <w:color w:val="auto"/>
              </w:rPr>
              <w:t>Net change in deferred loss on cash flow hedges</w:t>
            </w: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F9E8"/>
          </w:tcPr>
          <w:p>
            <w:pPr>
              <w:ind w:left="320"/>
              <w:spacing w:after="0" w:line="201" w:lineRule="exact"/>
              <w:rPr>
                <w:sz w:val="20"/>
                <w:szCs w:val="20"/>
                <w:color w:val="auto"/>
              </w:rPr>
            </w:pPr>
            <w:r>
              <w:rPr>
                <w:rFonts w:ascii="Arial" w:cs="Arial" w:eastAsia="Arial" w:hAnsi="Arial"/>
                <w:sz w:val="18"/>
                <w:szCs w:val="18"/>
                <w:color w:val="auto"/>
                <w:w w:val="95"/>
              </w:rPr>
              <w:t>Total other comprehensive income (loss), net of income</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taxes</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(5,513)</w:t>
            </w:r>
          </w:p>
        </w:tc>
        <w:tc>
          <w:tcPr>
            <w:tcW w:w="2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20,794</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(14,355)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69,760</w:t>
            </w: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5"/>
              </w:rPr>
              <w:t>Comprehensive income (loss) attributable to non-controlling</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interests</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2"/>
              </w:rPr>
              <w:t>Comprehensive income (loss) attributable to Ocwen Financial</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Corporation</w:t>
            </w:r>
          </w:p>
        </w:tc>
        <w:tc>
          <w:tcPr>
            <w:tcW w:w="6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20,804</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(14,366)</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69,765</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$2 and $(8) for the three months ended September 30, 2011 and 2010, respectively, and $(7) and $27 for the nine months ended September 30, 2011 and 2010, respectively.</w:t>
      </w:r>
    </w:p>
    <w:p>
      <w:pPr>
        <w:spacing w:after="0" w:line="197"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$(260) and $3,428 for the three months ended September 30, 2011 and 2010, respectively, and $(102) and $7,775 for the nine months ended September 30, 2011 and 2010, respectively.</w:t>
      </w:r>
    </w:p>
    <w:p>
      <w:pPr>
        <w:spacing w:after="0" w:line="197"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$59 and $158 for the three months ended September 30, 2011 and 2010, respectively, and $468 and $169 for the nine months ended September 30, 2011 and 2010, respectively.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$9 and $10 for the three and nine months ended September 30, 2011,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OCN Shareholders</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Loss,</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Net of Taxes</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31, 2010</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100,726,947</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1,007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467,500</w:t>
            </w:r>
          </w:p>
        </w:tc>
        <w:tc>
          <w:tcPr>
            <w:tcW w:w="18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445,456</w:t>
            </w:r>
          </w:p>
        </w:tc>
        <w:tc>
          <w:tcPr>
            <w:tcW w:w="20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246</w:t>
            </w:r>
          </w:p>
        </w:tc>
        <w:tc>
          <w:tcPr>
            <w:tcW w:w="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68,680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Exercise of common</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354,906</w:t>
            </w:r>
          </w:p>
        </w:tc>
        <w:tc>
          <w:tcPr>
            <w:tcW w:w="2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966</w:t>
            </w:r>
          </w:p>
        </w:tc>
        <w:tc>
          <w:tcPr>
            <w:tcW w:w="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Equity-based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11,364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income, net of income</w:t>
            </w:r>
          </w:p>
        </w:tc>
        <w:tc>
          <w:tcPr>
            <w:tcW w:w="1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EAF9E8"/>
            </w:tcBorders>
          </w:tcPr>
          <w:p>
            <w:pPr>
              <w:spacing w:after="0" w:line="198" w:lineRule="exact"/>
              <w:rPr>
                <w:sz w:val="20"/>
                <w:szCs w:val="20"/>
                <w:color w:val="auto"/>
              </w:rPr>
            </w:pPr>
            <w:r>
              <w:rPr>
                <w:rFonts w:ascii="Arial" w:cs="Arial" w:eastAsia="Arial" w:hAnsi="Arial"/>
                <w:sz w:val="18"/>
                <w:szCs w:val="18"/>
                <w:b w:val="1"/>
                <w:bCs w:val="1"/>
                <w:color w:val="auto"/>
              </w:rPr>
              <w:t>Balance at September</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4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30, 2011</w:t>
            </w:r>
          </w:p>
        </w:tc>
        <w:tc>
          <w:tcPr>
            <w:tcW w:w="1160" w:type="dxa"/>
            <w:vAlign w:val="bottom"/>
          </w:tcPr>
          <w:p>
            <w:pPr>
              <w:jc w:val="right"/>
              <w:spacing w:after="0"/>
              <w:rPr>
                <w:sz w:val="20"/>
                <w:szCs w:val="20"/>
                <w:color w:val="auto"/>
              </w:rPr>
            </w:pPr>
            <w:r>
              <w:rPr>
                <w:rFonts w:ascii="Arial" w:cs="Arial" w:eastAsia="Arial" w:hAnsi="Arial"/>
                <w:sz w:val="18"/>
                <w:szCs w:val="18"/>
                <w:color w:val="auto"/>
              </w:rPr>
              <w:t>101,093,217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470,862</w:t>
            </w:r>
          </w:p>
        </w:tc>
        <w:tc>
          <w:tcPr>
            <w:tcW w:w="18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514,136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977,943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OCN Shareholders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Loss,</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Net of Taxes</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31, 2009</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99,956,833</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459,542</w:t>
            </w:r>
          </w:p>
        </w:tc>
        <w:tc>
          <w:tcPr>
            <w:tcW w:w="180" w:type="dxa"/>
            <w:vAlign w:val="bottom"/>
            <w:shd w:val="clear" w:color="auto" w:fill="EAF9E8"/>
          </w:tcPr>
          <w:p>
            <w:pPr>
              <w:spacing w:after="0"/>
              <w:rPr>
                <w:sz w:val="20"/>
                <w:szCs w:val="20"/>
                <w:color w:val="auto"/>
              </w:rPr>
            </w:pPr>
          </w:p>
        </w:tc>
        <w:tc>
          <w:tcPr>
            <w:tcW w:w="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405,198</w:t>
            </w:r>
          </w:p>
        </w:tc>
        <w:tc>
          <w:tcPr>
            <w:tcW w:w="20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252</w:t>
            </w:r>
          </w:p>
        </w:tc>
        <w:tc>
          <w:tcPr>
            <w:tcW w:w="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Adoption of ASC 810</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(FASB Statement No.</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167), net of tax</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28,063</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Exercise of common</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502,026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Issuance of common</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stock awards to</w:t>
            </w:r>
          </w:p>
        </w:tc>
        <w:tc>
          <w:tcPr>
            <w:tcW w:w="1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employees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9,865</w:t>
            </w:r>
          </w:p>
        </w:tc>
        <w:tc>
          <w:tcPr>
            <w:tcW w:w="2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Equity-based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7,654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net of income</w:t>
            </w:r>
          </w:p>
        </w:tc>
        <w:tc>
          <w:tcPr>
            <w:tcW w:w="11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EAF9E8"/>
            </w:tcBorders>
          </w:tcPr>
          <w:p>
            <w:pPr>
              <w:spacing w:after="0" w:line="198" w:lineRule="exact"/>
              <w:rPr>
                <w:sz w:val="20"/>
                <w:szCs w:val="20"/>
                <w:color w:val="auto"/>
              </w:rPr>
            </w:pPr>
            <w:r>
              <w:rPr>
                <w:rFonts w:ascii="Arial" w:cs="Arial" w:eastAsia="Arial" w:hAnsi="Arial"/>
                <w:sz w:val="18"/>
                <w:szCs w:val="18"/>
                <w:b w:val="1"/>
                <w:bCs w:val="1"/>
                <w:color w:val="auto"/>
              </w:rPr>
              <w:t>Balance at September</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4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30, 2010</w:t>
            </w:r>
          </w:p>
        </w:tc>
        <w:tc>
          <w:tcPr>
            <w:tcW w:w="1160" w:type="dxa"/>
            <w:vAlign w:val="bottom"/>
          </w:tcPr>
          <w:p>
            <w:pPr>
              <w:jc w:val="right"/>
              <w:spacing w:after="0"/>
              <w:rPr>
                <w:sz w:val="20"/>
                <w:szCs w:val="20"/>
                <w:color w:val="auto"/>
              </w:rPr>
            </w:pPr>
            <w:r>
              <w:rPr>
                <w:rFonts w:ascii="Arial" w:cs="Arial" w:eastAsia="Arial" w:hAnsi="Arial"/>
                <w:sz w:val="18"/>
                <w:szCs w:val="18"/>
                <w:color w:val="auto"/>
              </w:rPr>
              <w:t>100,476,378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465,005</w:t>
            </w:r>
          </w:p>
        </w:tc>
        <w:tc>
          <w:tcPr>
            <w:tcW w:w="18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435,535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888,692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68,668</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30,059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discount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8,101</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8,888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Write-off of investment in commercial real estate property</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Reversal of valuation allowance on mortgage servicing assets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3,531</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Equity in loss (earnings) of unconsolidated entities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Unrealized losses on derivative financial instruments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4,743</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(3,651)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in deferred tax assets, net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Net cash provided by trading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699,516</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Increase in receivables and other assets, net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(5,349)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Increase (decrease) in servicer liabilities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1,925</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(Decrease) increase in other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(23,341)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8,039</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803,621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434,582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paid to acquire Litton Loan Servicing LP</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(2,646,486)</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Cash paid to acquire HomEq Servicing (a business within Barclays Bank PLC)</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(1,167,122)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w w:val="95"/>
              </w:rPr>
              <w:t>Acquisition of advances and other assets in connection with the purchase of mortgage servicing rights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(528,882)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9"/>
              </w:rPr>
              <w:t>Distributions of capital from unconsolidated entities – Ocwen Structured Investments, LLC, Ocwen</w:t>
            </w:r>
          </w:p>
        </w:tc>
        <w:tc>
          <w:tcPr>
            <w:tcW w:w="4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Nonperforming Loans, LLC and Ocwen REO, LLC</w:t>
            </w:r>
          </w:p>
        </w:tc>
        <w:tc>
          <w:tcPr>
            <w:tcW w:w="4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Investment in unconsolidated entity – Correspondent One S.A.</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(1,236)</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decrease in restricted cash – for securitization investors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Net cash used by investing activities</w:t>
            </w:r>
          </w:p>
        </w:tc>
        <w:tc>
          <w:tcPr>
            <w:tcW w:w="4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(2,654,432)</w:t>
            </w:r>
          </w:p>
        </w:tc>
        <w:tc>
          <w:tcPr>
            <w:tcW w:w="18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(1,711,776)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Borders>
              <w:top w:val="single" w:sz="8" w:color="EAF9E8"/>
            </w:tcBorders>
          </w:tcPr>
          <w:p>
            <w:pPr>
              <w:spacing w:after="0"/>
              <w:rPr>
                <w:sz w:val="18"/>
                <w:szCs w:val="18"/>
                <w:color w:val="auto"/>
              </w:rPr>
            </w:pPr>
          </w:p>
        </w:tc>
        <w:tc>
          <w:tcPr>
            <w:tcW w:w="4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Proceeds from match funded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1,597,699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(7,382)</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563,500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lines of credit and other secured borrowings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(266,275)</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(12,070)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investment line</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Repurchase of debt securities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(1,705)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1,875,052</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1,350,186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increase in cash</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24,241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Cash at beginning of period</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127,796</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at end of period</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152,037</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163,911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Fair value of assets acquired</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Cash</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(23,791)</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(2,468,137)</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(1,062,873)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(135,341)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(24,224)</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(44,570)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(5,829)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(2,701,892)</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(1,176,444)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Fair value of liabilities assumed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31,615</w:t>
            </w:r>
          </w:p>
        </w:tc>
        <w:tc>
          <w:tcPr>
            <w:tcW w:w="1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513"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Cash paid</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(2,670,277)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(1,167,122)</w:t>
            </w:r>
          </w:p>
        </w:tc>
      </w:tr>
      <w:tr>
        <w:trPr>
          <w:trHeight w:val="216"/>
        </w:trPr>
        <w:tc>
          <w:tcPr>
            <w:tcW w:w="8360" w:type="dxa"/>
            <w:vAlign w:val="bottom"/>
            <w:shd w:val="clear" w:color="auto" w:fill="EAF9E8"/>
          </w:tcPr>
          <w:p>
            <w:pPr>
              <w:spacing w:after="0"/>
              <w:rPr>
                <w:sz w:val="20"/>
                <w:szCs w:val="20"/>
                <w:color w:val="auto"/>
              </w:rPr>
            </w:pPr>
            <w:r>
              <w:rPr>
                <w:rFonts w:ascii="Arial" w:cs="Arial" w:eastAsia="Arial" w:hAnsi="Arial"/>
                <w:sz w:val="18"/>
                <w:szCs w:val="18"/>
                <w:color w:val="auto"/>
              </w:rPr>
              <w:t>Less: Cash acquired</w:t>
            </w:r>
          </w:p>
        </w:tc>
        <w:tc>
          <w:tcPr>
            <w:tcW w:w="2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23,791</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Net cash paid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(2,646,486)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(1,167,122)</w:t>
            </w:r>
          </w:p>
        </w:tc>
      </w:tr>
      <w:tr>
        <w:trPr>
          <w:trHeight w:val="21"/>
        </w:trPr>
        <w:tc>
          <w:tcPr>
            <w:tcW w:w="8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Florida, Orlando, Florida, the District of Columbia and support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21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At September 30, 2011, Ocwen owned all of the outstanding stock of its primary subsidiaries: OLS, Ocwen Financial Solutions, Private Limited (OFSPL) and Investors Mortgage Insurance Holding Company. OCN also holds a 49% equity interest in Correspondent One S.A. (Correspondent One), an entity formed with Altisource Portfolio Solutions S.A. (Altisource) in March 2011, a 25% interest in Ocwen Structured Investments, LLC (OSI) and an approximate 25% interest in Ocwen Nonperforming Loans, LLC (ONL) and Ocwen REO, LLC (OREO).</w:t>
      </w:r>
    </w:p>
    <w:p>
      <w:pPr>
        <w:spacing w:after="0" w:line="19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(the Litton IO Strips) previously owned by Goldman Sachs &amp; Co., also a subsidiary of Goldman Sachs (collectively referred to as Litton Loan Servicing Business). See Note 3 for additional information regarding the Litton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nine months ended September 30, 2011 are not necessarily indicative of the results that may be expected for any other interim period or for the entire year ending December 31, 2011. The unaudited interim consolidated financial statements presented herein should be read in conjunction with the audited consolidated financial statements and related notes thereto included in our Annual Report on Form 10-K for the year ended December 31, 2010.</w:t>
      </w:r>
    </w:p>
    <w:p>
      <w:pPr>
        <w:spacing w:after="0" w:line="20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relate to our fair value measurements, the provision for potential estimates that may arise from litigation proceedings, the amortization of mortgage servicing rights (MSRs) and the valuation of goodwill and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9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5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three of the asset-backed financing arrangements. We also hold residual interests in and are the servicer for three securitizations where we were not a transferor.</w:t>
      </w:r>
    </w:p>
    <w:p>
      <w:pPr>
        <w:spacing w:after="0" w:line="20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9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subsequently acquired.</w:t>
      </w:r>
    </w:p>
    <w:p>
      <w:pPr>
        <w:spacing w:after="0" w:line="21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four of these trusts, we have determined that our involvement represents a variable interest and that we are the primary beneficiary. We have included these four trusts in our consolidated financial statements. Our involvement with each of the remaining trusts does not represent a variable interest, and therefore, we exclude them from our consolidated financial statements.</w:t>
      </w:r>
    </w:p>
    <w:p>
      <w:pPr>
        <w:spacing w:after="0" w:line="20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three months ended September 30, 2011 and 2010, the four consolidated trusts generated income from continuing operations before income taxes of $697 and $1,312, respectively. For the nine months ended September 30, 2011 and 2010, these trusts generated income from continuing operations before income taxes of $664 and $1,646, respectively. See Note 7 and Note 12 for additional information regarding Loans – restricted for securitization investors and Secured borrowings – owed to securitization investors.</w:t>
      </w:r>
    </w:p>
    <w:p>
      <w:pPr>
        <w:spacing w:after="0" w:line="21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following table presents a summary of the involvement of Ocwen with unconsolidated securitization trusts and summary financial information for the trusts where we are the transferor and hold beneficial interests. Although we are the servicer for these trusts, the residual interests that we hold in these entities have no value and no potential return of significant cash flows. As a result, we are not exposed to loss from these holdings. Further, since our valuation of the residual interest is based on anticipated cash flows, we are unlikely to receive any future benefits from our residual interests in these trusts.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8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Three months</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and subservicing fee revenues</w:t>
            </w:r>
          </w:p>
        </w:tc>
        <w:tc>
          <w:tcPr>
            <w:tcW w:w="1700" w:type="dxa"/>
            <w:vAlign w:val="bottom"/>
            <w:gridSpan w:val="2"/>
            <w:shd w:val="clear" w:color="auto" w:fill="EAF9E8"/>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772</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947</w:t>
            </w: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2,342</w:t>
            </w:r>
          </w:p>
        </w:tc>
        <w:tc>
          <w:tcPr>
            <w:tcW w:w="58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gridSpan w:val="5"/>
          </w:tcPr>
          <w:p>
            <w:pPr>
              <w:spacing w:after="0"/>
              <w:rPr>
                <w:sz w:val="20"/>
                <w:szCs w:val="20"/>
                <w:color w:val="auto"/>
              </w:rPr>
            </w:pPr>
            <w:r>
              <w:rPr>
                <w:rFonts w:ascii="Arial" w:cs="Arial" w:eastAsia="Arial" w:hAnsi="Arial"/>
                <w:sz w:val="18"/>
                <w:szCs w:val="18"/>
                <w:b w:val="1"/>
                <w:bCs w:val="1"/>
                <w:color w:val="auto"/>
              </w:rPr>
              <w:t>September 30, 2011</w:t>
            </w: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December 31,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8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13,015</w:t>
            </w:r>
          </w:p>
        </w:tc>
        <w:tc>
          <w:tcPr>
            <w:tcW w:w="2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MSRs at amortized cost</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MSRs that are related to the trusts and our advances to the trusts. We consider the probability of loss arising from our advances to be remote because of their position ahead of most of the other liabilities of the trusts. At September 30, 2011 and December 31, 2010, our investment in the securities of the trusts was $2,508 and $2,691, respectively, all of which is eliminated in consolidation. See Note 5 and Note 8 for additional information regarding Advances and Mortgage servicing rights.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three advance facility agreements. We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July 1, 2013. As of September 30, 2011, OSAFW had $194,534 of notes outstanding.</w:t>
      </w:r>
    </w:p>
    <w:p>
      <w:pPr>
        <w:spacing w:after="0" w:line="19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assets and liabilities of the SPEs formed in connection with our match funded advance facilities,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4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3,756,832</w:t>
            </w: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1,924,052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3,890,953</w:t>
            </w:r>
          </w:p>
        </w:tc>
        <w:tc>
          <w:tcPr>
            <w:tcW w:w="220" w:type="dxa"/>
            <w:vAlign w:val="bottom"/>
            <w:shd w:val="clear" w:color="auto" w:fill="EAF9E8"/>
          </w:tcPr>
          <w:p>
            <w:pPr>
              <w:spacing w:after="0"/>
              <w:rPr>
                <w:sz w:val="22"/>
                <w:szCs w:val="22"/>
                <w:color w:val="auto"/>
              </w:rPr>
            </w:pPr>
          </w:p>
        </w:tc>
        <w:tc>
          <w:tcPr>
            <w:tcW w:w="6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EAF9E8"/>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4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3,080,228</w:t>
            </w:r>
          </w:p>
        </w:tc>
        <w:tc>
          <w:tcPr>
            <w:tcW w:w="2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to affiliates (1)</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865,159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3,948,052</w:t>
            </w:r>
          </w:p>
        </w:tc>
        <w:tc>
          <w:tcPr>
            <w:tcW w:w="22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1,748,319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eliminated in consolidation.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and Note 11 for additional information regarding Match funded advances and Match funded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Within the operating activities section of the Consolidated Statement of Cash Flows for the nine months ended September 30, 2010, we made the following reclassifications to conform to the 2011 presentation:</w:t>
      </w:r>
    </w:p>
    <w:p>
      <w:pPr>
        <w:spacing w:after="0" w:line="197"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reclassified the components of Depreciation and other amortization to the Amortization of debt discount and the Depreciation line items;</w:t>
      </w:r>
    </w:p>
    <w:p>
      <w:pPr>
        <w:spacing w:after="0" w:line="236" w:lineRule="exact"/>
        <w:rPr>
          <w:rFonts w:ascii="Arial" w:cs="Arial" w:eastAsia="Arial" w:hAnsi="Arial"/>
          <w:sz w:val="17"/>
          <w:szCs w:val="17"/>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reclassified Amortization of debt issuance costs – senior secured term loan from Increase in receivables and other assets, net;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reclassified Gain on extinguishment of debt and Unrealized losses on derivative financial instruments from Other,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Accounting Standards Update (ASU) 2011-02 (ASC 310, Receivables): A Creditor’s Determination of Whether a Restructuring Is a Troubled Debt Restructuring. </w:t>
      </w:r>
      <w:r>
        <w:rPr>
          <w:rFonts w:ascii="Arial" w:cs="Arial" w:eastAsia="Arial" w:hAnsi="Arial"/>
          <w:sz w:val="16"/>
          <w:szCs w:val="16"/>
          <w:color w:val="auto"/>
        </w:rPr>
        <w:t>The amendments in this ASU clarify the guidance on a creditor’s evaluation of whether it has granted a concession and whether a debtor is</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financial difficulties. This additional guidance will assist creditors in determining whether a restructuring or modification of a receivable meets the criteria to be considered a troubled debt restructuring. If the restructuring is considered a troubled debt restructuring, creditors are required to make certain disclosures in their financial statements. In addition, the calculation of the allowance for credit losses for that receivable follows the impairment guidance specific to impaired receivables. Our adoption of this standard on July 1, 2011 did not have a material impact on our consolidated financial statements.</w:t>
      </w:r>
    </w:p>
    <w:p>
      <w:pPr>
        <w:spacing w:after="0" w:line="19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ASU 2011-03 (ASC 860, Transfers and Servicing): Reconsideration of Effective Control for Repurchase Agreements</w:t>
      </w:r>
      <w:r>
        <w:rPr>
          <w:rFonts w:ascii="Arial" w:cs="Arial" w:eastAsia="Arial" w:hAnsi="Arial"/>
          <w:sz w:val="18"/>
          <w:szCs w:val="18"/>
          <w:color w:val="auto"/>
        </w:rPr>
        <w:t>. ASC 860 prescribes when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may or may not recognize a sale upon the transfer of financial assets subject to repurchase agreements. That determination is based, in part, on whether the entity has maintained effective control over the transferred financial assets. Repurchase agreements are 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Financial Accounting Standards Board (FASB) concluded that this criterion is not a determining factor of effective control. Consequently, the amendments in this update also eliminate the requirement to demonstrate that the transferor possesses adequate collateral to fund substantially all the cost of purchasing replacement financial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right="20" w:firstLine="324"/>
        <w:spacing w:after="0" w:line="264" w:lineRule="auto"/>
        <w:rPr>
          <w:sz w:val="20"/>
          <w:szCs w:val="20"/>
          <w:color w:val="auto"/>
        </w:rPr>
      </w:pPr>
      <w:r>
        <w:rPr>
          <w:rFonts w:ascii="Arial" w:cs="Arial" w:eastAsia="Arial" w:hAnsi="Arial"/>
          <w:sz w:val="18"/>
          <w:szCs w:val="18"/>
          <w:color w:val="auto"/>
        </w:rPr>
        <w:t>The guidance in this ASU is effective for the first interim or annual period beginning on or after December 15, 2011. The guidance should be applied prospectively to transactions or modifications of existing transactions that occur on or after the effective date. We do not expect our adoption of the provisions in this ASU to have a material impact on our consolidated financial statements.</w:t>
      </w:r>
    </w:p>
    <w:p>
      <w:pPr>
        <w:spacing w:after="0" w:line="20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ASU 2011-04 (ASC 820, Fair Value Measurement): Amendments to Achieve Common Fair Value Measurement and Disclosure Requirements in U.S. GAAP and IFRSs</w:t>
      </w:r>
      <w:r>
        <w:rPr>
          <w:rFonts w:ascii="Arial" w:cs="Arial" w:eastAsia="Arial" w:hAnsi="Arial"/>
          <w:sz w:val="16"/>
          <w:szCs w:val="16"/>
          <w:color w:val="auto"/>
        </w:rPr>
        <w:t>. The amendments in this ASU explain how to measure fair value. They do not require additional fair value measurements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including: for fair value measurements within Level 3 of the fair value hierarchy, disclosing the valuation process used and the sensitivity of fair value measurement to changes in unobservable inputs; and for items not carried at fair value but for which fair value must be disclosed, categorization by level of the fair value hierarchy. The provisions of this ASU are effective for interim and annual periods beginning on or after December 15, 2011, with early adoption prohibited. We do not anticipate that the adoption of this standard will have a material impact on our consolidated financial statements.</w:t>
      </w:r>
    </w:p>
    <w:p>
      <w:pPr>
        <w:spacing w:after="0" w:line="19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ASU 2011-05 (ASC 220, Comprehensive Income): Presentation of Comprehensive Income</w:t>
      </w:r>
      <w:r>
        <w:rPr>
          <w:rFonts w:ascii="Arial" w:cs="Arial" w:eastAsia="Arial" w:hAnsi="Arial"/>
          <w:sz w:val="16"/>
          <w:szCs w:val="16"/>
          <w:color w:val="auto"/>
        </w:rPr>
        <w:t>, Current U.S. GAAP allows reporting entities three alternatives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an entity to present reclassification adjustments from other comprehensive income to net income on the face of the financial statements. The provisions of this ASU are effective for interim and annual periods beginning after December 15, 2011. Our adoption of this standard will not have a material impact on our consolidated financial statements.</w:t>
      </w:r>
    </w:p>
    <w:p>
      <w:pPr>
        <w:spacing w:after="0" w:line="19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ASU 2011-08 (ASC 350, Intangibles – Goodwill and Other): Testing Goodwill for Impairment. </w:t>
      </w:r>
      <w:r>
        <w:rPr>
          <w:rFonts w:ascii="Arial" w:cs="Arial" w:eastAsia="Arial" w:hAnsi="Arial"/>
          <w:sz w:val="18"/>
          <w:szCs w:val="18"/>
          <w:color w:val="auto"/>
        </w:rPr>
        <w:t>With this ASU, the FASB has taken action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and complexity of the annual goodwill impairment test by providing reporting entities with the option of performing a “qualitative” assessment of impairment to determine if any further quantitative testing for impairment may be necessary. An entity can choose to apply the qualitative assessment to all, some or none of its reporting units. The ASU is effective for reporting periods beginning after December 15, 2011; however, an entity can early adopt the revised standard even if its annual impairment test date is before September 15, 2011, the date that the ASU was issued. We intend to early adopt the revised standard during the fourth quarter of 2011. We do not anticipate that the adoption of the standard will have a material impact on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56"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disclosed in Note 1, Ocwen completed its acquisition of the Litton Loan Servicing Business on September 1, 2011. The transaction was completed in accordance with the provisions of the Purchase Agreement (the Agreement) between Ocwen and Goldman Sachs dated June 5, 2011.</w:t>
      </w:r>
    </w:p>
    <w:p>
      <w:pPr>
        <w:spacing w:after="0" w:line="17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Ocwen completed the acquisition in order to expand its Servicing segment. The Litton Acquisition resulted in the acquisition by Ocwen of a servicing portfolio of approximately 245,000 primarily non-prime residential mortgage loans with approximately $38.6 billion in unpaid principal balance (UPB) and the servicing platform of Litton Loan Servicing Business based in Houston, Texas and McDonough, Georgia.</w:t>
      </w:r>
    </w:p>
    <w:p>
      <w:pPr>
        <w:spacing w:after="0" w:line="20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base purchase price for the Litton Acquisition was $247,154, which was paid in cash by Ocwen at closing. In addition, Ocwen repaid at closing Litton’s $2,423,123 outstanding debt on an existing servicing advance financing facility that was provided by an affiliate of the Goldman Sachs and entered into a new advance financing facility under which it borrowed $2,126,742 from Goldman Sachs. On September 1, 2011, Ocwen and certain of its subsidiaries also entered into a $575,000 senior secured term loan facility agreement to fund the base purchase price and the amount by which the repayment of Litton’s advance financing facility debt exceeded the proceeds from the new advance financing facility. Borrowings under the senior secured term loan facility are net of an original issue discount of $11,500, which is being amortized over the life of the loan. See Note 11 and Note 13 for additional details of the new advance financing facility and the senior secured term loan.</w:t>
      </w:r>
    </w:p>
    <w:p>
      <w:pPr>
        <w:spacing w:after="0" w:line="20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purchase price was based in part on estimated closing-date measurements specified in the Agreement and may be further adjusted as these estimated closing-date measurements are finalized.</w:t>
      </w:r>
    </w:p>
    <w:p>
      <w:pPr>
        <w:spacing w:after="0" w:line="19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actual base purchase price is subject to additional post-closing adjustments for a period of 60 days as a result of certain adjustments specified in the Agreement such as for changes in Litton’s estimated closing date net worth, servicing portfolio UPB and advance balances, among others.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right="180" w:firstLine="324"/>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 of the fair values of assets acquired and liabilities assumed as part of the Litton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36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23,791</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Advances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2,468,137</w:t>
            </w:r>
          </w:p>
        </w:tc>
      </w:tr>
      <w:tr>
        <w:trPr>
          <w:trHeight w:val="216"/>
        </w:trPr>
        <w:tc>
          <w:tcPr>
            <w:tcW w:w="20" w:type="dxa"/>
            <w:vAlign w:val="bottom"/>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MSRs</w:t>
            </w:r>
          </w:p>
        </w:tc>
        <w:tc>
          <w:tcPr>
            <w:tcW w:w="3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135,341</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24,224</w:t>
            </w:r>
          </w:p>
        </w:tc>
      </w:tr>
      <w:tr>
        <w:trPr>
          <w:trHeight w:val="216"/>
        </w:trPr>
        <w:tc>
          <w:tcPr>
            <w:tcW w:w="20" w:type="dxa"/>
            <w:vAlign w:val="bottom"/>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Other assets</w:t>
            </w:r>
          </w:p>
        </w:tc>
        <w:tc>
          <w:tcPr>
            <w:tcW w:w="3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5,829</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liabilities</w:t>
            </w:r>
          </w:p>
        </w:tc>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(31,615)</w:t>
            </w:r>
          </w:p>
        </w:tc>
      </w:tr>
      <w:tr>
        <w:trPr>
          <w:trHeight w:val="216"/>
        </w:trPr>
        <w:tc>
          <w:tcPr>
            <w:tcW w:w="20" w:type="dxa"/>
            <w:vAlign w:val="bottom"/>
          </w:tcPr>
          <w:p>
            <w:pPr>
              <w:spacing w:after="0"/>
              <w:rPr>
                <w:sz w:val="18"/>
                <w:szCs w:val="18"/>
                <w:color w:val="auto"/>
              </w:rPr>
            </w:pPr>
          </w:p>
        </w:tc>
        <w:tc>
          <w:tcPr>
            <w:tcW w:w="67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identifiable net assets</w:t>
            </w:r>
          </w:p>
        </w:tc>
        <w:tc>
          <w:tcPr>
            <w:tcW w:w="3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2,625,707</w:t>
            </w:r>
          </w:p>
        </w:tc>
        <w:tc>
          <w:tcPr>
            <w:tcW w:w="100" w:type="dxa"/>
            <w:vAlign w:val="bottom"/>
            <w:shd w:val="clear" w:color="auto" w:fill="EAF9E8"/>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3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2,670,277</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Litton debt repaid to Goldman Sachs at closing</w:t>
            </w:r>
          </w:p>
        </w:tc>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(2,423,123)</w:t>
            </w:r>
          </w:p>
        </w:tc>
      </w:tr>
      <w:tr>
        <w:trPr>
          <w:trHeight w:val="257"/>
        </w:trPr>
        <w:tc>
          <w:tcPr>
            <w:tcW w:w="20" w:type="dxa"/>
            <w:vAlign w:val="bottom"/>
          </w:tcPr>
          <w:p>
            <w:pPr>
              <w:spacing w:after="0"/>
              <w:rPr>
                <w:sz w:val="22"/>
                <w:szCs w:val="22"/>
                <w:color w:val="auto"/>
              </w:rPr>
            </w:pPr>
          </w:p>
        </w:tc>
        <w:tc>
          <w:tcPr>
            <w:tcW w:w="67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Base purchase price</w:t>
            </w:r>
          </w:p>
        </w:tc>
        <w:tc>
          <w:tcPr>
            <w:tcW w:w="33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247,154</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Consistent with our fair value policy for MSRs as disclosed in Note 4, we estimated the fair value of the MSRs by calculating the present value of expected future cash flows utilizing assumptions that we believe are used by market participants. The Litton IO Strips that Ocwen acquired and holds are entitled to a portion of the servicing revenues from the securitization trusts to which they relate. However, Ocwen has relinquished the rights to these revenues to the holder of the MSRs. As a result, the MSRs include the right to all the servicing revenues from those securitization trusts, and we have estimated the fair values of the related MSRs on that basis.</w:t>
      </w:r>
    </w:p>
    <w:p>
      <w:pPr>
        <w:spacing w:after="0" w:line="21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valuation of premises and equipment was based on the in-use valuation premise, where the fair value of an asset is based on the highest and best use of the asset that would provide maximum value to market participants principally through its use with other assets as a group. This valuation presumes the continued operation of the Litton Loan Servicing Business platform as installed or otherwise configured for use.</w:t>
      </w:r>
    </w:p>
    <w:p>
      <w:pPr>
        <w:spacing w:after="0" w:line="193"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Advances are non-interest bearing receivables that are expected to have a short average collections period and were, therefore, valued at their face amount, consistent with Ocwen’s fair value policy for servicing advances. Other assets and liabilities that are expected to have a short life were also valued at the face value of the specific assets and liabilities purchased, including receivables, prepaid expenses, accounts payable and accrued expenses.</w:t>
      </w:r>
    </w:p>
    <w:p>
      <w:pPr>
        <w:spacing w:after="0" w:line="17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business. The goodwill portion of the purchase price allocation shown in the table above pertains to the Servicing segment and is subject to adjustment as the fair value of certain other components of the purchase price are adjusted. All components of the purchase price allocation are considered preliminary. We anticipate finalizing the purchase price allocations by December 31, 2011. Potential changes in advances, premises and equipment and goodwill could be significant. If certain of the acquired premises and equipment are not used in the future, they may be written down to their estimated liquidation value. Ocwen is considering subleasing office space acquired as part of the Litton Acquisition. Further changes to the opening balance of advances will result in a cash exchange between Ocwen and Goldman Sachs and, as such, should not result in any change to goodwill.</w:t>
      </w:r>
    </w:p>
    <w:p>
      <w:pPr>
        <w:spacing w:after="0" w:line="19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acquisition of Litton is treated as an asset acquisition for U.S. tax purposes. We expect the opening tax basis for the acquired assets and liabilities to be the fair value as shown in the table above. We expect the MSRs and goodwill to be treated as intangible assets acquired in connection with the purchase of a trade or business and as such, amortized over 15 years for tax purposes.</w:t>
      </w:r>
    </w:p>
    <w:p>
      <w:pPr>
        <w:spacing w:after="0" w:line="208"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Additionally, the Agreement provides that the severance plans of Litton and the Goldman Sachs remain in effect for one year. We recognized severance expense of $3,913 during the third quarter as steps taken to reorganize and streamline the operations of Litton obligated Ocwen to pay severance under those plans. Severance expense is included in Compensation and benefits in our Consolidated Statements of Operations.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establishment of the match funded advance facility Ocwen funded a reserve in the initial amount of $42,535 which is held by the facility Indenture Trustee for the benefit of the note holders. Ocwen also paid Barclays an $11,500 arrangement fee in connection with the senior secured term loan agreement. This fee along with the discount and certain other professional fees incurred in connection with the establishment of the facility are being amortized over the five-year life of the loan.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right="20" w:firstLine="324"/>
        <w:spacing w:after="0" w:line="270" w:lineRule="auto"/>
        <w:rPr>
          <w:sz w:val="20"/>
          <w:szCs w:val="20"/>
          <w:color w:val="auto"/>
        </w:rPr>
      </w:pPr>
      <w:r>
        <w:rPr>
          <w:rFonts w:ascii="Arial" w:cs="Arial" w:eastAsia="Arial" w:hAnsi="Arial"/>
          <w:sz w:val="17"/>
          <w:szCs w:val="17"/>
          <w:color w:val="auto"/>
        </w:rPr>
        <w:t>As part of the Litton Acquisition, Goldman Sachs and Ocwen have agreed to indemnification provisions for the benefit of the other party. Additionally, Goldman Sachs has agreed to retain certain contingent liabilities for fines and penalties that could potentially be imposed by certain government authorities relating to Litton’s pre-closing foreclosure and servicing practices. Further, Goldman Sachs and Ocwen have agreed to share certain losses arising out of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currently approximately $123,577 or 50% of the adjusted purchase price of the Litton Acquisition, but which may be further adjusted after final reconciliations of the purchase price are made.</w:t>
      </w:r>
    </w:p>
    <w:p>
      <w:pPr>
        <w:spacing w:after="0" w:line="2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connection with the Litton Acquisition, Ocwen, Goldman Sachs Bank USA, Litton and the New York State Banking Department have entered into an agreement (the NY Agreement) that sets forth certain loan servicing practices and operational requirements. No fines, penalties or other payments were assessed against Ocwen or Litton under the terms of the NY Agreement. We do not believe that our commitments under the NY Agreement will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and Pro forma impact of the Litton Acquisition</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Litton Loan Servicing Business that is included in our Consolidated Statement of Operations from the acquisition date of September 1, 2011 through September 30,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14,560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(10,107)</w:t>
            </w:r>
          </w:p>
        </w:tc>
      </w:tr>
    </w:tbl>
    <w:p>
      <w:pPr>
        <w:spacing w:after="0" w:line="214" w:lineRule="exact"/>
        <w:rPr>
          <w:sz w:val="20"/>
          <w:szCs w:val="20"/>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includes non-recurring transaction related expenses of $18,431, including severance and other compensation of $12,933 related to Litton employees and $304 of fees for professional services related to the acquisition. Net loss also includes $2,276 of amortization of the acquired MSRs. Net loss does not include an allocation of costs related to the servicing of the Litton loans on Ocwen’s platform. We computed income taxes using a combined statutory rate of 36.12% for federal and state income taxes.</w:t>
      </w:r>
    </w:p>
    <w:p>
      <w:pPr>
        <w:spacing w:after="0" w:line="21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Litton Acquisition had occurred on January 1, 2010. Pro forma adjustments include:</w:t>
      </w:r>
    </w:p>
    <w:p>
      <w:pPr>
        <w:spacing w:after="0" w:line="197"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 rather than the policy followed by Litton;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 rather than the policy followed by Litton;</w:t>
      </w:r>
    </w:p>
    <w:p>
      <w:pPr>
        <w:spacing w:after="0" w:line="225" w:lineRule="exact"/>
        <w:rPr>
          <w:rFonts w:ascii="Arial" w:cs="Arial" w:eastAsia="Arial" w:hAnsi="Arial"/>
          <w:sz w:val="18"/>
          <w:szCs w:val="18"/>
          <w:color w:val="auto"/>
        </w:rPr>
      </w:pPr>
    </w:p>
    <w:p>
      <w:pPr>
        <w:ind w:left="920" w:right="40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reversing Litton depreciation and reporting depreciation based on the estimated fair values and remaining lives of the acquired premises and equipment at the date of acquisition;</w:t>
      </w:r>
    </w:p>
    <w:p>
      <w:pPr>
        <w:spacing w:after="0" w:line="170" w:lineRule="exact"/>
        <w:rPr>
          <w:rFonts w:ascii="Arial" w:cs="Arial" w:eastAsia="Arial" w:hAnsi="Arial"/>
          <w:sz w:val="18"/>
          <w:szCs w:val="18"/>
          <w:color w:val="auto"/>
        </w:rPr>
      </w:pPr>
    </w:p>
    <w:p>
      <w:pPr>
        <w:ind w:left="920" w:right="4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Litton and to recognize interest expense as if the acquisition-related debt of Ocwen had been outstanding at January 1, 2010; and</w:t>
      </w:r>
    </w:p>
    <w:p>
      <w:pPr>
        <w:spacing w:after="0" w:line="170" w:lineRule="exact"/>
        <w:rPr>
          <w:rFonts w:ascii="Arial" w:cs="Arial" w:eastAsia="Arial" w:hAnsi="Arial"/>
          <w:sz w:val="18"/>
          <w:szCs w:val="18"/>
          <w:color w:val="auto"/>
        </w:rPr>
      </w:pPr>
    </w:p>
    <w:p>
      <w:pPr>
        <w:ind w:left="920" w:right="4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Litton employees and fees for professional services related to the acquisition as if they had been incurred in 2010 rather than 2011.</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pro forma consolidated results are not indicative of what Ocwen’s consolidated net earnings would have been had Ocwen completed the Litton Acquisition on January 1, 2010 because of differences in servicing practices and cost structure between Ocwen and Litton. In addition, the pro forma consolidated results do not purport to project the future results of Ocwen combined nor do they reflect the expected realization of any cost savings associated with the Litton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Periods ended September 30,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155,420</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160,308</w:t>
            </w:r>
          </w:p>
        </w:tc>
        <w:tc>
          <w:tcPr>
            <w:tcW w:w="24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485,408</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455,016</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6,792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(28,468)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10,019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(16,770)</w:t>
            </w:r>
          </w:p>
        </w:tc>
      </w:tr>
    </w:tbl>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Through September 30, 2011, we have incurred approximately $1,100 of fees for professional services related to the Litton Acquisition which are included in Operating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NOTE 4 FAIR VALUE OF FINANCIAL INSTRUMENTS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780" w:type="dxa"/>
            <w:vAlign w:val="bottom"/>
            <w:gridSpan w:val="11"/>
          </w:tcPr>
          <w:p>
            <w:pPr>
              <w:ind w:left="320"/>
              <w:spacing w:after="0"/>
              <w:rPr>
                <w:sz w:val="20"/>
                <w:szCs w:val="20"/>
                <w:color w:val="auto"/>
              </w:rPr>
            </w:pPr>
            <w:r>
              <w:rPr>
                <w:rFonts w:ascii="Arial" w:cs="Arial" w:eastAsia="Arial" w:hAnsi="Arial"/>
                <w:sz w:val="18"/>
                <w:szCs w:val="18"/>
                <w:color w:val="auto"/>
                <w:w w:val="91"/>
              </w:rPr>
              <w:t>The carrying amounts and the estimated fair values of our financial instruments are as follows at the dates indicated:</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September 30, 2011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 2010</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Carrying Value</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4"/>
              </w:rPr>
              <w:t>Carrying Value</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22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Loans held for resale</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21,933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21,933</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25,803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60,389</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56,789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67,340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64,795</w:t>
            </w: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3,875,706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3,875,706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2,108,885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2,108,885</w:t>
            </w: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53,141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53,141</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69,518</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54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3,080,228</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3,096,522</w:t>
            </w:r>
          </w:p>
        </w:tc>
        <w:tc>
          <w:tcPr>
            <w:tcW w:w="24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99"/>
              </w:rPr>
              <w:t>1,482,529</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1,486,476</w:t>
            </w: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555,110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566,353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246,073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252,722</w:t>
            </w: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Secured borrowings – owed to securitization investors</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55,323</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54,280</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62,705</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62,105</w:t>
            </w: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r>
      <w:tr>
        <w:trPr>
          <w:trHeight w:val="216"/>
        </w:trPr>
        <w:tc>
          <w:tcPr>
            <w:tcW w:w="20" w:type="dxa"/>
            <w:vAlign w:val="bottom"/>
          </w:tcPr>
          <w:p>
            <w:pPr>
              <w:spacing w:after="0"/>
              <w:rPr>
                <w:sz w:val="18"/>
                <w:szCs w:val="18"/>
                <w:color w:val="auto"/>
              </w:rPr>
            </w:pPr>
          </w:p>
        </w:tc>
        <w:tc>
          <w:tcPr>
            <w:tcW w:w="4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89,534</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82,554</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(18,389)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(18,389)</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(15,351)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r>
    </w:tbl>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broad categories are:</w:t>
      </w:r>
    </w:p>
    <w:p>
      <w:pPr>
        <w:spacing w:after="0" w:line="25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380" w:right="40" w:hanging="917"/>
        <w:spacing w:after="0" w:line="277"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assets and liabilities measured at fair value categorized by input level within the fair value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5"/>
              </w:rPr>
              <w:t>Carrying value</w:t>
            </w: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September 30, 2011:</w:t>
            </w:r>
          </w:p>
        </w:tc>
        <w:tc>
          <w:tcPr>
            <w:tcW w:w="7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110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(18,389)</w:t>
            </w:r>
          </w:p>
        </w:tc>
        <w:tc>
          <w:tcPr>
            <w:tcW w:w="1260" w:type="dxa"/>
            <w:vAlign w:val="bottom"/>
            <w:shd w:val="clear" w:color="auto" w:fill="EAF9E8"/>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(2)</w:t>
            </w:r>
          </w:p>
        </w:tc>
        <w:tc>
          <w:tcPr>
            <w:tcW w:w="7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21,933</w:t>
            </w:r>
          </w:p>
        </w:tc>
        <w:tc>
          <w:tcPr>
            <w:tcW w:w="1260" w:type="dxa"/>
            <w:vAlign w:val="bottom"/>
            <w:shd w:val="clear" w:color="auto" w:fill="EAF9E8"/>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MSRs (3)</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741</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At December 31, 2010: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(15,351)</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held for resale (2)</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25,803</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MSRs (3)</w:t>
            </w:r>
          </w:p>
        </w:tc>
        <w:tc>
          <w:tcPr>
            <w:tcW w:w="7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334</w:t>
            </w:r>
          </w:p>
        </w:tc>
        <w:tc>
          <w:tcPr>
            <w:tcW w:w="1260" w:type="dxa"/>
            <w:vAlign w:val="bottom"/>
            <w:shd w:val="clear" w:color="auto" w:fill="EAF9E8"/>
          </w:tcPr>
          <w:p>
            <w:pPr>
              <w:ind w:left="10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ind w:left="10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6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derivative financial instruments are not exchange-traded and therefore quoted market prices or other observable inputs are not available. Fair value is based on certain assumptions provided by third-party pricing sources. See Note 15 for additional information on our derivative financial instruments.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ind w:left="460" w:right="40" w:hanging="452"/>
        <w:spacing w:after="0" w:line="273"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Loans held for resale are reported at the lower of cost or fair value. The fair value of loans for which we do not have a firm commitment to sell is based upon a discounted cash flow analysis with the expected future cash flows discounted at a rate commensurate with the risk of the estimated cash flows. Significant assumptions include collateral and loan characteristics, prevailing market conditions and the creditworthiness of the borrower. All loans held for resale were measured at fair value because the cost exceeded the estimated fair value. At September 30, 2011 and December 31, 2010, the carrying value of loans held for resale is net of a valuation allowance of $14,407 and $14,611, respectively. Current market illiquidity has reduced the availability of observable pricing data. Consequently, we classify loans within Level 3 of the fair value hierarchy.</w:t>
      </w:r>
    </w:p>
    <w:p>
      <w:pPr>
        <w:spacing w:after="0" w:line="178"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represent the carrying value of the impaired stratum of MSRs, net of a valuation allowance of $1,996 and $2,864 at September 30, 2011 and December 31, 2010, respectively. The estimated fair value exceeded amortized cost for all other strata. See Note 8 for additional information on MSRs, including significant assumptions used in their valuation.</w:t>
      </w:r>
    </w:p>
    <w:p>
      <w:pPr>
        <w:spacing w:after="0" w:line="20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our Level 3 assets that we measure at fair value on a recurring basis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5"/>
              </w:rPr>
              <w:t>Derivative Financial Instruments</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 2011:</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9"/>
              </w:rPr>
              <w:t>Three months</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Nine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37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(15,787)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EAF9E8"/>
            </w:tcBorders>
          </w:tcPr>
          <w:p>
            <w:pPr>
              <w:spacing w:after="0"/>
              <w:rPr>
                <w:sz w:val="18"/>
                <w:szCs w:val="18"/>
                <w:color w:val="auto"/>
              </w:rPr>
            </w:pPr>
          </w:p>
        </w:tc>
        <w:tc>
          <w:tcPr>
            <w:tcW w:w="33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Sales</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EAF9E8"/>
          </w:tcPr>
          <w:p>
            <w:pPr>
              <w:spacing w:after="0"/>
              <w:rPr>
                <w:sz w:val="2"/>
                <w:szCs w:val="2"/>
                <w:color w:val="auto"/>
              </w:rPr>
            </w:pPr>
          </w:p>
        </w:tc>
        <w:tc>
          <w:tcPr>
            <w:tcW w:w="33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EAF9E8"/>
          </w:tcPr>
          <w:p>
            <w:pPr>
              <w:spacing w:after="0"/>
              <w:rPr>
                <w:sz w:val="18"/>
                <w:szCs w:val="18"/>
                <w:color w:val="auto"/>
              </w:rPr>
            </w:pP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realized and unrealized gains and (losses) (1):</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net</w:t>
            </w: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(2,722)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EAF9E8"/>
          </w:tcPr>
          <w:p>
            <w:pPr>
              <w:spacing w:after="0"/>
              <w:rPr>
                <w:sz w:val="19"/>
                <w:szCs w:val="19"/>
                <w:color w:val="auto"/>
              </w:rPr>
            </w:pPr>
          </w:p>
        </w:tc>
        <w:tc>
          <w:tcPr>
            <w:tcW w:w="33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(2,611)</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EAF9E8"/>
            </w:tcBorders>
          </w:tcPr>
          <w:p>
            <w:pPr>
              <w:spacing w:after="0"/>
              <w:rPr>
                <w:sz w:val="18"/>
                <w:szCs w:val="18"/>
                <w:color w:val="auto"/>
              </w:rPr>
            </w:pPr>
          </w:p>
        </w:tc>
        <w:tc>
          <w:tcPr>
            <w:tcW w:w="33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33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EAF9E8"/>
          </w:tcPr>
          <w:p>
            <w:pPr>
              <w:spacing w:after="0"/>
              <w:rPr>
                <w:sz w:val="2"/>
                <w:szCs w:val="2"/>
                <w:color w:val="auto"/>
              </w:rPr>
            </w:pPr>
          </w:p>
        </w:tc>
        <w:tc>
          <w:tcPr>
            <w:tcW w:w="33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Ending balance</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(18,389)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320" w:type="dxa"/>
            <w:vAlign w:val="bottom"/>
            <w:vMerge w:val="restart"/>
          </w:tcPr>
          <w:p>
            <w:pPr>
              <w:jc w:val="right"/>
              <w:ind w:right="211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Trading Securities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Auction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Subordinates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and Residuals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(12,278)</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78,073</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realized and unrealized gains and (losses) (1) (2):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Loss on trading securities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(2,961)</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(8,837)</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(21,419)</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74,712</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Trading Securities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Auction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Subordinates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2010: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and Residuals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24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(75,508)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(93,345)</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(168,853)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realized and unrealized gains and (losses) (1) (2):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Loss on trading securities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(3,899)</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(20,556)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(21,508)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(21,419)</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74,712</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net losses attributable to derivative financial instruments for the three and nine months ended September 30, 2011 include losses of $2,611 and</w:t>
      </w:r>
    </w:p>
    <w:p>
      <w:pPr>
        <w:spacing w:after="0" w:line="46" w:lineRule="exact"/>
        <w:rPr>
          <w:rFonts w:ascii="Arial" w:cs="Arial" w:eastAsia="Arial" w:hAnsi="Arial"/>
          <w:sz w:val="16"/>
          <w:szCs w:val="16"/>
          <w:color w:val="auto"/>
        </w:rPr>
      </w:pPr>
    </w:p>
    <w:p>
      <w:pPr>
        <w:ind w:left="460" w:right="40"/>
        <w:spacing w:after="0" w:line="290" w:lineRule="auto"/>
        <w:rPr>
          <w:rFonts w:ascii="Arial" w:cs="Arial" w:eastAsia="Arial" w:hAnsi="Arial"/>
          <w:sz w:val="16"/>
          <w:szCs w:val="16"/>
          <w:color w:val="auto"/>
        </w:rPr>
      </w:pPr>
      <w:r>
        <w:rPr>
          <w:rFonts w:ascii="Arial" w:cs="Arial" w:eastAsia="Arial" w:hAnsi="Arial"/>
          <w:sz w:val="17"/>
          <w:szCs w:val="17"/>
          <w:color w:val="auto"/>
        </w:rPr>
        <w:t>$2,900, respectively, on derivatives held at September 30, 2011. Net losses attributable to derivative financial instruments for the three and nine months ended September 30, 2010 include losses of $9,140 and $21,373, respectively, on derivatives held at September 30, 2010.</w:t>
      </w:r>
    </w:p>
    <w:p>
      <w:pPr>
        <w:spacing w:after="0" w:line="161" w:lineRule="exact"/>
        <w:rPr>
          <w:rFonts w:ascii="Arial" w:cs="Arial" w:eastAsia="Arial" w:hAnsi="Arial"/>
          <w:sz w:val="16"/>
          <w:szCs w:val="16"/>
          <w:color w:val="auto"/>
        </w:rPr>
      </w:pPr>
    </w:p>
    <w:p>
      <w:pPr>
        <w:ind w:left="460" w:right="6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net losses on trading securities for the three and nine months ended September 30, 2010 include unrealized gains (losses) of $(2,417) and $13,298, respectively, on auction rate securities held at September 30,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ADVANCES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Principal and interest</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45,133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82,060</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32,049</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49,785</w:t>
            </w: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Foreclosure and bankruptcy costs</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27,163</w:t>
            </w:r>
          </w:p>
        </w:tc>
      </w:tr>
      <w:tr>
        <w:trPr>
          <w:trHeight w:val="223"/>
        </w:trPr>
        <w:tc>
          <w:tcPr>
            <w:tcW w:w="20" w:type="dxa"/>
            <w:vAlign w:val="bottom"/>
          </w:tcPr>
          <w:p>
            <w:pPr>
              <w:spacing w:after="0"/>
              <w:rPr>
                <w:sz w:val="19"/>
                <w:szCs w:val="19"/>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25,177</w:t>
            </w: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21,701</w:t>
            </w:r>
          </w:p>
        </w:tc>
      </w:tr>
      <w:tr>
        <w:trPr>
          <w:trHeight w:val="216"/>
        </w:trPr>
        <w:tc>
          <w:tcPr>
            <w:tcW w:w="20" w:type="dxa"/>
            <w:vAlign w:val="bottom"/>
          </w:tcPr>
          <w:p>
            <w:pPr>
              <w:spacing w:after="0"/>
              <w:rPr>
                <w:sz w:val="18"/>
                <w:szCs w:val="18"/>
                <w:color w:val="auto"/>
              </w:rPr>
            </w:pPr>
          </w:p>
        </w:tc>
        <w:tc>
          <w:tcPr>
            <w:tcW w:w="83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180,709</w:t>
            </w:r>
          </w:p>
        </w:tc>
        <w:tc>
          <w:tcPr>
            <w:tcW w:w="100" w:type="dxa"/>
            <w:vAlign w:val="bottom"/>
            <w:tcBorders>
              <w:top w:val="single" w:sz="8" w:color="EAF9E8"/>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118,872</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184,833</w:t>
            </w: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Servicing advances of $75,489 were pledged as collateral under the term reimbursement advance borrowing as of December 31, 2010. See Note 13 for additional information regarding the fee reimbursement advance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MATCH FUNDED ADVANCES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60" w:type="dxa"/>
            <w:vAlign w:val="bottom"/>
            <w:shd w:val="clear" w:color="auto" w:fill="EAF9E8"/>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1,841,536</w:t>
            </w:r>
          </w:p>
        </w:tc>
        <w:tc>
          <w:tcPr>
            <w:tcW w:w="22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947,990</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Taxes and insurance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684,928</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299,243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140,181</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116,064</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116,025</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3,756,834</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LOANS – RESTRICTED FOR SECURITIZATION INVESTORS</w:t>
      </w:r>
    </w:p>
    <w:p>
      <w:pPr>
        <w:spacing w:after="0" w:line="25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Loans – restricted for securitization investors are held by four securitization trusts that we include in our consolidated financial statements, as more fully described in Note 1—Securitizations of Residential Mortgage Loans. Loans – restricted for securitization investors consisted of the following 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32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62,673</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69,718</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80" w:type="dxa"/>
            <w:vAlign w:val="bottom"/>
            <w:shd w:val="clear" w:color="auto" w:fill="EAF9E8"/>
          </w:tcPr>
          <w:p>
            <w:pPr>
              <w:spacing w:after="0"/>
              <w:rPr>
                <w:sz w:val="20"/>
                <w:szCs w:val="20"/>
                <w:color w:val="auto"/>
              </w:rPr>
            </w:pPr>
          </w:p>
        </w:tc>
        <w:tc>
          <w:tcPr>
            <w:tcW w:w="32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60,389</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AF9E8"/>
            </w:tcBorders>
            <w:shd w:val="clear" w:color="auto" w:fill="EAF9E8"/>
          </w:tcPr>
          <w:p>
            <w:pPr>
              <w:spacing w:after="0" w:line="20" w:lineRule="exact"/>
              <w:rPr>
                <w:sz w:val="1"/>
                <w:szCs w:val="1"/>
                <w:color w:val="auto"/>
              </w:rPr>
            </w:pPr>
          </w:p>
        </w:tc>
        <w:tc>
          <w:tcPr>
            <w:tcW w:w="296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nonperforming loans of $12,671 and $12,933 at September 30, 2011 and December 31, 2010, respectively.</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At September 30, 2011, the trusts held 1,447 loans that are secured by first or second liens on one- to four-family residential properties. These loans have a weighted average coupon rate of 9.19% and a weighted average remaining life of 130 months.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MORTGAGE SERVICING RIGHTS</w:t>
      </w:r>
    </w:p>
    <w:p>
      <w:pPr>
        <w:spacing w:after="0" w:line="25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residential servicing assets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2010</w:t>
            </w:r>
          </w:p>
        </w:tc>
        <w:tc>
          <w:tcPr>
            <w:tcW w:w="372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193,985</w:t>
            </w: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Purchases (1)</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135,341</w:t>
            </w:r>
          </w:p>
        </w:tc>
      </w:tr>
      <w:tr>
        <w:trPr>
          <w:trHeight w:val="216"/>
        </w:trPr>
        <w:tc>
          <w:tcPr>
            <w:tcW w:w="20" w:type="dxa"/>
            <w:vAlign w:val="bottom"/>
          </w:tcPr>
          <w:p>
            <w:pPr>
              <w:spacing w:after="0"/>
              <w:rPr>
                <w:sz w:val="18"/>
                <w:szCs w:val="18"/>
                <w:color w:val="auto"/>
              </w:rPr>
            </w:pPr>
          </w:p>
        </w:tc>
        <w:tc>
          <w:tcPr>
            <w:tcW w:w="6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3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868</w:t>
            </w:r>
          </w:p>
        </w:tc>
      </w:tr>
      <w:tr>
        <w:trPr>
          <w:trHeight w:val="223"/>
        </w:trPr>
        <w:tc>
          <w:tcPr>
            <w:tcW w:w="2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Amortization (2)</w:t>
            </w:r>
          </w:p>
        </w:tc>
        <w:tc>
          <w:tcPr>
            <w:tcW w:w="3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(30,477)</w:t>
            </w:r>
          </w:p>
        </w:tc>
      </w:tr>
      <w:tr>
        <w:trPr>
          <w:trHeight w:val="257"/>
        </w:trPr>
        <w:tc>
          <w:tcPr>
            <w:tcW w:w="20" w:type="dxa"/>
            <w:vAlign w:val="bottom"/>
          </w:tcPr>
          <w:p>
            <w:pPr>
              <w:spacing w:after="0"/>
              <w:rPr>
                <w:sz w:val="22"/>
                <w:szCs w:val="22"/>
                <w:color w:val="auto"/>
              </w:rPr>
            </w:pPr>
          </w:p>
        </w:tc>
        <w:tc>
          <w:tcPr>
            <w:tcW w:w="67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September 30, 2011</w:t>
            </w:r>
          </w:p>
        </w:tc>
        <w:tc>
          <w:tcPr>
            <w:tcW w:w="334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top w:val="single" w:sz="8" w:color="auto"/>
              <w:bottom w:val="single" w:sz="8" w:color="auto"/>
            </w:tcBorders>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299,717</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represent the MSRs acquired as a part of the Litton Acquisition.</w:t>
      </w:r>
    </w:p>
    <w:p>
      <w:pPr>
        <w:spacing w:after="0" w:line="225"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19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purchased MSRs while subservicing generally represents all other MSRs.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September 30, 2011: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80,518,944</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80,518,944</w:t>
            </w: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Subservicing</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25,607,224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311,624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25,918,848</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6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106,126,168</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311,624</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106,437,792</w:t>
            </w:r>
          </w:p>
        </w:tc>
      </w:tr>
      <w:tr>
        <w:trPr>
          <w:trHeight w:val="210"/>
        </w:trPr>
        <w:tc>
          <w:tcPr>
            <w:tcW w:w="20" w:type="dxa"/>
            <w:vAlign w:val="bottom"/>
          </w:tcPr>
          <w:p>
            <w:pPr>
              <w:spacing w:after="0"/>
              <w:rPr>
                <w:sz w:val="18"/>
                <w:szCs w:val="18"/>
                <w:color w:val="auto"/>
              </w:rPr>
            </w:pPr>
          </w:p>
        </w:tc>
        <w:tc>
          <w:tcPr>
            <w:tcW w:w="662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December 31, 2010:</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51,252,380</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51,252,380</w:t>
            </w: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Subservicing</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22,634,011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434,305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23,068,316</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73,886,391</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434,305</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74,320,696</w:t>
            </w: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MSRs are an intangible asset representing the right to service a portfolio of mortgage loans. We generally obtain MSRs by purchasing them from the owners of the mortgage loans. Residential assets serviced consist principally of mortgage loans, primarily subprime, but also include foreclosed real estate. Commercial assets serviced consist of foreclosed real estate. Assets serviced for others are not included on our Consolidated Balance Sheet.</w:t>
      </w:r>
    </w:p>
    <w:p>
      <w:pPr>
        <w:spacing w:after="0" w:line="17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held in escrow by an unaffiliated bank and excluded from our Consolidated Balance Sheet. Custodial accounts amounted to approximately $540,500 and $320,300 at September 30, 2011 and December 31, 2010, respectively.</w:t>
      </w:r>
    </w:p>
    <w:p>
      <w:pPr>
        <w:spacing w:after="0" w:line="20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i w:val="1"/>
          <w:iCs w:val="1"/>
          <w:color w:val="auto"/>
        </w:rPr>
        <w:t xml:space="preserve">Valuation Allowance for Impairment. </w:t>
      </w:r>
      <w:r>
        <w:rPr>
          <w:rFonts w:ascii="Arial" w:cs="Arial" w:eastAsia="Arial" w:hAnsi="Arial"/>
          <w:sz w:val="17"/>
          <w:szCs w:val="17"/>
          <w:color w:val="auto"/>
        </w:rPr>
        <w:t>During 2008, we established a valuation allowance for impairment of $3,624 on the high-loan-to-value stratum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MSRs as the estimated fair value was less than the carrying value. Changes in the valuation allowance for impairment are reflected in Servicing and origination expenses in our Consolidated Statement of Operations. Net of the current valuation allowance of $1,996, the carrying value of this stratum was $741 at September 30, 2011. For all other strata, the fair value was above the carrying value at September 30, 2011.</w:t>
      </w:r>
    </w:p>
    <w:p>
      <w:pPr>
        <w:spacing w:after="0" w:line="19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estimated fair value of residential MSRs at September 30, 2011 and December 31, 2010 was $335,013 and $237,407, respectively. The more significant assumptions used in the September 30, 2011 valuation include prepayment speeds ranging from 11.8% to 24.2% (depending on loan type) and 90+ non-performing delinquency rates ranging from 18.5% to 32.1% (depending on loan type). Other assumptions include an interest rate of 1-month LIBOR plus 4% for computing the cost of financing advances, an interest rate of 1-month LIBOR for computing float earnings and a discount rate of 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14 for additional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NOTE 9 RECEIVABLES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Receivables consisted of the following at the dates indicated: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Allowance for</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Receivables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Credit Losses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September 30, 2011</w:t>
            </w:r>
          </w:p>
        </w:tc>
        <w:tc>
          <w:tcPr>
            <w:tcW w:w="36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EAF9E8"/>
            </w:tcBorders>
            <w:shd w:val="clear" w:color="auto" w:fill="EAF9E8"/>
          </w:tcPr>
          <w:p>
            <w:pPr>
              <w:spacing w:after="0"/>
              <w:rPr>
                <w:sz w:val="19"/>
                <w:szCs w:val="19"/>
                <w:color w:val="auto"/>
              </w:rPr>
            </w:pPr>
          </w:p>
        </w:tc>
        <w:tc>
          <w:tcPr>
            <w:tcW w:w="1120" w:type="dxa"/>
            <w:vAlign w:val="bottom"/>
            <w:tcBorders>
              <w:top w:val="single" w:sz="8" w:color="auto"/>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top w:val="single" w:sz="8" w:color="auto"/>
              <w:bottom w:val="single" w:sz="8" w:color="EAF9E8"/>
            </w:tcBorders>
            <w:shd w:val="clear" w:color="auto" w:fill="EAF9E8"/>
          </w:tcPr>
          <w:p>
            <w:pPr>
              <w:spacing w:after="0"/>
              <w:rPr>
                <w:sz w:val="19"/>
                <w:szCs w:val="19"/>
                <w:color w:val="auto"/>
              </w:rPr>
            </w:pPr>
          </w:p>
        </w:tc>
        <w:tc>
          <w:tcPr>
            <w:tcW w:w="960" w:type="dxa"/>
            <w:vAlign w:val="bottom"/>
            <w:tcBorders>
              <w:top w:val="single" w:sz="8" w:color="auto"/>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Servicing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43,308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5,969</w:t>
            </w: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Affordable housing (2)</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2,199</w:t>
            </w: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60,589</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(7,448)</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December 31, 2010</w:t>
            </w:r>
          </w:p>
        </w:tc>
        <w:tc>
          <w:tcPr>
            <w:tcW w:w="36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Servicing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59,436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3,620</w:t>
            </w: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Affordable housing (2)</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6,882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(5,866)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1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4,586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76,969</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(7,451)</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balances at September 30, 2011 and December 31, 2010 arise from our Servicing business and primarily include reimbursable expenditures due from investors and amounts to be recovered from the custodial accounts of the trustees.</w:t>
      </w:r>
    </w:p>
    <w:p>
      <w:pPr>
        <w:spacing w:after="0" w:line="17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balances at September 30, 2011 and December 31, 2010 primarily represent annual payments to be received through June 2014 for proceeds from sales of investments in affordable housing properties. None of these receivables is delinquent.</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20 for additional information regarding our relationship with Altisource.</w:t>
      </w:r>
    </w:p>
    <w:p>
      <w:pPr>
        <w:spacing w:after="0" w:line="25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Receivable balances are evaluated individually. The change in the allowance for credit losses for the nine months ended September 30, 2011 and the balance of the related receivables at those dates were as follows (the disclosure requirements for the allowance for credit losses under ASC 310, Receivables, do not apply to mortgage banking activities, including the long-term servicing of loans, such as the activities of our Servicing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Affordable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Housing</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2010</w:t>
            </w:r>
          </w:p>
        </w:tc>
        <w:tc>
          <w:tcPr>
            <w:tcW w:w="16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5,866</w:t>
            </w:r>
          </w:p>
        </w:tc>
        <w:tc>
          <w:tcPr>
            <w:tcW w:w="4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1,323</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Charge offs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Recoveries</w:t>
            </w:r>
          </w:p>
        </w:tc>
        <w:tc>
          <w:tcPr>
            <w:tcW w:w="1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Provision (reversal),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Allowance for credit losses balance at September 30, 2011</w:t>
            </w:r>
          </w:p>
        </w:tc>
        <w:tc>
          <w:tcPr>
            <w:tcW w:w="16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5,067</w:t>
            </w:r>
          </w:p>
        </w:tc>
        <w:tc>
          <w:tcPr>
            <w:tcW w:w="4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1,297</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Borders>
              <w:top w:val="single" w:sz="8" w:color="EAF9E8"/>
            </w:tcBorders>
          </w:tcPr>
          <w:p>
            <w:pPr>
              <w:spacing w:after="0"/>
              <w:rPr>
                <w:sz w:val="18"/>
                <w:szCs w:val="18"/>
                <w:color w:val="auto"/>
              </w:rPr>
            </w:pPr>
          </w:p>
        </w:tc>
        <w:tc>
          <w:tcPr>
            <w:tcW w:w="146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Receivables balance at September 30, 2011</w:t>
            </w:r>
          </w:p>
        </w:tc>
        <w:tc>
          <w:tcPr>
            <w:tcW w:w="16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5,617</w:t>
            </w:r>
          </w:p>
        </w:tc>
        <w:tc>
          <w:tcPr>
            <w:tcW w:w="4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3,496</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EAF9E8"/>
            </w:tcBorders>
            <w:shd w:val="clear" w:color="auto" w:fill="EAF9E8"/>
          </w:tcPr>
          <w:p>
            <w:pPr>
              <w:spacing w:after="0" w:line="20" w:lineRule="exact"/>
              <w:rPr>
                <w:sz w:val="1"/>
                <w:szCs w:val="1"/>
                <w:color w:val="auto"/>
              </w:rPr>
            </w:pPr>
          </w:p>
        </w:tc>
        <w:tc>
          <w:tcPr>
            <w:tcW w:w="14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NOTE 10 OTHER ASSETS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8"/>
              </w:rPr>
              <w:t>Other assets consisted of the following at the dates indicated:</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1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120,484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earning collateral deposits (2)</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(3)</w:t>
            </w:r>
          </w:p>
        </w:tc>
        <w:tc>
          <w:tcPr>
            <w:tcW w:w="1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21,436</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Real estate,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Term note (4)</w:t>
            </w:r>
          </w:p>
        </w:tc>
        <w:tc>
          <w:tcPr>
            <w:tcW w:w="1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185,739</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158,282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160" w:type="dxa"/>
            <w:vAlign w:val="bottom"/>
            <w:tcBorders>
              <w:top w:val="single" w:sz="8" w:color="EAF9E8"/>
            </w:tcBorders>
          </w:tcPr>
          <w:p>
            <w:pPr>
              <w:spacing w:after="0"/>
              <w:rPr>
                <w:sz w:val="24"/>
                <w:szCs w:val="24"/>
                <w:color w:val="auto"/>
              </w:rPr>
            </w:pPr>
          </w:p>
        </w:tc>
        <w:tc>
          <w:tcPr>
            <w:tcW w:w="1460" w:type="dxa"/>
            <w:vAlign w:val="bottom"/>
            <w:tcBorders>
              <w:top w:val="single" w:sz="8" w:color="EAF9E8"/>
            </w:tcBorders>
          </w:tcPr>
          <w:p>
            <w:pPr>
              <w:jc w:val="right"/>
              <w:ind w:right="75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EAF9E8"/>
            </w:tcBorders>
          </w:tcPr>
          <w:p>
            <w:pPr>
              <w:spacing w:after="0"/>
              <w:rPr>
                <w:sz w:val="24"/>
                <w:szCs w:val="24"/>
                <w:color w:val="auto"/>
              </w:rPr>
            </w:pPr>
          </w:p>
        </w:tc>
        <w:tc>
          <w:tcPr>
            <w:tcW w:w="1100" w:type="dxa"/>
            <w:vAlign w:val="bottom"/>
            <w:tcBorders>
              <w:top w:val="single" w:sz="8" w:color="EAF9E8"/>
            </w:tcBorders>
          </w:tcPr>
          <w:p>
            <w:pPr>
              <w:spacing w:after="0"/>
              <w:rPr>
                <w:sz w:val="24"/>
                <w:szCs w:val="24"/>
                <w:color w:val="auto"/>
              </w:rPr>
            </w:pPr>
          </w:p>
        </w:tc>
        <w:tc>
          <w:tcPr>
            <w:tcW w:w="26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EAF9E8"/>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p>
      <w:pPr>
        <w:ind w:left="452" w:hanging="452"/>
        <w:spacing w:after="0" w:line="279" w:lineRule="auto"/>
        <w:tabs>
          <w:tab w:leader="none" w:pos="4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71" w:lineRule="exact"/>
        <w:rPr>
          <w:rFonts w:ascii="Arial" w:cs="Arial" w:eastAsia="Arial" w:hAnsi="Arial"/>
          <w:sz w:val="17"/>
          <w:szCs w:val="17"/>
          <w:color w:val="auto"/>
        </w:rPr>
      </w:pPr>
    </w:p>
    <w:p>
      <w:pPr>
        <w:ind w:left="452" w:right="260" w:hanging="452"/>
        <w:spacing w:after="0" w:line="277"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balances include $21,319 and $18,684 of cash collateral held by the counterparties to our certain of our derivative agreements at September 30, 2011 and December 31, 2010, respectively.</w:t>
      </w:r>
    </w:p>
    <w:p>
      <w:pPr>
        <w:spacing w:after="0" w:line="170" w:lineRule="exact"/>
        <w:rPr>
          <w:rFonts w:ascii="Arial" w:cs="Arial" w:eastAsia="Arial" w:hAnsi="Arial"/>
          <w:sz w:val="18"/>
          <w:szCs w:val="18"/>
          <w:color w:val="auto"/>
        </w:rPr>
      </w:pPr>
    </w:p>
    <w:p>
      <w:pPr>
        <w:ind w:left="452" w:right="380" w:hanging="452"/>
        <w:spacing w:after="0" w:line="34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Unamortized costs at September 30, 2011 and December 31, 2010 relate to match funded liabilities and other secured borrowings of the Servicing segment. We amortize these costs to the earlier of the scheduled amortization date, contractual maturity date or prepayment date of the debt.</w:t>
      </w:r>
    </w:p>
    <w:p>
      <w:pPr>
        <w:spacing w:after="0" w:line="123" w:lineRule="exact"/>
        <w:rPr>
          <w:rFonts w:ascii="Arial" w:cs="Arial" w:eastAsia="Arial" w:hAnsi="Arial"/>
          <w:sz w:val="16"/>
          <w:szCs w:val="16"/>
          <w:color w:val="auto"/>
        </w:rPr>
      </w:pPr>
    </w:p>
    <w:p>
      <w:pPr>
        <w:ind w:left="452" w:right="300" w:hanging="452"/>
        <w:spacing w:after="0" w:line="264"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2011, we collected this term note in full and repaid a five-year note that was payable to the same counterparty. We originally issued a $7,000 note receivable in March 2009 with a maturity date of April 1, 2014 in connection with advances funded by the Ocwen Servicer Advance Funding, LLC (OSAF) term note pledged as collateral. See Note 13 for additional information.</w:t>
      </w:r>
    </w:p>
    <w:p>
      <w:pPr>
        <w:spacing w:after="0" w:line="3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MATCH FUNDED LIABILITIES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Match Funded Advances on Loans Serviced for Others, are comprised of the following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Unused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Borrowing</w:t>
            </w:r>
          </w:p>
        </w:tc>
        <w:tc>
          <w:tcPr>
            <w:tcW w:w="440" w:type="dxa"/>
            <w:vAlign w:val="bottom"/>
          </w:tcPr>
          <w:p>
            <w:pPr>
              <w:spacing w:after="0"/>
              <w:rPr>
                <w:sz w:val="18"/>
                <w:szCs w:val="18"/>
                <w:color w:val="auto"/>
              </w:rPr>
            </w:pPr>
          </w:p>
        </w:tc>
        <w:tc>
          <w:tcPr>
            <w:tcW w:w="20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Balance Outstanding</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60" w:lineRule="exact"/>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3"/>
                <w:szCs w:val="13"/>
                <w:color w:val="auto"/>
              </w:rPr>
            </w:pPr>
          </w:p>
        </w:tc>
        <w:tc>
          <w:tcPr>
            <w:tcW w:w="1340" w:type="dxa"/>
            <w:vAlign w:val="bottom"/>
            <w:gridSpan w:val="2"/>
          </w:tcPr>
          <w:p>
            <w:pPr>
              <w:jc w:val="center"/>
              <w:ind w:right="360"/>
              <w:spacing w:after="0" w:line="160" w:lineRule="exact"/>
              <w:rPr>
                <w:sz w:val="20"/>
                <w:szCs w:val="20"/>
                <w:color w:val="auto"/>
              </w:rPr>
            </w:pPr>
            <w:r>
              <w:rPr>
                <w:rFonts w:ascii="Arial" w:cs="Arial" w:eastAsia="Arial" w:hAnsi="Arial"/>
                <w:sz w:val="18"/>
                <w:szCs w:val="18"/>
                <w:b w:val="1"/>
                <w:bCs w:val="1"/>
                <w:color w:val="auto"/>
                <w:w w:val="93"/>
              </w:rPr>
              <w:t>Capacity</w:t>
            </w:r>
          </w:p>
        </w:tc>
        <w:tc>
          <w:tcPr>
            <w:tcW w:w="4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1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Borrowing Type</w:t>
            </w:r>
          </w:p>
        </w:tc>
        <w:tc>
          <w:tcPr>
            <w:tcW w:w="120" w:type="dxa"/>
            <w:vAlign w:val="bottom"/>
          </w:tcPr>
          <w:p>
            <w:pPr>
              <w:spacing w:after="0"/>
              <w:rPr>
                <w:sz w:val="24"/>
                <w:szCs w:val="24"/>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Interest Rate</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AF9E8"/>
          </w:tcPr>
          <w:p>
            <w:pPr>
              <w:spacing w:after="0"/>
              <w:rPr>
                <w:sz w:val="20"/>
                <w:szCs w:val="20"/>
                <w:color w:val="auto"/>
              </w:rPr>
            </w:pPr>
            <w:r>
              <w:rPr>
                <w:rFonts w:ascii="Arial" w:cs="Arial" w:eastAsia="Arial" w:hAnsi="Arial"/>
                <w:sz w:val="18"/>
                <w:szCs w:val="18"/>
                <w:color w:val="auto"/>
              </w:rPr>
              <w:t>Promissory Note (3)</w:t>
            </w:r>
          </w:p>
        </w:tc>
        <w:tc>
          <w:tcPr>
            <w:tcW w:w="174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3.3875%</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Sept. 2013</w:t>
            </w:r>
          </w:p>
        </w:tc>
        <w:tc>
          <w:tcPr>
            <w:tcW w:w="1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Sept. 2013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130,560</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1,996,182</w:t>
            </w:r>
          </w:p>
        </w:tc>
        <w:tc>
          <w:tcPr>
            <w:tcW w:w="880" w:type="dxa"/>
            <w:vAlign w:val="bottom"/>
            <w:gridSpan w:val="2"/>
            <w:shd w:val="clear" w:color="auto" w:fill="EAF9E8"/>
          </w:tcPr>
          <w:p>
            <w:pPr>
              <w:jc w:val="right"/>
              <w:ind w:right="59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Advance Receivable Backed</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Note Series 2009-3 (4)</w:t>
            </w: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Jul. 2023</w:t>
            </w: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 2012</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1"/>
              </w:rPr>
              <w:t>Variable Funding Note Series</w:t>
            </w:r>
          </w:p>
        </w:tc>
        <w:tc>
          <w:tcPr>
            <w:tcW w:w="1840" w:type="dxa"/>
            <w:vAlign w:val="bottom"/>
            <w:gridSpan w:val="3"/>
            <w:shd w:val="clear" w:color="auto" w:fill="EAF9E8"/>
          </w:tcPr>
          <w:p>
            <w:pPr>
              <w:ind w:left="120"/>
              <w:spacing w:after="0" w:line="201" w:lineRule="exact"/>
              <w:rPr>
                <w:sz w:val="20"/>
                <w:szCs w:val="20"/>
                <w:color w:val="auto"/>
              </w:rPr>
            </w:pPr>
            <w:r>
              <w:rPr>
                <w:rFonts w:ascii="Arial" w:cs="Arial" w:eastAsia="Arial" w:hAnsi="Arial"/>
                <w:sz w:val="18"/>
                <w:szCs w:val="18"/>
                <w:color w:val="auto"/>
              </w:rPr>
              <w:t>1-Month LIBOR +</w:t>
            </w: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2009-2 (5)</w:t>
            </w:r>
          </w:p>
        </w:tc>
        <w:tc>
          <w:tcPr>
            <w:tcW w:w="1840" w:type="dxa"/>
            <w:vAlign w:val="bottom"/>
            <w:gridSpan w:val="3"/>
            <w:shd w:val="clear" w:color="auto" w:fill="EAF9E8"/>
          </w:tcPr>
          <w:p>
            <w:pPr>
              <w:ind w:left="120"/>
              <w:spacing w:after="0"/>
              <w:rPr>
                <w:sz w:val="20"/>
                <w:szCs w:val="20"/>
                <w:color w:val="auto"/>
              </w:rPr>
            </w:pPr>
            <w:r>
              <w:rPr>
                <w:rFonts w:ascii="Arial" w:cs="Arial" w:eastAsia="Arial" w:hAnsi="Arial"/>
                <w:sz w:val="18"/>
                <w:szCs w:val="18"/>
                <w:color w:val="auto"/>
              </w:rPr>
              <w:t>350 bps</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2023</w:t>
            </w:r>
          </w:p>
        </w:tc>
        <w:tc>
          <w:tcPr>
            <w:tcW w:w="12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Nov. 2012</w:t>
            </w:r>
          </w:p>
        </w:tc>
        <w:tc>
          <w:tcPr>
            <w:tcW w:w="1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88,000</w:t>
            </w:r>
          </w:p>
        </w:tc>
        <w:tc>
          <w:tcPr>
            <w:tcW w:w="4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w w:val="91"/>
              </w:rPr>
              <w:t>Variable Funding Note Series</w:t>
            </w:r>
          </w:p>
        </w:tc>
        <w:tc>
          <w:tcPr>
            <w:tcW w:w="1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2009-1 (6)</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rate + 200 bps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2022</w:t>
            </w:r>
          </w:p>
        </w:tc>
        <w:tc>
          <w:tcPr>
            <w:tcW w:w="1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Feb. 2012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165,317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134,683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4"/>
              </w:rPr>
              <w:t>Advance Receivable Backed</w:t>
            </w:r>
          </w:p>
        </w:tc>
        <w:tc>
          <w:tcPr>
            <w:tcW w:w="120" w:type="dxa"/>
            <w:vAlign w:val="bottom"/>
            <w:shd w:val="clear" w:color="auto" w:fill="EAF9E8"/>
          </w:tcPr>
          <w:p>
            <w:pPr>
              <w:spacing w:after="0"/>
              <w:rPr>
                <w:sz w:val="17"/>
                <w:szCs w:val="17"/>
                <w:color w:val="auto"/>
              </w:rPr>
            </w:pPr>
          </w:p>
        </w:tc>
        <w:tc>
          <w:tcPr>
            <w:tcW w:w="16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7"/>
              </w:rPr>
              <w:t>Note Series 2010-1 (4)(7)</w:t>
            </w:r>
          </w:p>
        </w:tc>
        <w:tc>
          <w:tcPr>
            <w:tcW w:w="174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Sep. 2023</w:t>
            </w:r>
          </w:p>
        </w:tc>
        <w:tc>
          <w:tcPr>
            <w:tcW w:w="12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Feb. 2011</w:t>
            </w:r>
          </w:p>
        </w:tc>
        <w:tc>
          <w:tcPr>
            <w:tcW w:w="1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Class A-1 Term Note (8)</w:t>
            </w:r>
          </w:p>
        </w:tc>
        <w:tc>
          <w:tcPr>
            <w:tcW w:w="1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rate + 350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 2013</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389,644</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8"/>
              </w:rPr>
              <w:t>Class A-2 Variable Funding</w:t>
            </w:r>
          </w:p>
        </w:tc>
        <w:tc>
          <w:tcPr>
            <w:tcW w:w="1840" w:type="dxa"/>
            <w:vAlign w:val="bottom"/>
            <w:gridSpan w:val="3"/>
            <w:shd w:val="clear" w:color="auto" w:fill="EAF9E8"/>
          </w:tcPr>
          <w:p>
            <w:pPr>
              <w:ind w:left="120"/>
              <w:spacing w:after="0" w:line="201" w:lineRule="exact"/>
              <w:rPr>
                <w:sz w:val="20"/>
                <w:szCs w:val="20"/>
                <w:color w:val="auto"/>
              </w:rPr>
            </w:pPr>
            <w:r>
              <w:rPr>
                <w:rFonts w:ascii="Arial" w:cs="Arial" w:eastAsia="Arial" w:hAnsi="Arial"/>
                <w:sz w:val="18"/>
                <w:szCs w:val="18"/>
                <w:color w:val="auto"/>
              </w:rPr>
              <w:t>Commercial paper</w:t>
            </w: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 (8)</w:t>
            </w:r>
          </w:p>
        </w:tc>
        <w:tc>
          <w:tcPr>
            <w:tcW w:w="1840" w:type="dxa"/>
            <w:vAlign w:val="bottom"/>
            <w:gridSpan w:val="3"/>
            <w:shd w:val="clear" w:color="auto" w:fill="EAF9E8"/>
          </w:tcPr>
          <w:p>
            <w:pPr>
              <w:ind w:left="120"/>
              <w:spacing w:after="0"/>
              <w:rPr>
                <w:sz w:val="20"/>
                <w:szCs w:val="20"/>
                <w:color w:val="auto"/>
              </w:rPr>
            </w:pPr>
            <w:r>
              <w:rPr>
                <w:rFonts w:ascii="Arial" w:cs="Arial" w:eastAsia="Arial" w:hAnsi="Arial"/>
                <w:sz w:val="18"/>
                <w:szCs w:val="18"/>
                <w:color w:val="auto"/>
              </w:rPr>
              <w:t>rate + 350 bps</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12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2"/>
              </w:rPr>
              <w:t>Aug. 2013</w:t>
            </w:r>
          </w:p>
        </w:tc>
        <w:tc>
          <w:tcPr>
            <w:tcW w:w="140" w:type="dxa"/>
            <w:vAlign w:val="bottom"/>
            <w:shd w:val="clear" w:color="auto" w:fill="EAF9E8"/>
          </w:tcPr>
          <w:p>
            <w:pPr>
              <w:spacing w:after="0"/>
              <w:rPr>
                <w:sz w:val="20"/>
                <w:szCs w:val="20"/>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173,535</w:t>
            </w:r>
          </w:p>
        </w:tc>
        <w:tc>
          <w:tcPr>
            <w:tcW w:w="22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26,465</w:t>
            </w:r>
          </w:p>
        </w:tc>
        <w:tc>
          <w:tcPr>
            <w:tcW w:w="12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Class B Term Note (8)</w:t>
            </w:r>
          </w:p>
        </w:tc>
        <w:tc>
          <w:tcPr>
            <w:tcW w:w="1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Commercial paper</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rate + 525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 2013</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18,148</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Class C Term Note (8)</w:t>
            </w:r>
          </w:p>
        </w:tc>
        <w:tc>
          <w:tcPr>
            <w:tcW w:w="1840" w:type="dxa"/>
            <w:vAlign w:val="bottom"/>
            <w:gridSpan w:val="3"/>
            <w:shd w:val="clear" w:color="auto" w:fill="EAF9E8"/>
          </w:tcPr>
          <w:p>
            <w:pPr>
              <w:ind w:left="120"/>
              <w:spacing w:after="0" w:line="201" w:lineRule="exact"/>
              <w:rPr>
                <w:sz w:val="20"/>
                <w:szCs w:val="20"/>
                <w:color w:val="auto"/>
              </w:rPr>
            </w:pPr>
            <w:r>
              <w:rPr>
                <w:rFonts w:ascii="Arial" w:cs="Arial" w:eastAsia="Arial" w:hAnsi="Arial"/>
                <w:sz w:val="18"/>
                <w:szCs w:val="18"/>
                <w:color w:val="auto"/>
              </w:rPr>
              <w:t>Commercial paper</w:t>
            </w: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AF9E8"/>
          </w:tcPr>
          <w:p>
            <w:pPr>
              <w:spacing w:after="0"/>
              <w:rPr>
                <w:sz w:val="20"/>
                <w:szCs w:val="20"/>
                <w:color w:val="auto"/>
              </w:rPr>
            </w:pPr>
          </w:p>
        </w:tc>
        <w:tc>
          <w:tcPr>
            <w:tcW w:w="1840" w:type="dxa"/>
            <w:vAlign w:val="bottom"/>
            <w:gridSpan w:val="3"/>
            <w:shd w:val="clear" w:color="auto" w:fill="EAF9E8"/>
          </w:tcPr>
          <w:p>
            <w:pPr>
              <w:ind w:left="120"/>
              <w:spacing w:after="0"/>
              <w:rPr>
                <w:sz w:val="20"/>
                <w:szCs w:val="20"/>
                <w:color w:val="auto"/>
              </w:rPr>
            </w:pPr>
            <w:r>
              <w:rPr>
                <w:rFonts w:ascii="Arial" w:cs="Arial" w:eastAsia="Arial" w:hAnsi="Arial"/>
                <w:sz w:val="18"/>
                <w:szCs w:val="18"/>
                <w:color w:val="auto"/>
              </w:rPr>
              <w:t>rate + 625 bps</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12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2"/>
              </w:rPr>
              <w:t>Aug. 2013</w:t>
            </w:r>
          </w:p>
        </w:tc>
        <w:tc>
          <w:tcPr>
            <w:tcW w:w="1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17,248</w:t>
            </w:r>
          </w:p>
        </w:tc>
        <w:tc>
          <w:tcPr>
            <w:tcW w:w="12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Class D Term Note (8)</w:t>
            </w:r>
          </w:p>
        </w:tc>
        <w:tc>
          <w:tcPr>
            <w:tcW w:w="1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1-Month LIBOR +</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750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 2013</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13,324</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4"/>
              </w:rPr>
              <w:t>Advance Receivable Backed</w:t>
            </w:r>
          </w:p>
        </w:tc>
        <w:tc>
          <w:tcPr>
            <w:tcW w:w="1840" w:type="dxa"/>
            <w:vAlign w:val="bottom"/>
            <w:gridSpan w:val="3"/>
            <w:shd w:val="clear" w:color="auto" w:fill="EAF9E8"/>
          </w:tcPr>
          <w:p>
            <w:pPr>
              <w:ind w:left="120"/>
              <w:spacing w:after="0" w:line="201" w:lineRule="exact"/>
              <w:rPr>
                <w:sz w:val="20"/>
                <w:szCs w:val="20"/>
                <w:color w:val="auto"/>
              </w:rPr>
            </w:pPr>
            <w:r>
              <w:rPr>
                <w:rFonts w:ascii="Arial" w:cs="Arial" w:eastAsia="Arial" w:hAnsi="Arial"/>
                <w:sz w:val="18"/>
                <w:szCs w:val="18"/>
                <w:color w:val="auto"/>
              </w:rPr>
              <w:t>1-Month LIBOR +</w:t>
            </w: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Notes (9)</w:t>
            </w:r>
          </w:p>
        </w:tc>
        <w:tc>
          <w:tcPr>
            <w:tcW w:w="1840" w:type="dxa"/>
            <w:vAlign w:val="bottom"/>
            <w:gridSpan w:val="3"/>
            <w:shd w:val="clear" w:color="auto" w:fill="EAF9E8"/>
          </w:tcPr>
          <w:p>
            <w:pPr>
              <w:ind w:left="120"/>
              <w:spacing w:after="0"/>
              <w:rPr>
                <w:sz w:val="20"/>
                <w:szCs w:val="20"/>
                <w:color w:val="auto"/>
              </w:rPr>
            </w:pPr>
            <w:r>
              <w:rPr>
                <w:rFonts w:ascii="Arial" w:cs="Arial" w:eastAsia="Arial" w:hAnsi="Arial"/>
                <w:sz w:val="18"/>
                <w:szCs w:val="18"/>
                <w:color w:val="auto"/>
              </w:rPr>
              <w:t>400 bps</w:t>
            </w: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2020</w:t>
            </w:r>
          </w:p>
        </w:tc>
        <w:tc>
          <w:tcPr>
            <w:tcW w:w="12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2011</w:t>
            </w:r>
          </w:p>
        </w:tc>
        <w:tc>
          <w:tcPr>
            <w:tcW w:w="1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Advance Receivable Backed</w:t>
            </w:r>
          </w:p>
        </w:tc>
        <w:tc>
          <w:tcPr>
            <w:tcW w:w="1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1-Month LIBOR +</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Notes (10)</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200 bps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Jan. 2014</w:t>
            </w: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 2013</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70,466</w:t>
            </w: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194,534</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250,119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627,878</w:t>
            </w:r>
          </w:p>
        </w:tc>
        <w:tc>
          <w:tcPr>
            <w:tcW w:w="22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3,080,228</w:t>
            </w:r>
          </w:p>
        </w:tc>
        <w:tc>
          <w:tcPr>
            <w:tcW w:w="10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59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1,482,529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6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two advance facilities,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154"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note was issued in connection with the financing of advances acquired in connection with the acquisition of Litton on September 1, 2011.</w:t>
      </w:r>
    </w:p>
    <w:p>
      <w:pPr>
        <w:spacing w:after="0" w:line="236" w:lineRule="exact"/>
        <w:rPr>
          <w:rFonts w:ascii="Arial" w:cs="Arial" w:eastAsia="Arial" w:hAnsi="Arial"/>
          <w:sz w:val="17"/>
          <w:szCs w:val="17"/>
          <w:color w:val="auto"/>
        </w:rPr>
      </w:pPr>
    </w:p>
    <w:p>
      <w:pPr>
        <w:ind w:left="460" w:right="3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under the Term Asset-Backed Securities Loan Facility (TALF) program administered by the Federal Reserve Bank of New York.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 the terms of the note purchase agreement, the maximum funding obligation will increase from $88,000 to $100,000 in November 2011.</w:t>
      </w:r>
    </w:p>
    <w:p>
      <w:pPr>
        <w:spacing w:after="0" w:line="236"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In February 2011, the amortization date was extended to February 2012.</w:t>
      </w:r>
    </w:p>
    <w:p>
      <w:pPr>
        <w:spacing w:after="0" w:line="17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note entered into its amortization period in February 2011. The 2010-1 Indenture Supplement provides for scheduled amortization of $40,000 per quarter through January 2012.</w:t>
      </w:r>
    </w:p>
    <w:p>
      <w:pPr>
        <w:spacing w:after="0" w:line="17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our acquisition (the HomEq Acquisition) of the U.S. non-prime mortgage servicing business of Barclays Bank PLC on September 1, 2010.</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30, 2011, we terminated this facility and repaid the outstanding balance.</w:t>
      </w:r>
    </w:p>
    <w:p>
      <w:pPr>
        <w:spacing w:after="0" w:line="22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renewed this facility on June 30, 2011 at which time the maximum borrowing capacity was reduced to $265,000 from $500,000 and the amortization date was extended by two years to July 2013. In addition, the facility fee, which is payable in monthly installments, was reduced to 1.00% annually of the maximum borrowing capacity from 1.30%.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SECURED BORROWINGS – OWED TO SECURITIZATION INVESTORS</w:t>
      </w:r>
    </w:p>
    <w:p>
      <w:pPr>
        <w:spacing w:after="0" w:line="256"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Secured borrowings – owed to securitization investors of $55,323 and $62,705 at September 30, 2011 and December 31, 2010, respectively, consist of certificates that represent beneficial ownership interests in four securitization trusts that we include in our consolidated financial statements, as more fully described in Note 1—Securitizations of Residential Mortgage Loans. The holders of these certificates have no recourse against the assets of Ocwen.</w:t>
      </w:r>
    </w:p>
    <w:p>
      <w:pPr>
        <w:spacing w:after="0" w:line="174"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LINES OF CREDIT AND OTHER SECURED BORROWINGS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Unused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4"/>
            <w:vMerge w:val="restart"/>
          </w:tcPr>
          <w:p>
            <w:pPr>
              <w:jc w:val="right"/>
              <w:ind w:right="50"/>
              <w:spacing w:after="0"/>
              <w:rPr>
                <w:sz w:val="20"/>
                <w:szCs w:val="20"/>
                <w:color w:val="auto"/>
              </w:rPr>
            </w:pPr>
            <w:r>
              <w:rPr>
                <w:rFonts w:ascii="Arial" w:cs="Arial" w:eastAsia="Arial" w:hAnsi="Arial"/>
                <w:sz w:val="18"/>
                <w:szCs w:val="18"/>
                <w:b w:val="1"/>
                <w:bCs w:val="1"/>
                <w:color w:val="auto"/>
              </w:rPr>
              <w:t>Balance Outstanding</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Borrowing</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Borrowings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Collateral</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Capacity</w:t>
            </w:r>
          </w:p>
        </w:tc>
        <w:tc>
          <w:tcPr>
            <w:tcW w:w="320" w:type="dxa"/>
            <w:vAlign w:val="bottom"/>
          </w:tcPr>
          <w:p>
            <w:pPr>
              <w:spacing w:after="0"/>
              <w:rPr>
                <w:sz w:val="19"/>
                <w:szCs w:val="19"/>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September 30, 2011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tcBorders>
              <w:top w:val="single" w:sz="8" w:color="auto"/>
            </w:tcBorders>
            <w:gridSpan w:val="2"/>
            <w:shd w:val="clear" w:color="auto" w:fill="EAF9E8"/>
          </w:tcPr>
          <w:p>
            <w:pPr>
              <w:spacing w:after="0" w:line="176" w:lineRule="exact"/>
              <w:rPr>
                <w:sz w:val="20"/>
                <w:szCs w:val="20"/>
                <w:color w:val="auto"/>
              </w:rPr>
            </w:pPr>
            <w:r>
              <w:rPr>
                <w:rFonts w:ascii="Arial" w:cs="Arial" w:eastAsia="Arial" w:hAnsi="Arial"/>
                <w:sz w:val="18"/>
                <w:szCs w:val="18"/>
                <w:color w:val="auto"/>
              </w:rPr>
              <w:t>Servicing:</w:t>
            </w:r>
          </w:p>
        </w:tc>
        <w:tc>
          <w:tcPr>
            <w:tcW w:w="160" w:type="dxa"/>
            <w:vAlign w:val="bottom"/>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1280" w:type="dxa"/>
            <w:vAlign w:val="bottom"/>
            <w:tcBorders>
              <w:top w:val="single" w:sz="8" w:color="auto"/>
            </w:tcBorders>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520" w:type="dxa"/>
            <w:vAlign w:val="bottom"/>
            <w:tcBorders>
              <w:top w:val="single" w:sz="8" w:color="auto"/>
            </w:tcBorders>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20" w:type="dxa"/>
            <w:vAlign w:val="bottom"/>
            <w:tcBorders>
              <w:top w:val="single" w:sz="8" w:color="auto"/>
            </w:tcBorders>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1160" w:type="dxa"/>
            <w:vAlign w:val="bottom"/>
            <w:tcBorders>
              <w:top w:val="single" w:sz="8" w:color="auto"/>
            </w:tcBorders>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480" w:type="dxa"/>
            <w:vAlign w:val="bottom"/>
            <w:tcBorders>
              <w:top w:val="single" w:sz="8" w:color="auto"/>
            </w:tcBorders>
            <w:shd w:val="clear" w:color="auto" w:fill="EAF9E8"/>
          </w:tcPr>
          <w:p>
            <w:pPr>
              <w:spacing w:after="0"/>
              <w:rPr>
                <w:sz w:val="15"/>
                <w:szCs w:val="15"/>
                <w:color w:val="auto"/>
              </w:rPr>
            </w:pPr>
          </w:p>
        </w:tc>
        <w:tc>
          <w:tcPr>
            <w:tcW w:w="1020" w:type="dxa"/>
            <w:vAlign w:val="bottom"/>
            <w:tcBorders>
              <w:top w:val="single" w:sz="8" w:color="auto"/>
            </w:tcBorders>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780" w:type="dxa"/>
            <w:vAlign w:val="bottom"/>
            <w:tcBorders>
              <w:top w:val="single" w:sz="8" w:color="auto"/>
            </w:tcBorders>
            <w:shd w:val="clear" w:color="auto" w:fill="EAF9E8"/>
          </w:tcPr>
          <w:p>
            <w:pPr>
              <w:spacing w:after="0"/>
              <w:rPr>
                <w:sz w:val="15"/>
                <w:szCs w:val="15"/>
                <w:color w:val="auto"/>
              </w:rPr>
            </w:pPr>
          </w:p>
        </w:tc>
        <w:tc>
          <w:tcPr>
            <w:tcW w:w="720" w:type="dxa"/>
            <w:vAlign w:val="bottom"/>
            <w:tcBorders>
              <w:top w:val="single" w:sz="8" w:color="auto"/>
            </w:tcBorders>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2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5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EAF9E8"/>
            </w:tcBorders>
            <w:shd w:val="clear" w:color="auto" w:fill="EAF9E8"/>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Senior secured term</w:t>
            </w:r>
          </w:p>
        </w:tc>
        <w:tc>
          <w:tcPr>
            <w:tcW w:w="16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Substantially all</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1-Month LIBOR +</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loan (1)</w:t>
            </w:r>
          </w:p>
        </w:tc>
        <w:tc>
          <w:tcPr>
            <w:tcW w:w="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tangible and</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700 bps with a</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5"/>
              </w:rPr>
              <w:t>intangibles assets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LIBOR floor of 2%</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June 2015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gridSpan w:val="2"/>
            <w:shd w:val="clear" w:color="auto" w:fill="EAF9E8"/>
          </w:tcPr>
          <w:p>
            <w:pPr>
              <w:ind w:left="160"/>
              <w:spacing w:after="0" w:line="201" w:lineRule="exact"/>
              <w:rPr>
                <w:sz w:val="20"/>
                <w:szCs w:val="20"/>
                <w:color w:val="auto"/>
              </w:rPr>
            </w:pPr>
            <w:r>
              <w:rPr>
                <w:rFonts w:ascii="Arial" w:cs="Arial" w:eastAsia="Arial" w:hAnsi="Arial"/>
                <w:sz w:val="18"/>
                <w:szCs w:val="18"/>
                <w:color w:val="auto"/>
                <w:w w:val="91"/>
              </w:rPr>
              <w:t>Senior secured term</w:t>
            </w:r>
          </w:p>
        </w:tc>
        <w:tc>
          <w:tcPr>
            <w:tcW w:w="160" w:type="dxa"/>
            <w:vAlign w:val="bottom"/>
            <w:shd w:val="clear" w:color="auto" w:fill="EAF9E8"/>
          </w:tcPr>
          <w:p>
            <w:pPr>
              <w:spacing w:after="0"/>
              <w:rPr>
                <w:sz w:val="17"/>
                <w:szCs w:val="17"/>
                <w:color w:val="auto"/>
              </w:rPr>
            </w:pPr>
          </w:p>
        </w:tc>
        <w:tc>
          <w:tcPr>
            <w:tcW w:w="138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Substantially all</w:t>
            </w:r>
          </w:p>
        </w:tc>
        <w:tc>
          <w:tcPr>
            <w:tcW w:w="160" w:type="dxa"/>
            <w:vAlign w:val="bottom"/>
            <w:shd w:val="clear" w:color="auto" w:fill="EAF9E8"/>
          </w:tcPr>
          <w:p>
            <w:pPr>
              <w:spacing w:after="0"/>
              <w:rPr>
                <w:sz w:val="17"/>
                <w:szCs w:val="17"/>
                <w:color w:val="auto"/>
              </w:rPr>
            </w:pPr>
          </w:p>
        </w:tc>
        <w:tc>
          <w:tcPr>
            <w:tcW w:w="15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1-Month LIBOR +</w:t>
            </w: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loan (2)</w:t>
            </w:r>
          </w:p>
        </w:tc>
        <w:tc>
          <w:tcPr>
            <w:tcW w:w="1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tangible and</w:t>
            </w:r>
          </w:p>
        </w:tc>
        <w:tc>
          <w:tcPr>
            <w:tcW w:w="16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20"/>
                <w:szCs w:val="20"/>
                <w:color w:val="auto"/>
              </w:rPr>
            </w:pPr>
            <w:r>
              <w:rPr>
                <w:rFonts w:ascii="Arial" w:cs="Arial" w:eastAsia="Arial" w:hAnsi="Arial"/>
                <w:sz w:val="18"/>
                <w:szCs w:val="18"/>
                <w:color w:val="auto"/>
              </w:rPr>
              <w:t>550 bps with a</w:t>
            </w: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5"/>
              </w:rPr>
              <w:t>intangibles assets</w:t>
            </w:r>
          </w:p>
        </w:tc>
        <w:tc>
          <w:tcPr>
            <w:tcW w:w="16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20"/>
                <w:szCs w:val="20"/>
                <w:color w:val="auto"/>
              </w:rPr>
            </w:pPr>
            <w:r>
              <w:rPr>
                <w:rFonts w:ascii="Arial" w:cs="Arial" w:eastAsia="Arial" w:hAnsi="Arial"/>
                <w:sz w:val="18"/>
                <w:szCs w:val="18"/>
                <w:color w:val="auto"/>
              </w:rPr>
              <w:t>LIBOR floor of</w:t>
            </w: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8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Sept. 2016</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160" w:type="dxa"/>
            <w:vAlign w:val="bottom"/>
            <w:shd w:val="clear" w:color="auto" w:fill="EAF9E8"/>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20"/>
                <w:szCs w:val="20"/>
                <w:color w:val="auto"/>
              </w:rPr>
            </w:pPr>
          </w:p>
        </w:tc>
        <w:tc>
          <w:tcPr>
            <w:tcW w:w="48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560,625</w:t>
            </w:r>
          </w:p>
        </w:tc>
        <w:tc>
          <w:tcPr>
            <w:tcW w:w="14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Fee reimbursement</w:t>
            </w:r>
          </w:p>
        </w:tc>
        <w:tc>
          <w:tcPr>
            <w:tcW w:w="16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Term note (3)</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Zero coupon</w:t>
            </w:r>
          </w:p>
        </w:tc>
        <w:tc>
          <w:tcPr>
            <w:tcW w:w="16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rPr>
              <w:t>March 2014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advance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gridSpan w:val="2"/>
            <w:shd w:val="clear" w:color="auto" w:fill="EAF9E8"/>
          </w:tcPr>
          <w:p>
            <w:pPr>
              <w:ind w:left="160"/>
              <w:spacing w:after="0" w:line="201" w:lineRule="exact"/>
              <w:rPr>
                <w:sz w:val="20"/>
                <w:szCs w:val="20"/>
                <w:color w:val="auto"/>
              </w:rPr>
            </w:pPr>
            <w:r>
              <w:rPr>
                <w:rFonts w:ascii="Arial" w:cs="Arial" w:eastAsia="Arial" w:hAnsi="Arial"/>
                <w:sz w:val="18"/>
                <w:szCs w:val="18"/>
                <w:color w:val="auto"/>
              </w:rPr>
              <w:t>Term note (4)</w:t>
            </w:r>
          </w:p>
        </w:tc>
        <w:tc>
          <w:tcPr>
            <w:tcW w:w="160" w:type="dxa"/>
            <w:vAlign w:val="bottom"/>
            <w:shd w:val="clear" w:color="auto" w:fill="EAF9E8"/>
          </w:tcPr>
          <w:p>
            <w:pPr>
              <w:spacing w:after="0"/>
              <w:rPr>
                <w:sz w:val="17"/>
                <w:szCs w:val="17"/>
                <w:color w:val="auto"/>
              </w:rPr>
            </w:pPr>
          </w:p>
        </w:tc>
        <w:tc>
          <w:tcPr>
            <w:tcW w:w="138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Advances</w:t>
            </w:r>
          </w:p>
        </w:tc>
        <w:tc>
          <w:tcPr>
            <w:tcW w:w="160" w:type="dxa"/>
            <w:vAlign w:val="bottom"/>
            <w:shd w:val="clear" w:color="auto" w:fill="EAF9E8"/>
          </w:tcPr>
          <w:p>
            <w:pPr>
              <w:spacing w:after="0"/>
              <w:rPr>
                <w:sz w:val="17"/>
                <w:szCs w:val="17"/>
                <w:color w:val="auto"/>
              </w:rPr>
            </w:pPr>
          </w:p>
        </w:tc>
        <w:tc>
          <w:tcPr>
            <w:tcW w:w="15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1-Month LIBOR +</w:t>
            </w: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March 2014</w:t>
            </w: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shd w:val="clear" w:color="auto" w:fill="EAF9E8"/>
          </w:tcPr>
          <w:p>
            <w:pPr>
              <w:spacing w:after="0"/>
              <w:rPr>
                <w:sz w:val="20"/>
                <w:szCs w:val="20"/>
                <w:color w:val="auto"/>
              </w:rPr>
            </w:pPr>
            <w:r>
              <w:rPr>
                <w:rFonts w:ascii="Arial" w:cs="Arial" w:eastAsia="Arial" w:hAnsi="Arial"/>
                <w:sz w:val="18"/>
                <w:szCs w:val="18"/>
                <w:color w:val="auto"/>
              </w:rPr>
              <w:t>350 basis points</w:t>
            </w:r>
          </w:p>
        </w:tc>
        <w:tc>
          <w:tcPr>
            <w:tcW w:w="1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160" w:type="dxa"/>
            <w:vAlign w:val="bottom"/>
            <w:shd w:val="clear" w:color="auto" w:fill="EAF9E8"/>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20"/>
                <w:szCs w:val="20"/>
                <w:color w:val="auto"/>
              </w:rPr>
            </w:pPr>
          </w:p>
        </w:tc>
        <w:tc>
          <w:tcPr>
            <w:tcW w:w="48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EAF9E8"/>
          </w:tcPr>
          <w:p>
            <w:pPr>
              <w:spacing w:after="0"/>
              <w:rPr>
                <w:sz w:val="2"/>
                <w:szCs w:val="2"/>
                <w:color w:val="auto"/>
              </w:rPr>
            </w:pPr>
          </w:p>
        </w:tc>
        <w:tc>
          <w:tcPr>
            <w:tcW w:w="94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5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560,625</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251,100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Borders>
              <w:bottom w:val="single" w:sz="8" w:color="auto"/>
            </w:tcBorders>
            <w:gridSpan w:val="4"/>
            <w:shd w:val="clear" w:color="auto" w:fill="EAF9E8"/>
          </w:tcPr>
          <w:p>
            <w:pPr>
              <w:spacing w:after="0" w:line="176" w:lineRule="exact"/>
              <w:rPr>
                <w:sz w:val="20"/>
                <w:szCs w:val="20"/>
                <w:color w:val="auto"/>
              </w:rPr>
            </w:pPr>
            <w:r>
              <w:rPr>
                <w:rFonts w:ascii="Arial" w:cs="Arial" w:eastAsia="Arial" w:hAnsi="Arial"/>
                <w:sz w:val="18"/>
                <w:szCs w:val="18"/>
                <w:color w:val="auto"/>
                <w:w w:val="88"/>
              </w:rPr>
              <w:t>Corporate Items and Other</w:t>
            </w:r>
          </w:p>
        </w:tc>
        <w:tc>
          <w:tcPr>
            <w:tcW w:w="128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52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top w:val="single" w:sz="8" w:color="auto"/>
              <w:bottom w:val="single" w:sz="8" w:color="EAF9E8"/>
            </w:tcBorders>
            <w:shd w:val="clear" w:color="auto" w:fill="EAF9E8"/>
          </w:tcPr>
          <w:p>
            <w:pPr>
              <w:spacing w:after="0"/>
              <w:rPr>
                <w:sz w:val="17"/>
                <w:szCs w:val="17"/>
                <w:color w:val="auto"/>
              </w:rPr>
            </w:pPr>
          </w:p>
        </w:tc>
        <w:tc>
          <w:tcPr>
            <w:tcW w:w="1160" w:type="dxa"/>
            <w:vAlign w:val="bottom"/>
            <w:tcBorders>
              <w:top w:val="single" w:sz="8" w:color="auto"/>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480" w:type="dxa"/>
            <w:vAlign w:val="bottom"/>
            <w:tcBorders>
              <w:top w:val="single" w:sz="8" w:color="auto"/>
              <w:bottom w:val="single" w:sz="8" w:color="EAF9E8"/>
            </w:tcBorders>
            <w:shd w:val="clear" w:color="auto" w:fill="EAF9E8"/>
          </w:tcPr>
          <w:p>
            <w:pPr>
              <w:spacing w:after="0"/>
              <w:rPr>
                <w:sz w:val="17"/>
                <w:szCs w:val="17"/>
                <w:color w:val="auto"/>
              </w:rPr>
            </w:pPr>
          </w:p>
        </w:tc>
        <w:tc>
          <w:tcPr>
            <w:tcW w:w="1020" w:type="dxa"/>
            <w:vAlign w:val="bottom"/>
            <w:tcBorders>
              <w:top w:val="single" w:sz="8" w:color="auto"/>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top w:val="single" w:sz="8" w:color="auto"/>
              <w:bottom w:val="single" w:sz="8" w:color="EAF9E8"/>
            </w:tcBorders>
            <w:shd w:val="clear" w:color="auto" w:fill="EAF9E8"/>
          </w:tcPr>
          <w:p>
            <w:pPr>
              <w:spacing w:after="0"/>
              <w:rPr>
                <w:sz w:val="17"/>
                <w:szCs w:val="17"/>
                <w:color w:val="auto"/>
              </w:rPr>
            </w:pPr>
          </w:p>
        </w:tc>
        <w:tc>
          <w:tcPr>
            <w:tcW w:w="720" w:type="dxa"/>
            <w:vAlign w:val="bottom"/>
            <w:tcBorders>
              <w:top w:val="single" w:sz="8" w:color="auto"/>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8"/>
              </w:rPr>
              <w:t>Securities sold under</w:t>
            </w:r>
          </w:p>
        </w:tc>
        <w:tc>
          <w:tcPr>
            <w:tcW w:w="16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w w:val="88"/>
              </w:rPr>
              <w:t>Ocwen Real Estate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an agreement to</w:t>
            </w:r>
          </w:p>
        </w:tc>
        <w:tc>
          <w:tcPr>
            <w:tcW w:w="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9"/>
              </w:rPr>
              <w:t>Asset Liquidating</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repurchase (5)</w:t>
            </w:r>
          </w:p>
        </w:tc>
        <w:tc>
          <w:tcPr>
            <w:tcW w:w="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Trust 2007-1</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Notes</w:t>
            </w:r>
          </w:p>
        </w:tc>
        <w:tc>
          <w:tcPr>
            <w:tcW w:w="1680" w:type="dxa"/>
            <w:vAlign w:val="bottom"/>
            <w:gridSpan w:val="2"/>
          </w:tcPr>
          <w:p>
            <w:pPr>
              <w:jc w:val="right"/>
              <w:ind w:right="57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5,728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566,353</w:t>
            </w: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Discount (1)(2)(3)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(11,243)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ind w:left="9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20"/>
                <w:szCs w:val="20"/>
                <w:color w:val="auto"/>
              </w:rPr>
            </w:pPr>
          </w:p>
        </w:tc>
        <w:tc>
          <w:tcPr>
            <w:tcW w:w="48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555,110</w:t>
            </w:r>
          </w:p>
        </w:tc>
        <w:tc>
          <w:tcPr>
            <w:tcW w:w="920" w:type="dxa"/>
            <w:vAlign w:val="bottom"/>
            <w:gridSpan w:val="2"/>
            <w:shd w:val="clear" w:color="auto" w:fill="EAF9E8"/>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2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5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1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9, 2011, we terminated this facility and repaid the outstanding balance. We amortized the remaining balance of the original issue discount and the remaining unamortized prepaid debt issuance costs through this date.</w:t>
      </w:r>
    </w:p>
    <w:p>
      <w:pPr>
        <w:spacing w:after="0" w:line="170" w:lineRule="exact"/>
        <w:rPr>
          <w:rFonts w:ascii="Arial" w:cs="Arial" w:eastAsia="Arial" w:hAnsi="Arial"/>
          <w:sz w:val="18"/>
          <w:szCs w:val="18"/>
          <w:color w:val="auto"/>
        </w:rPr>
      </w:pPr>
    </w:p>
    <w:p>
      <w:pPr>
        <w:ind w:left="460" w:right="140" w:hanging="452"/>
        <w:spacing w:after="0" w:line="28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September 1, 2011, we entered into a new senior secured term loan facility agreement and borrowed $575,000 that was primarily used to fund a portion of the Litton Acquisition. The loan was issued with an original issue discount of $11,500 that we are amortizing over the term of the loan. Borrowings bear interest, at the election of Ocwen, at a rate per annum equal to either (a) the base rate [the greatest of (i) the prime rate of Barclays Bank PLC in effect on such day, (ii) the federal funds effective rate in effect on such day plus 0.50% and (iii) the one-month Eurodollar rate (1-Month LIBOR)], plus a margin of 4.50% and a base rate floor of 2.50% or (b) 1-Month LIBOR, plus a margin of 5.50% with a 1-Month LIBOR floor of</w:t>
      </w:r>
    </w:p>
    <w:p>
      <w:pPr>
        <w:spacing w:after="0" w:line="2" w:lineRule="exact"/>
        <w:rPr>
          <w:rFonts w:ascii="Arial" w:cs="Arial" w:eastAsia="Arial" w:hAnsi="Arial"/>
          <w:sz w:val="16"/>
          <w:szCs w:val="16"/>
          <w:color w:val="auto"/>
        </w:rPr>
      </w:pPr>
    </w:p>
    <w:p>
      <w:pPr>
        <w:ind w:left="460" w:right="80"/>
        <w:spacing w:after="0" w:line="273" w:lineRule="auto"/>
        <w:rPr>
          <w:rFonts w:ascii="Arial" w:cs="Arial" w:eastAsia="Arial" w:hAnsi="Arial"/>
          <w:sz w:val="16"/>
          <w:szCs w:val="16"/>
          <w:color w:val="auto"/>
        </w:rPr>
      </w:pPr>
      <w:r>
        <w:rPr>
          <w:rFonts w:ascii="Arial" w:cs="Arial" w:eastAsia="Arial" w:hAnsi="Arial"/>
          <w:sz w:val="17"/>
          <w:szCs w:val="17"/>
          <w:color w:val="auto"/>
        </w:rPr>
        <w:t>1.50%. The loan is secured by a first priority security interest in substantially all of the tangible and intangible assets of Ocwen and the guarantors (OLS, Litton and Real Estate Servicing Solutions, Inc.), as well as by a pledge of the equity of certain of the subsidiaries of Ocwen and each guarantor. We are required to prepay the principal amount of the term loans in consecutive quarterly installments of $14,375 per quarter commencing September 30, 2011 through June 30, 2016, with the balance of the term loans becoming due on September 1, 2016.</w:t>
      </w:r>
    </w:p>
    <w:p>
      <w:pPr>
        <w:spacing w:after="0" w:line="176"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September 2011, we repaid this facility in full and recognized a gain of $2,405 on the extinguishment of debt, including the write off of the unamortized balances of the discount and related deferred income. We were amortizing the discount to interest expense over the five-year term of the advance. Under the agreement that governed this advance, a portion of the annual payment was forgiven if the annual net written premium by the lender for insurance on serviced loans and real estate exceeded $100,000. In the first quarter of 2011, the lender forgave $1,246 of the outstanding debt balance based on the net written premium for the contract year ended March 31, 2011, which we also recognized as a gain on extinguishment debt. These gains are reported in Other income (expense).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ind w:left="460" w:right="14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note that was issued by OSAF was secured by advances on loans serviced for others, similar to match funded advances and liabilities. The lender pledged its interest in this note as collateral against a $7,000 term note receivable from the lender that we held. Both this note and the term note receivable were fully repaid in September 2011 as disclosed in Note 10.</w:t>
      </w:r>
    </w:p>
    <w:p>
      <w:pPr>
        <w:spacing w:after="0" w:line="181"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August 2010, we obtained financing under a repurchase agreement for the Class A-2 and A-3 notes issued by Ocwen Real Estate Asset Liquidating Trust 2007-1 with a face value of $33,605. This agreement has no stated credit limit and lending is determined for each transaction based on the acceptability of the securities presented as collateral. Borrowings mature and are renewed monthly. The borrowings secured by the Class A-2 notes bear interest at 1-Month LIBOR + 200 basis points and borrowings secured by the Class A-3 notes bear interest at 1-Month LIBOR + 300 basis points.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14 OTHER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(1)(2)(3)</w:t>
            </w:r>
          </w:p>
        </w:tc>
        <w:tc>
          <w:tcPr>
            <w:tcW w:w="260" w:type="dxa"/>
            <w:vAlign w:val="bottom"/>
            <w:shd w:val="clear" w:color="auto" w:fill="EAF9E8"/>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62,606</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55,816</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Checks held for escheat (1)(4)</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18,087</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18,389</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15,670</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4,830</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 (5)</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3,736</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3,877</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Servicing liabilities (6)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2,913</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 (7)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r>
      <w:tr>
        <w:trPr>
          <w:trHeight w:val="223"/>
        </w:trPr>
        <w:tc>
          <w:tcPr>
            <w:tcW w:w="20" w:type="dxa"/>
            <w:vAlign w:val="bottom"/>
          </w:tcPr>
          <w:p>
            <w:pPr>
              <w:spacing w:after="0"/>
              <w:rPr>
                <w:sz w:val="19"/>
                <w:szCs w:val="19"/>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Other (8)</w:t>
            </w:r>
          </w:p>
        </w:tc>
        <w:tc>
          <w:tcPr>
            <w:tcW w:w="2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21,593</w:t>
            </w: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25,237</w:t>
            </w:r>
          </w:p>
        </w:tc>
      </w:tr>
      <w:tr>
        <w:trPr>
          <w:trHeight w:val="216"/>
        </w:trPr>
        <w:tc>
          <w:tcPr>
            <w:tcW w:w="20" w:type="dxa"/>
            <w:vAlign w:val="bottom"/>
          </w:tcPr>
          <w:p>
            <w:pPr>
              <w:spacing w:after="0"/>
              <w:rPr>
                <w:sz w:val="18"/>
                <w:szCs w:val="18"/>
                <w:color w:val="auto"/>
              </w:rPr>
            </w:pPr>
          </w:p>
        </w:tc>
        <w:tc>
          <w:tcPr>
            <w:tcW w:w="8340" w:type="dxa"/>
            <w:vAlign w:val="bottom"/>
            <w:tcBorders>
              <w:top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141,600</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60" w:right="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assumed $31,615 of other liabilities in the Litton acquisition, including accruals of $10,106 for salaries and related compensation expenses, $7,429 of accrued legal fees and $6,145 of checks held for escheat. At September 30, 2011, accrued expenses includes $26,662 related to Litton. In September 2011, we recorded $12,933 of compensation related to terminated Litton employees, including $3,913 of severance. We expect to pay the liabilities for compensation during the fourth quarter of 2011.</w:t>
      </w:r>
    </w:p>
    <w:p>
      <w:pPr>
        <w:spacing w:after="0" w:line="186" w:lineRule="exact"/>
        <w:rPr>
          <w:rFonts w:ascii="Arial" w:cs="Arial" w:eastAsia="Arial" w:hAnsi="Arial"/>
          <w:sz w:val="18"/>
          <w:szCs w:val="18"/>
          <w:color w:val="auto"/>
        </w:rPr>
      </w:pPr>
    </w:p>
    <w:p>
      <w:pPr>
        <w:ind w:left="460" w:right="120" w:hanging="452"/>
        <w:spacing w:after="0" w:line="27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2010, in connection with the HomEq Acquisition, we accrued facility closure costs of $7,794 for the termination of the HomEq office leases effective in 2013 and $32,954 for employee termination benefits (including $30,345 during the third quarter). The balances at September 30, 2011 and December 31, 2010 include $5,901 and $7,794, respectively, of lease termination accruals. The balance at December 31, 2010 included $1,332 of remaining accruals for employee termination benefits. The change in the accrual balances is due to payments made, net of $57 of amortization of the discount recorded at the time that the lease termination accrual was established.</w:t>
      </w:r>
    </w:p>
    <w:p>
      <w:pPr>
        <w:spacing w:after="0" w:line="172" w:lineRule="exact"/>
        <w:rPr>
          <w:rFonts w:ascii="Arial" w:cs="Arial" w:eastAsia="Arial" w:hAnsi="Arial"/>
          <w:sz w:val="17"/>
          <w:szCs w:val="17"/>
          <w:color w:val="auto"/>
        </w:rPr>
      </w:pPr>
    </w:p>
    <w:p>
      <w:pPr>
        <w:ind w:left="460" w:right="10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balances at September 30, 2011 and December 31, 2010 include $2,360 and $24,366, respectively, of litigation reserves. During 2011, we paid the settlement of one legal proceeding and a judgment in another case.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balance at September 30, 2011, includes $6,813 related to Litton.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20 for additional information regarding our relationship with Altisource.</w:t>
      </w:r>
    </w:p>
    <w:p>
      <w:pPr>
        <w:spacing w:after="0" w:line="225"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recognize a servicing liability for those agreements that are not expected to compensate us adequately for performing the servicing. During the first nine months of 2011, amortization of servicing liabilities exceeded the amount of charges we recognized to increase servicing liability obligations by $418. Amortization of mortgage servicing rights is reported net of this amount in the Consolidated Statement of Operations.</w:t>
      </w:r>
    </w:p>
    <w:p>
      <w:pPr>
        <w:spacing w:after="0" w:line="165"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balance at December 31, 2010 included $9,508 of deferred income associated with the fee reimbursement advance facility that was being amortized to earnings over the five-year life of the related debt as a reduction of interest expense. The unamortized balance was written off upon the repayment of the related debt during September 2011 and included in the gain on extinguishment of debt. See Note 13 for additional information on the fee reimbursement advance facility.</w:t>
      </w:r>
    </w:p>
    <w:p>
      <w:pPr>
        <w:spacing w:after="0" w:line="1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balances at September 30, 2011 and December 31, 2010 include $12,960 and $14,943, respectively, due to investors in connection with loans we service under subservicing agreements.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5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2010, we entered into foreign exchange forward contracts to hedge against the effect of changes in the value of the India Rupee (INR) on amounts payable to our India subsidiary, OFSPL. We did not designate these contracts as hedges and we did not renew or replace them upon their expiration in April 2011. In August 2011, we entered into new foreign exchange forward contracts to hedge against the effect of changes in the value of the INR. We did not designate these contracts as hedges.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Uruguay also expose us to foreign currency exchange rate risk, but we consider this risk to be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include certain securitization trusts in our consolidated financial statements as more fully described in Note 1—Securitizations of Residential Mortgage Loans. As a result, we report the fair value of an interest rate swap that is held by one of the securitization trusts. Under the terms of the swap, the trust pays a fixed rate of 4.935% and receives a variable rate equal to 1-Month LIBOR. The notional amount and fair value of the swap was $6,400 and $(49), respectively, at September 30, 2011. This swap was not designated as a hedge and matures in November 2011.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2010, we entered into a $250,000 non-amortizing interest rate swap to hedge against the effects of a change in 1-Month LIBOR on borrowing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a $500,000 advance funding facility that carries a variable interest rate. The balance outstanding under this facility at September 30, 2011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$194,534. Under the terms of the swap, we pay a fixed rate of 2.059% and receive a variable rate equal to 1-Month LIBOR. Settlements commenced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2010 and the swap matures in July 2013. The notional amount and fair value of the swap were $250,000 and $(7,579), respectively, at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Projected net settlements for the next twelve months total approximately $3,275 of payments to the counterparty. Although we originally designated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swap as a cash flow hedge, the hedging relationship failed to meet the effectiveness criterion for the third quarter of 2011 and on a prospective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declines in advances pledged as collateral to the hedged debt resulted in lower borrowings. As a result, we discontinued hedge accounting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 2011 and began amortizing the $6,179 of deferred losses in accumulated other comprehensive income. Amortization will continue until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 matures in July 2013.</w:t>
      </w:r>
    </w:p>
    <w:p>
      <w:pPr>
        <w:spacing w:after="0" w:line="23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June 2010, we entered into two amortizing interest rate swaps with notional amounts totaling $637,200 to hedge against the effects of changes in the lender’s commercial paper rate and 1-Month LIBOR on borrowings under a second variable-rate advance funding facility entered into in connection with the HomEq Acquisition. The balance outstanding under this facility at September 30, 2011 was $464,829. Under the terms of the two swaps, we pay fixed rates of 1.575% and 1.5275%, respectively, and receive a variable rate equal to 1-Month LIBOR. Settlements commenced in September 2010 and the swaps mature in August 2013. The notional amount and fair value of the swaps were $472,429 and $(8,002), respectively, at September 30, 2011. Projected net settlements for the next twelve months total approximately $2,944 of payments to the counterparty. We designated these swaps as cash flow hedges.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60" w:type="dxa"/>
            <w:vAlign w:val="bottom"/>
            <w:gridSpan w:val="8"/>
          </w:tcPr>
          <w:p>
            <w:pPr>
              <w:ind w:left="320"/>
              <w:spacing w:after="0"/>
              <w:rPr>
                <w:sz w:val="20"/>
                <w:szCs w:val="20"/>
                <w:color w:val="auto"/>
              </w:rPr>
            </w:pPr>
            <w:r>
              <w:rPr>
                <w:rFonts w:ascii="Arial" w:cs="Arial" w:eastAsia="Arial" w:hAnsi="Arial"/>
                <w:sz w:val="18"/>
                <w:szCs w:val="18"/>
                <w:color w:val="auto"/>
                <w:w w:val="92"/>
              </w:rPr>
              <w:t>The following table summarizes the use of derivatives during the nine months ended September 30, 2011: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Forwards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Swaps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2010</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6,400</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Maturities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(9,700)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Terminations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September 30, 2011</w:t>
            </w:r>
          </w:p>
        </w:tc>
        <w:tc>
          <w:tcPr>
            <w:tcW w:w="280" w:type="dxa"/>
            <w:vAlign w:val="bottom"/>
            <w:shd w:val="clear" w:color="auto" w:fill="EAF9E8"/>
          </w:tcPr>
          <w:p>
            <w:pPr>
              <w:spacing w:after="0"/>
              <w:rPr>
                <w:sz w:val="22"/>
                <w:szCs w:val="22"/>
                <w:color w:val="auto"/>
              </w:rPr>
            </w:pPr>
          </w:p>
        </w:tc>
        <w:tc>
          <w:tcPr>
            <w:tcW w:w="98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88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36,300</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728,829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9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8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Fair value of derivative assets (liabilities) at (1):</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September 30, 2011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2010</w:t>
            </w:r>
          </w:p>
        </w:tc>
        <w:tc>
          <w:tcPr>
            <w:tcW w:w="28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319</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9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8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6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Maturity</w:t>
            </w: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80" w:type="dxa"/>
            <w:vAlign w:val="bottom"/>
            <w:gridSpan w:val="2"/>
            <w:shd w:val="clear" w:color="auto" w:fill="EAF9E8"/>
          </w:tcPr>
          <w:p>
            <w:pPr>
              <w:jc w:val="center"/>
              <w:ind w:right="400"/>
              <w:spacing w:after="0" w:line="201" w:lineRule="exact"/>
              <w:rPr>
                <w:sz w:val="20"/>
                <w:szCs w:val="20"/>
                <w:color w:val="auto"/>
              </w:rPr>
            </w:pPr>
            <w:r>
              <w:rPr>
                <w:rFonts w:ascii="Arial" w:cs="Arial" w:eastAsia="Arial" w:hAnsi="Arial"/>
                <w:sz w:val="18"/>
                <w:szCs w:val="18"/>
                <w:color w:val="auto"/>
                <w:w w:val="92"/>
              </w:rPr>
              <w:t>August 2012</w:t>
            </w:r>
          </w:p>
        </w:tc>
        <w:tc>
          <w:tcPr>
            <w:tcW w:w="180" w:type="dxa"/>
            <w:vAlign w:val="bottom"/>
            <w:shd w:val="clear" w:color="auto" w:fill="EAF9E8"/>
          </w:tcPr>
          <w:p>
            <w:pPr>
              <w:spacing w:after="0"/>
              <w:rPr>
                <w:sz w:val="17"/>
                <w:szCs w:val="17"/>
                <w:color w:val="auto"/>
              </w:rPr>
            </w:pPr>
          </w:p>
        </w:tc>
        <w:tc>
          <w:tcPr>
            <w:tcW w:w="1360" w:type="dxa"/>
            <w:vAlign w:val="bottom"/>
            <w:gridSpan w:val="3"/>
            <w:shd w:val="clear" w:color="auto" w:fill="EAF9E8"/>
          </w:tcPr>
          <w:p>
            <w:pPr>
              <w:jc w:val="center"/>
              <w:ind w:right="100"/>
              <w:spacing w:after="0" w:line="201" w:lineRule="exact"/>
              <w:rPr>
                <w:sz w:val="20"/>
                <w:szCs w:val="20"/>
                <w:color w:val="auto"/>
              </w:rPr>
            </w:pPr>
            <w:r>
              <w:rPr>
                <w:rFonts w:ascii="Arial" w:cs="Arial" w:eastAsia="Arial" w:hAnsi="Arial"/>
                <w:sz w:val="18"/>
                <w:szCs w:val="18"/>
                <w:color w:val="auto"/>
                <w:w w:val="88"/>
              </w:rPr>
              <w:t>November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0" w:type="dxa"/>
            <w:vAlign w:val="bottom"/>
            <w:tcBorders>
              <w:right w:val="single" w:sz="8" w:color="EAF9E8"/>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360" w:type="dxa"/>
            <w:vAlign w:val="bottom"/>
            <w:gridSpan w:val="3"/>
            <w:shd w:val="clear" w:color="auto" w:fill="EAF9E8"/>
          </w:tcPr>
          <w:p>
            <w:pPr>
              <w:jc w:val="center"/>
              <w:ind w:right="100"/>
              <w:spacing w:after="0"/>
              <w:rPr>
                <w:sz w:val="20"/>
                <w:szCs w:val="20"/>
                <w:color w:val="auto"/>
              </w:rPr>
            </w:pPr>
            <w:r>
              <w:rPr>
                <w:rFonts w:ascii="Arial" w:cs="Arial" w:eastAsia="Arial" w:hAnsi="Arial"/>
                <w:sz w:val="18"/>
                <w:szCs w:val="18"/>
                <w:color w:val="auto"/>
                <w:w w:val="90"/>
              </w:rPr>
              <w:t>to August 2013</w:t>
            </w:r>
          </w:p>
        </w:tc>
        <w:tc>
          <w:tcPr>
            <w:tcW w:w="0" w:type="dxa"/>
            <w:vAlign w:val="bottom"/>
          </w:tcPr>
          <w:p>
            <w:pPr>
              <w:spacing w:after="0"/>
              <w:rPr>
                <w:sz w:val="1"/>
                <w:szCs w:val="1"/>
                <w:color w:val="auto"/>
              </w:rPr>
            </w:pPr>
          </w:p>
        </w:tc>
      </w:tr>
      <w:tr>
        <w:trPr>
          <w:trHeight w:val="459"/>
        </w:trPr>
        <w:tc>
          <w:tcPr>
            <w:tcW w:w="6480" w:type="dxa"/>
            <w:vAlign w:val="bottom"/>
            <w:gridSpan w:val="5"/>
          </w:tcPr>
          <w:p>
            <w:pPr>
              <w:spacing w:after="0"/>
              <w:rPr>
                <w:sz w:val="20"/>
                <w:szCs w:val="20"/>
                <w:color w:val="auto"/>
              </w:rPr>
            </w:pPr>
            <w:r>
              <w:rPr>
                <w:rFonts w:ascii="Arial" w:cs="Arial" w:eastAsia="Arial" w:hAnsi="Arial"/>
                <w:sz w:val="18"/>
                <w:szCs w:val="18"/>
                <w:color w:val="auto"/>
              </w:rPr>
              <w:t>(1)   Derivatives are reported at fair value in Other assets or in Other liabilities.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60" w:type="dxa"/>
            <w:vAlign w:val="bottom"/>
            <w:gridSpan w:val="8"/>
          </w:tcPr>
          <w:p>
            <w:pPr>
              <w:ind w:left="320"/>
              <w:spacing w:after="0"/>
              <w:rPr>
                <w:sz w:val="20"/>
                <w:szCs w:val="20"/>
                <w:color w:val="auto"/>
              </w:rPr>
            </w:pPr>
            <w:r>
              <w:rPr>
                <w:rFonts w:ascii="Arial" w:cs="Arial" w:eastAsia="Arial" w:hAnsi="Arial"/>
                <w:sz w:val="18"/>
                <w:szCs w:val="18"/>
                <w:color w:val="auto"/>
              </w:rPr>
              <w:t>Other income (expense), net, includes the following related to derivative financial instruments: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realized and unrealized gains (losses) on derivative</w:t>
            </w: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financial instruments that are not designated as hedges (1)</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(2,558)</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439</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(2,675)</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Unrealized losses arising from ineffectiveness of interest rate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swaps designated as cash flow hedges</w:t>
            </w: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9"/>
              </w:rPr>
              <w:t>Amortization of deferred losses included in accumulated other</w:t>
            </w: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comprehensive income related to a discontinued hedging</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relationship</w:t>
            </w: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EAF9E8"/>
            </w:tcBorders>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tcBorders>
              <w:right w:val="single" w:sz="8" w:color="EAF9E8"/>
            </w:tcBorders>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(3,494)</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$117 of net unrealized gains during the three and nine months ended September 30, 2011 relating to the swap for which we discontinued hedge accounting effective July 1, 2011.</w:t>
      </w:r>
    </w:p>
    <w:p>
      <w:pPr>
        <w:spacing w:after="0" w:line="19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Included in Accumulated other comprehensive loss at September 30, 2011 and December 31, 2010, respectively, was $12,811 and $14,435 of deferred unrealized losses, before taxes of $4,627 and $5,196, respectively, on the interest rate swaps that we designated as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SERVICING AND SUBSERVICING FEES</w:t>
      </w:r>
    </w:p>
    <w:p>
      <w:pPr>
        <w:spacing w:after="0" w:line="25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earn fees for providing services to owners of mortgage loans and foreclosed real estate. The following table presents the principal components of servicing and subservicing fees for the periods ended September 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82,618</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57,836</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232,359</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151,097</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11,013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28,304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22,655</w:t>
            </w:r>
          </w:p>
        </w:tc>
      </w:tr>
      <w:tr>
        <w:trPr>
          <w:trHeight w:val="216"/>
        </w:trPr>
        <w:tc>
          <w:tcPr>
            <w:tcW w:w="20" w:type="dxa"/>
            <w:vAlign w:val="bottom"/>
          </w:tcPr>
          <w:p>
            <w:pPr>
              <w:spacing w:after="0"/>
              <w:rPr>
                <w:sz w:val="18"/>
                <w:szCs w:val="18"/>
                <w:color w:val="auto"/>
              </w:rPr>
            </w:pPr>
          </w:p>
        </w:tc>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5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9,536</w:t>
            </w: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8,711</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24,771</w:t>
            </w: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24,126</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Loan collection fees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2,772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6,448</w:t>
            </w:r>
          </w:p>
        </w:tc>
      </w:tr>
      <w:tr>
        <w:trPr>
          <w:trHeight w:val="216"/>
        </w:trPr>
        <w:tc>
          <w:tcPr>
            <w:tcW w:w="20" w:type="dxa"/>
            <w:vAlign w:val="bottom"/>
          </w:tcPr>
          <w:p>
            <w:pPr>
              <w:spacing w:after="0"/>
              <w:rPr>
                <w:sz w:val="18"/>
                <w:szCs w:val="18"/>
                <w:color w:val="auto"/>
              </w:rPr>
            </w:pPr>
          </w:p>
        </w:tc>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5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1,632</w:t>
            </w: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2,080</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6,112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12,434</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20" w:type="dxa"/>
            <w:vAlign w:val="bottom"/>
            <w:shd w:val="clear" w:color="auto" w:fill="EAF9E8"/>
          </w:tcPr>
          <w:p>
            <w:pPr>
              <w:spacing w:after="0"/>
              <w:rPr>
                <w:sz w:val="20"/>
                <w:szCs w:val="20"/>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112,611</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86,424</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310,953</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218,840</w:t>
            </w: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EAF9E8"/>
            </w:tcBorders>
            <w:shd w:val="clear" w:color="auto" w:fill="EAF9E8"/>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460" w:right="18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2010 float earnings included $138 and $757, respectively, of interest income from our investment in auction rate securities.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17 INTEREST EXPENSE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periods ended September 30: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21,989</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15,891</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60,943</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37,560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4,044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7,707</w:t>
            </w:r>
          </w:p>
        </w:tc>
      </w:tr>
      <w:tr>
        <w:trPr>
          <w:trHeight w:val="216"/>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Investment line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3.25% Convertible Notes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r>
      <w:tr>
        <w:trPr>
          <w:trHeight w:val="216"/>
        </w:trPr>
        <w:tc>
          <w:tcPr>
            <w:tcW w:w="20" w:type="dxa"/>
            <w:vAlign w:val="bottom"/>
          </w:tcPr>
          <w:p>
            <w:pPr>
              <w:spacing w:after="0"/>
              <w:rPr>
                <w:sz w:val="18"/>
                <w:szCs w:val="18"/>
                <w:color w:val="auto"/>
              </w:rPr>
            </w:pPr>
          </w:p>
        </w:tc>
        <w:tc>
          <w:tcPr>
            <w:tcW w:w="44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10.875% Capital Trust Securities</w:t>
            </w:r>
          </w:p>
        </w:tc>
        <w:tc>
          <w:tcPr>
            <w:tcW w:w="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2,130</w:t>
            </w: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27,658</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24,187</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87,014</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50,017</w:t>
            </w: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BASIC AND DILUTED EARNINGS PER SHARE</w:t>
      </w:r>
    </w:p>
    <w:p>
      <w:pPr>
        <w:spacing w:after="0" w:line="25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Basic EPS excludes common stock equivalents and is calculated by dividing net income (loss) attributable to OCN by the weighted average number of common shares outstanding during the period. We calculate diluted EPS by dividing net income attributable to OCN, as adjusted to add back interest expense net of income tax on the 3.25% Convertible Notes, by the weighted average number of common shares outstanding including the potential dilutive common shares related to outstanding stock options, restricted stock awards and the 3.25% Convertible Notes.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calculation of basic EPS to diluted EPS for the periods ended September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gridSpan w:val="4"/>
          </w:tcPr>
          <w:p>
            <w:pPr>
              <w:spacing w:after="0" w:line="202" w:lineRule="exact"/>
              <w:rPr>
                <w:sz w:val="20"/>
                <w:szCs w:val="20"/>
                <w:color w:val="auto"/>
              </w:rPr>
            </w:pPr>
            <w:r>
              <w:rPr>
                <w:rFonts w:ascii="Arial" w:cs="Arial" w:eastAsia="Arial" w:hAnsi="Arial"/>
                <w:sz w:val="18"/>
                <w:szCs w:val="18"/>
                <w:color w:val="auto"/>
              </w:rPr>
              <w:t>Basic EPS: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20,228</w:t>
            </w:r>
          </w:p>
        </w:tc>
        <w:tc>
          <w:tcPr>
            <w:tcW w:w="5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(8,835)</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68,680</w:t>
            </w:r>
          </w:p>
        </w:tc>
        <w:tc>
          <w:tcPr>
            <w:tcW w:w="5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7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101,016,777</w:t>
            </w:r>
          </w:p>
        </w:tc>
        <w:tc>
          <w:tcPr>
            <w:tcW w:w="24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100,329,915</w:t>
            </w:r>
          </w:p>
        </w:tc>
        <w:tc>
          <w:tcPr>
            <w:tcW w:w="2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100,908,473</w:t>
            </w:r>
          </w:p>
        </w:tc>
        <w:tc>
          <w:tcPr>
            <w:tcW w:w="2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100,159,547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7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Basic EPS</w:t>
            </w:r>
          </w:p>
        </w:tc>
        <w:tc>
          <w:tcPr>
            <w:tcW w:w="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0.68</w:t>
            </w:r>
          </w:p>
        </w:tc>
        <w:tc>
          <w:tcPr>
            <w:tcW w:w="5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7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bottom w:val="single" w:sz="8" w:color="auto"/>
            </w:tcBorders>
            <w:gridSpan w:val="2"/>
            <w:shd w:val="clear" w:color="auto" w:fill="EAF9E8"/>
          </w:tcPr>
          <w:p>
            <w:pPr>
              <w:spacing w:after="0" w:line="202" w:lineRule="exact"/>
              <w:rPr>
                <w:sz w:val="20"/>
                <w:szCs w:val="20"/>
                <w:color w:val="auto"/>
              </w:rPr>
            </w:pPr>
            <w:r>
              <w:rPr>
                <w:rFonts w:ascii="Arial" w:cs="Arial" w:eastAsia="Arial" w:hAnsi="Arial"/>
                <w:sz w:val="18"/>
                <w:szCs w:val="18"/>
                <w:color w:val="auto"/>
                <w:w w:val="90"/>
              </w:rPr>
              <w:t>Diluted EPS:</w:t>
            </w:r>
          </w:p>
        </w:tc>
        <w:tc>
          <w:tcPr>
            <w:tcW w:w="37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20,228</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(8,835)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68,680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3"/>
            <w:shd w:val="clear" w:color="auto" w:fill="EAF9E8"/>
          </w:tcPr>
          <w:p>
            <w:pPr>
              <w:spacing w:after="0" w:line="201" w:lineRule="exact"/>
              <w:rPr>
                <w:sz w:val="20"/>
                <w:szCs w:val="20"/>
                <w:color w:val="auto"/>
              </w:rPr>
            </w:pPr>
            <w:r>
              <w:rPr>
                <w:rFonts w:ascii="Arial" w:cs="Arial" w:eastAsia="Arial" w:hAnsi="Arial"/>
                <w:sz w:val="18"/>
                <w:szCs w:val="18"/>
                <w:color w:val="auto"/>
                <w:w w:val="96"/>
              </w:rPr>
              <w:t>Interest expense on 3.25% Convertible Notes, net of income</w:t>
            </w:r>
          </w:p>
        </w:tc>
        <w:tc>
          <w:tcPr>
            <w:tcW w:w="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tax (1)</w:t>
            </w:r>
          </w:p>
        </w:tc>
        <w:tc>
          <w:tcPr>
            <w:tcW w:w="2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Borders>
              <w:top w:val="single" w:sz="8" w:color="EAF9E8"/>
            </w:tcBorders>
            <w:gridSpan w:val="3"/>
          </w:tcPr>
          <w:p>
            <w:pPr>
              <w:spacing w:after="0" w:line="201" w:lineRule="exact"/>
              <w:rPr>
                <w:sz w:val="20"/>
                <w:szCs w:val="20"/>
                <w:color w:val="auto"/>
              </w:rPr>
            </w:pPr>
            <w:r>
              <w:rPr>
                <w:rFonts w:ascii="Arial" w:cs="Arial" w:eastAsia="Arial" w:hAnsi="Arial"/>
                <w:sz w:val="18"/>
                <w:szCs w:val="18"/>
                <w:color w:val="auto"/>
              </w:rPr>
              <w:t>Adjusted net income attributable to Ocwen Financial</w:t>
            </w:r>
          </w:p>
        </w:tc>
        <w:tc>
          <w:tcPr>
            <w:tcW w:w="26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Corporation</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20,529</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(8,835)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69,584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28,990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7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101,016,777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100,329,915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100,908,473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100,159,547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Effect of dilutive elements:</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3.25% Convertible Notes (1)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4,637,224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4,637,224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Stock options (2) (3)</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2,619,443</w:t>
            </w: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2,522,284</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Common stock awards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Dilutive weighted average shares of common stock</w:t>
            </w:r>
          </w:p>
        </w:tc>
        <w:tc>
          <w:tcPr>
            <w:tcW w:w="26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108,273,444</w:t>
            </w:r>
          </w:p>
        </w:tc>
        <w:tc>
          <w:tcPr>
            <w:tcW w:w="24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100,329,915</w:t>
            </w:r>
          </w:p>
        </w:tc>
        <w:tc>
          <w:tcPr>
            <w:tcW w:w="2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9"/>
              </w:rPr>
              <w:t>108,067,981</w:t>
            </w:r>
          </w:p>
        </w:tc>
        <w:tc>
          <w:tcPr>
            <w:tcW w:w="2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107,379,725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7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0.19</w:t>
            </w:r>
          </w:p>
        </w:tc>
        <w:tc>
          <w:tcPr>
            <w:tcW w:w="5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0.64</w:t>
            </w:r>
          </w:p>
        </w:tc>
        <w:tc>
          <w:tcPr>
            <w:tcW w:w="5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7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6"/>
              </w:rPr>
              <w:t>Stock options excluded from the computation of diluted EPS:</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Anti-dilutive (2)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Market-based (3)</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1,615,000</w:t>
            </w: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1,615,000</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1,615,000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30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our 3.25% Convertible Notes on diluted EPS is computed using the if-converted method. Interest expense and related amortization costs applicable to the 3.25% Convertible Notes, net of income tax, are added back to net income. Conversion of the 3.25% Convertible Notes into shares of common stock is assumed for purposes of computing diluted EPS unless the effect would be anti-dilutive. The effect is anti-dilutive whenever interest expense on the 3.25% Convertible Notes, net of income tax, per common share obtainable on conversion exceeds basic EPS.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stock options were anti-dilutive under the treasury stock method.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OCN’s stock price and an annualized rate of return to investors.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 REPORTING</w:t>
      </w:r>
    </w:p>
    <w:p>
      <w:pPr>
        <w:spacing w:after="0" w:line="25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Effective January 1, 2011, we realigned our business segments in response to the growth in our core servicing business and the continuing reductions in our equity investments in asset management vehicles and our remaining investments in subprime loans and residual securities. Effective with this realignment, our former Loans and Residuals segment and Asset Management Vehicles segment are included in Corporate Items and Other. Our business segments reflect the internal reporting that we use to evaluate operating performance of products and services and to assess the allocation of our resources. Segment results for prior periods have been restated to conform to the current segment structure.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provides loan servicing for a fee, including asset management and resolution services, primarily to owners of subprime</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mortgages. In most cases, we provide these services either because we purchased the MSR from the owner of the mortgage or because we entered into a subservicing or special servicing agreement with the entity that owns the MSR. Subprime loans represent residential loans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200"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certain corporate expenses in Corporate Items and Other. Debt securities, which are comprised of the 3.25% Convertible Notes and the 10.875% Capital Trust Securities, are also included in Corporate Items and Other.</w:t>
      </w:r>
    </w:p>
    <w:p>
      <w:pPr>
        <w:spacing w:after="0" w:line="17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Effective with the segment realignment discussed above, Corporate Items and Other includes the former Loans and Residuals segment and the former Asset Management Vehicles segment</w:t>
      </w:r>
      <w:r>
        <w:rPr>
          <w:rFonts w:ascii="Arial" w:cs="Arial" w:eastAsia="Arial" w:hAnsi="Arial"/>
          <w:sz w:val="16"/>
          <w:szCs w:val="16"/>
          <w:i w:val="1"/>
          <w:iCs w:val="1"/>
          <w:color w:val="auto"/>
        </w:rPr>
        <w:t>.</w:t>
      </w:r>
      <w:r>
        <w:rPr>
          <w:rFonts w:ascii="Arial" w:cs="Arial" w:eastAsia="Arial" w:hAnsi="Arial"/>
          <w:sz w:val="16"/>
          <w:szCs w:val="16"/>
          <w:color w:val="auto"/>
        </w:rPr>
        <w:t xml:space="preserve"> Our recently acquired equity investment in Correspondent One is also included in Corporate Items and Other.</w:t>
      </w:r>
    </w:p>
    <w:p>
      <w:pPr>
        <w:spacing w:after="0" w:line="15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former Loans and Residuals segment included our investments in subprime residential loans held for resale and subprime residual mortgage backed trading securities related to our former subprime loan origination operation and whole loan purchase and securitization activities. The Loans and Residuals segment also included the four loan securitization trusts that we began including in our consolidated financial statements effective January 1, 2010. The former Asset Management Vehicles segment was comprised of our 25% equity investment in OSI and approximately a 25% equity investment in ONL and OREO. These unconsolidated entities are engaged in the management of residential assets. Other business activities included in Corporate Items and Other that are not considered to be of continuing significance include our affordable housing investment activities.</w:t>
      </w:r>
    </w:p>
    <w:p>
      <w:pPr>
        <w:spacing w:after="0" w:line="20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including interest earned on cash balances and short-term investments and interest incurred on corporate debt. We also allocate expenses generated by corporate support services to each business segment.</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gridSpan w:val="3"/>
          </w:tcPr>
          <w:p>
            <w:pPr>
              <w:ind w:left="320"/>
              <w:spacing w:after="0"/>
              <w:rPr>
                <w:sz w:val="20"/>
                <w:szCs w:val="20"/>
                <w:color w:val="auto"/>
              </w:rPr>
            </w:pPr>
            <w:r>
              <w:rPr>
                <w:rFonts w:ascii="Arial" w:cs="Arial" w:eastAsia="Arial" w:hAnsi="Arial"/>
                <w:sz w:val="18"/>
                <w:szCs w:val="18"/>
                <w:color w:val="auto"/>
              </w:rPr>
              <w:t>Financial information for our segments is as follows: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Servicing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September 30, 2011</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122,863</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(993)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Operating expenses (3) (4)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58,744</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(2)(5)</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1,592</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(4,207)</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(25,998)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EAF9E8"/>
          </w:tcPr>
          <w:p>
            <w:pPr>
              <w:ind w:left="160"/>
              <w:spacing w:after="0" w:line="201" w:lineRule="exact"/>
              <w:rPr>
                <w:sz w:val="20"/>
                <w:szCs w:val="20"/>
                <w:color w:val="auto"/>
              </w:rPr>
            </w:pPr>
            <w:r>
              <w:rPr>
                <w:rFonts w:ascii="Arial" w:cs="Arial" w:eastAsia="Arial" w:hAnsi="Arial"/>
                <w:sz w:val="18"/>
                <w:szCs w:val="18"/>
                <w:color w:val="auto"/>
                <w:w w:val="98"/>
              </w:rPr>
              <w:t>Income (loss) from continuing operations before income</w:t>
            </w:r>
          </w:p>
        </w:tc>
        <w:tc>
          <w:tcPr>
            <w:tcW w:w="36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10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1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32,746</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(3,795)</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September 30, 2010</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95,369</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535</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(335)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Operating expenses (3) (4)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69,012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24,578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26,357</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(24,043)</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2,911</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(2)(5)</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EAF9E8"/>
          </w:tcPr>
          <w:p>
            <w:pPr>
              <w:ind w:left="160"/>
              <w:spacing w:after="0" w:line="201" w:lineRule="exact"/>
              <w:rPr>
                <w:sz w:val="20"/>
                <w:szCs w:val="20"/>
                <w:color w:val="auto"/>
              </w:rPr>
            </w:pPr>
            <w:r>
              <w:rPr>
                <w:rFonts w:ascii="Arial" w:cs="Arial" w:eastAsia="Arial" w:hAnsi="Arial"/>
                <w:sz w:val="18"/>
                <w:szCs w:val="18"/>
                <w:color w:val="auto"/>
                <w:w w:val="98"/>
              </w:rPr>
              <w:t>Income (loss) from continuing operations before income</w:t>
            </w:r>
          </w:p>
        </w:tc>
        <w:tc>
          <w:tcPr>
            <w:tcW w:w="36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10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1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5,428</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(26,140)</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nine months ended September 30, 2011</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339,224</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(1,617)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Operating expenses (3)(4)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144,700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194,524</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(86,870)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(2)(5)</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(8,531)</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(84,107)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EAF9E8"/>
          </w:tcPr>
          <w:p>
            <w:pPr>
              <w:ind w:left="160"/>
              <w:spacing w:after="0" w:line="201" w:lineRule="exact"/>
              <w:rPr>
                <w:sz w:val="20"/>
                <w:szCs w:val="20"/>
                <w:color w:val="auto"/>
              </w:rPr>
            </w:pPr>
            <w:r>
              <w:rPr>
                <w:rFonts w:ascii="Arial" w:cs="Arial" w:eastAsia="Arial" w:hAnsi="Arial"/>
                <w:sz w:val="18"/>
                <w:szCs w:val="18"/>
                <w:color w:val="auto"/>
                <w:w w:val="98"/>
              </w:rPr>
              <w:t>Income (loss) from continuing operations before income</w:t>
            </w:r>
          </w:p>
        </w:tc>
        <w:tc>
          <w:tcPr>
            <w:tcW w:w="36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10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1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110,417</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(5,941)</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nine months ended September 30, 2010:</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246,581</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(1,146)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Operating expenses (3)(4)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141,039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32,790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105,542</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(31,117)</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8,346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(44,772)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(2)(5)</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(1,570)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(7,350)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(46,181)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3"/>
            <w:shd w:val="clear" w:color="auto" w:fill="EAF9E8"/>
          </w:tcPr>
          <w:p>
            <w:pPr>
              <w:ind w:left="160"/>
              <w:spacing w:after="0" w:line="201" w:lineRule="exact"/>
              <w:rPr>
                <w:sz w:val="20"/>
                <w:szCs w:val="20"/>
                <w:color w:val="auto"/>
              </w:rPr>
            </w:pPr>
            <w:r>
              <w:rPr>
                <w:rFonts w:ascii="Arial" w:cs="Arial" w:eastAsia="Arial" w:hAnsi="Arial"/>
                <w:sz w:val="18"/>
                <w:szCs w:val="18"/>
                <w:color w:val="auto"/>
                <w:w w:val="98"/>
              </w:rPr>
              <w:t>Income (loss) from continuing operations before income</w:t>
            </w:r>
          </w:p>
        </w:tc>
        <w:tc>
          <w:tcPr>
            <w:tcW w:w="360" w:type="dxa"/>
            <w:vAlign w:val="bottom"/>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10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1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20" w:type="dxa"/>
            <w:vAlign w:val="bottom"/>
            <w:tcBorders>
              <w:top w:val="single" w:sz="8" w:color="auto"/>
            </w:tcBorders>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59,361</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(35,366)</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September 30, 2011</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4,446,960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450,215</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4,897,175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December 31, 2010</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2,495,966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425,443</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September 30, 2010</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2,698,023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557,751</w:t>
            </w:r>
          </w:p>
        </w:tc>
        <w:tc>
          <w:tcPr>
            <w:tcW w:w="2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3,255,774</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67"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(1)   Intersegment revenues are as follows: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Items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Servicing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September 30, 2011</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954</w:t>
            </w:r>
          </w:p>
        </w:tc>
        <w:tc>
          <w:tcPr>
            <w:tcW w:w="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 the three months ended September 30, 2010</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For the nine months ended September 30, 2011</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 the nine months ended September 30, 2010</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320" w:hanging="452"/>
        <w:spacing w:after="0" w:line="31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46"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Items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Servicing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auto"/>
            </w:tcBorders>
            <w:gridSpan w:val="2"/>
            <w:shd w:val="clear" w:color="auto" w:fill="EAF9E8"/>
          </w:tcPr>
          <w:p>
            <w:pPr>
              <w:spacing w:after="0" w:line="202" w:lineRule="exact"/>
              <w:rPr>
                <w:sz w:val="20"/>
                <w:szCs w:val="20"/>
                <w:color w:val="auto"/>
              </w:rPr>
            </w:pPr>
            <w:r>
              <w:rPr>
                <w:rFonts w:ascii="Arial" w:cs="Arial" w:eastAsia="Arial" w:hAnsi="Arial"/>
                <w:sz w:val="18"/>
                <w:szCs w:val="18"/>
                <w:color w:val="auto"/>
                <w:w w:val="88"/>
              </w:rPr>
              <w:t>For the three months ended September 30, 2011:</w:t>
            </w:r>
          </w:p>
        </w:tc>
        <w:tc>
          <w:tcPr>
            <w:tcW w:w="3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11,210</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auto"/>
            </w:tcBorders>
            <w:gridSpan w:val="2"/>
            <w:shd w:val="clear" w:color="auto" w:fill="EAF9E8"/>
          </w:tcPr>
          <w:p>
            <w:pPr>
              <w:spacing w:after="0" w:line="202" w:lineRule="exact"/>
              <w:rPr>
                <w:sz w:val="20"/>
                <w:szCs w:val="20"/>
                <w:color w:val="auto"/>
              </w:rPr>
            </w:pPr>
            <w:r>
              <w:rPr>
                <w:rFonts w:ascii="Arial" w:cs="Arial" w:eastAsia="Arial" w:hAnsi="Arial"/>
                <w:sz w:val="18"/>
                <w:szCs w:val="18"/>
                <w:color w:val="auto"/>
                <w:w w:val="88"/>
              </w:rPr>
              <w:t>For the three months ended September 30, 2010:</w:t>
            </w:r>
          </w:p>
        </w:tc>
        <w:tc>
          <w:tcPr>
            <w:tcW w:w="3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360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7,874</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3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4"/>
          </w:tcPr>
          <w:p>
            <w:pPr>
              <w:spacing w:after="0" w:line="202" w:lineRule="exact"/>
              <w:rPr>
                <w:sz w:val="20"/>
                <w:szCs w:val="20"/>
                <w:color w:val="auto"/>
              </w:rPr>
            </w:pPr>
            <w:r>
              <w:rPr>
                <w:rFonts w:ascii="Arial" w:cs="Arial" w:eastAsia="Arial" w:hAnsi="Arial"/>
                <w:sz w:val="18"/>
                <w:szCs w:val="18"/>
                <w:color w:val="auto"/>
              </w:rPr>
              <w:t>For the nine months ended September 30, 2011: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711</w:t>
            </w:r>
          </w:p>
        </w:tc>
        <w:tc>
          <w:tcPr>
            <w:tcW w:w="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1,263</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30,059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8,101</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8,888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3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4"/>
          </w:tcPr>
          <w:p>
            <w:pPr>
              <w:spacing w:after="0" w:line="202" w:lineRule="exact"/>
              <w:rPr>
                <w:sz w:val="20"/>
                <w:szCs w:val="20"/>
                <w:color w:val="auto"/>
              </w:rPr>
            </w:pPr>
            <w:r>
              <w:rPr>
                <w:rFonts w:ascii="Arial" w:cs="Arial" w:eastAsia="Arial" w:hAnsi="Arial"/>
                <w:sz w:val="18"/>
                <w:szCs w:val="18"/>
                <w:color w:val="auto"/>
              </w:rPr>
              <w:t>For the nine months ended September 30, 2010: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389</w:t>
            </w:r>
          </w:p>
        </w:tc>
        <w:tc>
          <w:tcPr>
            <w:tcW w:w="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1,045</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3,218</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3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Operating expenses of the Servicing segment for the three months ended September 30, 2011 include $18,746 related to the Litton Acquisition. For the three months ended September 30, 2010, operating expenses include $33,902 incurred in connection with the HomEq Acquisition.</w:t>
      </w:r>
    </w:p>
    <w:p>
      <w:pPr>
        <w:spacing w:after="0" w:line="146" w:lineRule="exact"/>
        <w:rPr>
          <w:rFonts w:ascii="Arial" w:cs="Arial" w:eastAsia="Arial" w:hAnsi="Arial"/>
          <w:sz w:val="17"/>
          <w:szCs w:val="17"/>
          <w:color w:val="auto"/>
        </w:rPr>
      </w:pPr>
    </w:p>
    <w:p>
      <w:pPr>
        <w:ind w:left="460" w:right="12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income (expense) of the Servicing segment includes $2,405 and $3,651 of gains on the extinguishment of debt during the three and nine months ended September 30, 2011, respectively. Other income (expense) for the three and nine months ended September 30, 2010 includes net losses on auction rate securities of $2,961 and $3,899, respectively, recorded in Corporate Items and Other.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25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August 10, 2009, we completed the distribution of our Ocwen Solutions line of business, except for BMS Holdings and GSS, via the spin-off of Altisource. Altisource common stock is listed on the NASDAQ market under the ticker symbol “ASPS.” We distributed all of the shares of Altisource common stock to OCN’s shareholders of record as of August 4, 2009 (the Separation). Although Altisource is a separate company from Ocwen after the Separation, Altisource and Ocwen have the same Chairman of the Board, William C. Erbey. As a result, he has obligations to Ocwen as well as to Altisource. Mr. Erbey currently owns approximately 18% of the common stock of Ocwen and owns approximately 25% of the common stock of Altisource.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firstLine="324"/>
        <w:spacing w:after="0" w:line="291"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Under these agreements, Altisource and Ocwen provide to each other services in such areas as human resources, vendor management, corporate services, six sigma, quality assurance, quantitative analytics, treasury, accounting, tax matters, risk management, law, strategic planning, compliance and other areas where we, and Altisource, may need transition assistance and support following the Separation. In addition, Altisource provides certain technology products and support services to us, including the REAL suite of applications that support our Servicing business. In addition, in the third quarter of 2011, Ocwen and Altisource entered into a Data Access and Services Agreement under which Ocwen agreed to make available to Altisource certain data from Ocwen’s servicing portfolio in exchange for a per asset fee.</w:t>
      </w:r>
    </w:p>
    <w:p>
      <w:pPr>
        <w:spacing w:after="0" w:line="19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20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For the three and nine months ended September 30, 2011, we generated revenues of $3,426 and $8,806 respectively, under our agreements with Altisource, principally from fees for providing referral services to Altisource. During the same periods of 2010, we generated revenues of $2,587 and $9,622 respectively. We also incurred expenses of $5,756 and $16,148 during the three and nine months ended September 30, 2011, respectively, principally for technology products and support services including the REAL suite of products that support our Servicing business. During the same periods of 2010, we incurred expenses of $4,973 and $14,555, respectively. At September 30, 2011, the net payable to Altisource was $1,537.</w:t>
      </w:r>
    </w:p>
    <w:p>
      <w:pPr>
        <w:spacing w:after="0" w:line="20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20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disclosed in Note 1, Ocwen and Altisource each hold a 49% equity interest in Correspondent One. Correspondent One facilitates the purchase of conforming and government-guaranteed residential mortgages from approved mortgage originators and resells the mortgages to secondary market investors. As of September 30, 2011, Ocwen had invested $15,000 in Correspondent One.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REGULATORY REQUIREMENTS</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Ocwen is subject to extensive regulation by federal, state and local governmental authorities including the Federal Trade Commission, the SEC, the new Consumer Finance Protection Bureau and the state agencies that license its servicing and collection entities. The Company must comply with a number of federal, state and local consumer protection laws including, among others, the Gramm-Leach-Bliley Act, the Fair Debt Collection Practices Act, the Real Estate Settlement Procedures Act, the Truth in Lending Act, the Fair Credit Reporting Act, the Servicemembers Civil Relief Act, the Homeowners Protection Act and the Dodd-Frank Wall Street Reform and Consumer Protection Act. These statutes apply to debt collection,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205"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Ocwen is also subject to licensing and regulation as a mortgage service provider and/or debt collector in a number of states. It is subject to audits and examinations that are conducted by the states. From time to time, the Company receives requests from state and other agencies for records, documents and information regarding policies, procedures and practices regarding loan servicing and debt collection business activities.</w:t>
      </w:r>
    </w:p>
    <w:p>
      <w:pPr>
        <w:spacing w:after="0" w:line="19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There are a number of foreign regulations that are applicable to Ocwen’s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22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entered into a definitive written agreement with plaintiffs’ counsel with respect to a class settlement. Ocwen’s portion of the proposed settlement payment is $5,163 plus certain other non-cash consideration and administrative costs. On July 1, 2011, the Court granted final approval to this class settlement. Defendants, including Ocwen, have paid their respective portions of the settlement into escrow and notice of the settlement has been provided to potential class members. On July 6, 2011, the Court entered final judgment and no appeals were filed. While there are some claims that are subject to opt-outs by individual plaintiffs, these are not viewed as material at this time.</w:t>
      </w:r>
    </w:p>
    <w:p>
      <w:pPr>
        <w:spacing w:after="0" w:line="19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 We are unable to provide any estimate of possible loss or range of possible loss at this time.</w:t>
      </w:r>
    </w:p>
    <w:p>
      <w:pPr>
        <w:spacing w:after="0" w:line="20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more fully described in Note 3. In our opinion, the resolution of those proceedings will not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5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On December 21, 2009, the India tax authorities issued a draft income tax assessment order (the First Order) with respect to assessment year 2006 – 2007. The proposed adjustment would impose upon OFSPL additional tax of INR 41,760 ($853) and interest of INR 18,297 ($374) for the Assessment Year 2006 – 2007, and penalties may be assessed. OCN and OFSPL intend to vigorously contest this Order and any imposition of tax and interest and do not believe they have violated any statutory provision or rule. OFSPL has filed an application with the Dispute Resolution Panel for the First Order. OFSPL received the final assessment order (the Second Order) on November 24, 2010, with a demand of INR 64,085 ($1,310), reflecting tax of INR 41,712 ($852) and interest of INR 22,373 ($457). In response, OFSPL petitioned for assistance to be provided by the Competent Authority under the Mutual Agreement Procedures of the U.S./India income tax treaty, furnished a Bank Guarantee for INR 76,754 ($1,569) related to transfer pricing matters and paid INR 7,647 ($156) towards non-transfer pricing issues. Furthermore, OFSPL has submitted an appeal of the Second Order to the Income Tax Appellate Tribunal.</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4, 2011, OFSPL received a draft assessment order (the Third Order) with respect to assessment year 2007 – 2008. The proposed adjustment would impose upon OFSPL additional tax of INR 63,885 ($1,306) and interest of INR 28,748 ($587). OFSPL filed an application and received no relief from the Dispute Resolution Panel for the Third Order. OFSPL intends to file a further appeal under the Mutual Agreement Procedures of the U.S./India income tax treaty and submit an appeal of the Third Order to the Income Tax Appellate Tribunal. Due to the uncertainties inherent in the Appeals and Competent Authority processes, OCN and OFSPL cannot currently estimate any additional exposure beyond the amount currently detailed in the Orders. We also cannot predict when these tax matters will be resolved. Competent Authority assistance requests under the Mutual Agreement Procedures should preserve OCN’s right to offset any potential increase in India taxes against OCN’s U.S.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and Fannie Mae have invested. The transactions include mortgage loans serviced but not originated by OLS or its affiliates. There is no allegation of wrongdoing in the subpoenas against OLS, and we are cooperating with the FHFA’s requests.</w:t>
      </w:r>
    </w:p>
    <w:p>
      <w:pPr>
        <w:spacing w:after="0" w:line="214"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On November 24, 2010, OLS received a Civil Investigative Demand (CID) from the Federal Trade Commission (FTC) requesting documents and information regarding various servicing activities. There is no allegation of wrongdoing in the CID against OLS, and we are cooperating with the FTC’s request.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ind w:firstLine="324"/>
        <w:spacing w:after="0" w:line="269" w:lineRule="auto"/>
        <w:rPr>
          <w:sz w:val="20"/>
          <w:szCs w:val="20"/>
          <w:color w:val="auto"/>
        </w:rPr>
      </w:pPr>
      <w:r>
        <w:rPr>
          <w:rFonts w:ascii="Arial" w:cs="Arial" w:eastAsia="Arial" w:hAnsi="Arial"/>
          <w:sz w:val="17"/>
          <w:szCs w:val="17"/>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three of our match funded advance facilities have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 With respect to the Servicing segment, Ocwen is not the title owner of record for any foreclosed real estate, and neither Ocwen nor any of its subsidiaries make any type of direct title warranty to a subsequent purchaser of foreclosed real estate.</w:t>
      </w:r>
    </w:p>
    <w:p>
      <w:pPr>
        <w:spacing w:after="0" w:line="21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have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$51,074 at September 30, 2011, and the outstanding balance of the notes was $52,338.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19, 2011, Ocwen entered into a Purchase Agreement with SCI Services, Inc. (SCI), Saxon Capital Holdings, LLC (Saxon Capital)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Mortgage Capital Holdings, LLC (Morgan Stanley) to acquire (i) all of the issued and outstanding stock of SCI Services, Inc. (SCI) and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MSRs currently owned by Morgan Stanley and its affiliates (the Saxon Transaction). SCI is a subsidiary of Saxon Capital and the parent company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Saxon Mortgage Services, Inc., a provider of servicing and subservicing of primarily non-prime residential mortgage loans. Morgan Stanley is the parent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of Saxon Capital. The Saxon Transaction will result in the acquisition of a servicing portfolio of approximately $26,800,000 in UPB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2011, of which Ocwen currently subservices approximately $10,800,000 as of June 30, 2011. The Saxon Transaction also includes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$12,900,000 of loans that SCI subservices for Morgan Stanley and others. This subservicing may be transferred to Ocwen, pending approval by the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servicing, or will be subserviced by Ocwen under short-term agreements. The base purchase price for the Saxon Transaction is $59,300,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at closing, plus an estimated $292,200 for the portion of the Saxon servicing advance receivables that will not be financed through committed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financing. The Saxon Transaction is expected to close in the first quarter of 2012.</w:t>
      </w:r>
    </w:p>
    <w:p>
      <w:pPr>
        <w:spacing w:after="0" w:line="2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October 31, 2011, we entered into two interest rate swaps to hedge against the effects of changes in variable interest rates on borrowings under servicing advance funding facilities. Under the terms of the swaps, we will pay fixed rates of 0.9780% and 0.9725% and will receive a variable rate equal to 1-Month LIBOR. The swaps become effective on the last business day of June 2013 and mature in January 2015. The notional amounts vary over time based on the terms of the swap transaction with combined notional amounts as high as $1,046,821 in September 2013.</w:t>
      </w:r>
    </w:p>
    <w:p>
      <w:pPr>
        <w:spacing w:after="0" w:line="19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to the Saxon Transaction, on November 4, 2011, Ocwen entered into a servicing rights purchase agreement with JPMorgan Chase, N.A. (“JPMCB”) to acquire less than 2% of JPMCB’s mortgage servicing portfolio which includes servicing rights for certain third party private securitizations in which neither JPMCB nor any of its affiliated entities were issuers or loan sellers. The transaction relates to MSRs for approximately 82,000 non-prime loans with a UPB of approximately $15,000,000 as of September 30, 2011 (the “JPMCB MSR Transaction”). The purchase price, subject to adjustment at closing and inclusive of servicing advance receivables, is approximately $950,000, which will be payable in cash by Ocwen. Ocwen expects to finance $625,000 of the purchase price through an existing servicing advance facility. We do not expect the adjustment in the purchase price to be material.</w:t>
      </w:r>
    </w:p>
    <w:p>
      <w:pPr>
        <w:spacing w:after="0" w:line="16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part of the JPMCB MSR Transaction, JPMCB and Ocwen have agreed to indemnification provisions for the benefit of the other party. There is no assurance that JPMCB will fulfill its indemnification obligations.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JPMCB MSR Transaction is expected to close on January 1, 2012, however the JPMCB MSR Transaction may close in phases on more than one date. Closing of the JPMCB MSR Transaction is subject to closing conditions, including but not limited to obtaining applicable third party authorizations and amendments. There can be no assurance that the JPMCB MSR Transaction will be consummated as proposed or at all.</w:t>
      </w:r>
    </w:p>
    <w:p>
      <w:pPr>
        <w:spacing w:after="0" w:line="19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Ocwen is funding the amounts for the Saxon Transaction and the JPMCB MSR Transaction through a combination of cash on-hand, cash generated through operations, available credit, additional borrowing under our September 1, 2011 senior secured term loan facility, servicing advance facilities and a registered offering of common stock.</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5" w:name="page36"/>
    <w:bookmarkEnd w:id="35"/>
    <w:p>
      <w:pPr>
        <w:ind w:left="1380" w:right="2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and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of any mortgage servicer is driven primarily by four criteria:</w:t>
      </w:r>
    </w:p>
    <w:p>
      <w:pPr>
        <w:spacing w:after="0" w:line="252" w:lineRule="exact"/>
        <w:rPr>
          <w:sz w:val="20"/>
          <w:szCs w:val="20"/>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and amount of capital</w:t>
      </w:r>
    </w:p>
    <w:p>
      <w:pPr>
        <w:spacing w:after="0" w:line="23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will continue to pursue improvements in these areas, our plan for 2011 is more heavily focused on access to new servicing business and reducing our cost of capital relative to our peers, both banks and non-banks.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have a four-pronged strategy:</w:t>
      </w:r>
    </w:p>
    <w:p>
      <w:pPr>
        <w:spacing w:after="0" w:line="252" w:lineRule="exact"/>
        <w:rPr>
          <w:sz w:val="20"/>
          <w:szCs w:val="20"/>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servicing opportunities (both residential and commercial)</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Flow servicing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a result of the Litton Acquisition, which closed on September 1, 2011, Ocwen’s servicing UPB grew by approximately $38.6 billion. This increases Ocwen’s residential servicing portfolio to $106.1 billion in UPB as of September 30, 2011, making it the 12th largest mortgage loan servicer in the United States. In addition, as disclosed in Note 23 to our Interim Consolidated Financial Statements, we recently announced that we had entered into an agreement with Saxon Capital Holdings, Inc., a subsidiary of Morgan Stanley, to acquire SCI Services, Inc. (SCI) and certain MSRs. The MSRs reflect a servicing portfolio of approximately $26.8 billion in UPB.</w:t>
      </w:r>
    </w:p>
    <w:p>
      <w:pPr>
        <w:spacing w:after="0" w:line="21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expect that other non-prime servicing platforms are likely to come to market in the next several months, and to the extent that we find these opportunities to be attractive, we believe that Ocwen can compete effectively for these opportunities, although it will not necessarily be the winning bidder in all cases. With our highly automated platform, we believe that we can quickly scale our servicing capabilities to handle acquired loan portfolios with only modest additions to infrastructure.</w:t>
      </w:r>
    </w:p>
    <w:p>
      <w:pPr>
        <w:spacing w:after="0" w:line="21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to continue to pursue subservicing transactions, the acquisition of existing servicing portfolios and platforms and special servicing opportunities. We have been able to grow our average residential UPB serviced significantly since the end of 2008 without access to a flow of newly originated business. On flow servicing, we worked with Altisource and its Lenders One business (which generated approximately 6% of new loans originated in the United States in 2010) to create a new entity to securitize newly originated loans. Ocwen and Altisource each hold a 49% equity interest in this new entity, Correspondent One. We believe that this venture can improve the economics for the members of Lenders One and allow Ocwen to compete for servicing rights for newly originated Federal Housing Administration loans. If proposed changes in the servicing fee structure for Fannie Mae and Freddie Mac loans are implemented, Ocwen may be able to compete for the servicing of an even broader potential flow of new loans.</w:t>
      </w:r>
    </w:p>
    <w:p>
      <w:pPr>
        <w:spacing w:after="0" w:line="20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also plan on evaluating and developing capabilities to service new segments of the servicing industry such as reverse mortgages and home equity lines of credit. In addition, we now deploy a full on-shore servicing alternative for entities that limit or prohibit offshore activities by their service providers.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our revenue growth initiatives include:</w:t>
      </w:r>
    </w:p>
    <w:p>
      <w:pPr>
        <w:spacing w:after="0" w:line="252" w:lineRule="exact"/>
        <w:rPr>
          <w:sz w:val="20"/>
          <w:szCs w:val="20"/>
          <w:color w:val="auto"/>
        </w:rPr>
      </w:pPr>
    </w:p>
    <w:p>
      <w:pPr>
        <w:ind w:left="920" w:right="40" w:hanging="453"/>
        <w:spacing w:after="0" w:line="264"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from Saxon Mortgage Services, Inc. the rights to service approximately 38,000 mortgage loans with an aggregate UPB of approximately $6.9 billion (the Saxon Acquisition). This acquisition was completed on May 3, 2010.</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6" w:name="page37"/>
    <w:bookmarkEnd w:id="36"/>
    <w:p>
      <w:pPr>
        <w:ind w:left="920" w:right="40" w:hanging="453"/>
        <w:spacing w:after="0" w:line="286"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May 28, 2010, we entered into an Asset Purchase Agreement pursuant to which OLS agreed to acquire the U.S. non-prime mortgage servicing business of Barclays Bank PLC known as “HomEq Servicing.” The HomEq Acquisition closed on September 1, 2010, and we boarded approximately 134,000 residential loans with an aggregate UPB of approximately $22.4 billion onto Ocwen’s platform.</w:t>
      </w:r>
    </w:p>
    <w:p>
      <w:pPr>
        <w:spacing w:after="0" w:line="165" w:lineRule="exact"/>
        <w:rPr>
          <w:rFonts w:ascii="Arial" w:cs="Arial" w:eastAsia="Arial" w:hAnsi="Arial"/>
          <w:sz w:val="17"/>
          <w:szCs w:val="17"/>
          <w:color w:val="auto"/>
        </w:rPr>
      </w:pPr>
    </w:p>
    <w:p>
      <w:pPr>
        <w:ind w:left="920" w:right="100" w:hanging="453"/>
        <w:spacing w:after="0" w:line="342"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April 15, 2011, we entered an agreement to subservice approximately 13,000 non-agency mortgage loans with a UPB of approximately $2.9 billion. The boarding dates were May 2, 2011 and May 16, 2011. This agreement provides for reimbursement of servicing advances.</w:t>
      </w:r>
    </w:p>
    <w:p>
      <w:pPr>
        <w:spacing w:after="0" w:line="123" w:lineRule="exact"/>
        <w:rPr>
          <w:rFonts w:ascii="Arial" w:cs="Arial" w:eastAsia="Arial" w:hAnsi="Arial"/>
          <w:sz w:val="16"/>
          <w:szCs w:val="16"/>
          <w:color w:val="auto"/>
        </w:rPr>
      </w:pPr>
    </w:p>
    <w:p>
      <w:pPr>
        <w:ind w:left="920" w:right="480" w:hanging="453"/>
        <w:spacing w:after="0" w:line="264"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September 1, 2011, we acquired Litton Loan Servicing LP (Litton), a provider of servicing and subservicing of primarily non-prime residential mortgage loans, from The Goldman Sachs Group, Inc. (Goldman Sachs). The purchase resulted in the acquisition of a servicing portfolio of approximately $38.6 billion in UPB.</w:t>
      </w:r>
    </w:p>
    <w:p>
      <w:pPr>
        <w:spacing w:after="0" w:line="181" w:lineRule="exact"/>
        <w:rPr>
          <w:rFonts w:ascii="Arial" w:cs="Arial" w:eastAsia="Arial" w:hAnsi="Arial"/>
          <w:sz w:val="18"/>
          <w:szCs w:val="18"/>
          <w:color w:val="auto"/>
        </w:rPr>
      </w:pPr>
    </w:p>
    <w:p>
      <w:pPr>
        <w:ind w:left="920" w:right="20" w:hanging="453"/>
        <w:spacing w:after="0" w:line="257"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19, 2011, we entered into a Purchase Agreement to acquire (i) the issued and outstanding stock of SCI from a subsidiary of Morgan Stanley and (ii) certain MSRs from Morgan Stanley and its affiliates. The Saxon Transaction will result in the acquisition of approximately $26.8 billion in UPB of primarily non-prime residential mortgage loans as of June 30, 2011 – of which Ocwen currently subservices approximately $10.8 billion – and also includes the acquisition of approximately $12.9 billion of UPB that Saxon or its subsidiaries subservice for Morgan Stanley and others.</w:t>
      </w:r>
    </w:p>
    <w:p>
      <w:pPr>
        <w:spacing w:after="0" w:line="21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to continue in 2011 and 2012 to roll out new initiatives designed to reduce the cost of servicing and to improve our ability to manage delinquencies and advances. These initiatives will also improve borrower customer service levels, increase loan modifications and reduce re-defaults on loan modifications. We have already rolled out our “Shared Appreciation Modification” in most states which incorporates principal reductions and lower payments for borrowers while still providing some ability for investors to recoup losses if property values increase over time. We also rolled out our “Appointment Model” approach for communicating with our delinquent borrowers which will allow borrowers to schedule a time to review their files with a resolution specialist. By allowing both the borrower and the resolution specialist to prepare for discussions in advance, we believe that the Appointment Model approach is the best way to improve service and provide borrowers with the choice of a single point of contact.</w:t>
      </w:r>
    </w:p>
    <w:p>
      <w:pPr>
        <w:spacing w:after="0" w:line="20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Inquiries into servicer foreclosure practices are continuing and bring the possibility of action by state or federal government bodies, regulators or courts that could have an adverse effect on the average foreclosure timeline and increase asset intensity. Through 2010, the average number of days to complete a foreclosure action extended by 53 days in judicial foreclosure states and 43 days in traditional non-judicial foreclosure states as compared to 2009. In the first nine months of 2011, foreclosure timelines have increased by an additional 125 days in judicial foreclosure states and 26 days in traditional non-judicial foreclosure states as compared to 2010 averages. The 90+ non-performing delinquency rate on the Ocwen portfolio as a percentage of UPB has increased from 27.3% at December 31, 2010 to 28.7% at September 30, 2011. Excluding the Litton portfolio, the 90+ non-performing delinquency rate as a percentage of UPB was 23.6% at September 30, 2011. This improvement occurred because fewer loans entered delinquency and because of improved loss mitigation.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9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Ocwen is pursuing a strategic opportunity that over time could significantly reduce the amount of capital we require through our relationship with a newly formed entity called Home Loan Servicing Solutions, Ltd. (HLSS). Initially formed by Ocwen’s Chairman, William C. Erbey, HLSS intends to acquire and hold MSRs and related servicing advances in a more efficient manner than is currently feasible for Ocwen. HLSS and Ocwen intend to enter into an agreement pursuant to which HLSS will purchase a substantial portion of the MSRs and related servicing advances (the Acquisition) that Ocwen acquired in connection with the HomEq Acquisition. HLSS will also assume the related match funded liabilities under the HomEq Servicing advance facility.</w:t>
      </w:r>
    </w:p>
    <w:p>
      <w:pPr>
        <w:spacing w:after="0" w:line="18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part of the Acquisition Ocwen plans initially to sell the right to receive the servicing fees, excluding ancillary income, relating to the MSRs (Rights to MSRs) to HLSS. Ocwen would retain legal ownership of the MSRs and would continue to service the related mortgage loans for a reduced fee because HLSS will assume the obligation to make and finance servicing advances related to the MSRs. Ocwen will be obligated to transfer legal ownership of the MSRs to HLSS if and when the required third party consents are obtained, and at such time, Ocwen would commence subservicing the MSRs for a fee pursuant to a subservicing agreement. HLSS intends to finance the Acquisition through proceeds from an initial public offering of its ordinary shares.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7" w:name="page38"/>
    <w:bookmarkEnd w:id="37"/>
    <w:p>
      <w:pPr>
        <w:ind w:right="160" w:firstLine="324"/>
        <w:spacing w:after="0" w:line="277" w:lineRule="auto"/>
        <w:rPr>
          <w:sz w:val="20"/>
          <w:szCs w:val="20"/>
          <w:color w:val="auto"/>
        </w:rPr>
      </w:pPr>
      <w:r>
        <w:rPr>
          <w:rFonts w:ascii="Arial" w:cs="Arial" w:eastAsia="Arial" w:hAnsi="Arial"/>
          <w:sz w:val="18"/>
          <w:szCs w:val="18"/>
          <w:color w:val="auto"/>
        </w:rPr>
        <w:t>All transactions and agreements between Ocwen and HLSS will be subject to review under Ocwen’s related party transaction policy, including a review by the Board and independent directors.</w:t>
      </w:r>
    </w:p>
    <w:p>
      <w:pPr>
        <w:spacing w:after="0" w:line="1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HLSS may acquire additional MSRs or rights similar to the Rights to MSRs from Ocwen and enter into related subservicing arrangements with Ocwen in the future. HLSS may also acquire MSRs from third parties which could increase the benefit of this strategy to Ocwen by boosting the size of its subservicing portfolio with little or no capital requirement on the part of Ocwen if HLSS chooses to engage Ocwen as a subservicer on these acquisitions. If HLSS is successful in acquiring all or most of Ocwen’s portfolio of MSRs, Ocwen could evolve over time into a “capital-light” fee-for-service business. Ocwen cannot provide assurance that it will consummate the sale of MSRs or Rights to MSRs to HLSS, or that HLSS will continue to engage Ocwen as subservicer. Any Rights to MSRs to be acquired in the Acquisition and in any subsequent acquisitions will be subject to customary closing conditions.</w:t>
      </w:r>
    </w:p>
    <w:p>
      <w:pPr>
        <w:spacing w:after="0" w:line="19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There have been no transactions between Ocwen and HLSS, and there have been no formal agreements executed between Ocwen and HLSS as negotiations on the economic terms of the agreements are not yet finalized.</w:t>
      </w:r>
    </w:p>
    <w:p>
      <w:pPr>
        <w:spacing w:after="0" w:line="19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Ocwen has paid fees on the behalf of HLSS for organizational costs and costs associated with HLSS’ planned initial public offering. The amount of such payments incurred to date has been immaterial to Ocwen’s financial statements. Ocwen may make additional payments on behalf of HLSS until the initial public offering is completed at which time Ocwen expects to be reimbursed by HLSS.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on Ocwen of the Acquisition are anticipated to be as follows:</w:t>
      </w:r>
    </w:p>
    <w:p>
      <w:pPr>
        <w:spacing w:after="0" w:line="252" w:lineRule="exact"/>
        <w:rPr>
          <w:sz w:val="20"/>
          <w:szCs w:val="20"/>
          <w:color w:val="auto"/>
        </w:rPr>
      </w:pPr>
    </w:p>
    <w:p>
      <w:pPr>
        <w:jc w:val="both"/>
        <w:ind w:left="920" w:right="20" w:hanging="453"/>
        <w:spacing w:after="0" w:line="26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sale of assets to HLSS, management believes that Ocwen’s liquidity and cash flows will improve as the sale will result in cash proceeds to Ocwen, a portion of which will be used to reduce the balance on Ocwen’s senior secured term loan that it entered into on September 1, 2011 as required under the terms of the related loan agreement.</w:t>
      </w:r>
    </w:p>
    <w:p>
      <w:pPr>
        <w:spacing w:after="0" w:line="181"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will be a decrease in Ocwen’s match funded liabilities, as HLSS will assume a servicing advance financing facility from Ocwen.</w:t>
      </w:r>
    </w:p>
    <w:p>
      <w:pPr>
        <w:spacing w:after="0" w:line="236" w:lineRule="exact"/>
        <w:rPr>
          <w:rFonts w:ascii="Arial" w:cs="Arial" w:eastAsia="Arial" w:hAnsi="Arial"/>
          <w:sz w:val="17"/>
          <w:szCs w:val="17"/>
          <w:color w:val="auto"/>
        </w:rPr>
      </w:pPr>
    </w:p>
    <w:p>
      <w:pPr>
        <w:ind w:left="920" w:right="60" w:hanging="453"/>
        <w:spacing w:after="0" w:line="26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described above, Ocwen will initially sell Rights to MSRs to HLSS. While the sale of the Rights to MSRs to HLSS will achieve an economic result for Ocwen substantially identical to a sale of the MSRs, the transaction is expected to be accounted for as a financing until the required third party consents are obtained and legal ownership of the MSRs transfers to HLSS.</w:t>
      </w:r>
    </w:p>
    <w:p>
      <w:pPr>
        <w:spacing w:after="0" w:line="181" w:lineRule="exact"/>
        <w:rPr>
          <w:rFonts w:ascii="Arial" w:cs="Arial" w:eastAsia="Arial" w:hAnsi="Arial"/>
          <w:sz w:val="18"/>
          <w:szCs w:val="18"/>
          <w:color w:val="auto"/>
        </w:rPr>
      </w:pPr>
    </w:p>
    <w:p>
      <w:pPr>
        <w:ind w:left="920" w:right="180" w:hanging="453"/>
        <w:spacing w:after="0" w:line="26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is expected to decline somewhat before considering any income that could be generated from reinvesting the net proceeds from the sale. Interest expense on the advance facility transferring to HLSS will be assumed by HLSS but the interest expense to be recognized on the portion of the sales proceeds accounted for as a financing of the MSRs will be greater.</w:t>
      </w:r>
    </w:p>
    <w:p>
      <w:pPr>
        <w:spacing w:after="0" w:line="181" w:lineRule="exact"/>
        <w:rPr>
          <w:rFonts w:ascii="Arial" w:cs="Arial" w:eastAsia="Arial" w:hAnsi="Arial"/>
          <w:sz w:val="18"/>
          <w:szCs w:val="18"/>
          <w:color w:val="auto"/>
        </w:rPr>
      </w:pPr>
    </w:p>
    <w:p>
      <w:pPr>
        <w:ind w:left="920" w:right="240" w:hanging="453"/>
        <w:spacing w:after="0" w:line="277"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Ocwen expects that the reduction in the equity required to run its servicing business will be relatively greater than the reduction in net income, thus improving the return on equity of its servicing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Effective January 1, 2011, with the growth in our Servicing segment and continuing reductions in the Loans and Residuals and Asset Management Vehicles (AMV) segments, we changed our internal management reporting to focus on the Servicing segment and to include the results for Loans and Residuals and AMVs in Corporate Items and Other. Due to a lack of profitable opportunities to acquire assets, we are allowing the assets of the existing asset management vehicles to run off. The Servicing segment, which comprised nearly 100% of total revenues during the first nine months of 2011, represents our sole reported business segment following the change in our reporting structure. Segment results for prior periods have been restated to conform to the current segment structure.</w:t>
      </w:r>
    </w:p>
    <w:p>
      <w:pPr>
        <w:spacing w:after="0" w:line="22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See the Segment Results and Financial Condition section and Note 19 to the Interim Consolidated Financial Statements for additional financial information regarding our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HomEq Acquisition on September 1, 2010 and the Litton Acquisition on September 1, 2011 have significantly impacted our consolidated operating results. The operating results of the HomEq Servicing and Litton Loan Servicing businesses are included in the Servicing segment since their respective acquisition dates.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nine months ended September 30, 2011 and 2010. We have provided a more complete discussion of operating results by line of business in the Segment Results and Financial Condition section.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89"/>
              </w:rPr>
              <w:t>Three months</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89"/>
              </w:rPr>
              <w:t>Nine months</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Revenue (1)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122,462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95,569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339,305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247,108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expenses (2)</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65,650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93,374</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149,103</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173,209</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2,195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190,202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73,899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(27,861)</w:t>
            </w:r>
          </w:p>
        </w:tc>
        <w:tc>
          <w:tcPr>
            <w:tcW w:w="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(22,907)</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(85,726)</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(49,904)</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Borders>
              <w:top w:val="single" w:sz="8" w:color="EAF9E8"/>
            </w:tcBorders>
          </w:tcPr>
          <w:p>
            <w:pPr>
              <w:ind w:left="160"/>
              <w:spacing w:after="0" w:line="201" w:lineRule="exact"/>
              <w:rPr>
                <w:sz w:val="20"/>
                <w:szCs w:val="20"/>
                <w:color w:val="auto"/>
              </w:rPr>
            </w:pPr>
            <w:r>
              <w:rPr>
                <w:rFonts w:ascii="Arial" w:cs="Arial" w:eastAsia="Arial" w:hAnsi="Arial"/>
                <w:sz w:val="18"/>
                <w:szCs w:val="18"/>
                <w:color w:val="auto"/>
                <w:w w:val="99"/>
              </w:rPr>
              <w:t>Income (loss) from continuing operations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before taxes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28,951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(20,712)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104,476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23,995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8,730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(7,487)</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35,808</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310</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w w:val="99"/>
              </w:rPr>
              <w:t>Income (loss) from continuing operations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(13,225)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68,668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23,685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Income (loss) from discontinued</w:t>
            </w: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operations, net of taxes</w:t>
            </w:r>
          </w:p>
        </w:tc>
        <w:tc>
          <w:tcPr>
            <w:tcW w:w="220" w:type="dxa"/>
            <w:vAlign w:val="bottom"/>
            <w:shd w:val="clear" w:color="auto" w:fill="EAF9E8"/>
          </w:tcPr>
          <w:p>
            <w:pPr>
              <w:spacing w:after="0"/>
              <w:rPr>
                <w:sz w:val="20"/>
                <w:szCs w:val="20"/>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4,383</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4,383</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(8,842)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68,668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28,068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Net income (loss) attributable to non-</w:t>
            </w: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controlling interest in subsidiaries</w:t>
            </w:r>
          </w:p>
        </w:tc>
        <w:tc>
          <w:tcPr>
            <w:tcW w:w="220" w:type="dxa"/>
            <w:vAlign w:val="bottom"/>
            <w:shd w:val="clear" w:color="auto" w:fill="EAF9E8"/>
          </w:tcPr>
          <w:p>
            <w:pPr>
              <w:spacing w:after="0"/>
              <w:rPr>
                <w:sz w:val="20"/>
                <w:szCs w:val="20"/>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Net income (loss) attributable to Ocwen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20,228</w:t>
            </w:r>
          </w:p>
        </w:tc>
        <w:tc>
          <w:tcPr>
            <w:tcW w:w="18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(8,835)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68,680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28,063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Segment income (loss) from continuing</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operations before taxes: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32,746</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5,428</w:t>
            </w: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503%</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110,417</w:t>
            </w:r>
          </w:p>
        </w:tc>
        <w:tc>
          <w:tcPr>
            <w:tcW w:w="34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59,361</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(26,140)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(35,366)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EAF9E8"/>
          </w:tcPr>
          <w:p>
            <w:pPr>
              <w:spacing w:after="0"/>
              <w:rPr>
                <w:sz w:val="20"/>
                <w:szCs w:val="20"/>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28,951</w:t>
            </w:r>
          </w:p>
        </w:tc>
        <w:tc>
          <w:tcPr>
            <w:tcW w:w="180" w:type="dxa"/>
            <w:vAlign w:val="bottom"/>
            <w:shd w:val="clear" w:color="auto" w:fill="EAF9E8"/>
          </w:tcPr>
          <w:p>
            <w:pPr>
              <w:spacing w:after="0"/>
              <w:rPr>
                <w:sz w:val="20"/>
                <w:szCs w:val="20"/>
                <w:color w:val="auto"/>
              </w:rPr>
            </w:pP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(20,712)</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(240)</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104,476</w:t>
            </w:r>
          </w:p>
        </w:tc>
        <w:tc>
          <w:tcPr>
            <w:tcW w:w="34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23,995</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Three Months Ended September 2011 versus September 2010. </w:t>
      </w:r>
      <w:r>
        <w:rPr>
          <w:rFonts w:ascii="Arial" w:cs="Arial" w:eastAsia="Arial" w:hAnsi="Arial"/>
          <w:sz w:val="18"/>
          <w:szCs w:val="18"/>
          <w:color w:val="auto"/>
        </w:rPr>
        <w:t>Residential servicing and subservicing fees were higher than the third quarter of 2010</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31% growth in the average servicing portfolio that included approximately $38.6 billion acquired on September 1, 2011 related to the Litton Acquisition.</w:t>
      </w:r>
    </w:p>
    <w:p>
      <w:pPr>
        <w:spacing w:after="0" w:line="20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Operating expenses for the third quarter of 2011 declined principally because of lower transaction-related expenses related to the Litton Acquisition as compared to the HomEq Acquisition in the 2010 period. Transaction expenses related to the Litton Acquisition were $18,746 versus $33,902 of transaction-related charges for the HomEq Acquisition. In addition, during the third quarter of 2010 we recorded $20,647 of charges for litigation primarily related to an adverse verdict in a vendor dispute. These declines were significantly offset by higher amortization of MSRs and the effects of a substantial increase in staffing to service the larger portfolio. Income from operations increased by $54,617, or 2,488%, in the three months ended September 30, 2011 as compared to 2010.</w:t>
      </w:r>
    </w:p>
    <w:p>
      <w:pPr>
        <w:spacing w:after="0" w:line="22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Other expense, net increased by $4,954 primarily due to an increase of $7, 582 in interest expense on borrowings related to the HomEq and Litton acquisitions and $2,759 of unrealized losses on foreign exchange forward contracts we entered into to hedge against the effects of changes in the value of the Indian Rupee. These increases in other expense were partly offset by the $2,405 gain on extinguishment of debt in the third quarter of 2011 and the effect of $2,961 of realized and unrealized losses on auction rate securities in the third quarter of 2010.</w:t>
      </w:r>
    </w:p>
    <w:p>
      <w:pPr>
        <w:spacing w:after="0" w:line="21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income tax benefit recognized in the third quarter of 2010 reflects the release of a reserve predominantly related to deductions associated with a servicing advance finance structure and statute expirations. The reserve for this item was recorded in 2009.</w:t>
      </w:r>
    </w:p>
    <w:p>
      <w:pPr>
        <w:spacing w:after="0" w:line="193" w:lineRule="exact"/>
        <w:rPr>
          <w:sz w:val="20"/>
          <w:szCs w:val="20"/>
          <w:color w:val="auto"/>
        </w:rPr>
      </w:pPr>
    </w:p>
    <w:p>
      <w:pPr>
        <w:ind w:right="180" w:firstLine="324"/>
        <w:spacing w:after="0" w:line="313" w:lineRule="auto"/>
        <w:rPr>
          <w:sz w:val="20"/>
          <w:szCs w:val="20"/>
          <w:color w:val="auto"/>
        </w:rPr>
      </w:pPr>
      <w:r>
        <w:rPr>
          <w:rFonts w:ascii="Arial" w:cs="Arial" w:eastAsia="Arial" w:hAnsi="Arial"/>
          <w:sz w:val="17"/>
          <w:szCs w:val="17"/>
          <w:b w:val="1"/>
          <w:bCs w:val="1"/>
          <w:color w:val="auto"/>
        </w:rPr>
        <w:t xml:space="preserve">Nine Months Ended September 2011 versus September 2010. </w:t>
      </w:r>
      <w:r>
        <w:rPr>
          <w:rFonts w:ascii="Arial" w:cs="Arial" w:eastAsia="Arial" w:hAnsi="Arial"/>
          <w:sz w:val="17"/>
          <w:szCs w:val="17"/>
          <w:color w:val="auto"/>
        </w:rPr>
        <w:t>Residential servicing fees were higher than the first nine months of 2010 as a result of</w:t>
      </w:r>
      <w:r>
        <w:rPr>
          <w:rFonts w:ascii="Arial" w:cs="Arial" w:eastAsia="Arial" w:hAnsi="Arial"/>
          <w:sz w:val="17"/>
          <w:szCs w:val="17"/>
          <w:b w:val="1"/>
          <w:bCs w:val="1"/>
          <w:color w:val="auto"/>
        </w:rPr>
        <w:t xml:space="preserve"> </w:t>
      </w:r>
      <w:r>
        <w:rPr>
          <w:rFonts w:ascii="Arial" w:cs="Arial" w:eastAsia="Arial" w:hAnsi="Arial"/>
          <w:sz w:val="17"/>
          <w:szCs w:val="17"/>
          <w:color w:val="auto"/>
        </w:rPr>
        <w:t>loan modifications and the 35% growth in the average servicing portfolio that included the Litton, HomEq and Saxon acquisitions.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expenses for the first nine months of 2011 declined principally because of the lower transaction-related expenses related to the Litton Acquisition as compared to the HomEq Acquisition as disclosed above. In addition, litigation-related expenses were higher during 2010 due to the accruals established in connection with the adverse verdict in a vendor dispute disclosed above and the settlement of the MDL Proceeding. These declines were significantly offset by higher amortization of MSRs and the effects of a substantial increase in staffing to service the larger portfolio. Income from operations increased by $116,303, or 157%, in the first nine months of 2011 as compared to 2010.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ind w:right="20" w:firstLine="324"/>
        <w:spacing w:after="0" w:line="255" w:lineRule="auto"/>
        <w:rPr>
          <w:sz w:val="20"/>
          <w:szCs w:val="20"/>
          <w:color w:val="auto"/>
        </w:rPr>
      </w:pPr>
      <w:r>
        <w:rPr>
          <w:rFonts w:ascii="Arial" w:cs="Arial" w:eastAsia="Arial" w:hAnsi="Arial"/>
          <w:sz w:val="18"/>
          <w:szCs w:val="18"/>
          <w:color w:val="auto"/>
        </w:rPr>
        <w:t>Other expense, net increased by $35,822 primarily due to an increase of $43,914 in interest expense on borrowings related to the HomEq and Litton acquisitions and $3,077 of unrealized losses on foreign exchange forward contracts including $2,759 in the third quarter related to new contracts as disclosed above. Interest expense for the first nine months of 2011 also includes the write-off of $12,575 of unamortized discount and deferred debt issuance costs as the result of the prepayment of $180,000 on the $350,000 senior secured term loan, primarily during the second quarter. These increases in other expense were offset in part by $3,651 of gains on extinguishment of debt in 2011 and the effects of $3,899 of losses on auction rate securities and a $3,000 write-off of a commercial real estate investment in 2010.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overall increase in assets of $1,975,766 or 68% during the first nine months of 2011 was principally the result of the following changes:</w:t>
      </w:r>
    </w:p>
    <w:p>
      <w:pPr>
        <w:spacing w:after="0" w:line="252" w:lineRule="exact"/>
        <w:rPr>
          <w:sz w:val="20"/>
          <w:szCs w:val="20"/>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increased by $24,241.</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advances increased by $1,766,821 due primarily to $2,468,137 of advances acquired in connection with the Litton Acquisition offset in part by a reduction in advances on the pre-existing portfolio.</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MSRs increased by $105,732 due primarily to purchase of $135,341 related to the Litton acquisition, offset by amortization expense of $30,477.</w:t>
      </w:r>
    </w:p>
    <w:p>
      <w:pPr>
        <w:spacing w:after="0" w:line="248" w:lineRule="exact"/>
        <w:rPr>
          <w:rFonts w:ascii="Arial" w:cs="Arial" w:eastAsia="Arial" w:hAnsi="Arial"/>
          <w:sz w:val="16"/>
          <w:szCs w:val="16"/>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Receivables declined by $16,377 due primarily to declines in amounts to be recovered from custodial accounts of trustees.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increased by $44,570 as a result of the Litton Acquisition.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of $22,901 in premises and equipment primarily due to $24,224 acquired as a part of the Litton Acquisition.</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in unconsolidated entities increased by $11,292 due primarily to the investment in Correspondent One of $15,000, including $11,975 during the third quarter.</w:t>
      </w:r>
    </w:p>
    <w:p>
      <w:pPr>
        <w:spacing w:after="0" w:line="170" w:lineRule="exact"/>
        <w:rPr>
          <w:rFonts w:ascii="Arial" w:cs="Arial" w:eastAsia="Arial" w:hAnsi="Arial"/>
          <w:sz w:val="18"/>
          <w:szCs w:val="18"/>
          <w:color w:val="auto"/>
        </w:rPr>
      </w:pPr>
    </w:p>
    <w:p>
      <w:pPr>
        <w:ind w:left="920" w:right="280" w:hanging="453"/>
        <w:spacing w:after="0" w:line="312"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assets increased by $27,457 primarily as a result of a $34,250 increase in debt service accounts as a result of the new Litton advance financing facility offset by the repayment of a $5,600 note receivable. We also wrote-off $7,603 of debt issuance costs to interest expense as a result of the prepayment of $180,000 on the $350,000 senior secured term loan incurred in connection with the HomEq Acquisition.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increased by $1,902,640 or 94%, primarily because of the following items:</w:t>
      </w:r>
    </w:p>
    <w:p>
      <w:pPr>
        <w:spacing w:after="0" w:line="252" w:lineRule="exact"/>
        <w:rPr>
          <w:sz w:val="20"/>
          <w:szCs w:val="20"/>
          <w:color w:val="auto"/>
        </w:rPr>
      </w:pPr>
    </w:p>
    <w:p>
      <w:pPr>
        <w:ind w:left="920" w:right="140" w:hanging="453"/>
        <w:spacing w:after="0" w:line="264"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Match funded liabilities increased by $1,597,699 reflecting $2,126,742 of notes issued in connection with the financing of advances that we acquired as part of the Litton Acquisition, of which $1,996,182 was outstanding at September 30, 2011. This was partially offset by repayments of $346,171 on the HomEq advance facility.</w:t>
      </w:r>
    </w:p>
    <w:p>
      <w:pPr>
        <w:spacing w:after="0" w:line="181" w:lineRule="exact"/>
        <w:rPr>
          <w:rFonts w:ascii="Arial" w:cs="Arial" w:eastAsia="Arial" w:hAnsi="Arial"/>
          <w:sz w:val="18"/>
          <w:szCs w:val="18"/>
          <w:color w:val="auto"/>
        </w:rPr>
      </w:pPr>
    </w:p>
    <w:p>
      <w:pPr>
        <w:ind w:left="920" w:right="140" w:hanging="453"/>
        <w:spacing w:after="0" w:line="293"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Lines of credit and other secured borrowings increased by $309,037 primarily due to the $575,000 senior secured term loan facility that we entered into in connection with the Litton Acquisition net of an $11,500 discount. This increase was offset by principal repayments of $197,500 related to the $350,000 senior secured term loan facility, including the $180,000 prepayment noted above, $48,000 related to the fee reimbursement advance facility and the first payment of $14,375 on the new senior secured term loan. The prepayments on the 2010 senior secured term loan resulted in the write-off of $4,972 of the related discount to interest expense during the first and second quarters of 2011. The repayment of fee reimbursement advance facility resulted in a gain on debt extinguishment of $3,651, including $2,405 during the third quarter.</w:t>
      </w:r>
    </w:p>
    <w:p>
      <w:pPr>
        <w:spacing w:after="0" w:line="164" w:lineRule="exact"/>
        <w:rPr>
          <w:rFonts w:ascii="Arial" w:cs="Arial" w:eastAsia="Arial" w:hAnsi="Arial"/>
          <w:sz w:val="16"/>
          <w:szCs w:val="16"/>
          <w:color w:val="auto"/>
        </w:rPr>
      </w:pPr>
    </w:p>
    <w:p>
      <w:pPr>
        <w:ind w:left="920" w:right="140" w:hanging="453"/>
        <w:spacing w:after="0" w:line="277"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liabilities increased slightly. This increase was due to the assumption of $31,615 of other liabilities as part of the Litton Acquisition offset in large part by a decline in litigation reserves related to settled cases.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5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September 30, 2011, by this definition, was $229,069, a decrease of $27,821, or 11%, from December 31, 2010. At September 30, 2011, our cash position was $152,037 as compared to $127,796 at December 31, 2010. However, our available credit on collateralized but unused advance financing capacity declined to $77,032 at September 30 2011 compared to $129,095 at December 31, 2010. The decline in available credit was principally the result of our success reducing advances from December 31, 2010 which resulted in a lower amount of advances pledged to our advance financing facilities.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52" w:lineRule="exact"/>
        <w:rPr>
          <w:sz w:val="20"/>
          <w:szCs w:val="20"/>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September 30, 2011, $627,878 of our total maximum borrowing capacity remained unused. However, as noted above, the amount of collateral pledged to these facilities limits additional borrowing, and only $77,032 of this amount is readily available. We may utilize the unused borrowing capacity in the Servicing business in the future by pledging additional qualifying collateral to these facilities. In order to reduce interest expense, we are reducing unused borrowing capacity to a level that we consider prudent relative to the current levels of advances and match funded advances and to meet our funding needs for reasonably foreseeable changes in advances.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our interest-earning assets.</w:t>
      </w:r>
    </w:p>
    <w:p>
      <w:pPr>
        <w:spacing w:after="0" w:line="20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executed a hedging strategy aimed at largely neutralizing the impact on our Servicing business of changes in interest rates within a certain period based on the projected excess of variable rate debt over cash and float balances. As of September 30, 2011, the notional amount of our outstanding hedges somewhat exceeded the net exposure of projected variable rate debt and cash and float balances for the next several years due to a faster than expected reduction in advances and in our match funded liabilities. Future variances between the projected excess of variable rate debt over cash and float balances and actual results could result in our becoming over-hedged or under-hedged. See Note 15 to our Interim Consolidated Financial Statements for additional information regarding our use of derivatives.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32 through 35 of Management’s Discussion and Analysis of Results of Operations and Financial Condition and in Note 1 to our Consolidated Financial Statements for the year ended December 31, 2010 included in our Annual Report on Form 10-K filed February 28, 2011. Such policies have not changed during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the Servicing segment and for Corporate Items and Other, the following section provides a discussion of the changes in financial condition during the nine months ended September 30, 2011 and a discussion of pre-tax results of operations for the three and nine months ended September 30, 2011 and 2010. Our former Loans and Residuals segment and Asset Management Vehicles segment are included in Corporate Items and Other effective January 1, 2011. Segment results for the 2010 periods have been restated to conform to the current segment structure.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Servicing</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selected results of operations of our Servicing segment for the three and nine months ended September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Residential</w:t>
            </w: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111,880</w:t>
            </w:r>
          </w:p>
        </w:tc>
        <w:tc>
          <w:tcPr>
            <w:tcW w:w="400" w:type="dxa"/>
            <w:vAlign w:val="bottom"/>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85,591</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308,451</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217,486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113,560</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86,721</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312,449</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Process management fees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9,215</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26,151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88</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EAF9E8"/>
          </w:tcPr>
          <w:p>
            <w:pPr>
              <w:spacing w:after="0"/>
              <w:rPr>
                <w:sz w:val="2"/>
                <w:szCs w:val="2"/>
                <w:color w:val="auto"/>
              </w:rPr>
            </w:pPr>
          </w:p>
        </w:tc>
        <w:tc>
          <w:tcPr>
            <w:tcW w:w="5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122,863</w:t>
            </w:r>
          </w:p>
        </w:tc>
        <w:tc>
          <w:tcPr>
            <w:tcW w:w="4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95,369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339,224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23,881</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39,184</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43,989</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11,210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7,874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30,059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1,951</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7,259</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17,877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4,165</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3,332</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8,018</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5,899</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9,754</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7,628</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26,816</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EAF9E8"/>
          </w:tcPr>
          <w:p>
            <w:pPr>
              <w:spacing w:after="0"/>
              <w:rPr>
                <w:sz w:val="2"/>
                <w:szCs w:val="2"/>
                <w:color w:val="auto"/>
              </w:rPr>
            </w:pPr>
          </w:p>
        </w:tc>
        <w:tc>
          <w:tcPr>
            <w:tcW w:w="5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64,119</w:t>
            </w:r>
          </w:p>
        </w:tc>
        <w:tc>
          <w:tcPr>
            <w:tcW w:w="4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69,012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144,700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58,744</w:t>
            </w:r>
          </w:p>
        </w:tc>
        <w:tc>
          <w:tcPr>
            <w:tcW w:w="4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26,357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194,524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(27,618)</w:t>
            </w: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(20,619)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(86,870)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debt redemption</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2,405</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(813)</w:t>
            </w: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other expense, net</w:t>
            </w:r>
          </w:p>
        </w:tc>
        <w:tc>
          <w:tcPr>
            <w:tcW w:w="5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(25,998)</w:t>
            </w:r>
          </w:p>
        </w:tc>
        <w:tc>
          <w:tcPr>
            <w:tcW w:w="4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(20,929)</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(84,107)</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Borders>
              <w:top w:val="single" w:sz="8" w:color="EAF9E8"/>
            </w:tcBorders>
          </w:tcPr>
          <w:p>
            <w:pPr>
              <w:spacing w:after="0"/>
              <w:rPr>
                <w:sz w:val="18"/>
                <w:szCs w:val="18"/>
                <w:color w:val="auto"/>
              </w:rPr>
            </w:pPr>
          </w:p>
        </w:tc>
        <w:tc>
          <w:tcPr>
            <w:tcW w:w="5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w w:val="98"/>
              </w:rPr>
              <w:t>Income from continuing operations before income taxes</w:t>
            </w: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32,746</w:t>
            </w:r>
          </w:p>
        </w:tc>
        <w:tc>
          <w:tcPr>
            <w:tcW w:w="400" w:type="dxa"/>
            <w:vAlign w:val="bottom"/>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5,428</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110,417</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EAF9E8"/>
            </w:tcBorders>
            <w:shd w:val="clear" w:color="auto" w:fill="EAF9E8"/>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and nine months ended September 30: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9"/>
              </w:rPr>
              <w:t>Nine Months</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Residential Assets Serviced</w:t>
            </w:r>
          </w:p>
        </w:tc>
        <w:tc>
          <w:tcPr>
            <w:tcW w:w="20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Unpaid principal balance: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Performing loans (1)</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74,156,557</w:t>
            </w: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53,844,690</w:t>
            </w:r>
          </w:p>
        </w:tc>
        <w:tc>
          <w:tcPr>
            <w:tcW w:w="340" w:type="dxa"/>
            <w:vAlign w:val="bottom"/>
            <w:shd w:val="clear" w:color="auto" w:fill="EAF9E8"/>
          </w:tcPr>
          <w:p>
            <w:pPr>
              <w:spacing w:after="0"/>
              <w:rPr>
                <w:sz w:val="12"/>
                <w:szCs w:val="12"/>
                <w:color w:val="auto"/>
              </w:rPr>
            </w:pPr>
          </w:p>
        </w:tc>
        <w:tc>
          <w:tcPr>
            <w:tcW w:w="12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74,156,557</w:t>
            </w:r>
          </w:p>
        </w:tc>
        <w:tc>
          <w:tcPr>
            <w:tcW w:w="240" w:type="dxa"/>
            <w:vAlign w:val="bottom"/>
            <w:shd w:val="clear" w:color="auto" w:fill="EAF9E8"/>
          </w:tcPr>
          <w:p>
            <w:pPr>
              <w:spacing w:after="0"/>
              <w:rPr>
                <w:sz w:val="12"/>
                <w:szCs w:val="12"/>
                <w:color w:val="auto"/>
              </w:rPr>
            </w:pPr>
          </w:p>
        </w:tc>
        <w:tc>
          <w:tcPr>
            <w:tcW w:w="320" w:type="dxa"/>
            <w:vAlign w:val="bottom"/>
            <w:gridSpan w:val="2"/>
            <w:shd w:val="clear" w:color="auto" w:fill="EAF9E8"/>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53,844,690</w:t>
            </w:r>
          </w:p>
        </w:tc>
        <w:tc>
          <w:tcPr>
            <w:tcW w:w="10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Non-performing loans</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25,213,527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16,670,616</w:t>
            </w:r>
          </w:p>
        </w:tc>
        <w:tc>
          <w:tcPr>
            <w:tcW w:w="3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25,213,527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16,670,616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EAF9E8"/>
            </w:tcBorders>
            <w:shd w:val="clear" w:color="auto" w:fill="EAF9E8"/>
          </w:tcPr>
          <w:p>
            <w:pPr>
              <w:ind w:left="160"/>
              <w:spacing w:after="0" w:line="149" w:lineRule="exact"/>
              <w:rPr>
                <w:sz w:val="20"/>
                <w:szCs w:val="20"/>
                <w:color w:val="auto"/>
              </w:rPr>
            </w:pPr>
            <w:r>
              <w:rPr>
                <w:rFonts w:ascii="Arial" w:cs="Arial" w:eastAsia="Arial" w:hAnsi="Arial"/>
                <w:sz w:val="14"/>
                <w:szCs w:val="14"/>
                <w:color w:val="auto"/>
              </w:rPr>
              <w:t>Non-performing real estate</w:t>
            </w:r>
          </w:p>
        </w:tc>
        <w:tc>
          <w:tcPr>
            <w:tcW w:w="200" w:type="dxa"/>
            <w:vAlign w:val="bottom"/>
            <w:tcBorders>
              <w:bottom w:val="single" w:sz="8" w:color="auto"/>
            </w:tcBorders>
            <w:shd w:val="clear" w:color="auto" w:fill="EAF9E8"/>
          </w:tcPr>
          <w:p>
            <w:pPr>
              <w:spacing w:after="0"/>
              <w:rPr>
                <w:sz w:val="13"/>
                <w:szCs w:val="13"/>
                <w:color w:val="auto"/>
              </w:rPr>
            </w:pPr>
          </w:p>
        </w:tc>
        <w:tc>
          <w:tcPr>
            <w:tcW w:w="84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6,756,084</w:t>
            </w:r>
          </w:p>
        </w:tc>
        <w:tc>
          <w:tcPr>
            <w:tcW w:w="380" w:type="dxa"/>
            <w:vAlign w:val="bottom"/>
            <w:tcBorders>
              <w:bottom w:val="single" w:sz="8" w:color="EAF9E8"/>
            </w:tcBorders>
            <w:shd w:val="clear" w:color="auto" w:fill="EAF9E8"/>
          </w:tcPr>
          <w:p>
            <w:pPr>
              <w:spacing w:after="0"/>
              <w:rPr>
                <w:sz w:val="13"/>
                <w:szCs w:val="13"/>
                <w:color w:val="auto"/>
              </w:rPr>
            </w:pPr>
          </w:p>
        </w:tc>
        <w:tc>
          <w:tcPr>
            <w:tcW w:w="220" w:type="dxa"/>
            <w:vAlign w:val="bottom"/>
            <w:tcBorders>
              <w:bottom w:val="single" w:sz="8" w:color="auto"/>
            </w:tcBorders>
            <w:shd w:val="clear" w:color="auto" w:fill="EAF9E8"/>
          </w:tcPr>
          <w:p>
            <w:pPr>
              <w:spacing w:after="0"/>
              <w:rPr>
                <w:sz w:val="13"/>
                <w:szCs w:val="13"/>
                <w:color w:val="auto"/>
              </w:rPr>
            </w:pPr>
          </w:p>
        </w:tc>
        <w:tc>
          <w:tcPr>
            <w:tcW w:w="82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5,624,716</w:t>
            </w:r>
          </w:p>
        </w:tc>
        <w:tc>
          <w:tcPr>
            <w:tcW w:w="340" w:type="dxa"/>
            <w:vAlign w:val="bottom"/>
            <w:tcBorders>
              <w:bottom w:val="single" w:sz="8" w:color="EAF9E8"/>
            </w:tcBorders>
            <w:shd w:val="clear" w:color="auto" w:fill="EAF9E8"/>
          </w:tcPr>
          <w:p>
            <w:pPr>
              <w:spacing w:after="0"/>
              <w:rPr>
                <w:sz w:val="13"/>
                <w:szCs w:val="13"/>
                <w:color w:val="auto"/>
              </w:rPr>
            </w:pPr>
          </w:p>
        </w:tc>
        <w:tc>
          <w:tcPr>
            <w:tcW w:w="1240" w:type="dxa"/>
            <w:vAlign w:val="bottom"/>
            <w:tcBorders>
              <w:bottom w:val="single" w:sz="8" w:color="EAF9E8"/>
            </w:tcBorders>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EAF9E8"/>
          </w:tcPr>
          <w:p>
            <w:pPr>
              <w:spacing w:after="0"/>
              <w:rPr>
                <w:sz w:val="13"/>
                <w:szCs w:val="13"/>
                <w:color w:val="auto"/>
              </w:rPr>
            </w:pPr>
          </w:p>
        </w:tc>
        <w:tc>
          <w:tcPr>
            <w:tcW w:w="82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6,756,084</w:t>
            </w:r>
          </w:p>
        </w:tc>
        <w:tc>
          <w:tcPr>
            <w:tcW w:w="24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220" w:type="dxa"/>
            <w:vAlign w:val="bottom"/>
            <w:tcBorders>
              <w:bottom w:val="single" w:sz="8" w:color="auto"/>
            </w:tcBorders>
            <w:shd w:val="clear" w:color="auto" w:fill="EAF9E8"/>
          </w:tcPr>
          <w:p>
            <w:pPr>
              <w:spacing w:after="0"/>
              <w:rPr>
                <w:sz w:val="13"/>
                <w:szCs w:val="13"/>
                <w:color w:val="auto"/>
              </w:rPr>
            </w:pPr>
          </w:p>
        </w:tc>
        <w:tc>
          <w:tcPr>
            <w:tcW w:w="80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5,624,716</w:t>
            </w:r>
          </w:p>
        </w:tc>
        <w:tc>
          <w:tcPr>
            <w:tcW w:w="340" w:type="dxa"/>
            <w:vAlign w:val="bottom"/>
            <w:tcBorders>
              <w:bottom w:val="single" w:sz="8" w:color="EAF9E8"/>
            </w:tcBorders>
            <w:shd w:val="clear" w:color="auto" w:fill="EAF9E8"/>
          </w:tcPr>
          <w:p>
            <w:pPr>
              <w:spacing w:after="0"/>
              <w:rPr>
                <w:sz w:val="13"/>
                <w:szCs w:val="13"/>
                <w:color w:val="auto"/>
              </w:rPr>
            </w:pPr>
          </w:p>
        </w:tc>
        <w:tc>
          <w:tcPr>
            <w:tcW w:w="900" w:type="dxa"/>
            <w:vAlign w:val="bottom"/>
            <w:tcBorders>
              <w:bottom w:val="single" w:sz="8" w:color="EAF9E8"/>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Total residential assets serviced (2)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106,126,168</w:t>
            </w:r>
          </w:p>
        </w:tc>
        <w:tc>
          <w:tcPr>
            <w:tcW w:w="3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76,140,022</w:t>
            </w:r>
          </w:p>
        </w:tc>
        <w:tc>
          <w:tcPr>
            <w:tcW w:w="3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106,126,168</w:t>
            </w:r>
          </w:p>
        </w:tc>
        <w:tc>
          <w:tcPr>
            <w:tcW w:w="240" w:type="dxa"/>
            <w:vAlign w:val="bottom"/>
          </w:tcPr>
          <w:p>
            <w:pPr>
              <w:spacing w:after="0"/>
              <w:rPr>
                <w:sz w:val="12"/>
                <w:szCs w:val="12"/>
                <w:color w:val="auto"/>
              </w:rPr>
            </w:pP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76,140,022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Average residential assets serviced</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78,960,593</w:t>
            </w:r>
          </w:p>
        </w:tc>
        <w:tc>
          <w:tcPr>
            <w:tcW w:w="3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60,160,356</w:t>
            </w:r>
          </w:p>
        </w:tc>
        <w:tc>
          <w:tcPr>
            <w:tcW w:w="3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74,596,127</w:t>
            </w:r>
          </w:p>
        </w:tc>
        <w:tc>
          <w:tcPr>
            <w:tcW w:w="240" w:type="dxa"/>
            <w:vAlign w:val="bottom"/>
          </w:tcPr>
          <w:p>
            <w:pPr>
              <w:spacing w:after="0"/>
              <w:rPr>
                <w:sz w:val="12"/>
                <w:szCs w:val="12"/>
                <w:color w:val="auto"/>
              </w:rPr>
            </w:pP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55,104,751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Prepayment speed (average CPR)</w:t>
            </w:r>
          </w:p>
        </w:tc>
        <w:tc>
          <w:tcPr>
            <w:tcW w:w="200" w:type="dxa"/>
            <w:vAlign w:val="bottom"/>
          </w:tcPr>
          <w:p>
            <w:pPr>
              <w:spacing w:after="0"/>
              <w:rPr>
                <w:sz w:val="12"/>
                <w:szCs w:val="12"/>
                <w:color w:val="auto"/>
              </w:rPr>
            </w:pPr>
          </w:p>
        </w:tc>
        <w:tc>
          <w:tcPr>
            <w:tcW w:w="12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15.2%</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Percent of total UPB:</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Servicing portfolio</w:t>
            </w:r>
          </w:p>
        </w:tc>
        <w:tc>
          <w:tcPr>
            <w:tcW w:w="200" w:type="dxa"/>
            <w:vAlign w:val="bottom"/>
            <w:shd w:val="clear" w:color="auto" w:fill="EAF9E8"/>
          </w:tcPr>
          <w:p>
            <w:pPr>
              <w:spacing w:after="0"/>
              <w:rPr>
                <w:sz w:val="12"/>
                <w:szCs w:val="12"/>
                <w:color w:val="auto"/>
              </w:rPr>
            </w:pPr>
          </w:p>
        </w:tc>
        <w:tc>
          <w:tcPr>
            <w:tcW w:w="1220" w:type="dxa"/>
            <w:vAlign w:val="bottom"/>
            <w:gridSpan w:val="2"/>
            <w:shd w:val="clear" w:color="auto" w:fill="EAF9E8"/>
          </w:tcPr>
          <w:p>
            <w:pPr>
              <w:ind w:left="600"/>
              <w:spacing w:after="0" w:line="149" w:lineRule="exact"/>
              <w:rPr>
                <w:sz w:val="20"/>
                <w:szCs w:val="20"/>
                <w:color w:val="auto"/>
              </w:rPr>
            </w:pPr>
            <w:r>
              <w:rPr>
                <w:rFonts w:ascii="Arial" w:cs="Arial" w:eastAsia="Arial" w:hAnsi="Arial"/>
                <w:sz w:val="14"/>
                <w:szCs w:val="14"/>
                <w:color w:val="auto"/>
              </w:rPr>
              <w:t>75.9%</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69.6%</w:t>
            </w:r>
          </w:p>
        </w:tc>
        <w:tc>
          <w:tcPr>
            <w:tcW w:w="12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75.9%</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69.6%</w:t>
            </w:r>
          </w:p>
        </w:tc>
        <w:tc>
          <w:tcPr>
            <w:tcW w:w="10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Subservicing portfolio</w:t>
            </w:r>
          </w:p>
        </w:tc>
        <w:tc>
          <w:tcPr>
            <w:tcW w:w="200" w:type="dxa"/>
            <w:vAlign w:val="bottom"/>
          </w:tcPr>
          <w:p>
            <w:pPr>
              <w:spacing w:after="0"/>
              <w:rPr>
                <w:sz w:val="12"/>
                <w:szCs w:val="12"/>
                <w:color w:val="auto"/>
              </w:rPr>
            </w:pPr>
          </w:p>
        </w:tc>
        <w:tc>
          <w:tcPr>
            <w:tcW w:w="12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24.1</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30.4</w:t>
            </w: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30.4</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Non-performing residential assets serviced, excluding</w:t>
            </w:r>
          </w:p>
        </w:tc>
        <w:tc>
          <w:tcPr>
            <w:tcW w:w="200" w:type="dxa"/>
            <w:vAlign w:val="bottom"/>
            <w:shd w:val="clear" w:color="auto" w:fill="EAF9E8"/>
          </w:tcPr>
          <w:p>
            <w:pPr>
              <w:spacing w:after="0"/>
              <w:rPr>
                <w:sz w:val="11"/>
                <w:szCs w:val="11"/>
                <w:color w:val="auto"/>
              </w:rPr>
            </w:pPr>
          </w:p>
        </w:tc>
        <w:tc>
          <w:tcPr>
            <w:tcW w:w="84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EAF9E8"/>
          </w:tcPr>
          <w:p>
            <w:pPr>
              <w:ind w:left="320"/>
              <w:spacing w:after="0"/>
              <w:rPr>
                <w:sz w:val="20"/>
                <w:szCs w:val="20"/>
                <w:color w:val="auto"/>
              </w:rPr>
            </w:pPr>
            <w:r>
              <w:rPr>
                <w:rFonts w:ascii="Arial" w:cs="Arial" w:eastAsia="Arial" w:hAnsi="Arial"/>
                <w:sz w:val="14"/>
                <w:szCs w:val="14"/>
                <w:color w:val="auto"/>
              </w:rPr>
              <w:t>Freddie Mac (3)</w:t>
            </w:r>
          </w:p>
        </w:tc>
        <w:tc>
          <w:tcPr>
            <w:tcW w:w="20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ind w:left="600"/>
              <w:spacing w:after="0"/>
              <w:rPr>
                <w:sz w:val="20"/>
                <w:szCs w:val="20"/>
                <w:color w:val="auto"/>
              </w:rPr>
            </w:pPr>
            <w:r>
              <w:rPr>
                <w:rFonts w:ascii="Arial" w:cs="Arial" w:eastAsia="Arial" w:hAnsi="Arial"/>
                <w:sz w:val="14"/>
                <w:szCs w:val="14"/>
                <w:color w:val="auto"/>
              </w:rPr>
              <w:t>28.7%</w:t>
            </w:r>
          </w:p>
        </w:tc>
        <w:tc>
          <w:tcPr>
            <w:tcW w:w="22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27.2%</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6</w:t>
            </w:r>
          </w:p>
        </w:tc>
        <w:tc>
          <w:tcPr>
            <w:tcW w:w="180" w:type="dxa"/>
            <w:vAlign w:val="bottom"/>
            <w:shd w:val="clear" w:color="auto" w:fill="EAF9E8"/>
          </w:tcPr>
          <w:p>
            <w:pPr>
              <w:spacing w:after="0"/>
              <w:rPr>
                <w:sz w:val="14"/>
                <w:szCs w:val="14"/>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27.2%</w:t>
            </w: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9"/>
              </w:rPr>
              <w:t>Nine Months</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Performing loans (1)</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531,082</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379,097</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531,082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379,097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Non-performing loans</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127,224</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87,941</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127,224</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87,941</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Non-performing real estate</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34,348</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27,954</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34,348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27,954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shd w:val="clear" w:color="auto" w:fill="EAF9E8"/>
          </w:tcPr>
          <w:p>
            <w:pPr>
              <w:ind w:left="320"/>
              <w:spacing w:after="0" w:line="149" w:lineRule="exact"/>
              <w:rPr>
                <w:sz w:val="20"/>
                <w:szCs w:val="20"/>
                <w:color w:val="auto"/>
              </w:rPr>
            </w:pPr>
            <w:r>
              <w:rPr>
                <w:rFonts w:ascii="Arial" w:cs="Arial" w:eastAsia="Arial" w:hAnsi="Arial"/>
                <w:sz w:val="14"/>
                <w:szCs w:val="14"/>
                <w:color w:val="auto"/>
              </w:rPr>
              <w:t>Total number of residential assets serviced (2)</w:t>
            </w:r>
          </w:p>
        </w:tc>
        <w:tc>
          <w:tcPr>
            <w:tcW w:w="240" w:type="dxa"/>
            <w:vAlign w:val="bottom"/>
            <w:shd w:val="clear" w:color="auto" w:fill="EAF9E8"/>
          </w:tcPr>
          <w:p>
            <w:pPr>
              <w:spacing w:after="0"/>
              <w:rPr>
                <w:sz w:val="16"/>
                <w:szCs w:val="16"/>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692,654</w:t>
            </w:r>
          </w:p>
        </w:tc>
        <w:tc>
          <w:tcPr>
            <w:tcW w:w="220" w:type="dxa"/>
            <w:vAlign w:val="bottom"/>
            <w:shd w:val="clear" w:color="auto" w:fill="EAF9E8"/>
          </w:tcPr>
          <w:p>
            <w:pPr>
              <w:spacing w:after="0"/>
              <w:rPr>
                <w:sz w:val="16"/>
                <w:szCs w:val="16"/>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494,992</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692,654</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494,992</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EAF9E8"/>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EAF9E8"/>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900" w:type="dxa"/>
            <w:vAlign w:val="bottom"/>
            <w:tcBorders>
              <w:top w:val="single" w:sz="8" w:color="EAF9E8"/>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900" w:type="dxa"/>
            <w:vAlign w:val="bottom"/>
            <w:tcBorders>
              <w:top w:val="single" w:sz="8" w:color="EAF9E8"/>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Average number of residential assets serviced</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516,214</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401,454</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487,135</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375,805</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Percent of total number: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Servicing portfolio</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68.8%</w:t>
            </w:r>
          </w:p>
        </w:tc>
        <w:tc>
          <w:tcPr>
            <w:tcW w:w="12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75.9%</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68.8%</w:t>
            </w:r>
          </w:p>
        </w:tc>
        <w:tc>
          <w:tcPr>
            <w:tcW w:w="10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Subservicing portfolio</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24.1</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31.2</w:t>
            </w: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31.2</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Non-performing residential assets serviced, excluding</w:t>
            </w:r>
          </w:p>
        </w:tc>
        <w:tc>
          <w:tcPr>
            <w:tcW w:w="2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EAF9E8"/>
          </w:tcPr>
          <w:p>
            <w:pPr>
              <w:ind w:left="320"/>
              <w:spacing w:after="0"/>
              <w:rPr>
                <w:sz w:val="20"/>
                <w:szCs w:val="20"/>
                <w:color w:val="auto"/>
              </w:rPr>
            </w:pPr>
            <w:r>
              <w:rPr>
                <w:rFonts w:ascii="Arial" w:cs="Arial" w:eastAsia="Arial" w:hAnsi="Arial"/>
                <w:sz w:val="14"/>
                <w:szCs w:val="14"/>
                <w:color w:val="auto"/>
              </w:rPr>
              <w:t>Freddie Mac (3)</w:t>
            </w:r>
          </w:p>
        </w:tc>
        <w:tc>
          <w:tcPr>
            <w:tcW w:w="24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21.6%</w:t>
            </w:r>
          </w:p>
        </w:tc>
        <w:tc>
          <w:tcPr>
            <w:tcW w:w="22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21.2%</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w:t>
            </w:r>
          </w:p>
        </w:tc>
        <w:tc>
          <w:tcPr>
            <w:tcW w:w="220" w:type="dxa"/>
            <w:vAlign w:val="bottom"/>
            <w:shd w:val="clear" w:color="auto" w:fill="EAF9E8"/>
          </w:tcPr>
          <w:p>
            <w:pPr>
              <w:spacing w:after="0"/>
              <w:rPr>
                <w:sz w:val="14"/>
                <w:szCs w:val="14"/>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21.2%</w:t>
            </w: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Residential Servicing and Subservicing Fees</w:t>
            </w:r>
          </w:p>
        </w:tc>
        <w:tc>
          <w:tcPr>
            <w:tcW w:w="2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Loan servicing and subservicing</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82,372</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57,520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231,414</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150,613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HAMP fees</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11,013</w:t>
            </w: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11,616</w:t>
            </w:r>
          </w:p>
        </w:tc>
        <w:tc>
          <w:tcPr>
            <w:tcW w:w="340" w:type="dxa"/>
            <w:vAlign w:val="bottom"/>
            <w:shd w:val="clear" w:color="auto" w:fill="EAF9E8"/>
          </w:tcPr>
          <w:p>
            <w:pPr>
              <w:spacing w:after="0"/>
              <w:rPr>
                <w:sz w:val="12"/>
                <w:szCs w:val="12"/>
                <w:color w:val="auto"/>
              </w:rPr>
            </w:pPr>
          </w:p>
        </w:tc>
        <w:tc>
          <w:tcPr>
            <w:tcW w:w="1240" w:type="dxa"/>
            <w:vAlign w:val="bottom"/>
            <w:gridSpan w:val="2"/>
            <w:shd w:val="clear" w:color="auto" w:fill="EAF9E8"/>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28,304</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22,655</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Late charges</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9,535</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8,710</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24,121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Loan collection fees</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2,772</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2,191</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7,689</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6,448</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Custodial accounts (float earnings)</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632</w:t>
            </w:r>
          </w:p>
        </w:tc>
        <w:tc>
          <w:tcPr>
            <w:tcW w:w="34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2,080</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Other</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5,628</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4,922</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14,642</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11,569</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111,880</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85,591</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308,451</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217,486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Costs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Average balance of advances and match funded</w:t>
            </w:r>
          </w:p>
        </w:tc>
        <w:tc>
          <w:tcPr>
            <w:tcW w:w="2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EAF9E8"/>
          </w:tcPr>
          <w:p>
            <w:pPr>
              <w:ind w:left="320"/>
              <w:spacing w:after="0"/>
              <w:rPr>
                <w:sz w:val="20"/>
                <w:szCs w:val="20"/>
                <w:color w:val="auto"/>
              </w:rPr>
            </w:pPr>
            <w:r>
              <w:rPr>
                <w:rFonts w:ascii="Arial" w:cs="Arial" w:eastAsia="Arial" w:hAnsi="Arial"/>
                <w:sz w:val="14"/>
                <w:szCs w:val="14"/>
                <w:color w:val="auto"/>
              </w:rPr>
              <w:t>advances</w:t>
            </w:r>
          </w:p>
        </w:tc>
        <w:tc>
          <w:tcPr>
            <w:tcW w:w="240" w:type="dxa"/>
            <w:vAlign w:val="bottom"/>
            <w:shd w:val="clear" w:color="auto" w:fill="EAF9E8"/>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2,502,979</w:t>
            </w:r>
          </w:p>
        </w:tc>
        <w:tc>
          <w:tcPr>
            <w:tcW w:w="38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1,612,676</w:t>
            </w:r>
          </w:p>
        </w:tc>
        <w:tc>
          <w:tcPr>
            <w:tcW w:w="340" w:type="dxa"/>
            <w:vAlign w:val="bottom"/>
            <w:shd w:val="clear" w:color="auto" w:fill="EAF9E8"/>
          </w:tcPr>
          <w:p>
            <w:pPr>
              <w:spacing w:after="0"/>
              <w:rPr>
                <w:sz w:val="14"/>
                <w:szCs w:val="14"/>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55%</w:t>
            </w:r>
          </w:p>
        </w:tc>
        <w:tc>
          <w:tcPr>
            <w:tcW w:w="220" w:type="dxa"/>
            <w:vAlign w:val="bottom"/>
            <w:shd w:val="clear" w:color="auto" w:fill="EAF9E8"/>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2,027,344</w:t>
            </w:r>
          </w:p>
        </w:tc>
        <w:tc>
          <w:tcPr>
            <w:tcW w:w="240" w:type="dxa"/>
            <w:vAlign w:val="bottom"/>
            <w:shd w:val="clear" w:color="auto" w:fill="EAF9E8"/>
          </w:tcPr>
          <w:p>
            <w:pPr>
              <w:spacing w:after="0"/>
              <w:rPr>
                <w:sz w:val="14"/>
                <w:szCs w:val="14"/>
                <w:color w:val="auto"/>
              </w:rPr>
            </w:pPr>
          </w:p>
        </w:tc>
        <w:tc>
          <w:tcPr>
            <w:tcW w:w="320" w:type="dxa"/>
            <w:vAlign w:val="bottom"/>
            <w:gridSpan w:val="2"/>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1,248,447</w:t>
            </w: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Average borrowings</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1,876,014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1,164,304</w:t>
            </w:r>
          </w:p>
        </w:tc>
        <w:tc>
          <w:tcPr>
            <w:tcW w:w="3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1,478,494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828,675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Interest expense on borrowings (4)</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380"/>
              <w:spacing w:after="0" w:line="149" w:lineRule="exact"/>
              <w:rPr>
                <w:sz w:val="20"/>
                <w:szCs w:val="20"/>
                <w:color w:val="auto"/>
              </w:rPr>
            </w:pPr>
            <w:r>
              <w:rPr>
                <w:rFonts w:ascii="Arial" w:cs="Arial" w:eastAsia="Arial" w:hAnsi="Arial"/>
                <w:sz w:val="14"/>
                <w:szCs w:val="14"/>
                <w:color w:val="auto"/>
              </w:rPr>
              <w:t>25,980</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19,259</w:t>
            </w:r>
          </w:p>
        </w:tc>
        <w:tc>
          <w:tcPr>
            <w:tcW w:w="12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82,086</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42,201</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95</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ind w:left="160"/>
              <w:spacing w:after="0" w:line="130" w:lineRule="exact"/>
              <w:rPr>
                <w:sz w:val="20"/>
                <w:szCs w:val="20"/>
                <w:color w:val="auto"/>
              </w:rPr>
            </w:pPr>
            <w:r>
              <w:rPr>
                <w:rFonts w:ascii="Arial" w:cs="Arial" w:eastAsia="Arial" w:hAnsi="Arial"/>
                <w:sz w:val="14"/>
                <w:szCs w:val="14"/>
                <w:color w:val="auto"/>
              </w:rPr>
              <w:t>Facility costs included in interest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tcPr>
          <w:p>
            <w:pPr>
              <w:ind w:left="320"/>
              <w:spacing w:after="0"/>
              <w:rPr>
                <w:sz w:val="20"/>
                <w:szCs w:val="20"/>
                <w:color w:val="auto"/>
              </w:rPr>
            </w:pPr>
            <w:r>
              <w:rPr>
                <w:rFonts w:ascii="Arial" w:cs="Arial" w:eastAsia="Arial" w:hAnsi="Arial"/>
                <w:sz w:val="14"/>
                <w:szCs w:val="14"/>
                <w:color w:val="auto"/>
              </w:rPr>
              <w:t>expense (4)</w:t>
            </w:r>
          </w:p>
        </w:tc>
        <w:tc>
          <w:tcPr>
            <w:tcW w:w="24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2,999</w:t>
            </w:r>
          </w:p>
        </w:tc>
        <w:tc>
          <w:tcPr>
            <w:tcW w:w="2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4,421</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19,093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14,232</w:t>
            </w: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Discount amortization included in interest</w:t>
            </w:r>
          </w:p>
        </w:tc>
        <w:tc>
          <w:tcPr>
            <w:tcW w:w="2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EAF9E8"/>
          </w:tcPr>
          <w:p>
            <w:pPr>
              <w:ind w:left="320"/>
              <w:spacing w:after="0"/>
              <w:rPr>
                <w:sz w:val="20"/>
                <w:szCs w:val="20"/>
                <w:color w:val="auto"/>
              </w:rPr>
            </w:pPr>
            <w:r>
              <w:rPr>
                <w:rFonts w:ascii="Arial" w:cs="Arial" w:eastAsia="Arial" w:hAnsi="Arial"/>
                <w:sz w:val="14"/>
                <w:szCs w:val="14"/>
                <w:color w:val="auto"/>
              </w:rPr>
              <w:t>expense (4)</w:t>
            </w:r>
          </w:p>
        </w:tc>
        <w:tc>
          <w:tcPr>
            <w:tcW w:w="24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380"/>
              <w:spacing w:after="0"/>
              <w:rPr>
                <w:sz w:val="20"/>
                <w:szCs w:val="20"/>
                <w:color w:val="auto"/>
              </w:rPr>
            </w:pPr>
            <w:r>
              <w:rPr>
                <w:rFonts w:ascii="Arial" w:cs="Arial" w:eastAsia="Arial" w:hAnsi="Arial"/>
                <w:sz w:val="14"/>
                <w:szCs w:val="14"/>
                <w:color w:val="auto"/>
              </w:rPr>
              <w:t>1,009</w:t>
            </w:r>
          </w:p>
        </w:tc>
        <w:tc>
          <w:tcPr>
            <w:tcW w:w="220" w:type="dxa"/>
            <w:vAlign w:val="bottom"/>
            <w:shd w:val="clear" w:color="auto" w:fill="EAF9E8"/>
          </w:tcPr>
          <w:p>
            <w:pPr>
              <w:spacing w:after="0"/>
              <w:rPr>
                <w:sz w:val="14"/>
                <w:szCs w:val="1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1,114</w:t>
            </w:r>
          </w:p>
        </w:tc>
        <w:tc>
          <w:tcPr>
            <w:tcW w:w="340" w:type="dxa"/>
            <w:vAlign w:val="bottom"/>
            <w:shd w:val="clear" w:color="auto" w:fill="EAF9E8"/>
          </w:tcPr>
          <w:p>
            <w:pPr>
              <w:spacing w:after="0"/>
              <w:rPr>
                <w:sz w:val="14"/>
                <w:szCs w:val="14"/>
                <w:color w:val="auto"/>
              </w:rPr>
            </w:pPr>
          </w:p>
        </w:tc>
        <w:tc>
          <w:tcPr>
            <w:tcW w:w="1240" w:type="dxa"/>
            <w:vAlign w:val="bottom"/>
            <w:gridSpan w:val="2"/>
            <w:shd w:val="clear" w:color="auto" w:fill="EAF9E8"/>
          </w:tcPr>
          <w:p>
            <w:pPr>
              <w:jc w:val="right"/>
              <w:ind w:right="300"/>
              <w:spacing w:after="0"/>
              <w:rPr>
                <w:sz w:val="20"/>
                <w:szCs w:val="20"/>
                <w:color w:val="auto"/>
              </w:rPr>
            </w:pPr>
            <w:r>
              <w:rPr>
                <w:rFonts w:ascii="Arial" w:cs="Arial" w:eastAsia="Arial" w:hAnsi="Arial"/>
                <w:sz w:val="14"/>
                <w:szCs w:val="14"/>
                <w:color w:val="auto"/>
              </w:rPr>
              <w:t>(9)</w:t>
            </w:r>
          </w:p>
        </w:tc>
        <w:tc>
          <w:tcPr>
            <w:tcW w:w="220" w:type="dxa"/>
            <w:vAlign w:val="bottom"/>
            <w:shd w:val="clear" w:color="auto" w:fill="EAF9E8"/>
          </w:tcPr>
          <w:p>
            <w:pPr>
              <w:spacing w:after="0"/>
              <w:rPr>
                <w:sz w:val="14"/>
                <w:szCs w:val="14"/>
                <w:color w:val="auto"/>
              </w:rPr>
            </w:pPr>
          </w:p>
        </w:tc>
        <w:tc>
          <w:tcPr>
            <w:tcW w:w="102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8,352</w:t>
            </w: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3,219</w:t>
            </w: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Effective average interest rate (4)</w:t>
            </w:r>
          </w:p>
        </w:tc>
        <w:tc>
          <w:tcPr>
            <w:tcW w:w="24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5.54%</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6.62%</w:t>
            </w: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Average 1-month LIBOR</w:t>
            </w:r>
          </w:p>
        </w:tc>
        <w:tc>
          <w:tcPr>
            <w:tcW w:w="24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0.21%</w:t>
            </w:r>
          </w:p>
        </w:tc>
        <w:tc>
          <w:tcPr>
            <w:tcW w:w="2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0.29%</w:t>
            </w:r>
          </w:p>
        </w:tc>
        <w:tc>
          <w:tcPr>
            <w:tcW w:w="1240" w:type="dxa"/>
            <w:vAlign w:val="bottom"/>
            <w:gridSpan w:val="2"/>
            <w:shd w:val="clear" w:color="auto" w:fill="EAF9E8"/>
          </w:tcPr>
          <w:p>
            <w:pPr>
              <w:jc w:val="right"/>
              <w:ind w:right="300"/>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0.22%</w:t>
            </w: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0.28%</w:t>
            </w:r>
          </w:p>
        </w:tc>
        <w:tc>
          <w:tcPr>
            <w:tcW w:w="102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Average Employment</w:t>
            </w:r>
          </w:p>
        </w:tc>
        <w:tc>
          <w:tcPr>
            <w:tcW w:w="2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India and other</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2,559</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1,837</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1,580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EAF9E8"/>
            </w:tcBorders>
            <w:shd w:val="clear" w:color="auto" w:fill="EAF9E8"/>
          </w:tcPr>
          <w:p>
            <w:pPr>
              <w:ind w:left="160"/>
              <w:spacing w:after="0" w:line="149" w:lineRule="exact"/>
              <w:rPr>
                <w:sz w:val="20"/>
                <w:szCs w:val="20"/>
                <w:color w:val="auto"/>
              </w:rPr>
            </w:pPr>
            <w:r>
              <w:rPr>
                <w:rFonts w:ascii="Arial" w:cs="Arial" w:eastAsia="Arial" w:hAnsi="Arial"/>
                <w:sz w:val="14"/>
                <w:szCs w:val="14"/>
                <w:color w:val="auto"/>
              </w:rPr>
              <w:t>United States (5)</w:t>
            </w:r>
          </w:p>
        </w:tc>
        <w:tc>
          <w:tcPr>
            <w:tcW w:w="240" w:type="dxa"/>
            <w:vAlign w:val="bottom"/>
            <w:tcBorders>
              <w:bottom w:val="single" w:sz="8" w:color="auto"/>
            </w:tcBorders>
            <w:shd w:val="clear" w:color="auto" w:fill="EAF9E8"/>
          </w:tcPr>
          <w:p>
            <w:pPr>
              <w:spacing w:after="0"/>
              <w:rPr>
                <w:sz w:val="13"/>
                <w:szCs w:val="13"/>
                <w:color w:val="auto"/>
              </w:rPr>
            </w:pPr>
          </w:p>
        </w:tc>
        <w:tc>
          <w:tcPr>
            <w:tcW w:w="80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731</w:t>
            </w:r>
          </w:p>
        </w:tc>
        <w:tc>
          <w:tcPr>
            <w:tcW w:w="380" w:type="dxa"/>
            <w:vAlign w:val="bottom"/>
            <w:tcBorders>
              <w:bottom w:val="single" w:sz="8" w:color="EAF9E8"/>
            </w:tcBorders>
            <w:shd w:val="clear" w:color="auto" w:fill="EAF9E8"/>
          </w:tcPr>
          <w:p>
            <w:pPr>
              <w:spacing w:after="0"/>
              <w:rPr>
                <w:sz w:val="13"/>
                <w:szCs w:val="13"/>
                <w:color w:val="auto"/>
              </w:rPr>
            </w:pPr>
          </w:p>
        </w:tc>
        <w:tc>
          <w:tcPr>
            <w:tcW w:w="220" w:type="dxa"/>
            <w:vAlign w:val="bottom"/>
            <w:tcBorders>
              <w:bottom w:val="single" w:sz="8" w:color="auto"/>
            </w:tcBorders>
            <w:shd w:val="clear" w:color="auto" w:fill="EAF9E8"/>
          </w:tcPr>
          <w:p>
            <w:pPr>
              <w:spacing w:after="0"/>
              <w:rPr>
                <w:sz w:val="13"/>
                <w:szCs w:val="13"/>
                <w:color w:val="auto"/>
              </w:rPr>
            </w:pPr>
          </w:p>
        </w:tc>
        <w:tc>
          <w:tcPr>
            <w:tcW w:w="82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231</w:t>
            </w:r>
          </w:p>
        </w:tc>
        <w:tc>
          <w:tcPr>
            <w:tcW w:w="340" w:type="dxa"/>
            <w:vAlign w:val="bottom"/>
            <w:tcBorders>
              <w:bottom w:val="single" w:sz="8" w:color="EAF9E8"/>
            </w:tcBorders>
            <w:shd w:val="clear" w:color="auto" w:fill="EAF9E8"/>
          </w:tcPr>
          <w:p>
            <w:pPr>
              <w:spacing w:after="0"/>
              <w:rPr>
                <w:sz w:val="13"/>
                <w:szCs w:val="13"/>
                <w:color w:val="auto"/>
              </w:rPr>
            </w:pPr>
          </w:p>
        </w:tc>
        <w:tc>
          <w:tcPr>
            <w:tcW w:w="1240" w:type="dxa"/>
            <w:vAlign w:val="bottom"/>
            <w:tcBorders>
              <w:bottom w:val="single" w:sz="8" w:color="EAF9E8"/>
            </w:tcBorders>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216</w:t>
            </w:r>
          </w:p>
        </w:tc>
        <w:tc>
          <w:tcPr>
            <w:tcW w:w="22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402</w:t>
            </w:r>
          </w:p>
        </w:tc>
        <w:tc>
          <w:tcPr>
            <w:tcW w:w="24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220" w:type="dxa"/>
            <w:vAlign w:val="bottom"/>
            <w:tcBorders>
              <w:bottom w:val="single" w:sz="8" w:color="auto"/>
            </w:tcBorders>
            <w:shd w:val="clear" w:color="auto" w:fill="EAF9E8"/>
          </w:tcPr>
          <w:p>
            <w:pPr>
              <w:spacing w:after="0"/>
              <w:rPr>
                <w:sz w:val="13"/>
                <w:szCs w:val="13"/>
                <w:color w:val="auto"/>
              </w:rPr>
            </w:pPr>
          </w:p>
        </w:tc>
        <w:tc>
          <w:tcPr>
            <w:tcW w:w="80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228</w:t>
            </w:r>
          </w:p>
        </w:tc>
        <w:tc>
          <w:tcPr>
            <w:tcW w:w="340" w:type="dxa"/>
            <w:vAlign w:val="bottom"/>
            <w:tcBorders>
              <w:bottom w:val="single" w:sz="8" w:color="EAF9E8"/>
            </w:tcBorders>
            <w:shd w:val="clear" w:color="auto" w:fill="EAF9E8"/>
          </w:tcPr>
          <w:p>
            <w:pPr>
              <w:spacing w:after="0"/>
              <w:rPr>
                <w:sz w:val="13"/>
                <w:szCs w:val="13"/>
                <w:color w:val="auto"/>
              </w:rPr>
            </w:pPr>
          </w:p>
        </w:tc>
        <w:tc>
          <w:tcPr>
            <w:tcW w:w="900" w:type="dxa"/>
            <w:vAlign w:val="bottom"/>
            <w:tcBorders>
              <w:bottom w:val="single" w:sz="8" w:color="EAF9E8"/>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320"/>
              <w:spacing w:after="0" w:line="149" w:lineRule="exact"/>
              <w:rPr>
                <w:sz w:val="20"/>
                <w:szCs w:val="20"/>
                <w:color w:val="auto"/>
              </w:rPr>
            </w:pPr>
            <w:r>
              <w:rPr>
                <w:rFonts w:ascii="Arial" w:cs="Arial" w:eastAsia="Arial" w:hAnsi="Arial"/>
                <w:sz w:val="14"/>
                <w:szCs w:val="14"/>
                <w:color w:val="auto"/>
              </w:rPr>
              <w:t>Total</w:t>
            </w:r>
          </w:p>
        </w:tc>
        <w:tc>
          <w:tcPr>
            <w:tcW w:w="24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3,290</w:t>
            </w:r>
          </w:p>
        </w:tc>
        <w:tc>
          <w:tcPr>
            <w:tcW w:w="22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2,068</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1,808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Collections on loans serviced for others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1,487,903</w:t>
            </w:r>
          </w:p>
        </w:tc>
        <w:tc>
          <w:tcPr>
            <w:tcW w:w="38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1,350,232</w:t>
            </w:r>
          </w:p>
        </w:tc>
        <w:tc>
          <w:tcPr>
            <w:tcW w:w="3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4,474,890</w:t>
            </w:r>
          </w:p>
        </w:tc>
        <w:tc>
          <w:tcPr>
            <w:tcW w:w="240" w:type="dxa"/>
            <w:vAlign w:val="bottom"/>
          </w:tcPr>
          <w:p>
            <w:pPr>
              <w:spacing w:after="0"/>
              <w:rPr>
                <w:sz w:val="16"/>
                <w:szCs w:val="16"/>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3,703,911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60" w:right="8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81"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Subprime loans represents the largest category, or strata, of residential loans we service. At September 30, 2011, we serviced 560,440 subprime loans with a UPB of $89,097,259. This compares to 360,317 subprime loans with a UPB of $56,530,714 at December 31, 2010 and 372,997 subprime loans with a UPB of $58,407,094 at September 30, 2010.</w:t>
      </w:r>
    </w:p>
    <w:p>
      <w:pPr>
        <w:spacing w:after="0" w:line="181"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Excluding the Litton portfolio acquired on September 1, 2011, the UPB and the number of non-performing residential assets serviced as a percentage of the total portfolio were 23.6% and 17.4%, respectively, at September 30, 2011. Excluding the HomEq and Saxon portfolios acquired in 2010, the UPB and number of non-performing residential assets serviced as a percentage of the total portfolio were 25.0% and 18.3%, respectively, at September 30, 2010.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3" w:name="page44"/>
    <w:bookmarkEnd w:id="43"/>
    <w:p>
      <w:pPr>
        <w:ind w:left="460" w:right="6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June 30, 2011, we had repaid the $197,500 balance outstanding under the $350,000 senior secured term loan. The repayments included $180,000 of prepayments in addition to the mandatory quarterly repayments of $17,500. These prepayments resulted in a write-off to interest expense amounting to $4,972 of debt discount and $7,603 of deferred debt issuance costs. Excluding these additional costs, the effective annual interest rate would have been 5.74% for the first nine months of 2011. This rate declined from 2010, principally because of a decline in facility costs charged on certain facilities and an increase in average borrowings relative to facility costs which resulted in a significant decline in the proportion of interest expense represented by the amortization of facility costs.</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average of 474 and 158 employees of Litton for the three and nine months ended September 30, 2011, respectively.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Amount of UPB</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Count</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73,886,391</w:t>
            </w:r>
          </w:p>
        </w:tc>
        <w:tc>
          <w:tcPr>
            <w:tcW w:w="360" w:type="dxa"/>
            <w:vAlign w:val="bottom"/>
            <w:shd w:val="clear" w:color="auto" w:fill="EAF9E8"/>
          </w:tcPr>
          <w:p>
            <w:pPr>
              <w:spacing w:after="0"/>
              <w:rPr>
                <w:sz w:val="18"/>
                <w:szCs w:val="18"/>
                <w:color w:val="auto"/>
              </w:rPr>
            </w:pPr>
          </w:p>
        </w:tc>
        <w:tc>
          <w:tcPr>
            <w:tcW w:w="440" w:type="dxa"/>
            <w:vAlign w:val="bottom"/>
            <w:shd w:val="clear" w:color="auto" w:fill="EAF9E8"/>
          </w:tcPr>
          <w:p>
            <w:pPr>
              <w:jc w:val="right"/>
              <w:ind w:right="2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8"/>
              </w:rPr>
              <w:t>49,980,077</w:t>
            </w:r>
          </w:p>
        </w:tc>
        <w:tc>
          <w:tcPr>
            <w:tcW w:w="1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479,165</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222,872</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1,372,733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(3,566,302)</w:t>
            </w: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3"/>
              </w:rPr>
              <w:t>(1,674,811)</w:t>
            </w:r>
          </w:p>
        </w:tc>
        <w:tc>
          <w:tcPr>
            <w:tcW w:w="15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(18,211)</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70,542,961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49,677,999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462,187</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2,934,682</w:t>
            </w:r>
          </w:p>
        </w:tc>
        <w:tc>
          <w:tcPr>
            <w:tcW w:w="3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9"/>
              </w:rPr>
              <w:t>7,466,279</w:t>
            </w:r>
          </w:p>
        </w:tc>
        <w:tc>
          <w:tcPr>
            <w:tcW w:w="1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13,376</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Runoff</w:t>
            </w:r>
          </w:p>
        </w:tc>
        <w:tc>
          <w:tcPr>
            <w:tcW w:w="2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(2,647,076)</w:t>
            </w:r>
          </w:p>
        </w:tc>
        <w:tc>
          <w:tcPr>
            <w:tcW w:w="4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(1,899,702)</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(13,429)</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70,830,567</w:t>
            </w:r>
          </w:p>
        </w:tc>
        <w:tc>
          <w:tcPr>
            <w:tcW w:w="3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8"/>
              </w:rPr>
              <w:t>55,244,576</w:t>
            </w:r>
          </w:p>
        </w:tc>
        <w:tc>
          <w:tcPr>
            <w:tcW w:w="1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462,134</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38,119,492</w:t>
            </w:r>
          </w:p>
        </w:tc>
        <w:tc>
          <w:tcPr>
            <w:tcW w:w="4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23,078,457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244,935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(2,823,891)</w:t>
            </w: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3"/>
              </w:rPr>
              <w:t>(2,183,011)</w:t>
            </w:r>
          </w:p>
        </w:tc>
        <w:tc>
          <w:tcPr>
            <w:tcW w:w="15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(14,415)</w:t>
            </w: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Servicing portfolio at September 30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106,126,168</w:t>
            </w:r>
          </w:p>
        </w:tc>
        <w:tc>
          <w:tcPr>
            <w:tcW w:w="36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76,140,022</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692,654</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494,992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Three months ended September 2011 versus September 2010. </w:t>
      </w:r>
      <w:r>
        <w:rPr>
          <w:rFonts w:ascii="Arial" w:cs="Arial" w:eastAsia="Arial" w:hAnsi="Arial"/>
          <w:sz w:val="18"/>
          <w:szCs w:val="18"/>
          <w:color w:val="auto"/>
        </w:rPr>
        <w:t>Residential servicing and subservicing fees increased due to the increase in the UPB of</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assets serviced as a result of the Litton and HomEq acquisitions.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average UPB of residential assets serviced was 31% higher in 2011 resulting in a 31% increase in residential servicing and subservicing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Servicing fees for the three months ended September 30, 2011 include $14,560 earned on the Litton portfolio for the month of September.</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September 30, 2011, the percentage of UPB representing servicing rather than subservicing was 75.9%, a 9% increase as compared to 69.6% on September 30, 2010. This increase was a result of the $38.6 billion of UPB that we acquired in the Litton Acquisition. However, revenue relative to average UPB for the third quarter of 2011 as compared to 2010 was unchanged at 0.14% due primarily to a lower initial revenue yield on the acquired Litton portfolio. The effect on revenues of the Litton Acquisition was tempered by the fact that initial revenues from newly acquired servicing are principally the contractual servicing fee and late fees. Other ancillary revenues, which are driven by the resolution of non-performing loans, ramp up gradually in the first year after the acquisition.</w:t>
      </w:r>
    </w:p>
    <w:p>
      <w:pPr>
        <w:spacing w:after="0" w:line="22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When we return a loan to performing status, we generally recognize revenue in the form of deferred servicing fees and late fees. For loans modified under HAMP, however, we earn HAMP fees in place of late fees. Excluding HAMP fees, we recognized loan servicing fees and late charges of $12,787 and $9,842 during the three months ended September 30, 2011 and 2010, respectively, as a result of modifications completed. In addition, we earned total HAMP fees of $11,013 and $11,616 in the third quarter of 2011 and 2010, respectively. These amounts included HAMP success fees of $6,915 and $6,618 in the third quarter of 2011 and 2010, respectively on loans that were still performing at the one-year anniversary of their modification. We completed 15,743 modifications during the third quarter of 2011, down 1% from the 15,928 modifications completed during the third quarter of 2010. In the third quarter of 2011, 16% of completed modifications were HAMP as compared to 27% in the third quarter of 2010.</w:t>
      </w:r>
    </w:p>
    <w:p>
      <w:pPr>
        <w:spacing w:after="0" w:line="205"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 of September 30, 2011, we estimate that the balance of uncollected and unrecognized servicing fees related to delinquent borrower payments was $224,658_compared to $123,582 as of December 31, 2010. The increase is primarily due to the $38.6 billion of servicing UPB acquired in the Litton Acquisition.</w:t>
      </w:r>
    </w:p>
    <w:p>
      <w:pPr>
        <w:spacing w:after="0" w:line="20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Process management fee revenues are primarily comprised of referral commissions for sales of foreclosed residential real estate through our network of brokers. Process management fees also include fees earned from Altisource in connection with the preparation of foreclosure and similar documents on loans that have defaulted. In future periods, we expect a continued decline in these fees as we align with new Freddie Mac and Fannie Mae guidelines that restrict certain fees.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right="80" w:firstLine="324"/>
        <w:spacing w:after="0" w:line="272" w:lineRule="auto"/>
        <w:rPr>
          <w:sz w:val="20"/>
          <w:szCs w:val="20"/>
          <w:color w:val="auto"/>
        </w:rPr>
      </w:pPr>
      <w:r>
        <w:rPr>
          <w:rFonts w:ascii="Arial" w:cs="Arial" w:eastAsia="Arial" w:hAnsi="Arial"/>
          <w:sz w:val="17"/>
          <w:szCs w:val="17"/>
          <w:color w:val="auto"/>
        </w:rPr>
        <w:t>Operating expenses declined by $4,893 as expenses related to HomEq Servicing, excluding amortization of mortgage servicing rights, declined by $32,409. This decline was offset by expenses related to Litton, excluding amortization of mortgage servicing rights, of $18,746. Amortization of HomEq mortgage servicing rights increased from $1,326 in 2010 to $3,851 in 2011. Amortization of Litton mortgage servicing rights was $2,276. Excluding HomEq and Litton as well as amortization of mortgage servicing rights, operating expenses increased by $5,435 from 2010 to 2011, as we increased our staffing in India, Uruguay and the United States to manage the increase in the size of the Servicing portfolio. Excluding Litton personnel, average staffing in India and Uruguay increased by a combined 39% and in the United States by 11%. Total operating expenses for the third quarter of 2011 were 0.08% of average UPB for the quarter as compared to 0.11% for the third quarter of 2010.</w:t>
      </w:r>
    </w:p>
    <w:p>
      <w:pPr>
        <w:spacing w:after="0" w:line="20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increase in our overall delinquency rates from 24.2% of total UPB at June 30, 2011 to 28.7% at September 30, 2011 is largely due to much higher delinquencies at boarding for the Litton portfolio. Excluding the Litton portfolio, the UPB of non-performing residential assets serviced as a percentage of the total portfolio was 23.6% at September 30, 2011. Excluding the effects of new acquisitions or of any changes to foreclosure processes that may occur during the remainder of 2011, we expect overall delinquency rates to decline; however, this outcome is not assured.</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Prepayment speed was 2.6 percentage points higher in the third quarter of 2011 primarily due to an increase in regular principal collections. Real estate sales and other involuntary liquidations accounted for approximately 65% of average CPR for the third quarter of 2011 with regular principal collections and other voluntary principal reductions accounting for the remaining 35%. For the third quarter of 2010, involuntary and voluntary reductions accounted for 77% and 23%, respectively, of average CPR.</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Interest expense on borrowings for 2011 was 35% higher than 2010. This increase was principally because of an increase in average borrowings on advance facilities as a result of the Litton and HomEq acquisitions and the higher average interest rates charged on the term notes issued as part of the HomEq advance facility. Interest expense for the third quarter of 2011 also includes $2,904 of net settlements related to interest rate swap agreements that we entered into during the third quarter of 2010. These increases were partly offset by lower spreads on other advance facilities, particularly the Litton advance facility. Average borrowings of the Servicing segment increased by 61% during the third quarter of 2011 as compared to 2010 due to the new senior secured term loan and the increase in the average balance of match funded liabilities related to the HomEq and Litton acquisitions.</w:t>
      </w:r>
    </w:p>
    <w:p>
      <w:pPr>
        <w:spacing w:after="0" w:line="18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Nine months ended September 2011 versus September 2010. </w:t>
      </w:r>
      <w:r>
        <w:rPr>
          <w:rFonts w:ascii="Arial" w:cs="Arial" w:eastAsia="Arial" w:hAnsi="Arial"/>
          <w:sz w:val="18"/>
          <w:szCs w:val="18"/>
          <w:color w:val="auto"/>
        </w:rPr>
        <w:t>Residential servicing and subservicing fees for the first nine months of 2011 were 42%</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than the same period of 2010 due to a 35% increase in the average UPB of residential assets serviced and a 14% increase in modifications. Revenue increased relative to average UPB in the first nine months of 2011 to 0.41% as compared to 0.39% for the 2010 period due primarily to a higher mix of servicing versus subservicing in 2011 due to the HomEq, Saxon and Litton acquisitions.</w:t>
      </w:r>
    </w:p>
    <w:p>
      <w:pPr>
        <w:spacing w:after="0" w:line="21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Excluding HAMP fees, we recognized loan servicing fees and late charges of $41,889 and $26,716 during the nine months ended September 30, 2011 and 2010, respectively, as a result of modifications completed. Total HAMP fees were $28,304 and $22,655 in the first nine months of 2011 and 2010, respectively. HAMP success fees represent $17,696 and $7,281 of the total HAMP fees in the first nine months of 2011 and 2010, respectively. We completed a total of 57,070 modifications during the first nine months of 2011 as compared to 49,924 during the first nine months of 2010. In the first nine months of 2011, 17% of completed modifications were HAMP as compared to 30% in the first nine months of 2010.</w:t>
      </w:r>
    </w:p>
    <w:p>
      <w:pPr>
        <w:spacing w:after="0" w:line="20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Operating expenses increased by $3,661. Expenses related to Litton, excluding amortization of mortgage servicing rights, were $19,218. Amortization of HomEq mortgage servicing rights increased from $1,326 in 2010 to $12,264 in 2011, and amortization of Litton mortgage servicing rights was $2,276. Excluding HomEq and Litton and amortization of mortgage servicing rights, operating expenses increased by $9,947 from 2010 to 2011, as we increased our staffing in India, Uruguay and the United States to manage the increase in the size of the Servicing portfolio. Other costs rose generally with the growth of the Servicing portfolio except for legal settlement expense which declined by $4,990 as a result of the 2010 accrual for the settlement of the MDL Proceeding. Offsetting these increases was a $33,460 decline in operating expenses, other than amortization of mortgage servicing rights, related to HomEq Servicing, In addition, amortization of mortgage servicing rights, excluding HomEq and Litton, declined by $5,258. Excluding Litton personnel, average staffing in India and Uruguay increased by a combined 41% and in the United States by 7%. Total operating expenses for the for the first nine months of 2011 were 0.19% of average UPB for the period as compared to 0.26% for the first nine months of 2010.</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on borrowings for the first nine months of 2011 was 95% higher than in 2010. This increase was principally the result of an increase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average borrowings on advance facilities as a result of the HomEq and Litton acquisitions and the closing of the $575,000 senior secured term loan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Litton Acquisition on September 1, 2011. Also contributing to the increase was the repayment of the $350,000 senior secured term loan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HomEq acquisition, including $180,000 of accelerated prepayments on this loan in 2011. These prepayments resulted in a write-off to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$12,575 representing a proportionate amount of the related debt discount and deferred debt issuance costs. Interest expense for the first nine months of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includes $8,783 of net settlements related to interest rate swap agreements that we entered into during the second quarter of 2010. These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partly offset by lower spreads on advance facilities, particularly the Litton advance facility. Average borrowings of the Servicing segment increased by 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2011 as compared to 2010 as average advances and match funded advances increased by 62% during the same period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advances and MSRs acquired as part of the HomEq and Litton acquisitions.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The following table presents selected assets and liabilities of the Servicing segment at: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114,947</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Match funded advances(1)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3,756,834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MSRs (Residential) (2)</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299,717</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Receivables, net (3)</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Goodwill (4)</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57,380</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Premises and equipment (5)</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(6)</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120,484</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Prepaid lender fees and debt issuance costs, net (7)</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8,221</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14,741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4,446,960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2,495,966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Match funded liabilities (8)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3,080,228</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(7)</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549,382</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Servicer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(9)</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47,936</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Checks held for escheat (9)</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(10)</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Servicing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2,989</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(11)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3,730,073</w:t>
            </w:r>
          </w:p>
        </w:tc>
        <w:tc>
          <w:tcPr>
            <w:tcW w:w="16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1,795,251</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advances increased in 2011 primarily due to the acquisition of $2,468,137 of advances in connection with the Litton Acquisition offset in part by a reduction in advances on the pre-existing portfolio. Excluding the effect of any new acquisitions or significant foreclosure process changes, we expect advances to continue to decline in 2011; however, there is no assurance that this will occur.</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MSRs in 2011 is due to $135,341 acquired as part of the Litton Acquisition offset in part by amortization of $30,477.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decline in receivables in 2011 primarily reflects a $20,992 decline in amounts to be recovered from the custodial accounts of the trustees.</w:t>
      </w:r>
    </w:p>
    <w:p>
      <w:pPr>
        <w:spacing w:after="0" w:line="236" w:lineRule="exact"/>
        <w:rPr>
          <w:rFonts w:ascii="Arial" w:cs="Arial" w:eastAsia="Arial" w:hAnsi="Arial"/>
          <w:sz w:val="17"/>
          <w:szCs w:val="17"/>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is due to goodwill of $44,570 recorded in connection with the Litton Acquisition.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is primarily due to our acquisition of premises and equipment with a fair value of $24,224 as part of the Litton Acquisition.</w:t>
      </w:r>
    </w:p>
    <w:p>
      <w:pPr>
        <w:spacing w:after="0" w:line="22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balances required to be maintained in the debt service accounts were higher due to the funding of a new account related to the match funded advance facility entered into in connection with the Litton Acquisition. This increase was partly offset by declining balance requirements related to the other match funded facilities as a result of repayments.</w:t>
      </w:r>
    </w:p>
    <w:p>
      <w:pPr>
        <w:spacing w:after="0" w:line="181"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September 1, 2011, we entered into a senior secured term loan facility agreement and borrowed $575,000 that was used to fund a portion of the Litton Acquisition as well as for general corporate purposes. We incurred $12,124 of fees in connection with this senior secured term loan. These fees and $11,500 of original issue discount are being amortized over the five-year term of the loan. In September 2010, we executed a $350,000 senior secured term loan that was used to fund a portion of the HomEq Acquisition. At December 31, 2010, the outstanding principal balance of this loan was $197,500, and the unamortized discount and debt issuance costs were $5,632 and $8,604, respectively. We repaid the outstanding balance of this loan during the first and second quarters of 2011 and fully amortized the remaining discount and debt issue costs. See Note 13 to our Interim Consolidated Financial Statements for additional information regarding these loans.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left="460" w:hanging="452"/>
        <w:spacing w:after="0" w:line="31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balance of match funded liabilities increased because of $2,126,742 of debt incurred in connection with the establishment of a new facility to finance advances that we acquired as part of the Litton Acquisition. The outstanding balance of this new facility was $1,996,182 at September 30, 2011. This increase was partly offset by a $346,171 decline in borrowings under the HomEq advance financing facility because of advance reduction.</w:t>
      </w:r>
    </w:p>
    <w:p>
      <w:pPr>
        <w:spacing w:after="0" w:line="146"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accrued expenses is primarily due to $26,662 of accrued liabilities related to the Litton. We assumed $31,615 of liabilities in connection with the Litton Acquisition, including $6,145 of checks held for escheat.</w:t>
      </w:r>
    </w:p>
    <w:p>
      <w:pPr>
        <w:spacing w:after="0" w:line="170" w:lineRule="exact"/>
        <w:rPr>
          <w:rFonts w:ascii="Arial" w:cs="Arial" w:eastAsia="Arial" w:hAnsi="Arial"/>
          <w:sz w:val="18"/>
          <w:szCs w:val="18"/>
          <w:color w:val="auto"/>
        </w:rPr>
      </w:pPr>
    </w:p>
    <w:p>
      <w:pPr>
        <w:ind w:left="460" w:right="280" w:hanging="452"/>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balance at December 31, 2010 included $9,508 of deferred income associated with the fee reimbursement advance facility that was being amortized to earnings over the five-year life of the related debt as a reduction of interest expense. The unamortized balance was written off upon the repayment of the related debt during September 2011 and included in the gain on extinguishment of debt. See Note 13 to our Interim Consolidated Financial Statements for additional information on the fee reimbursement advance facility.</w:t>
      </w:r>
    </w:p>
    <w:p>
      <w:pPr>
        <w:spacing w:after="0" w:line="171" w:lineRule="exact"/>
        <w:rPr>
          <w:rFonts w:ascii="Arial" w:cs="Arial" w:eastAsia="Arial" w:hAnsi="Arial"/>
          <w:sz w:val="17"/>
          <w:szCs w:val="17"/>
          <w:color w:val="auto"/>
        </w:rPr>
      </w:pPr>
    </w:p>
    <w:p>
      <w:pPr>
        <w:ind w:left="460" w:right="52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balance includes $12,960 and $14,943 at September 30, 2011 and December 31, 2010, respectively, due to investors in connection with loan subservicing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periods ended September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592</w:t>
            </w:r>
          </w:p>
        </w:tc>
        <w:tc>
          <w:tcPr>
            <w:tcW w:w="400" w:type="dxa"/>
            <w:vAlign w:val="bottom"/>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535</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1,698</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2,298</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24,578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5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(1,706)</w:t>
            </w:r>
          </w:p>
        </w:tc>
        <w:tc>
          <w:tcPr>
            <w:tcW w:w="4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(24,043)</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interest income (expense)</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2,118</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6,390</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(1,011)</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(3,531)</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Equity in (losses) earnings of unconsolidated entities (1)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debt repurchase (2)</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(2,830)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expense, net</w:t>
            </w:r>
          </w:p>
        </w:tc>
        <w:tc>
          <w:tcPr>
            <w:tcW w:w="5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(2,089)</w:t>
            </w:r>
          </w:p>
        </w:tc>
        <w:tc>
          <w:tcPr>
            <w:tcW w:w="4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(2,097)</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Borders>
              <w:top w:val="single" w:sz="8" w:color="EAF9E8"/>
            </w:tcBorders>
          </w:tcPr>
          <w:p>
            <w:pPr>
              <w:spacing w:after="0"/>
              <w:rPr>
                <w:sz w:val="18"/>
                <w:szCs w:val="18"/>
                <w:color w:val="auto"/>
              </w:rPr>
            </w:pPr>
          </w:p>
        </w:tc>
        <w:tc>
          <w:tcPr>
            <w:tcW w:w="5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before income taxes</w:t>
            </w:r>
          </w:p>
        </w:tc>
        <w:tc>
          <w:tcPr>
            <w:tcW w:w="7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(3,795)</w:t>
            </w:r>
          </w:p>
        </w:tc>
        <w:tc>
          <w:tcPr>
            <w:tcW w:w="400" w:type="dxa"/>
            <w:vAlign w:val="bottom"/>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(26,140)</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(5,941)</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(35,366)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14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June 2011, ONL sold 38 residential loans for proceeds of $3,748 and realized a loss of $2,876 of which approximately 25% is included in Equity in losses of unconsolidated entities for 2011.</w:t>
      </w:r>
    </w:p>
    <w:p>
      <w:pPr>
        <w:spacing w:after="0" w:line="17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w:t>
      </w:r>
    </w:p>
    <w:p>
      <w:pPr>
        <w:spacing w:after="0" w:line="193"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color w:val="auto"/>
        </w:rPr>
        <w:t>Three months ended September 2011 versus September 2010</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were lower during the third quarter of 2011 primarily due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litigation related expenses. The third quarter of 2010 includes $20,096 of litigation expenses related to an adverse verdict in a vendor dispute. We paid the judgment related to this case in May 2011.</w:t>
      </w:r>
    </w:p>
    <w:p>
      <w:pPr>
        <w:spacing w:after="0" w:line="20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interest income (expense) consists primarily of interest income on loans held by the consolidated securitization trusts and on loans held for resale. The third quarter of 2010 also includes $3,319 of interest expense incurred on the $350,000 senior secured term loan from the closing date of the term loan on July 29, 2010 to the closing date of the HomEq Acquisition on September 1, 2010. Effective with the closing of the HomEq Acquisition, the interest expense on the term loan has been recognized in the Servicing segment.</w:t>
      </w:r>
    </w:p>
    <w:p>
      <w:pPr>
        <w:spacing w:after="0" w:line="21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Loss on trading securities for the third quarter of 2010 includes $2,961 of realized and unrealized losses on auction rate securities. During the fourth quarter of 2010, we liquidated our remaining investment in auction rate securities.</w:t>
      </w:r>
    </w:p>
    <w:p>
      <w:pPr>
        <w:spacing w:after="0" w:line="19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Equity in earnings of unconsolidated entities declined due to a loss incurred by Correspondent One from its start-up operations. Our 49% share of their loss for the quarter was $355.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right="240" w:firstLine="324"/>
        <w:spacing w:after="0" w:line="264" w:lineRule="auto"/>
        <w:rPr>
          <w:sz w:val="20"/>
          <w:szCs w:val="20"/>
          <w:color w:val="auto"/>
        </w:rPr>
      </w:pPr>
      <w:r>
        <w:rPr>
          <w:rFonts w:ascii="Arial" w:cs="Arial" w:eastAsia="Arial" w:hAnsi="Arial"/>
          <w:sz w:val="18"/>
          <w:szCs w:val="18"/>
          <w:color w:val="auto"/>
        </w:rPr>
        <w:t>Other, net for the third quarter of 2011 includes $2,759 of unrealized losses on foreign exchange forward contracts we entered into in August to hedge against the effects of changes in the value of the Indian Rupee. During the third quarter of 2010, we recognized a gain of $1,000 as the result of receiving a legal settlement related to an affordable housing project that we had sold in 2005.</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 xml:space="preserve">Nine months ended September 2011 versus September 2010. </w:t>
      </w:r>
      <w:r>
        <w:rPr>
          <w:rFonts w:ascii="Arial" w:cs="Arial" w:eastAsia="Arial" w:hAnsi="Arial"/>
          <w:sz w:val="18"/>
          <w:szCs w:val="18"/>
          <w:color w:val="auto"/>
        </w:rPr>
        <w:t>Operating expenses were lower during the first nine months of 2011 primarily due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litigation-related expenses and the reversal of allowances on affordable housing receivables. During the first quarter of 2010, we incurred costs in connection with the settlement of two litigation actions whereby the broker / dealers agreed to repurchase certain of our auction rate securities. As disclosed above, in the third quarter of 2010 we incurred $20,096 of litigation expenses related to an adverse verdict in a vendor dispute. During the first quarter of 2011, we reduced our litigation accruals that we had established in 2010 related to the vendor dispute based on the final judgment which was paid in May 2011.</w:t>
      </w:r>
    </w:p>
    <w:p>
      <w:pPr>
        <w:spacing w:after="0" w:line="21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decline in earnings of unconsolidated entities in the first nine months of 2011 largely resulted from an increase in unrealized losses on loans held and a realized loss on loans sold by ONL, a decline in the fair value of residual securities held by OSI and the operating loss incurred by Correspondent One.</w:t>
      </w:r>
    </w:p>
    <w:p>
      <w:pPr>
        <w:spacing w:after="0" w:line="15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Other, net for the nine months ended September 30, 2010 includes the $3,000 charge recorded in the second quarter to write-off our investment in a commercial real estate partnership.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The following table presents selected assets and liabilities of Corporate Items and Other at: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152,037</w:t>
            </w:r>
          </w:p>
        </w:tc>
        <w:tc>
          <w:tcPr>
            <w:tcW w:w="160" w:type="dxa"/>
            <w:vAlign w:val="bottom"/>
            <w:shd w:val="clear" w:color="auto" w:fill="EAF9E8"/>
          </w:tcPr>
          <w:p>
            <w:pPr>
              <w:spacing w:after="0"/>
              <w:rPr>
                <w:sz w:val="18"/>
                <w:szCs w:val="18"/>
                <w:color w:val="auto"/>
              </w:rPr>
            </w:pP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(1)</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21,933</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60,389</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5,968</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Interest-earning collateral deposits (3)</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Real estate (4)</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3,440</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Investment in unconsolidated entities (5)</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4,135</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450,215</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425,443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(6)</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5,728</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 (3)</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18,389</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expenses (7)</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2,067</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189,159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286"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Loans held for resale are net of valuation allowances of $14,407 and $14,611 at September 30, 2011 and December 31, 2010, respectively, and include non-performing loans with a carrying value of $9,192 and $11,247, respectively. The UPB of nonperforming loans held for resale as a percentage of total UPB was 54% at September 30, 2011 compared to 54% at September 30, 2010 and 53% at December 31, 2010.</w:t>
      </w:r>
    </w:p>
    <w:p>
      <w:pPr>
        <w:spacing w:after="0" w:line="165" w:lineRule="exact"/>
        <w:rPr>
          <w:rFonts w:ascii="Arial" w:cs="Arial" w:eastAsia="Arial" w:hAnsi="Arial"/>
          <w:sz w:val="17"/>
          <w:szCs w:val="17"/>
          <w:color w:val="auto"/>
        </w:rPr>
      </w:pPr>
    </w:p>
    <w:p>
      <w:pPr>
        <w:ind w:left="460" w:right="140" w:hanging="452"/>
        <w:spacing w:after="0" w:line="25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Loans held by the consolidated securitization trusts are net of an allowance for loan losses of $2,284 and $2,378 at September 30, 2011 and December 31, 2010, respectively, and include nonperforming loans with a UPB of $12,671 and $12,933, respectively. The UPB of nonperforming loans was $12,907 at September 30, 2010. Secured borrowings – owed to securitization investors represent certificates issued by the consolidated securitization trusts. See Note 1, Note 7 and Note 12 to the Interim Consolidated Financial Statements for additional information regarding the securitization trusts, the loans and the related borrowings.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left="460" w:right="8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disclosed in Note 15 to the Interim Consolidated Financial Statements, we entered into interest rate swap agreements during the second quarter of 2010 to hedge against our exposure to an increase in variable interest rates. In August 2011, we also entered into foreign exchange forward contracts to hedge against the effect of changes in the value of the India Rupee. At September 30, 2011 and December 31, 2010, we have $21,319 and $18,684, respectively, of cash collateral on deposit with the counterparties to our derivatives, the majority of which relates to the swap agreements.</w:t>
      </w:r>
    </w:p>
    <w:p>
      <w:pPr>
        <w:spacing w:after="0" w:line="154" w:lineRule="exact"/>
        <w:rPr>
          <w:rFonts w:ascii="Arial" w:cs="Arial" w:eastAsia="Arial" w:hAnsi="Arial"/>
          <w:sz w:val="16"/>
          <w:szCs w:val="16"/>
          <w:color w:val="auto"/>
        </w:rPr>
      </w:pPr>
    </w:p>
    <w:p>
      <w:pPr>
        <w:ind w:left="460" w:right="2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$2,757 and $3,783 at September 30, 2011 and December 31, 2010, respectively, of foreclosed properties from our portfolio of loans held for resale that are reported net of fair value allowances of $2,667 and $3,554, respectively.</w:t>
      </w:r>
    </w:p>
    <w:p>
      <w:pPr>
        <w:spacing w:after="0" w:line="17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in unconsolidated entities includes our 25% equity interests in asset management entities OSI, ONL and OREO. Our combined investment in these entities was $8,720 and $11,992 at September 30, 2011 and December 31, 2010, respectively. During the first nine months of 2011, we received a total of $2,415 of distributions from the asset management entities. We have no remaining commitment to invest in OSI or ONL or OREO. In addition, we acquired a 50% interest in Correspondent One in March 2011. As of September 30, 2011, we had funded all of the committed $15,000 investment in Correspondent One, of which $11,975 was funded in July. By September 30, 2011, investments by unrelated third parties had reduced our interest in Correspondent One to 49%.</w:t>
      </w:r>
    </w:p>
    <w:p>
      <w:pPr>
        <w:spacing w:after="0" w:line="193" w:lineRule="exact"/>
        <w:rPr>
          <w:rFonts w:ascii="Arial" w:cs="Arial" w:eastAsia="Arial" w:hAnsi="Arial"/>
          <w:sz w:val="18"/>
          <w:szCs w:val="18"/>
          <w:color w:val="auto"/>
        </w:rPr>
      </w:pPr>
    </w:p>
    <w:p>
      <w:pPr>
        <w:ind w:left="460" w:right="38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decline in accrued expenses in 2011 is primarily due to our payment in May of a judgment regarding a litigated vendor dispute. Accruals established in connection with litigation declined from $18,413 at December 31, 2010 to $2,360 at September 30, 2011. See Note 22 to the Interim Consolidated Financial Statements for additional information regarding litigation.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Total equity amounted to $977,943 at September 30, 2011 as compared to $904,817 at December 31, 2010. This increase of $73,126 is primarily due to net income of $68,680. The exercise of stock options and the recognition of compensation related to employee share-based awards also contributed to the increase in equity in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Income tax expense (benefit) was $8,730 and $(7,487) for the third quarter of 2011 and 2010, respectively. For the nine months of 2011 and 2010, income tax expense was $35,808 and $310, respectively.</w:t>
      </w:r>
    </w:p>
    <w:p>
      <w:pPr>
        <w:spacing w:after="0" w:line="19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effective tax rate for the first nine months of 2011 was 34.27% as compared to 1.29% for the same period of 2010. Income tax provisions for interim (quarterly) periods are based on estimated annual income taxes calculated separately from the effect of significant, infrequent or unusual items. Income tax expense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21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Our effective tax rate for the first nine months of 2010 reflects a benefit from the release of a reserve of $12,005 predominantly related to deductions associated with a servicing advance finance structure and statute expirations. The reserve for this item was recorded in 2009. Our effective tax rate for first nine months of 2010 also includes a non-cash benefit of approximately 7.2% associated with the recognition of certain foreign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noted in the Overview – Liquidity Summary, our liquidity as of September 30, 2011, as measured by unencumbered cash plus unused, collateralized advance financing capacity was $229,069, a decrease of $27,821, or 11%, from December 31, 2010. At September 30, 2011, our cash position was $152,037 compared to $127,796 at December 31, 2010. We have invested cash that is in excess of our immediate operating needs primarily in money market deposit accounts.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56" w:lineRule="exact"/>
        <w:rPr>
          <w:sz w:val="20"/>
          <w:szCs w:val="20"/>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ind w:left="920" w:hanging="453"/>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 although we cannot assure you that they will be available on terms that we find acceptable.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52" w:lineRule="exact"/>
        <w:rPr>
          <w:sz w:val="20"/>
          <w:szCs w:val="20"/>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97" w:lineRule="exact"/>
        <w:rPr>
          <w:sz w:val="20"/>
          <w:szCs w:val="20"/>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2011, $627,878 of our total maximum borrowing capacity remained unused. We maintain unused borrowing capacity for three reasons:</w:t>
      </w:r>
    </w:p>
    <w:p>
      <w:pPr>
        <w:spacing w:after="0" w:line="275" w:lineRule="exact"/>
        <w:rPr>
          <w:sz w:val="20"/>
          <w:szCs w:val="20"/>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 rights.</w:t>
      </w:r>
    </w:p>
    <w:p>
      <w:pPr>
        <w:spacing w:after="0" w:line="248" w:lineRule="exact"/>
        <w:rPr>
          <w:sz w:val="20"/>
          <w:szCs w:val="20"/>
          <w:color w:val="auto"/>
        </w:rPr>
      </w:pPr>
    </w:p>
    <w:p>
      <w:pPr>
        <w:ind w:firstLine="324"/>
        <w:spacing w:after="0" w:line="295" w:lineRule="auto"/>
        <w:rPr>
          <w:sz w:val="20"/>
          <w:szCs w:val="20"/>
          <w:color w:val="auto"/>
        </w:rPr>
      </w:pPr>
      <w:r>
        <w:rPr>
          <w:rFonts w:ascii="Arial" w:cs="Arial" w:eastAsia="Arial" w:hAnsi="Arial"/>
          <w:sz w:val="16"/>
          <w:szCs w:val="16"/>
          <w:b w:val="1"/>
          <w:bCs w:val="1"/>
          <w:color w:val="auto"/>
        </w:rPr>
        <w:t xml:space="preserve">Outlook. </w:t>
      </w:r>
      <w:r>
        <w:rPr>
          <w:rFonts w:ascii="Arial" w:cs="Arial" w:eastAsia="Arial" w:hAnsi="Arial"/>
          <w:sz w:val="16"/>
          <w:szCs w:val="16"/>
          <w:color w:val="auto"/>
        </w:rPr>
        <w:t>As also noted in the Overview – Liquidity Summary section, in order to reduce interest expense, we are reducing unused borrowing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a level that we consider prudent relative to the current levels of advances and to meet our funding needs for reasonably foreseeable changes in advances. In the second quarter of 2011, we terminated one underutilized match funded advance facility and reduced the size of another. We also monitor the duration of our funding sources. With the increase in the term of our funding sources, we have better matched the duration of our advances and corresponding borrowings and further reduced the relative cost of up-front facility fees and expenses. Our $290,000 of TALF issuances, $438,364 of three-year term notes under our HomEq facility and $1,996,182 two-year note under our Litton facility account for 88% of our outstanding advance financing at September 30, 2011.</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nine months of 2011, we:</w:t>
      </w:r>
    </w:p>
    <w:p>
      <w:pPr>
        <w:spacing w:after="0" w:line="256" w:lineRule="exact"/>
        <w:rPr>
          <w:sz w:val="20"/>
          <w:szCs w:val="20"/>
          <w:color w:val="auto"/>
        </w:rPr>
      </w:pPr>
    </w:p>
    <w:p>
      <w:pPr>
        <w:ind w:left="920" w:hanging="453"/>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Extended the amortization date of a variable funding note with a maximum borrowing capacity of $300,000 by one year to February 2012;</w:t>
      </w:r>
    </w:p>
    <w:p>
      <w:pPr>
        <w:spacing w:after="0" w:line="236" w:lineRule="exact"/>
        <w:rPr>
          <w:rFonts w:ascii="Arial" w:cs="Arial" w:eastAsia="Arial" w:hAnsi="Arial"/>
          <w:sz w:val="17"/>
          <w:szCs w:val="17"/>
          <w:color w:val="auto"/>
        </w:rPr>
      </w:pPr>
    </w:p>
    <w:p>
      <w:pPr>
        <w:ind w:left="920" w:right="260" w:hanging="453"/>
        <w:spacing w:after="0" w:line="277"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Extended the amortization date of a second facility from June 2011 to July 2013, reduced the maximum borrowing capacity from $500,000 to $265,000 and reduced the annual facility fee from 1.3% of the maximum borrowing capacity to 1%;</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Terminated an advance financing facility with a maximum borrowing capacity of $100,000 and repaid the outstanding balance on June 30, 2011;</w:t>
      </w:r>
    </w:p>
    <w:p>
      <w:pPr>
        <w:spacing w:after="0" w:line="248" w:lineRule="exact"/>
        <w:rPr>
          <w:rFonts w:ascii="Arial" w:cs="Arial" w:eastAsia="Arial" w:hAnsi="Arial"/>
          <w:sz w:val="16"/>
          <w:szCs w:val="16"/>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Repaid $346,171 of the HomEq advance facility term notes;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Repaid the remaining $197,500 balance of the $350,000 senior secured term loan, including $180,000 of voluntary repayments;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Issued $2,126,742 of notes on September 1, 2011 in connection with the financing of advances that we acquired as part of the Litton Acquisition;</w:t>
      </w:r>
    </w:p>
    <w:p>
      <w:pPr>
        <w:spacing w:after="0" w:line="248" w:lineRule="exact"/>
        <w:rPr>
          <w:rFonts w:ascii="Arial" w:cs="Arial" w:eastAsia="Arial" w:hAnsi="Arial"/>
          <w:sz w:val="16"/>
          <w:szCs w:val="16"/>
          <w:color w:val="auto"/>
        </w:rPr>
      </w:pPr>
    </w:p>
    <w:p>
      <w:pPr>
        <w:ind w:left="920" w:right="60" w:hanging="453"/>
        <w:spacing w:after="0" w:line="277"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Entered into a new $575,000 senior secured term loan on September 1, 2011 that was issued with a discount of $11,500 and used the proceeds to fund a portion of the Litton Acquisition, of which $14,375 was repaid on September 30, 2011;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0" w:name="page51"/>
    <w:bookmarkEnd w:id="50"/>
    <w:p>
      <w:pPr>
        <w:ind w:left="920" w:hanging="453"/>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Repaid the remaining $48,000 balance of the fee reimbursement advance borrowing, including $36,000 in September 2011.</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Maximum borrowing capacity for match funded advances increased by $1,299,106 from $2,409,000 at December 31, 2010 to $3,708,106 at September 30, 2011. This increase is a result of the addition of the Litton advance financing facility. The increase resulting from the Litton facility was offset by: the Advance Receivable Backed Note Series 2010-1 note entering its amortization period; the pay down on the term notes issued in connection with the HomEq Acquisition which reduces potential borrowing on those notes; the reduction in maximum borrowing capacity on one facility from $500,000 to $265,000; and the termination of another facility that had a maximum borrowing capacity of $100,000. The Series 2010-1 note will continue to be repaid at the rate of $40,000 per quarter. Our unused advance borrowing capacity decreased from $926,471 at December 31, 2010 to $627,878 at September 30, 2011 as the increase related to the Litton advance funding facility was offset by the decline in capacity resulting from the pay down of the Series 2010-1 note, reduction in maximum borrowing capacity on one facility, the termination of another facility and increased borrowing on the Advance Receivable Backed Note Series 2009-2.</w:t>
      </w:r>
    </w:p>
    <w:p>
      <w:pPr>
        <w:spacing w:after="0" w:line="22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Three of our match funded advance facilities are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20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As discussed in Note 22 to the Interim Consolidated Financial Statements and in the Overview – Strategic Priorities section, recent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80% of the increase in advances could be borrowed. Alternatively,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increases in other forms of resolution, and advances have continued to decline. Absent significant changes in the foreclosure process, we expect advances to continue to decline.</w:t>
      </w:r>
    </w:p>
    <w:p>
      <w:pPr>
        <w:spacing w:after="0" w:line="19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21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By the end of the second quarter of 2011, through voluntary repayments in addition to mandatory quarterly installments of $8,750, we had repaid in full our borrowings under the $350,000 senior secured term loan that we had entered into in connection with the HomEq Acquisition. We made the prepayments in order to absorb excess liquidity and to reduce interest costs. While we fully repaid this senior secured term loan in the second quarter, we subsequently entered into an agreement for a new $575,000 senior secured term loan agreement to finance the Litton Acquisition that has covenants similar to the prior senior secured term loan.</w:t>
      </w:r>
    </w:p>
    <w:p>
      <w:pPr>
        <w:spacing w:after="0" w:line="2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color w:val="auto"/>
        </w:rPr>
        <w:t xml:space="preserve">Cash flows for the nine months ended September 30, 2011. </w:t>
      </w:r>
      <w:r>
        <w:rPr>
          <w:rFonts w:ascii="Arial" w:cs="Arial" w:eastAsia="Arial" w:hAnsi="Arial"/>
          <w:sz w:val="18"/>
          <w:szCs w:val="18"/>
          <w:color w:val="auto"/>
        </w:rPr>
        <w:t>Our operating activities provided $803,621 of cash primarily due to $699,516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(primarily on the HomEq Servicing portfolio) and net income adjusted for amortization and other non-cash items. Also, amounts to be recovered from the custodial accounts of trustees declined by $20,992. Balances required to be maintained in interest-earning debt service accounts increased by $34,250 because of the funding of a new account related to the advance facility established to fund the advances acquired as part of the Litton Acquisition. This increase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senior secured term loans.</w:t>
      </w:r>
    </w:p>
    <w:p>
      <w:pPr>
        <w:spacing w:after="0" w:line="22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investing activities used $2,654,432 of cash during the nine months ended September 30, 2011. On September 1, 2011, we paid $2,646,486 to acquire Litton, including advances of $2,468,137 and MSRs of $135,341. We also invested $15,000 in Correspondent One. Distributions received from our asset management entities were $2,415 during the first nine months of 2011.</w:t>
      </w:r>
    </w:p>
    <w:p>
      <w:pPr>
        <w:spacing w:after="0" w:line="20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financing activities provided $1,875,052 of cash consisting primarily of $2,126,742 received from the new match funded facility established to finance the advances acquired in the Litton Acquisition. We also received proceeds of $563,500 from the issuance of the $575,000 senior secured term loan. We used the proceeds from these two new facilities to fund the Litton Acquisition. Cash provided by operating activities allowed us to make net repayments of $529,043 against match funded liabilities. In addition, we were able to repay the $197,500 remaining balance of the $350,000 senior secured term loan and the $14,375 initial payment on the new $575,000 senior secured term loan. We also repaid the remaining balance on our fee reimbursement advance, including $36,000 in the third quarter. In connection with the issuance of the new senior secured term loan, we paid $12,070 of debt issuance costs to the lender.</w:t>
      </w:r>
    </w:p>
    <w:p>
      <w:pPr>
        <w:spacing w:after="0" w:line="212" w:lineRule="exact"/>
        <w:rPr>
          <w:sz w:val="20"/>
          <w:szCs w:val="20"/>
          <w:color w:val="auto"/>
        </w:rPr>
      </w:pPr>
    </w:p>
    <w:p>
      <w:pPr>
        <w:jc w:val="both"/>
        <w:ind w:right="380" w:firstLine="324"/>
        <w:spacing w:after="0" w:line="303" w:lineRule="auto"/>
        <w:rPr>
          <w:sz w:val="20"/>
          <w:szCs w:val="20"/>
          <w:color w:val="auto"/>
        </w:rPr>
      </w:pPr>
      <w:r>
        <w:rPr>
          <w:rFonts w:ascii="Arial" w:cs="Arial" w:eastAsia="Arial" w:hAnsi="Arial"/>
          <w:sz w:val="16"/>
          <w:szCs w:val="16"/>
          <w:b w:val="1"/>
          <w:bCs w:val="1"/>
          <w:color w:val="auto"/>
        </w:rPr>
        <w:t>Cash flows for the nine months ended September 30, 2010</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provided $434,582 of cash primarily due to our liquidation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auction rate securities and net collections of servicing advances. Trading activities provided $168,853 of cash from sales, settlements and redemptions of auction rate securities. Excluding the advances acquired in connection with the $22.4 billion HomEq Servicing portfolio in the third quarter and the $6.9 billion Saxon servicing portfolio in the second quarter, advances declined $204,343 while servicer liabilities declined by $36,304.</w:t>
      </w:r>
    </w:p>
    <w:p>
      <w:pPr>
        <w:spacing w:after="0" w:line="18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investing activities used $1,711,776 of cash during the first nine months of 2010. During the third quarter of 2010, we paid $1,167,122 to acquire the HomEq Servicing business including $84,683 of MSRs and $1,062,873 of advances. During the second quarter of 2010, we paid $23,425 to purchase MSRs and acquired $528,882 of advances and other assets in connection with the acquisition of the Saxon servicing portfolio. We also received $3,542 of distributions from our asset management entities during the first nine months of 2010.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410" w:gutter="0" w:footer="0" w:header="0"/>
        </w:sectPr>
      </w:pPr>
    </w:p>
    <w:bookmarkStart w:id="51" w:name="page52"/>
    <w:bookmarkEnd w:id="51"/>
    <w:p>
      <w:pPr>
        <w:ind w:firstLine="324"/>
        <w:spacing w:after="0" w:line="272" w:lineRule="auto"/>
        <w:rPr>
          <w:sz w:val="20"/>
          <w:szCs w:val="20"/>
          <w:color w:val="auto"/>
        </w:rPr>
      </w:pPr>
      <w:r>
        <w:rPr>
          <w:rFonts w:ascii="Arial" w:cs="Arial" w:eastAsia="Arial" w:hAnsi="Arial"/>
          <w:sz w:val="17"/>
          <w:szCs w:val="17"/>
          <w:color w:val="auto"/>
        </w:rPr>
        <w:t>Our financing activities provided $1,350,186 of cash primarily consisting of $1,140,655 of net proceeds from match funded liabilities of our Servicing business including $824,000 received in connection with the notes issued to finance the advances acquired as part of the HomEq Acquisition. We also received proceeds of $343,000 from the issuance of the $350,000 senior secured term loan and $96,636 from collateralized financing transactions involving auction rate securities which we recognized as secured borrowings. This was partially offset by our repayment of the investment line of $156,968, reduction in borrowings collateralized by auction rate securities of $40,504 and purchase of our Capital Trust Securities with a face value of $13,010 for $11,659. We also paid the first annual installment of $12,000 on our $60,000 fee reimbursement advance. On the $350,000 senior secured term loan, we paid debt issuance costs of $9,882 and paid the first quarterly installment of $8,750.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22 to the Interim Consolidated Financial Statements for additional information regarding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214"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We record all derivative transactions at fair value on our consolidated balance sheets. We use these derivatives primarily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risk as well as our exposure to changes in the value of the India Rupee. The notional amounts of our derivative contracts do not reflect our exposure to credit loss. See Note 15 to our Interim Consolidated Financial Statements for additional information regarding derivatives.</w:t>
      </w:r>
    </w:p>
    <w:p>
      <w:pPr>
        <w:spacing w:after="0" w:line="17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securitizations of mortgage loans were structured as sales. The SPEs to which we transferred the mortgage loans were qualifying special purpose entities (QSPEs) and, therefore under previous accounting rules, were not subject to consolidation through 2009. We have retained both subordinated and residual interests in these SPEs. Effective January 1, 2010, the accounting standards were amended to eliminate the concept of a QSPE. We reevaluated these QSPEs as well as all other potentially significant interests in other unconsolidated entities to determine if we should include them in our consolidated financial statements. We determined that four of these loan securitization trusts are VIEs and that we are the primary beneficiary. We have included these four trusts in our consolidated financial statements effective January 1, 2010.</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2" w:name="page53"/>
    <w:bookmarkEnd w:id="52"/>
    <w:p>
      <w:pPr>
        <w:ind w:right="120" w:firstLine="324"/>
        <w:spacing w:after="0" w:line="297"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 on July 1, 2013.</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Listed below are recently issued accounting pronouncements that we have not yet adopted. These pronouncements are not expected to have a material impact on our Consolidated Financial Statements. For additional information regarding these pronouncements, see Note 2 to our Interim Consolidated Financial Statements.</w:t>
      </w:r>
    </w:p>
    <w:p>
      <w:pPr>
        <w:spacing w:after="0" w:line="20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Repurchase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amendments in this ASU also eliminate the requirement to demonstrate that the transferor possesses adequate collateral to fund substantially all the cost of purchasing replacement financial assets. The guidance in this ASU is effective for the first interim or annual period beginning on or after December 15, 2011, with early adoption prohibited.</w:t>
      </w:r>
    </w:p>
    <w:p>
      <w:pPr>
        <w:spacing w:after="0" w:line="205"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ASU 2011-04 (ASC 820, Fair Value Measurement): Amendments to Achieve Common Fair Value Measurement and Disclosure Requirements in U.S. GAAP and IFRSs</w:t>
      </w:r>
      <w:r>
        <w:rPr>
          <w:rFonts w:ascii="Arial" w:cs="Arial" w:eastAsia="Arial" w:hAnsi="Arial"/>
          <w:sz w:val="16"/>
          <w:szCs w:val="16"/>
          <w:color w:val="auto"/>
        </w:rPr>
        <w:t>. The amendments in this ASU explain how to measure fair value. They do not require additional fair value measurements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The provisions of this ASU are effective for interim and annual periods beginning on or after December 15, 2011, with early adoption prohibited.</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ASU 2011-05 (ASC 220, Comprehensive Income): Presentation of Comprehensive Income</w:t>
      </w:r>
      <w:r>
        <w:rPr>
          <w:rFonts w:ascii="Arial" w:cs="Arial" w:eastAsia="Arial" w:hAnsi="Arial"/>
          <w:sz w:val="18"/>
          <w:szCs w:val="18"/>
          <w:color w:val="auto"/>
        </w:rPr>
        <w:t>, Current U.S. GAAP allows reporting entities three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an entity to present reclassification adjustments from other comprehensive income to net income on the face of the financial statements. The provisions of this ASU are effective for interim and annual periods beginning after December 15, 2011.</w:t>
      </w:r>
    </w:p>
    <w:p>
      <w:pPr>
        <w:spacing w:after="0" w:line="22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ASU 2011-08 (ASC 350, Intangibles – Goodwill and Other): Testing Goodwill for Impairment. </w:t>
      </w:r>
      <w:r>
        <w:rPr>
          <w:rFonts w:ascii="Arial" w:cs="Arial" w:eastAsia="Arial" w:hAnsi="Arial"/>
          <w:sz w:val="18"/>
          <w:szCs w:val="18"/>
          <w:color w:val="auto"/>
        </w:rPr>
        <w:t>With this ASU, the FASB has taken action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and complexity of the annual goodwill impairment test by providing reporting entities with the option of performing a “qualitative” assessment of impairment to determine if any further quantitative testing for impairment may be necessary. An entity can choose to apply the qualitative assessment to all, some or none of its reporting units. The ASU is effective for reporting periods beginning after December 15, 2011; however, an entity can early adopt the revised standard even if its annual impairment test date is before September 15, 2011, the date that the ASU was issued. We intend to early adopt the revised standard during the fourth quarter of 2011. We do not anticipate that the adoption of the standard will have a material impact on our consolidated financial statements.</w:t>
      </w:r>
    </w:p>
    <w:p>
      <w:pPr>
        <w:spacing w:after="0" w:line="216"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to the recently issued accounting pronouncements listed above that we have not yet adopted, listed below are accounting pronouncements we recently adopted that did not have a material affect but resulted in additional disclosures in the notes to our Consolidated Financial Statements.</w:t>
      </w:r>
    </w:p>
    <w:p>
      <w:pPr>
        <w:spacing w:after="0" w:line="15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ASU No. 2010-06 (ASC 820, Fair Value Measurements and Disclosures): Improving Disclosures about Fair Value Measurements</w:t>
      </w:r>
      <w:r>
        <w:rPr>
          <w:rFonts w:ascii="Arial" w:cs="Arial" w:eastAsia="Arial" w:hAnsi="Arial"/>
          <w:sz w:val="18"/>
          <w:szCs w:val="18"/>
          <w:color w:val="auto"/>
        </w:rPr>
        <w:t>. ASU 2010-06 revised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requirements concerning fair value measurements. Effective for the period ended March 31, 2011, the presentation of purchases, sales, issuances and settlements within Level 3 are required to be presented on a gross rather than net basis. See Note 4 to our Interim Consolidated Financial Statements for our fair value disclosures related to financial instruments.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right="80" w:firstLine="324"/>
        <w:spacing w:after="0" w:line="272" w:lineRule="auto"/>
        <w:rPr>
          <w:sz w:val="20"/>
          <w:szCs w:val="20"/>
          <w:color w:val="auto"/>
        </w:rPr>
      </w:pPr>
      <w:r>
        <w:rPr>
          <w:rFonts w:ascii="Arial" w:cs="Arial" w:eastAsia="Arial" w:hAnsi="Arial"/>
          <w:sz w:val="17"/>
          <w:szCs w:val="17"/>
          <w:i w:val="1"/>
          <w:iCs w:val="1"/>
          <w:color w:val="auto"/>
        </w:rPr>
        <w:t>ASU No. 2010-20 (ASC 310, Receivables)</w:t>
      </w:r>
      <w:r>
        <w:rPr>
          <w:rFonts w:ascii="Arial" w:cs="Arial" w:eastAsia="Arial" w:hAnsi="Arial"/>
          <w:sz w:val="17"/>
          <w:szCs w:val="17"/>
          <w:color w:val="auto"/>
        </w:rPr>
        <w:t>:</w:t>
      </w:r>
      <w:r>
        <w:rPr>
          <w:rFonts w:ascii="Arial" w:cs="Arial" w:eastAsia="Arial" w:hAnsi="Arial"/>
          <w:sz w:val="17"/>
          <w:szCs w:val="17"/>
          <w:i w:val="1"/>
          <w:iCs w:val="1"/>
          <w:color w:val="auto"/>
        </w:rPr>
        <w:t xml:space="preserve"> Disclosures about the Credit Quality of Financing Receivables and the Allowance for Credit Losses</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2010-20 requires disclosure of disaggregated information for both the financing receivables and the related allowance for credit losses. The disclosure requirements specifically do not apply to trade receivables with contractual maturities of one year or less that arose from the sale of goods or services, except for credit card receivables. The disclosure requirements also do not apply to mortgage banking activities, including the long-term servicing of loans, and certain disclosures are not required for receivables measured at the lower of cost or market. The disclosures about activity that occurred during a reporting period, such as the allowance rollforward and modification disclosures became effective for our financial statements for the interim period beginning January 1, 2011. See Note 9 to our Interim Consolidated Financial Statements for our disclosures related to receivables.</w:t>
      </w:r>
    </w:p>
    <w:p>
      <w:pPr>
        <w:spacing w:after="0" w:line="20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ASU 2011-02 (ASC 310, Receivables): A Creditor’s Determination of Whether a Restructuring Is a Troubled Debt Restructuring. </w:t>
      </w:r>
      <w:r>
        <w:rPr>
          <w:rFonts w:ascii="Arial" w:cs="Arial" w:eastAsia="Arial" w:hAnsi="Arial"/>
          <w:sz w:val="18"/>
          <w:szCs w:val="18"/>
          <w:color w:val="auto"/>
        </w:rPr>
        <w:t>The amendments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clarify the guidance on a creditor’s determination of whether a restructuring or modification of a receivable meets the criteria to be considered a troubled debt restructuring. If the restructuring is considered a troubled debt restructuring, creditors are required to make certain disclosures in their financial statements and the calculation of the allowance for credit losses for that receivable follows the impairment guidance specific to impaired receivables. The amendments in this ASU became effective July 1, 2011.</w:t>
      </w:r>
    </w:p>
    <w:p>
      <w:pPr>
        <w:spacing w:after="0" w:line="21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of the cash required to support the Servicing business includes the requirement to make advances pursuant to servicing contracts. In general, we finance our operations through operating cash flow, match funding agreements and secured borrowings. See the Overview - Liquidity Summary and Liquidity and Capital Resources sections for additional discussion of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As explained in the Overview – Interest Rate Risk Summary section, interest rate risk is a function of (i) the timing and (ii) the dollar amount of assets and liabilities that re-price at each point in time. Based on September 30, 2011 balances, if interest rates increase by 1% on our variable-rate advance financing and interest earning cash and float balances, we estimate a net positive impact of approximately $6,209 resulting from an increase of $6,925 in annual interest income and an increase of $716 in annual interest expense. The increase in interest expense is reduced by approximately $7,200 due to the anticipated effects of our hedging activities.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EAF9E8"/>
          </w:tcPr>
          <w:p>
            <w:pPr>
              <w:spacing w:after="0"/>
              <w:rPr>
                <w:sz w:val="20"/>
                <w:szCs w:val="20"/>
                <w:color w:val="auto"/>
              </w:rPr>
            </w:pPr>
            <w:r>
              <w:rPr>
                <w:rFonts w:ascii="Arial" w:cs="Arial" w:eastAsia="Arial" w:hAnsi="Arial"/>
                <w:sz w:val="18"/>
                <w:szCs w:val="18"/>
                <w:color w:val="auto"/>
              </w:rPr>
              <w:t>Fixed-rate borrowings</w:t>
            </w:r>
          </w:p>
        </w:tc>
        <w:tc>
          <w:tcPr>
            <w:tcW w:w="18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2,286,182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180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EAF9E8"/>
          </w:tcPr>
          <w:p>
            <w:pPr>
              <w:spacing w:after="0"/>
              <w:rPr>
                <w:sz w:val="20"/>
                <w:szCs w:val="20"/>
                <w:color w:val="auto"/>
              </w:rPr>
            </w:pPr>
            <w:r>
              <w:rPr>
                <w:rFonts w:ascii="Arial" w:cs="Arial" w:eastAsia="Arial" w:hAnsi="Arial"/>
                <w:sz w:val="18"/>
                <w:szCs w:val="18"/>
                <w:color w:val="auto"/>
              </w:rPr>
              <w:t>Variable-rate borrowings</w:t>
            </w:r>
          </w:p>
        </w:tc>
        <w:tc>
          <w:tcPr>
            <w:tcW w:w="18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Senior secured term loan (1)</w:t>
            </w:r>
          </w:p>
        </w:tc>
        <w:tc>
          <w:tcPr>
            <w:tcW w:w="18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560,625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Securities sold under an agreement to repurchase</w:t>
            </w:r>
          </w:p>
        </w:tc>
        <w:tc>
          <w:tcPr>
            <w:tcW w:w="1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EAF9E8"/>
            </w:tcBorders>
            <w:shd w:val="clear" w:color="auto" w:fill="EAF9E8"/>
          </w:tcPr>
          <w:p>
            <w:pPr>
              <w:spacing w:after="0"/>
              <w:rPr>
                <w:sz w:val="19"/>
                <w:szCs w:val="19"/>
                <w:color w:val="auto"/>
              </w:rPr>
            </w:pPr>
          </w:p>
        </w:tc>
        <w:tc>
          <w:tcPr>
            <w:tcW w:w="180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1,360,399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borrowings outstanding (2)</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3,729,135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swaps (3)</w:t>
            </w:r>
          </w:p>
        </w:tc>
        <w:tc>
          <w:tcPr>
            <w:tcW w:w="18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722,429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Balance excludes the unamortized discount of $11,243.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borrowings excludes Secured borrowings – owed to securitization investors.</w:t>
      </w:r>
    </w:p>
    <w:p>
      <w:pPr>
        <w:spacing w:after="0" w:line="225" w:lineRule="exact"/>
        <w:rPr>
          <w:rFonts w:ascii="Arial" w:cs="Arial" w:eastAsia="Arial" w:hAnsi="Arial"/>
          <w:sz w:val="18"/>
          <w:szCs w:val="18"/>
          <w:color w:val="auto"/>
        </w:rPr>
      </w:pPr>
    </w:p>
    <w:p>
      <w:pPr>
        <w:ind w:left="460" w:right="220" w:hanging="452"/>
        <w:spacing w:after="0" w:line="28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Notional balance includes interest rate swaps entered into to hedge our exposure to rising interest rates on two variable-rate match funded advance facilities with a combined outstanding balance of $659,363 at September 30, 2011. Balance does not include the interest rate swap held by one of the securitization trusts that we began to include in our consolidated financial statements effective January 1, 2010.</w:t>
      </w:r>
    </w:p>
    <w:p>
      <w:pPr>
        <w:spacing w:after="0" w:line="193"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Excluding Loans, net – restricted for securitization investors, our Consolidated Balance Sheet at September 30, 2011 included interest-earning assets totaling $247,504. Interest-earning assets are comprised of $76,064 of interest-earning cash accounts, $120,484 of debt service accounts, $21,933 of loans held for resale and $29,023 of interest-earning collateral accounts.</w:t>
      </w:r>
    </w:p>
    <w:p>
      <w:pPr>
        <w:spacing w:after="0" w:line="20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exclude Loans – restricted for securitization investors and Secured borrowings – owed to securitization investors from the analysis of rate-sensitive assets and liabilities.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investments in the residual and subordinate securities of the trusts. See Note 1 to our Interim Consolidated Financial Statements—Securitizations of Residential Mortgage Loans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India subsidiary, OFSPL, for services rendered to U.S. affiliates. We did not designate these contracts as hedges. These contracts expired in April 2011, and we entered into new contracts in August 2011. We did not designate the new contracts as hedges, and the notional balance of these contracts was $36,300 at September 30, 2011.</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September 30, 2011. Based on this evaluation, our Chief Executive Officer and Chief Financial Officer concluded that, as of September 30, 2011,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20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September 30, 2011 that has materially affected, or is reasonably likely to materially affect, our internal control over financial reporting.</w:t>
      </w: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22—Commitments and Contingencies to the Interim Consolidated Financial Statements for information regarding legal proceedings.</w:t>
      </w:r>
    </w:p>
    <w:p>
      <w:pPr>
        <w:spacing w:after="0" w:line="2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following supplements the discussion of the principal risks and uncertainties that affect or could affect our business operations that was included under Item 1A on pages 15 through 22 of our Annual Report on Form 10-K for the year ended December 31, 2010 and should be read in conjunction with such disclosures.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Relating to Acquisitions</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Pursuit of acquisitions, such as the Litton Acquisition, Saxon Transaction or various MSR acquisitions, exposes us to financial, execution and operational risks that could adversely affect us.</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periodically explore acquisition opportunities, such as the Litton Acquisition, the Saxon Transaction or various MSR acquisitions. In connection with such acquisition opportunities, we may be exposed to unknown or contingent liabilities of the businesses, assets and liabilities we acquire, and if these issues or liabilities exceed our estimates, our results of operations and financial condition may be materially negatively affected. For example, as a part of the Litton Acquisition, Goldman Sachs and Ocwen have agreed to indemnification provisions for the benefit of the other party. While Goldman Sachs has agreed to retain certain potential liabilities for fines and penalties that could be imposed by certain government authorities relating to Litton’s pre-closing foreclosure and servicing practices, Goldman Sachs and Ocwen have agreed to share certain losses arising out of potential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currently approximately $123.6 million, or 50%, of the adjusted purchase price of the Litton Acquisition, which may be further adjusted after final reconciliations of the purchase price are made. There is no assurance that Goldman Sachs will be able to fulfill its indemnification obligations or that the losses incurred by Ocwen will not exceed our original projections.</w:t>
      </w:r>
    </w:p>
    <w:p>
      <w:pPr>
        <w:spacing w:after="0" w:line="2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Similarly, as a part of the Saxon Transaction that we announced on October 19, 2011, the sellers and Ocwen have agreed to indemnification provisions for the benefit of the other party. While the sellers have agreed to retain certain contingent liabilities for losses, fines and penalties that could result from claims by government authorities and certain third parties relating to SCI’s pre-closing foreclosure, servicing and loan origination practices, the sellers and Ocwen have agreed to share certain losses arising out of potential third-party claims in connection with SCI’s pre-closing performance under its servicing agreements. The sellers have agreed to be liable for (i) 75% of any such losses until the amount paid by the sellers is equal to 60% of the Saxon Shared Loss Cap of $83 million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 There is no assurance that the sellers will be able to fulfill their indemnification obligations or that the losses incurred by Ocwen will not exceed our original projections.</w:t>
      </w:r>
    </w:p>
    <w:p>
      <w:pPr>
        <w:spacing w:after="0" w:line="20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may be required to pay for certain above-described losses in connection with the Litton Acquisition, the Saxon Transaction or any MSR acquisitions. While we reserve amounts to pay for any of the above-described losses incurred in connection with such acquisitions, those reserves may not be adequate over time to protect against potential future losses, and if any such losses exceed the amount in the reserves, we would recognize losses covering such excess amount, which would adversely affect our net income and stockholders’ equity and, depending on the extent of such excess losses, could adversely affect our business. It is possible that certain financial covenants in our credit facilities would be breached by such excess losses.</w:t>
      </w:r>
    </w:p>
    <w:p>
      <w:pPr>
        <w:spacing w:after="0" w:line="18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the performance of the assets we acquire through transactions such as the Litton Acquisition, the Saxon Transaction or any MSR acquisitions may not match the historical performance of our other assets. We cannot guarantee that the assets we acquire will perform at levels meeting our expectations. We may find that we overpaid for the acquired assets or that the economic conditions underlying our acquisition decision have changed. It may also take several quarters for us to fully integrate the newly acquired assets into our business, during which period our results of operations and financial condition may be negatively affected. Further, certain one-time expenses associated with such acquisitions may have a negative impact on our results of operations and financial condition. There is no assurance that future acquisitions will not adversely affect our results of operations and financial condition.</w:t>
      </w:r>
    </w:p>
    <w:p>
      <w:pPr>
        <w:spacing w:after="0" w:line="19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acquisition of entities such as Litton and SCI also requires integration of systems, procedures and personnel of the acquired entity into our company to make the transaction economically successful. This integration process is complicated and time consuming and can be disruptive to the borrowers of the loans serviced by the acquired business. If the integration process is not conducted successfully and with minimal effect on the acquired business and its borrowers, we may not realize the anticipated economic benefits of particular acquisitions within our expected timeframe, and we may lose subservicing business or employees of the acquired business. We may also experience a greater than anticipated loss of business even if the integration process is successful.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ind w:firstLine="324"/>
        <w:spacing w:after="0" w:line="254"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we considered acceptable, and we expect that we will experience this condition in the future. In addition, in order to finance an acquisition we may borrow funds, thereby increasing our leverage and diminishing our liquidity, or raise additional capital, which could dilute the interests of our existing shareholders. Also, it is possible that we will expend considerable resources in the pursuit of an acquisition that, ultimately, either does not close or is terminated. For example, if upon the satisfaction or waiver of the conditions to closing the Saxon Transaction (which conditions do not include the closing of the related servicing advance facilities or other alternative debt financing), Ocwen does not consummate the Saxon Transaction, then Ocwen would be required to pay the sellers a termination payment of $40 million if either Ocwen or the sellers elected to terminate the Purchase Agreement in accordance with its terms.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2" w:lineRule="exact"/>
        <w:rPr>
          <w:sz w:val="20"/>
          <w:szCs w:val="20"/>
          <w:color w:val="auto"/>
        </w:rPr>
      </w:pPr>
    </w:p>
    <w:p>
      <w:pPr>
        <w:ind w:left="1160" w:hanging="1152"/>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9360" w:type="dxa"/>
            <w:vAlign w:val="bottom"/>
          </w:tcPr>
          <w:p>
            <w:pPr>
              <w:ind w:left="240"/>
              <w:spacing w:after="0"/>
              <w:rPr>
                <w:sz w:val="20"/>
                <w:szCs w:val="20"/>
                <w:color w:val="auto"/>
              </w:rPr>
            </w:pPr>
            <w:r>
              <w:rPr>
                <w:rFonts w:ascii="Arial" w:cs="Arial" w:eastAsia="Arial" w:hAnsi="Arial"/>
                <w:sz w:val="18"/>
                <w:szCs w:val="18"/>
                <w:color w:val="auto"/>
                <w:w w:val="96"/>
              </w:rPr>
              <w:t>Purchase Agreement dated as of June 5, 2011, by and between The Goldman Sachs Group, Inc. and Ocwen Financial</w:t>
            </w:r>
          </w:p>
        </w:tc>
      </w:tr>
      <w:tr>
        <w:trPr>
          <w:trHeight w:val="230"/>
        </w:trPr>
        <w:tc>
          <w:tcPr>
            <w:tcW w:w="90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Corporation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9360" w:type="dxa"/>
            <w:vAlign w:val="bottom"/>
          </w:tcPr>
          <w:p>
            <w:pPr>
              <w:ind w:left="240"/>
              <w:spacing w:after="0"/>
              <w:rPr>
                <w:sz w:val="20"/>
                <w:szCs w:val="20"/>
                <w:color w:val="auto"/>
              </w:rPr>
            </w:pPr>
            <w:r>
              <w:rPr>
                <w:rFonts w:ascii="Arial" w:cs="Arial" w:eastAsia="Arial" w:hAnsi="Arial"/>
                <w:sz w:val="18"/>
                <w:szCs w:val="18"/>
                <w:color w:val="auto"/>
              </w:rPr>
              <w:t>Bylaws of Ocwen Financial Corporation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9360" w:type="dxa"/>
            <w:vAlign w:val="bottom"/>
          </w:tcPr>
          <w:p>
            <w:pPr>
              <w:ind w:left="240"/>
              <w:spacing w:after="0"/>
              <w:rPr>
                <w:sz w:val="20"/>
                <w:szCs w:val="20"/>
                <w:color w:val="auto"/>
              </w:rPr>
            </w:pPr>
            <w:r>
              <w:rPr>
                <w:rFonts w:ascii="Arial" w:cs="Arial" w:eastAsia="Arial" w:hAnsi="Arial"/>
                <w:sz w:val="18"/>
                <w:szCs w:val="18"/>
                <w:color w:val="auto"/>
              </w:rPr>
              <w:t>Bylaws of Ocwen Financial Corporation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9360" w:type="dxa"/>
            <w:vAlign w:val="bottom"/>
          </w:tcPr>
          <w:p>
            <w:pPr>
              <w:ind w:left="240"/>
              <w:spacing w:after="0"/>
              <w:rPr>
                <w:sz w:val="20"/>
                <w:szCs w:val="20"/>
                <w:color w:val="auto"/>
              </w:rPr>
            </w:pPr>
            <w:r>
              <w:rPr>
                <w:rFonts w:ascii="Arial" w:cs="Arial" w:eastAsia="Arial" w:hAnsi="Arial"/>
                <w:sz w:val="18"/>
                <w:szCs w:val="18"/>
                <w:color w:val="auto"/>
                <w:w w:val="89"/>
              </w:rPr>
              <w:t>Senior Secured Term Loan Facility Agreement dated as of September 1, 2011, by and among Ocwen Financial Corporation, as</w:t>
            </w:r>
          </w:p>
        </w:tc>
      </w:tr>
      <w:tr>
        <w:trPr>
          <w:trHeight w:val="216"/>
        </w:trPr>
        <w:tc>
          <w:tcPr>
            <w:tcW w:w="90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w w:val="93"/>
              </w:rPr>
              <w:t>Borrower, Certain Subsidiaries of Ocwen Financial Corporation, as Subsidiary Guarantors, the Lender Parties thereto, and</w:t>
            </w:r>
          </w:p>
        </w:tc>
      </w:tr>
      <w:tr>
        <w:trPr>
          <w:trHeight w:val="230"/>
        </w:trPr>
        <w:tc>
          <w:tcPr>
            <w:tcW w:w="90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Barclays Bank PLC, as Administrative Agent and Collateral Agent (3)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9360" w:type="dxa"/>
            <w:vAlign w:val="bottom"/>
          </w:tcPr>
          <w:p>
            <w:pPr>
              <w:ind w:left="240"/>
              <w:spacing w:after="0"/>
              <w:rPr>
                <w:sz w:val="20"/>
                <w:szCs w:val="20"/>
                <w:color w:val="auto"/>
              </w:rPr>
            </w:pPr>
            <w:r>
              <w:rPr>
                <w:rFonts w:ascii="Arial" w:cs="Arial" w:eastAsia="Arial" w:hAnsi="Arial"/>
                <w:sz w:val="18"/>
                <w:szCs w:val="18"/>
                <w:color w:val="auto"/>
                <w:w w:val="89"/>
              </w:rPr>
              <w:t>Pledge and Security Agreement dated as of September 1, 2011, between each of the Grantors party thereto and Barclays Bank</w:t>
            </w:r>
          </w:p>
        </w:tc>
      </w:tr>
      <w:tr>
        <w:trPr>
          <w:trHeight w:val="230"/>
        </w:trPr>
        <w:tc>
          <w:tcPr>
            <w:tcW w:w="90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PLC, as Collateral Agent (3)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11.1</w:t>
            </w:r>
          </w:p>
        </w:tc>
        <w:tc>
          <w:tcPr>
            <w:tcW w:w="9360" w:type="dxa"/>
            <w:vAlign w:val="bottom"/>
          </w:tcPr>
          <w:p>
            <w:pPr>
              <w:ind w:left="240"/>
              <w:spacing w:after="0"/>
              <w:rPr>
                <w:sz w:val="20"/>
                <w:szCs w:val="20"/>
                <w:color w:val="auto"/>
              </w:rPr>
            </w:pPr>
            <w:r>
              <w:rPr>
                <w:rFonts w:ascii="Arial" w:cs="Arial" w:eastAsia="Arial" w:hAnsi="Arial"/>
                <w:sz w:val="18"/>
                <w:szCs w:val="18"/>
                <w:color w:val="auto"/>
              </w:rPr>
              <w:t>Computation of earnings per share (4)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360" w:type="dxa"/>
            <w:vAlign w:val="bottom"/>
          </w:tcPr>
          <w:p>
            <w:pPr>
              <w:ind w:left="240"/>
              <w:spacing w:after="0"/>
              <w:rPr>
                <w:sz w:val="20"/>
                <w:szCs w:val="20"/>
                <w:color w:val="auto"/>
              </w:rPr>
            </w:pPr>
            <w:r>
              <w:rPr>
                <w:rFonts w:ascii="Arial" w:cs="Arial" w:eastAsia="Arial" w:hAnsi="Arial"/>
                <w:sz w:val="18"/>
                <w:szCs w:val="18"/>
                <w:color w:val="auto"/>
                <w:w w:val="97"/>
              </w:rPr>
              <w:t>Certification of the Chief Executive Officer pursuant to Section 302 of the Sarbanes-Oxley Act of 2002 (filed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360" w:type="dxa"/>
            <w:vAlign w:val="bottom"/>
          </w:tcPr>
          <w:p>
            <w:pPr>
              <w:ind w:left="240"/>
              <w:spacing w:after="0"/>
              <w:rPr>
                <w:sz w:val="20"/>
                <w:szCs w:val="20"/>
                <w:color w:val="auto"/>
              </w:rPr>
            </w:pPr>
            <w:r>
              <w:rPr>
                <w:rFonts w:ascii="Arial" w:cs="Arial" w:eastAsia="Arial" w:hAnsi="Arial"/>
                <w:sz w:val="18"/>
                <w:szCs w:val="18"/>
                <w:color w:val="auto"/>
                <w:w w:val="98"/>
              </w:rPr>
              <w:t>Certification of the Chief Financial Officer pursuant to Section 302 of the Sarbanes-Oxley Act of 2002 (filed herewith)</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9360" w:type="dxa"/>
            <w:vAlign w:val="bottom"/>
          </w:tcPr>
          <w:p>
            <w:pPr>
              <w:ind w:left="240"/>
              <w:spacing w:after="0"/>
              <w:rPr>
                <w:sz w:val="20"/>
                <w:szCs w:val="20"/>
                <w:color w:val="auto"/>
              </w:rPr>
            </w:pPr>
            <w:r>
              <w:rPr>
                <w:rFonts w:ascii="Arial" w:cs="Arial" w:eastAsia="Arial" w:hAnsi="Arial"/>
                <w:sz w:val="18"/>
                <w:szCs w:val="18"/>
                <w:color w:val="auto"/>
                <w:w w:val="94"/>
              </w:rPr>
              <w:t>Certification of the Chief Executive Officer pursuant to 18 U.S.C. Section 1350, as adopted pursuant to Section 906 of the</w:t>
            </w:r>
          </w:p>
        </w:tc>
      </w:tr>
      <w:tr>
        <w:trPr>
          <w:trHeight w:val="230"/>
        </w:trPr>
        <w:tc>
          <w:tcPr>
            <w:tcW w:w="90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Sarbanes-Oxley Act of 2002 (filed herewith)</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9360" w:type="dxa"/>
            <w:vAlign w:val="bottom"/>
          </w:tcPr>
          <w:p>
            <w:pPr>
              <w:ind w:left="24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r>
      <w:tr>
        <w:trPr>
          <w:trHeight w:val="230"/>
        </w:trPr>
        <w:tc>
          <w:tcPr>
            <w:tcW w:w="90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Sarbanes-Oxley Act of 2002 (filed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360" w:type="dxa"/>
            <w:vAlign w:val="bottom"/>
          </w:tcPr>
          <w:p>
            <w:pPr>
              <w:ind w:left="240"/>
              <w:spacing w:after="0"/>
              <w:rPr>
                <w:sz w:val="20"/>
                <w:szCs w:val="20"/>
                <w:color w:val="auto"/>
              </w:rPr>
            </w:pPr>
            <w:r>
              <w:rPr>
                <w:rFonts w:ascii="Arial" w:cs="Arial" w:eastAsia="Arial" w:hAnsi="Arial"/>
                <w:sz w:val="18"/>
                <w:szCs w:val="18"/>
                <w:color w:val="auto"/>
              </w:rPr>
              <w:t>XBRL Instance Document (furnished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June 6, 2011.</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August 1, 2011.</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September 8, 2011</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Note 18—Basic and Diluted Earnings per Share to the Interim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5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280" w:hanging="453"/>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00" w:hanging="453"/>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60" w:hanging="453"/>
        <w:spacing w:after="0" w:line="342" w:lineRule="auto"/>
        <w:tabs>
          <w:tab w:leader="none" w:pos="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00" w:hanging="453"/>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180" w:hanging="453"/>
        <w:spacing w:after="0" w:line="277"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40" w:hanging="453"/>
        <w:spacing w:after="0" w:line="277"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6"/>
          <w:szCs w:val="16"/>
          <w:color w:val="auto"/>
        </w:rPr>
        <w:t>/s/Ronald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289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certify that:</w:t>
      </w:r>
    </w:p>
    <w:p>
      <w:pPr>
        <w:spacing w:after="0" w:line="25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280" w:hanging="453"/>
        <w:spacing w:after="0" w:line="264"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00" w:hanging="453"/>
        <w:spacing w:after="0" w:line="264"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60" w:hanging="453"/>
        <w:spacing w:after="0" w:line="342" w:lineRule="auto"/>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00" w:hanging="453"/>
        <w:spacing w:after="0" w:line="264"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180" w:hanging="453"/>
        <w:spacing w:after="0" w:line="277"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40" w:hanging="453"/>
        <w:spacing w:after="0" w:line="277"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1813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5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80" w:hanging="453"/>
        <w:spacing w:after="0" w:line="264"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/s/Ronald M. Faris</w:t>
            </w:r>
          </w:p>
        </w:tc>
        <w:tc>
          <w:tcPr>
            <w:tcW w:w="4560" w:type="dxa"/>
            <w:vAlign w:val="bottom"/>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940" w:type="dxa"/>
            <w:vAlign w:val="bottom"/>
          </w:tcPr>
          <w:p>
            <w:pPr>
              <w:spacing w:after="0"/>
              <w:rPr>
                <w:sz w:val="20"/>
                <w:szCs w:val="20"/>
                <w:color w:val="auto"/>
              </w:rPr>
            </w:pPr>
            <w:r>
              <w:rPr>
                <w:rFonts w:ascii="Arial" w:cs="Arial" w:eastAsia="Arial" w:hAnsi="Arial"/>
                <w:sz w:val="18"/>
                <w:szCs w:val="18"/>
                <w:color w:val="auto"/>
              </w:rPr>
              <w:t>November 9, 2011</w:t>
            </w:r>
          </w:p>
        </w:tc>
        <w:tc>
          <w:tcPr>
            <w:tcW w:w="4560" w:type="dxa"/>
            <w:vAlign w:val="bottom"/>
          </w:tcPr>
          <w:p>
            <w:pPr>
              <w:spacing w:after="0"/>
              <w:rPr>
                <w:sz w:val="20"/>
                <w:szCs w:val="20"/>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state and attest that:</w:t>
      </w:r>
    </w:p>
    <w:p>
      <w:pPr>
        <w:spacing w:after="0" w:line="2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80" w:hanging="453"/>
        <w:spacing w:after="0" w:line="264"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/s/John Van Vlack</w:t>
            </w:r>
          </w:p>
        </w:tc>
        <w:tc>
          <w:tcPr>
            <w:tcW w:w="4560" w:type="dxa"/>
            <w:vAlign w:val="bottom"/>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Executive Vice President, Chief Financial Officer and</w:t>
            </w:r>
          </w:p>
        </w:tc>
        <w:tc>
          <w:tcPr>
            <w:tcW w:w="456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45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940" w:type="dxa"/>
            <w:vAlign w:val="bottom"/>
          </w:tcPr>
          <w:p>
            <w:pPr>
              <w:spacing w:after="0"/>
              <w:rPr>
                <w:sz w:val="20"/>
                <w:szCs w:val="20"/>
                <w:color w:val="auto"/>
              </w:rPr>
            </w:pPr>
            <w:r>
              <w:rPr>
                <w:rFonts w:ascii="Arial" w:cs="Arial" w:eastAsia="Arial" w:hAnsi="Arial"/>
                <w:sz w:val="18"/>
                <w:szCs w:val="18"/>
                <w:color w:val="auto"/>
              </w:rPr>
              <w:t>November 9, 2011</w:t>
            </w:r>
          </w:p>
        </w:tc>
        <w:tc>
          <w:tcPr>
            <w:tcW w:w="4560" w:type="dxa"/>
            <w:vAlign w:val="bottom"/>
          </w:tcPr>
          <w:p>
            <w:pPr>
              <w:spacing w:after="0"/>
              <w:rPr>
                <w:sz w:val="20"/>
                <w:szCs w:val="20"/>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2"/>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5"/>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4"/>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2"/>
    </w:lvl>
  </w:abstractNum>
  <w:abstractNum w:abstractNumId="24">
    <w:nsid w:val="2D517796"/>
    <w:multiLevelType w:val="hybridMultilevel"/>
    <w:lvl w:ilvl="0">
      <w:lvlJc w:val="left"/>
      <w:lvlText w:val="(%1)"/>
      <w:numFmt w:val="decimal"/>
      <w:start w:val="2"/>
    </w:lvl>
  </w:abstractNum>
  <w:abstractNum w:abstractNumId="25">
    <w:nsid w:val="580BD78F"/>
    <w:multiLevelType w:val="hybridMultilevel"/>
    <w:lvl w:ilvl="0">
      <w:lvlJc w:val="left"/>
      <w:lvlText w:val="(%1)"/>
      <w:numFmt w:val="decimal"/>
      <w:start w:val="4"/>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4"/>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8"/>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
      <w:numFmt w:val="bullet"/>
      <w:start w:val="1"/>
    </w:lvl>
  </w:abstractNum>
  <w:abstractNum w:abstractNumId="54">
    <w:nsid w:val="23F9C13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2019-12-10T10:18:52Z</dcterms:created>
  <dcterms:modified xsi:type="dcterms:W3CDTF">2019-12-10T10:18:52Z</dcterms:modified>
</cp:coreProperties>
</file>