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693420</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3"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10-Q</w:t>
      </w:r>
    </w:p>
    <w:p>
      <w:pPr>
        <w:spacing w:after="0" w:line="42"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64" w:lineRule="exact"/>
        <w:rPr>
          <w:sz w:val="24"/>
          <w:szCs w:val="24"/>
          <w:color w:val="auto"/>
        </w:rPr>
      </w:pPr>
    </w:p>
    <w:p>
      <w:pPr>
        <w:ind w:left="500" w:hanging="465"/>
        <w:spacing w:after="0"/>
        <w:tabs>
          <w:tab w:leader="none" w:pos="500" w:val="left"/>
        </w:tabs>
        <w:numPr>
          <w:ilvl w:val="0"/>
          <w:numId w:val="1"/>
        </w:numPr>
        <w:rPr>
          <w:rFonts w:ascii="Arial" w:cs="Arial" w:eastAsia="Arial" w:hAnsi="Arial"/>
          <w:sz w:val="17"/>
          <w:szCs w:val="17"/>
          <w:color w:val="auto"/>
        </w:rPr>
      </w:pPr>
      <w:r>
        <w:rPr>
          <w:rFonts w:ascii="Arial" w:cs="Arial" w:eastAsia="Arial" w:hAnsi="Arial"/>
          <w:sz w:val="21"/>
          <w:szCs w:val="21"/>
          <w:color w:val="auto"/>
        </w:rPr>
        <w:t>QUARTERLY REPORT PURSUANT TO SECTION 13 OR 15(d) OF THE SECURITIES EXCHANGE ACT OF 1934</w:t>
      </w:r>
    </w:p>
    <w:p>
      <w:pPr>
        <w:spacing w:after="0" w:line="63" w:lineRule="exact"/>
        <w:rPr>
          <w:sz w:val="24"/>
          <w:szCs w:val="24"/>
          <w:color w:val="auto"/>
        </w:rPr>
      </w:pPr>
    </w:p>
    <w:p>
      <w:pPr>
        <w:ind w:left="500"/>
        <w:spacing w:after="0"/>
        <w:rPr>
          <w:sz w:val="20"/>
          <w:szCs w:val="20"/>
          <w:color w:val="auto"/>
        </w:rPr>
      </w:pPr>
      <w:r>
        <w:rPr>
          <w:rFonts w:ascii="Arial" w:cs="Arial" w:eastAsia="Arial" w:hAnsi="Arial"/>
          <w:sz w:val="18"/>
          <w:szCs w:val="18"/>
          <w:color w:val="auto"/>
        </w:rPr>
        <w:t>For the quarterly period ended June 30, 2016</w:t>
      </w:r>
    </w:p>
    <w:p>
      <w:pPr>
        <w:spacing w:after="0" w:line="144" w:lineRule="exact"/>
        <w:rPr>
          <w:sz w:val="24"/>
          <w:szCs w:val="24"/>
          <w:color w:val="auto"/>
        </w:rPr>
      </w:pPr>
    </w:p>
    <w:p>
      <w:pPr>
        <w:spacing w:after="0"/>
        <w:rPr>
          <w:sz w:val="20"/>
          <w:szCs w:val="20"/>
          <w:color w:val="auto"/>
        </w:rPr>
      </w:pPr>
      <w:r>
        <w:rPr>
          <w:rFonts w:ascii="Arial" w:cs="Arial" w:eastAsia="Arial" w:hAnsi="Arial"/>
          <w:sz w:val="18"/>
          <w:szCs w:val="18"/>
          <w:color w:val="auto"/>
        </w:rPr>
        <w:t>OR</w:t>
      </w:r>
    </w:p>
    <w:p>
      <w:pPr>
        <w:spacing w:after="0" w:line="164" w:lineRule="exact"/>
        <w:rPr>
          <w:sz w:val="24"/>
          <w:szCs w:val="24"/>
          <w:color w:val="auto"/>
        </w:rPr>
      </w:pPr>
    </w:p>
    <w:p>
      <w:pPr>
        <w:ind w:left="500" w:hanging="465"/>
        <w:spacing w:after="0"/>
        <w:tabs>
          <w:tab w:leader="none" w:pos="500" w:val="left"/>
        </w:tabs>
        <w:numPr>
          <w:ilvl w:val="0"/>
          <w:numId w:val="2"/>
        </w:numPr>
        <w:rPr>
          <w:rFonts w:ascii="Arial" w:cs="Arial" w:eastAsia="Arial" w:hAnsi="Arial"/>
          <w:sz w:val="21"/>
          <w:szCs w:val="21"/>
          <w:color w:val="auto"/>
        </w:rPr>
      </w:pPr>
      <w:r>
        <w:rPr>
          <w:rFonts w:ascii="Arial" w:cs="Arial" w:eastAsia="Arial" w:hAnsi="Arial"/>
          <w:sz w:val="21"/>
          <w:szCs w:val="21"/>
          <w:color w:val="auto"/>
        </w:rPr>
        <w:t>TRANSITION REPORT PURSUANT TO SECTION 13 OR 15(d) OF THE SECURITIES EXCHANGE ACT OF 1934</w:t>
      </w:r>
    </w:p>
    <w:p>
      <w:pPr>
        <w:spacing w:after="0" w:line="63" w:lineRule="exact"/>
        <w:rPr>
          <w:sz w:val="24"/>
          <w:szCs w:val="24"/>
          <w:color w:val="auto"/>
        </w:rPr>
      </w:pPr>
    </w:p>
    <w:p>
      <w:pPr>
        <w:ind w:left="500"/>
        <w:spacing w:after="0"/>
        <w:rPr>
          <w:sz w:val="20"/>
          <w:szCs w:val="20"/>
          <w:color w:val="auto"/>
        </w:rPr>
      </w:pPr>
      <w:r>
        <w:rPr>
          <w:rFonts w:ascii="Arial" w:cs="Arial" w:eastAsia="Arial" w:hAnsi="Arial"/>
          <w:sz w:val="18"/>
          <w:szCs w:val="18"/>
          <w:color w:val="auto"/>
        </w:rPr>
        <w:t>For the transition period from: ____________________ to ____________________</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No. 1-13219</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OCWEN FINANCIAL CORPORATION</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jc w:val="center"/>
              <w:ind w:left="150"/>
              <w:spacing w:after="0"/>
              <w:rPr>
                <w:sz w:val="20"/>
                <w:szCs w:val="20"/>
                <w:color w:val="auto"/>
              </w:rPr>
            </w:pPr>
            <w:r>
              <w:rPr>
                <w:rFonts w:ascii="Arial" w:cs="Arial" w:eastAsia="Arial" w:hAnsi="Arial"/>
                <w:sz w:val="18"/>
                <w:szCs w:val="18"/>
                <w:b w:val="1"/>
                <w:bCs w:val="1"/>
                <w:color w:val="auto"/>
                <w:w w:val="93"/>
              </w:rPr>
              <w:t>Florida</w:t>
            </w:r>
          </w:p>
        </w:tc>
        <w:tc>
          <w:tcPr>
            <w:tcW w:w="6260" w:type="dxa"/>
            <w:vAlign w:val="bottom"/>
            <w:gridSpan w:val="4"/>
          </w:tcPr>
          <w:p>
            <w:pPr>
              <w:jc w:val="right"/>
              <w:ind w:right="2090"/>
              <w:spacing w:after="0"/>
              <w:rPr>
                <w:sz w:val="20"/>
                <w:szCs w:val="20"/>
                <w:color w:val="auto"/>
              </w:rPr>
            </w:pPr>
            <w:r>
              <w:rPr>
                <w:rFonts w:ascii="Arial" w:cs="Arial" w:eastAsia="Arial" w:hAnsi="Arial"/>
                <w:sz w:val="18"/>
                <w:szCs w:val="18"/>
                <w:b w:val="1"/>
                <w:bCs w:val="1"/>
                <w:color w:val="auto"/>
              </w:rPr>
              <w:t>65-0039856</w:t>
            </w:r>
          </w:p>
        </w:tc>
      </w:tr>
      <w:tr>
        <w:trPr>
          <w:trHeight w:val="27"/>
        </w:trPr>
        <w:tc>
          <w:tcPr>
            <w:tcW w:w="5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jc w:val="center"/>
              <w:ind w:left="13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40" w:type="dxa"/>
            <w:vAlign w:val="bottom"/>
          </w:tcPr>
          <w:p>
            <w:pPr>
              <w:jc w:val="center"/>
              <w:ind w:right="10"/>
              <w:spacing w:after="0"/>
              <w:rPr>
                <w:sz w:val="20"/>
                <w:szCs w:val="20"/>
                <w:color w:val="auto"/>
              </w:rPr>
            </w:pPr>
            <w:r>
              <w:rPr>
                <w:rFonts w:ascii="Arial" w:cs="Arial" w:eastAsia="Arial" w:hAnsi="Arial"/>
                <w:sz w:val="18"/>
                <w:szCs w:val="18"/>
                <w:color w:val="auto"/>
                <w:w w:val="93"/>
              </w:rPr>
              <w:t>(I.R.S. Employer Identification No.)</w:t>
            </w:r>
          </w:p>
        </w:tc>
      </w:tr>
      <w:tr>
        <w:trPr>
          <w:trHeight w:val="252"/>
        </w:trPr>
        <w:tc>
          <w:tcPr>
            <w:tcW w:w="5160" w:type="dxa"/>
            <w:vAlign w:val="bottom"/>
          </w:tcPr>
          <w:p>
            <w:pPr>
              <w:jc w:val="center"/>
              <w:ind w:left="150"/>
              <w:spacing w:after="0"/>
              <w:rPr>
                <w:sz w:val="20"/>
                <w:szCs w:val="20"/>
                <w:color w:val="auto"/>
              </w:rPr>
            </w:pPr>
            <w:r>
              <w:rPr>
                <w:rFonts w:ascii="Arial" w:cs="Arial" w:eastAsia="Arial" w:hAnsi="Arial"/>
                <w:sz w:val="18"/>
                <w:szCs w:val="18"/>
                <w:b w:val="1"/>
                <w:bCs w:val="1"/>
                <w:color w:val="auto"/>
                <w:w w:val="90"/>
              </w:rPr>
              <w:t>1661 Worthington Road, Suite 100</w:t>
            </w: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140" w:type="dxa"/>
            <w:vAlign w:val="bottom"/>
          </w:tcPr>
          <w:p>
            <w:pPr>
              <w:spacing w:after="0"/>
              <w:rPr>
                <w:sz w:val="21"/>
                <w:szCs w:val="21"/>
                <w:color w:val="auto"/>
              </w:rPr>
            </w:pPr>
          </w:p>
        </w:tc>
      </w:tr>
      <w:tr>
        <w:trPr>
          <w:trHeight w:val="234"/>
        </w:trPr>
        <w:tc>
          <w:tcPr>
            <w:tcW w:w="5160" w:type="dxa"/>
            <w:vAlign w:val="bottom"/>
          </w:tcPr>
          <w:p>
            <w:pPr>
              <w:jc w:val="center"/>
              <w:ind w:left="150"/>
              <w:spacing w:after="0"/>
              <w:rPr>
                <w:sz w:val="20"/>
                <w:szCs w:val="20"/>
                <w:color w:val="auto"/>
              </w:rPr>
            </w:pPr>
            <w:r>
              <w:rPr>
                <w:rFonts w:ascii="Arial" w:cs="Arial" w:eastAsia="Arial" w:hAnsi="Arial"/>
                <w:sz w:val="18"/>
                <w:szCs w:val="18"/>
                <w:b w:val="1"/>
                <w:bCs w:val="1"/>
                <w:color w:val="auto"/>
                <w:w w:val="90"/>
              </w:rPr>
              <w:t>West Palm Beach, Florida</w:t>
            </w:r>
          </w:p>
        </w:tc>
        <w:tc>
          <w:tcPr>
            <w:tcW w:w="6260" w:type="dxa"/>
            <w:vAlign w:val="bottom"/>
            <w:gridSpan w:val="4"/>
          </w:tcPr>
          <w:p>
            <w:pPr>
              <w:jc w:val="right"/>
              <w:ind w:right="2310"/>
              <w:spacing w:after="0"/>
              <w:rPr>
                <w:sz w:val="20"/>
                <w:szCs w:val="20"/>
                <w:color w:val="auto"/>
              </w:rPr>
            </w:pPr>
            <w:r>
              <w:rPr>
                <w:rFonts w:ascii="Arial" w:cs="Arial" w:eastAsia="Arial" w:hAnsi="Arial"/>
                <w:sz w:val="18"/>
                <w:szCs w:val="18"/>
                <w:b w:val="1"/>
                <w:bCs w:val="1"/>
                <w:color w:val="auto"/>
              </w:rPr>
              <w:t>33409</w:t>
            </w:r>
          </w:p>
        </w:tc>
      </w:tr>
      <w:tr>
        <w:trPr>
          <w:trHeight w:val="27"/>
        </w:trPr>
        <w:tc>
          <w:tcPr>
            <w:tcW w:w="5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jc w:val="center"/>
              <w:ind w:left="130"/>
              <w:spacing w:after="0"/>
              <w:rPr>
                <w:sz w:val="20"/>
                <w:szCs w:val="20"/>
                <w:color w:val="auto"/>
              </w:rPr>
            </w:pPr>
            <w:r>
              <w:rPr>
                <w:rFonts w:ascii="Arial" w:cs="Arial" w:eastAsia="Arial" w:hAnsi="Arial"/>
                <w:sz w:val="18"/>
                <w:szCs w:val="18"/>
                <w:color w:val="auto"/>
                <w:w w:val="92"/>
              </w:rPr>
              <w:t>(Address of principal executive office)</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40" w:type="dxa"/>
            <w:vAlign w:val="bottom"/>
          </w:tcPr>
          <w:p>
            <w:pPr>
              <w:jc w:val="center"/>
              <w:ind w:right="10"/>
              <w:spacing w:after="0"/>
              <w:rPr>
                <w:sz w:val="20"/>
                <w:szCs w:val="20"/>
                <w:color w:val="auto"/>
              </w:rPr>
            </w:pPr>
            <w:r>
              <w:rPr>
                <w:rFonts w:ascii="Arial" w:cs="Arial" w:eastAsia="Arial" w:hAnsi="Arial"/>
                <w:sz w:val="18"/>
                <w:szCs w:val="18"/>
                <w:color w:val="auto"/>
                <w:w w:val="94"/>
              </w:rPr>
              <w:t>(Zip Code)</w:t>
            </w:r>
          </w:p>
        </w:tc>
      </w:tr>
      <w:tr>
        <w:trPr>
          <w:trHeight w:val="257"/>
        </w:trPr>
        <w:tc>
          <w:tcPr>
            <w:tcW w:w="5160" w:type="dxa"/>
            <w:vAlign w:val="bottom"/>
          </w:tcPr>
          <w:p>
            <w:pPr>
              <w:spacing w:after="0"/>
              <w:rPr>
                <w:sz w:val="22"/>
                <w:szCs w:val="22"/>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9"/>
              </w:rPr>
              <w:t>(561) 682-8000</w:t>
            </w:r>
          </w:p>
        </w:tc>
        <w:tc>
          <w:tcPr>
            <w:tcW w:w="5140" w:type="dxa"/>
            <w:vAlign w:val="bottom"/>
          </w:tcPr>
          <w:p>
            <w:pPr>
              <w:spacing w:after="0"/>
              <w:rPr>
                <w:sz w:val="22"/>
                <w:szCs w:val="22"/>
                <w:color w:val="auto"/>
              </w:rPr>
            </w:pPr>
          </w:p>
        </w:tc>
      </w:tr>
    </w:tbl>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333" w:lineRule="exact"/>
        <w:rPr>
          <w:sz w:val="24"/>
          <w:szCs w:val="24"/>
          <w:color w:val="auto"/>
        </w:rPr>
      </w:pPr>
    </w:p>
    <w:p>
      <w:pPr>
        <w:ind w:right="48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73"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73"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1224" w:right="239" w:bottom="1440" w:gutter="0" w:footer="0" w:header="0"/>
        </w:sectPr>
      </w:pPr>
    </w:p>
    <w:p>
      <w:pPr>
        <w:spacing w:after="0" w:line="93" w:lineRule="exact"/>
        <w:rPr>
          <w:sz w:val="24"/>
          <w:szCs w:val="24"/>
          <w:color w:val="auto"/>
        </w:rPr>
      </w:pPr>
    </w:p>
    <w:p>
      <w:pPr>
        <w:ind w:left="38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7"/>
          <w:szCs w:val="17"/>
          <w:color w:val="auto"/>
        </w:rPr>
        <w:t>o</w:t>
      </w:r>
    </w:p>
    <w:p>
      <w:pPr>
        <w:spacing w:after="0" w:line="74" w:lineRule="exact"/>
        <w:rPr>
          <w:sz w:val="24"/>
          <w:szCs w:val="24"/>
          <w:color w:val="auto"/>
        </w:rPr>
      </w:pPr>
    </w:p>
    <w:p>
      <w:pPr>
        <w:sectPr>
          <w:pgSz w:w="11900" w:h="16838" w:orient="portrait"/>
          <w:cols w:equalWidth="0" w:num="4">
            <w:col w:w="2400" w:space="720"/>
            <w:col w:w="4440" w:space="720"/>
            <w:col w:w="2000" w:space="720"/>
            <w:col w:w="420"/>
          </w:cols>
          <w:pgMar w:left="240" w:top="1224" w:right="239" w:bottom="1440" w:gutter="0" w:footer="0" w:header="0"/>
          <w:type w:val="continuous"/>
        </w:sectPr>
      </w:pPr>
    </w:p>
    <w:p>
      <w:pPr>
        <w:ind w:left="38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o</w:t>
      </w:r>
    </w:p>
    <w:p>
      <w:pPr>
        <w:spacing w:after="0" w:line="102" w:lineRule="exact"/>
        <w:rPr>
          <w:sz w:val="24"/>
          <w:szCs w:val="24"/>
          <w:color w:val="auto"/>
        </w:rPr>
      </w:pPr>
    </w:p>
    <w:p>
      <w:pPr>
        <w:sectPr>
          <w:pgSz w:w="11900" w:h="16838" w:orient="portrait"/>
          <w:cols w:equalWidth="0" w:num="5">
            <w:col w:w="2400" w:space="720"/>
            <w:col w:w="100" w:space="360"/>
            <w:col w:w="3980" w:space="720"/>
            <w:col w:w="2000" w:space="720"/>
            <w:col w:w="420"/>
          </w:cols>
          <w:pgMar w:left="240" w:top="1224" w:right="239" w:bottom="1440" w:gutter="0" w:footer="0" w:header="0"/>
          <w:type w:val="continuous"/>
        </w:sectPr>
      </w:pPr>
    </w:p>
    <w:p>
      <w:pPr>
        <w:ind w:right="3200"/>
        <w:spacing w:after="0" w:line="402" w:lineRule="auto"/>
        <w:rPr>
          <w:sz w:val="20"/>
          <w:szCs w:val="20"/>
          <w:color w:val="auto"/>
        </w:rPr>
      </w:pPr>
      <w:r>
        <w:rPr>
          <w:rFonts w:ascii="Arial" w:cs="Arial" w:eastAsia="Arial" w:hAnsi="Arial"/>
          <w:sz w:val="18"/>
          <w:szCs w:val="18"/>
          <w:color w:val="auto"/>
        </w:rPr>
        <w:t>Indicate by check mark whether the registrant is a shell company (as defined in Rule 12b-2 of the Act) Yes o No x Number of shares of common stock outstanding as of July 25, 2016: 123,986,954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24" w:right="239" w:bottom="144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OCWEN FINANCIAL CORPORATION</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p>
        </w:tc>
        <w:tc>
          <w:tcPr>
            <w:tcW w:w="9680" w:type="dxa"/>
            <w:vAlign w:val="bottom"/>
          </w:tcPr>
          <w:p>
            <w:pPr>
              <w:spacing w:after="0"/>
              <w:rPr>
                <w:sz w:val="20"/>
                <w:szCs w:val="20"/>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7"/>
        </w:trPr>
        <w:tc>
          <w:tcPr>
            <w:tcW w:w="10580" w:type="dxa"/>
            <w:vAlign w:val="bottom"/>
            <w:gridSpan w:val="2"/>
            <w:vMerge w:val="restart"/>
          </w:tcPr>
          <w:p>
            <w:pPr>
              <w:spacing w:after="0"/>
              <w:rPr>
                <w:sz w:val="20"/>
                <w:szCs w:val="20"/>
                <w:color w:val="auto"/>
              </w:rPr>
            </w:pPr>
            <w:r>
              <w:rPr>
                <w:rFonts w:ascii="Arial" w:cs="Arial" w:eastAsia="Arial" w:hAnsi="Arial"/>
                <w:sz w:val="18"/>
                <w:szCs w:val="18"/>
                <w:b w:val="1"/>
                <w:bCs w:val="1"/>
                <w:color w:val="0000EE"/>
              </w:rPr>
              <w:t xml:space="preserve">PART I </w:t>
            </w:r>
            <w:r>
              <w:rPr>
                <w:rFonts w:ascii="Arial" w:cs="Arial" w:eastAsia="Arial" w:hAnsi="Arial"/>
                <w:sz w:val="18"/>
                <w:szCs w:val="18"/>
                <w:b w:val="1"/>
                <w:bCs w:val="1"/>
                <w:color w:val="000000"/>
              </w:rPr>
              <w:t>- FINANCIAL INFORMATION</w:t>
            </w: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0580" w:type="dxa"/>
            <w:vAlign w:val="bottom"/>
            <w:gridSpan w:val="2"/>
            <w:vMerge w:val="continue"/>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0"/>
        </w:trPr>
        <w:tc>
          <w:tcPr>
            <w:tcW w:w="900" w:type="dxa"/>
            <w:vAlign w:val="bottom"/>
          </w:tcPr>
          <w:p>
            <w:pPr>
              <w:spacing w:after="0"/>
              <w:rPr>
                <w:sz w:val="20"/>
                <w:szCs w:val="20"/>
                <w:color w:val="auto"/>
              </w:rPr>
            </w:pPr>
            <w:r>
              <w:rPr>
                <w:rFonts w:ascii="Arial" w:cs="Arial" w:eastAsia="Arial" w:hAnsi="Arial"/>
                <w:sz w:val="18"/>
                <w:szCs w:val="18"/>
                <w:color w:val="0000EE"/>
              </w:rPr>
              <w:t>Item 1.</w:t>
            </w:r>
          </w:p>
        </w:tc>
        <w:tc>
          <w:tcPr>
            <w:tcW w:w="9680" w:type="dxa"/>
            <w:vAlign w:val="bottom"/>
          </w:tcPr>
          <w:p>
            <w:pPr>
              <w:ind w:left="140"/>
              <w:spacing w:after="0"/>
              <w:rPr>
                <w:sz w:val="20"/>
                <w:szCs w:val="20"/>
                <w:color w:val="auto"/>
              </w:rPr>
            </w:pPr>
            <w:r>
              <w:rPr>
                <w:rFonts w:ascii="Arial" w:cs="Arial" w:eastAsia="Arial" w:hAnsi="Arial"/>
                <w:sz w:val="18"/>
                <w:szCs w:val="18"/>
                <w:color w:val="auto"/>
              </w:rPr>
              <w:t>Unaudited Consolidated Financial Statements</w:t>
            </w:r>
          </w:p>
        </w:tc>
        <w:tc>
          <w:tcPr>
            <w:tcW w:w="800" w:type="dxa"/>
            <w:vAlign w:val="bottom"/>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4</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sz w:val="24"/>
                <w:szCs w:val="24"/>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rPr>
              <w:t>Consolidated Balance Sheets at June 30, 2016 and December 31, 2015</w:t>
            </w:r>
          </w:p>
        </w:tc>
        <w:tc>
          <w:tcPr>
            <w:tcW w:w="800" w:type="dxa"/>
            <w:vAlign w:val="bottom"/>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4</w:t>
              </w:r>
            </w:hyperlink>
          </w:p>
        </w:tc>
        <w:tc>
          <w:tcPr>
            <w:tcW w:w="0" w:type="dxa"/>
            <w:vAlign w:val="bottom"/>
          </w:tcPr>
          <w:p>
            <w:pPr>
              <w:spacing w:after="0"/>
              <w:rPr>
                <w:sz w:val="1"/>
                <w:szCs w:val="1"/>
                <w:color w:val="auto"/>
              </w:rPr>
            </w:pPr>
          </w:p>
        </w:tc>
      </w:tr>
      <w:tr>
        <w:trPr>
          <w:trHeight w:val="594"/>
        </w:trPr>
        <w:tc>
          <w:tcPr>
            <w:tcW w:w="900" w:type="dxa"/>
            <w:vAlign w:val="bottom"/>
          </w:tcPr>
          <w:p>
            <w:pPr>
              <w:spacing w:after="0"/>
              <w:rPr>
                <w:sz w:val="24"/>
                <w:szCs w:val="24"/>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rPr>
              <w:t>Consolidated Statements of Operations for the Three and Six Months Ended June 30, 2016 and 2015</w:t>
            </w:r>
          </w:p>
        </w:tc>
        <w:tc>
          <w:tcPr>
            <w:tcW w:w="800" w:type="dxa"/>
            <w:vAlign w:val="bottom"/>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5</w:t>
              </w:r>
            </w:hyperlink>
          </w:p>
        </w:tc>
        <w:tc>
          <w:tcPr>
            <w:tcW w:w="0" w:type="dxa"/>
            <w:vAlign w:val="bottom"/>
          </w:tcPr>
          <w:p>
            <w:pPr>
              <w:spacing w:after="0"/>
              <w:rPr>
                <w:sz w:val="1"/>
                <w:szCs w:val="1"/>
                <w:color w:val="auto"/>
              </w:rPr>
            </w:pPr>
          </w:p>
        </w:tc>
      </w:tr>
      <w:tr>
        <w:trPr>
          <w:trHeight w:val="594"/>
        </w:trPr>
        <w:tc>
          <w:tcPr>
            <w:tcW w:w="900" w:type="dxa"/>
            <w:vAlign w:val="bottom"/>
          </w:tcPr>
          <w:p>
            <w:pPr>
              <w:spacing w:after="0"/>
              <w:rPr>
                <w:sz w:val="24"/>
                <w:szCs w:val="24"/>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rPr>
              <w:t>Consolidated Statements of Comprehensive Income for the Three and Six Months Ended June 30, 2016 and 2015</w:t>
            </w:r>
          </w:p>
        </w:tc>
        <w:tc>
          <w:tcPr>
            <w:tcW w:w="800" w:type="dxa"/>
            <w:vAlign w:val="bottom"/>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6</w:t>
              </w:r>
            </w:hyperlink>
          </w:p>
        </w:tc>
        <w:tc>
          <w:tcPr>
            <w:tcW w:w="0" w:type="dxa"/>
            <w:vAlign w:val="bottom"/>
          </w:tcPr>
          <w:p>
            <w:pPr>
              <w:spacing w:after="0"/>
              <w:rPr>
                <w:sz w:val="1"/>
                <w:szCs w:val="1"/>
                <w:color w:val="auto"/>
              </w:rPr>
            </w:pPr>
          </w:p>
        </w:tc>
      </w:tr>
      <w:tr>
        <w:trPr>
          <w:trHeight w:val="594"/>
        </w:trPr>
        <w:tc>
          <w:tcPr>
            <w:tcW w:w="900" w:type="dxa"/>
            <w:vAlign w:val="bottom"/>
          </w:tcPr>
          <w:p>
            <w:pPr>
              <w:spacing w:after="0"/>
              <w:rPr>
                <w:sz w:val="24"/>
                <w:szCs w:val="24"/>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rPr>
              <w:t>Consolidated Statements of Changes in Equity for the Six Months Ended June 30, 2016 and 2015</w:t>
            </w:r>
          </w:p>
        </w:tc>
        <w:tc>
          <w:tcPr>
            <w:tcW w:w="800" w:type="dxa"/>
            <w:vAlign w:val="bottom"/>
          </w:tcPr>
          <w:p>
            <w:pPr>
              <w:jc w:val="right"/>
              <w:spacing w:after="0"/>
              <w:rPr>
                <w:rFonts w:ascii="Arial" w:cs="Arial" w:eastAsia="Arial" w:hAnsi="Arial"/>
                <w:sz w:val="18"/>
                <w:szCs w:val="18"/>
                <w:color w:val="0000EE"/>
              </w:rPr>
            </w:pPr>
            <w:hyperlink w:anchor="page8">
              <w:r>
                <w:rPr>
                  <w:rFonts w:ascii="Arial" w:cs="Arial" w:eastAsia="Arial" w:hAnsi="Arial"/>
                  <w:sz w:val="18"/>
                  <w:szCs w:val="18"/>
                  <w:color w:val="0000EE"/>
                </w:rPr>
                <w:t>7</w:t>
              </w:r>
            </w:hyperlink>
          </w:p>
        </w:tc>
        <w:tc>
          <w:tcPr>
            <w:tcW w:w="0" w:type="dxa"/>
            <w:vAlign w:val="bottom"/>
          </w:tcPr>
          <w:p>
            <w:pPr>
              <w:spacing w:after="0"/>
              <w:rPr>
                <w:sz w:val="1"/>
                <w:szCs w:val="1"/>
                <w:color w:val="auto"/>
              </w:rPr>
            </w:pPr>
          </w:p>
        </w:tc>
      </w:tr>
      <w:tr>
        <w:trPr>
          <w:trHeight w:val="594"/>
        </w:trPr>
        <w:tc>
          <w:tcPr>
            <w:tcW w:w="900" w:type="dxa"/>
            <w:vAlign w:val="bottom"/>
          </w:tcPr>
          <w:p>
            <w:pPr>
              <w:spacing w:after="0"/>
              <w:rPr>
                <w:sz w:val="24"/>
                <w:szCs w:val="24"/>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rPr>
              <w:t>Consolidated Statements of Cash Flows for the Six Months Ended June 30, 2016 and 2015</w:t>
            </w:r>
          </w:p>
        </w:tc>
        <w:tc>
          <w:tcPr>
            <w:tcW w:w="800" w:type="dxa"/>
            <w:vAlign w:val="bottom"/>
          </w:tcPr>
          <w:p>
            <w:pPr>
              <w:jc w:val="right"/>
              <w:spacing w:after="0"/>
              <w:rPr>
                <w:rFonts w:ascii="Arial" w:cs="Arial" w:eastAsia="Arial" w:hAnsi="Arial"/>
                <w:sz w:val="18"/>
                <w:szCs w:val="18"/>
                <w:color w:val="0000EE"/>
              </w:rPr>
            </w:pPr>
            <w:hyperlink w:anchor="page9">
              <w:r>
                <w:rPr>
                  <w:rFonts w:ascii="Arial" w:cs="Arial" w:eastAsia="Arial" w:hAnsi="Arial"/>
                  <w:sz w:val="18"/>
                  <w:szCs w:val="18"/>
                  <w:color w:val="0000EE"/>
                </w:rPr>
                <w:t>8</w:t>
              </w:r>
            </w:hyperlink>
          </w:p>
        </w:tc>
        <w:tc>
          <w:tcPr>
            <w:tcW w:w="0" w:type="dxa"/>
            <w:vAlign w:val="bottom"/>
          </w:tcPr>
          <w:p>
            <w:pPr>
              <w:spacing w:after="0"/>
              <w:rPr>
                <w:sz w:val="1"/>
                <w:szCs w:val="1"/>
                <w:color w:val="auto"/>
              </w:rPr>
            </w:pPr>
          </w:p>
        </w:tc>
      </w:tr>
      <w:tr>
        <w:trPr>
          <w:trHeight w:val="594"/>
        </w:trPr>
        <w:tc>
          <w:tcPr>
            <w:tcW w:w="900" w:type="dxa"/>
            <w:vAlign w:val="bottom"/>
          </w:tcPr>
          <w:p>
            <w:pPr>
              <w:spacing w:after="0"/>
              <w:rPr>
                <w:sz w:val="24"/>
                <w:szCs w:val="24"/>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rPr>
              <w:t>Notes to Unaudited Consolidated Financial Statements</w:t>
            </w:r>
          </w:p>
        </w:tc>
        <w:tc>
          <w:tcPr>
            <w:tcW w:w="800" w:type="dxa"/>
            <w:vAlign w:val="bottom"/>
          </w:tcPr>
          <w:p>
            <w:pPr>
              <w:jc w:val="right"/>
              <w:spacing w:after="0"/>
              <w:rPr>
                <w:rFonts w:ascii="Arial" w:cs="Arial" w:eastAsia="Arial" w:hAnsi="Arial"/>
                <w:sz w:val="18"/>
                <w:szCs w:val="18"/>
                <w:color w:val="0000EE"/>
              </w:rPr>
            </w:pPr>
            <w:hyperlink w:anchor="page11">
              <w:r>
                <w:rPr>
                  <w:rFonts w:ascii="Arial" w:cs="Arial" w:eastAsia="Arial" w:hAnsi="Arial"/>
                  <w:sz w:val="18"/>
                  <w:szCs w:val="18"/>
                  <w:color w:val="0000EE"/>
                </w:rPr>
                <w:t>9</w:t>
              </w:r>
            </w:hyperlink>
          </w:p>
        </w:tc>
        <w:tc>
          <w:tcPr>
            <w:tcW w:w="0" w:type="dxa"/>
            <w:vAlign w:val="bottom"/>
          </w:tcPr>
          <w:p>
            <w:pPr>
              <w:spacing w:after="0"/>
              <w:rPr>
                <w:sz w:val="1"/>
                <w:szCs w:val="1"/>
                <w:color w:val="auto"/>
              </w:rPr>
            </w:pPr>
          </w:p>
        </w:tc>
      </w:tr>
      <w:tr>
        <w:trPr>
          <w:trHeight w:val="594"/>
        </w:trPr>
        <w:tc>
          <w:tcPr>
            <w:tcW w:w="900" w:type="dxa"/>
            <w:vAlign w:val="bottom"/>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Item 2.</w:t>
              </w:r>
            </w:hyperlink>
          </w:p>
        </w:tc>
        <w:tc>
          <w:tcPr>
            <w:tcW w:w="9680" w:type="dxa"/>
            <w:vAlign w:val="bottom"/>
          </w:tcPr>
          <w:p>
            <w:pPr>
              <w:ind w:left="14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800" w:type="dxa"/>
            <w:vAlign w:val="bottom"/>
          </w:tcPr>
          <w:p>
            <w:pPr>
              <w:jc w:val="right"/>
              <w:spacing w:after="0"/>
              <w:rPr>
                <w:rFonts w:ascii="Arial" w:cs="Arial" w:eastAsia="Arial" w:hAnsi="Arial"/>
                <w:sz w:val="18"/>
                <w:szCs w:val="18"/>
                <w:color w:val="0000EE"/>
              </w:rPr>
            </w:pPr>
            <w:hyperlink w:anchor="page53">
              <w:r>
                <w:rPr>
                  <w:rFonts w:ascii="Arial" w:cs="Arial" w:eastAsia="Arial" w:hAnsi="Arial"/>
                  <w:sz w:val="18"/>
                  <w:szCs w:val="18"/>
                  <w:color w:val="0000EE"/>
                </w:rPr>
                <w:t>51</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sz w:val="20"/>
                <w:szCs w:val="20"/>
                <w:color w:val="auto"/>
              </w:rPr>
            </w:pPr>
            <w:r>
              <w:rPr>
                <w:rFonts w:ascii="Arial" w:cs="Arial" w:eastAsia="Arial" w:hAnsi="Arial"/>
                <w:sz w:val="18"/>
                <w:szCs w:val="18"/>
                <w:color w:val="0000EE"/>
              </w:rPr>
              <w:t>Item 3.</w:t>
            </w:r>
          </w:p>
        </w:tc>
        <w:tc>
          <w:tcPr>
            <w:tcW w:w="9680" w:type="dxa"/>
            <w:vAlign w:val="bottom"/>
          </w:tcPr>
          <w:p>
            <w:pPr>
              <w:ind w:left="140"/>
              <w:spacing w:after="0"/>
              <w:rPr>
                <w:sz w:val="20"/>
                <w:szCs w:val="20"/>
                <w:color w:val="auto"/>
              </w:rPr>
            </w:pPr>
            <w:r>
              <w:rPr>
                <w:rFonts w:ascii="Arial" w:cs="Arial" w:eastAsia="Arial" w:hAnsi="Arial"/>
                <w:sz w:val="18"/>
                <w:szCs w:val="18"/>
                <w:color w:val="auto"/>
              </w:rPr>
              <w:t>Quantitative and Qualitative Disclosures about Market Risk</w:t>
            </w:r>
          </w:p>
        </w:tc>
        <w:tc>
          <w:tcPr>
            <w:tcW w:w="800" w:type="dxa"/>
            <w:vAlign w:val="bottom"/>
          </w:tcPr>
          <w:p>
            <w:pPr>
              <w:jc w:val="right"/>
              <w:spacing w:after="0"/>
              <w:rPr>
                <w:rFonts w:ascii="Arial" w:cs="Arial" w:eastAsia="Arial" w:hAnsi="Arial"/>
                <w:sz w:val="18"/>
                <w:szCs w:val="18"/>
                <w:color w:val="0000EE"/>
              </w:rPr>
            </w:pPr>
            <w:hyperlink w:anchor="page78">
              <w:r>
                <w:rPr>
                  <w:rFonts w:ascii="Arial" w:cs="Arial" w:eastAsia="Arial" w:hAnsi="Arial"/>
                  <w:sz w:val="18"/>
                  <w:szCs w:val="18"/>
                  <w:color w:val="0000EE"/>
                </w:rPr>
                <w:t>76</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sz w:val="20"/>
                <w:szCs w:val="20"/>
                <w:color w:val="auto"/>
              </w:rPr>
            </w:pPr>
            <w:r>
              <w:rPr>
                <w:rFonts w:ascii="Arial" w:cs="Arial" w:eastAsia="Arial" w:hAnsi="Arial"/>
                <w:sz w:val="18"/>
                <w:szCs w:val="18"/>
                <w:color w:val="0000EE"/>
              </w:rPr>
              <w:t>Item 4.</w:t>
            </w:r>
          </w:p>
        </w:tc>
        <w:tc>
          <w:tcPr>
            <w:tcW w:w="9680" w:type="dxa"/>
            <w:vAlign w:val="bottom"/>
          </w:tcPr>
          <w:p>
            <w:pPr>
              <w:ind w:left="140"/>
              <w:spacing w:after="0"/>
              <w:rPr>
                <w:sz w:val="20"/>
                <w:szCs w:val="20"/>
                <w:color w:val="auto"/>
              </w:rPr>
            </w:pPr>
            <w:r>
              <w:rPr>
                <w:rFonts w:ascii="Arial" w:cs="Arial" w:eastAsia="Arial" w:hAnsi="Arial"/>
                <w:sz w:val="18"/>
                <w:szCs w:val="18"/>
                <w:color w:val="auto"/>
              </w:rPr>
              <w:t>Controls and Procedures</w:t>
            </w:r>
          </w:p>
        </w:tc>
        <w:tc>
          <w:tcPr>
            <w:tcW w:w="800" w:type="dxa"/>
            <w:vAlign w:val="bottom"/>
          </w:tcPr>
          <w:p>
            <w:pPr>
              <w:jc w:val="right"/>
              <w:spacing w:after="0"/>
              <w:rPr>
                <w:rFonts w:ascii="Arial" w:cs="Arial" w:eastAsia="Arial" w:hAnsi="Arial"/>
                <w:sz w:val="18"/>
                <w:szCs w:val="18"/>
                <w:color w:val="0000EE"/>
              </w:rPr>
            </w:pPr>
            <w:hyperlink w:anchor="page80">
              <w:r>
                <w:rPr>
                  <w:rFonts w:ascii="Arial" w:cs="Arial" w:eastAsia="Arial" w:hAnsi="Arial"/>
                  <w:sz w:val="18"/>
                  <w:szCs w:val="18"/>
                  <w:color w:val="0000EE"/>
                </w:rPr>
                <w:t>78</w:t>
              </w:r>
            </w:hyperlink>
          </w:p>
        </w:tc>
        <w:tc>
          <w:tcPr>
            <w:tcW w:w="0" w:type="dxa"/>
            <w:vAlign w:val="bottom"/>
          </w:tcPr>
          <w:p>
            <w:pPr>
              <w:spacing w:after="0"/>
              <w:rPr>
                <w:sz w:val="1"/>
                <w:szCs w:val="1"/>
                <w:color w:val="auto"/>
              </w:rPr>
            </w:pPr>
          </w:p>
        </w:tc>
      </w:tr>
      <w:tr>
        <w:trPr>
          <w:trHeight w:val="540"/>
        </w:trPr>
        <w:tc>
          <w:tcPr>
            <w:tcW w:w="10580" w:type="dxa"/>
            <w:vAlign w:val="bottom"/>
            <w:gridSpan w:val="2"/>
          </w:tcPr>
          <w:p>
            <w:pPr>
              <w:spacing w:after="0"/>
              <w:rPr>
                <w:sz w:val="20"/>
                <w:szCs w:val="20"/>
                <w:color w:val="auto"/>
              </w:rPr>
            </w:pPr>
            <w:r>
              <w:rPr>
                <w:rFonts w:ascii="Arial" w:cs="Arial" w:eastAsia="Arial" w:hAnsi="Arial"/>
                <w:sz w:val="18"/>
                <w:szCs w:val="18"/>
                <w:b w:val="1"/>
                <w:bCs w:val="1"/>
                <w:color w:val="0000EE"/>
              </w:rPr>
              <w:t xml:space="preserve">PART II </w:t>
            </w:r>
            <w:r>
              <w:rPr>
                <w:rFonts w:ascii="Arial" w:cs="Arial" w:eastAsia="Arial" w:hAnsi="Arial"/>
                <w:sz w:val="18"/>
                <w:szCs w:val="18"/>
                <w:b w:val="1"/>
                <w:bCs w:val="1"/>
                <w:color w:val="000000"/>
              </w:rPr>
              <w:t>- OTHER INFORMATION</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900" w:type="dxa"/>
            <w:vAlign w:val="bottom"/>
          </w:tcPr>
          <w:p>
            <w:pPr>
              <w:spacing w:after="0"/>
              <w:rPr>
                <w:sz w:val="20"/>
                <w:szCs w:val="20"/>
                <w:color w:val="auto"/>
              </w:rPr>
            </w:pPr>
            <w:r>
              <w:rPr>
                <w:rFonts w:ascii="Arial" w:cs="Arial" w:eastAsia="Arial" w:hAnsi="Arial"/>
                <w:sz w:val="18"/>
                <w:szCs w:val="18"/>
                <w:color w:val="0000EE"/>
              </w:rPr>
              <w:t>Item 1.</w:t>
            </w:r>
          </w:p>
        </w:tc>
        <w:tc>
          <w:tcPr>
            <w:tcW w:w="9680" w:type="dxa"/>
            <w:vAlign w:val="bottom"/>
          </w:tcPr>
          <w:p>
            <w:pPr>
              <w:ind w:left="140"/>
              <w:spacing w:after="0"/>
              <w:rPr>
                <w:sz w:val="20"/>
                <w:szCs w:val="20"/>
                <w:color w:val="auto"/>
              </w:rPr>
            </w:pPr>
            <w:r>
              <w:rPr>
                <w:rFonts w:ascii="Arial" w:cs="Arial" w:eastAsia="Arial" w:hAnsi="Arial"/>
                <w:sz w:val="18"/>
                <w:szCs w:val="18"/>
                <w:color w:val="auto"/>
              </w:rPr>
              <w:t>Legal Proceedings</w:t>
            </w:r>
          </w:p>
        </w:tc>
        <w:tc>
          <w:tcPr>
            <w:tcW w:w="800" w:type="dxa"/>
            <w:vAlign w:val="bottom"/>
          </w:tcPr>
          <w:p>
            <w:pPr>
              <w:jc w:val="right"/>
              <w:spacing w:after="0"/>
              <w:rPr>
                <w:rFonts w:ascii="Arial" w:cs="Arial" w:eastAsia="Arial" w:hAnsi="Arial"/>
                <w:sz w:val="18"/>
                <w:szCs w:val="18"/>
                <w:color w:val="0000EE"/>
              </w:rPr>
            </w:pPr>
            <w:hyperlink w:anchor="page81">
              <w:r>
                <w:rPr>
                  <w:rFonts w:ascii="Arial" w:cs="Arial" w:eastAsia="Arial" w:hAnsi="Arial"/>
                  <w:sz w:val="18"/>
                  <w:szCs w:val="18"/>
                  <w:color w:val="0000EE"/>
                </w:rPr>
                <w:t>79</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sz w:val="20"/>
                <w:szCs w:val="20"/>
                <w:color w:val="auto"/>
              </w:rPr>
            </w:pPr>
            <w:r>
              <w:rPr>
                <w:rFonts w:ascii="Arial" w:cs="Arial" w:eastAsia="Arial" w:hAnsi="Arial"/>
                <w:sz w:val="18"/>
                <w:szCs w:val="18"/>
                <w:color w:val="0000EE"/>
              </w:rPr>
              <w:t>Item 1A.</w:t>
            </w:r>
          </w:p>
        </w:tc>
        <w:tc>
          <w:tcPr>
            <w:tcW w:w="9680" w:type="dxa"/>
            <w:vAlign w:val="bottom"/>
          </w:tcPr>
          <w:p>
            <w:pPr>
              <w:ind w:left="140"/>
              <w:spacing w:after="0"/>
              <w:rPr>
                <w:sz w:val="20"/>
                <w:szCs w:val="20"/>
                <w:color w:val="auto"/>
              </w:rPr>
            </w:pPr>
            <w:r>
              <w:rPr>
                <w:rFonts w:ascii="Arial" w:cs="Arial" w:eastAsia="Arial" w:hAnsi="Arial"/>
                <w:sz w:val="18"/>
                <w:szCs w:val="18"/>
                <w:color w:val="auto"/>
              </w:rPr>
              <w:t>Risk Factors</w:t>
            </w:r>
          </w:p>
        </w:tc>
        <w:tc>
          <w:tcPr>
            <w:tcW w:w="800" w:type="dxa"/>
            <w:vAlign w:val="bottom"/>
          </w:tcPr>
          <w:p>
            <w:pPr>
              <w:jc w:val="right"/>
              <w:spacing w:after="0"/>
              <w:rPr>
                <w:rFonts w:ascii="Arial" w:cs="Arial" w:eastAsia="Arial" w:hAnsi="Arial"/>
                <w:sz w:val="18"/>
                <w:szCs w:val="18"/>
                <w:color w:val="0000EE"/>
              </w:rPr>
            </w:pPr>
            <w:hyperlink w:anchor="page81">
              <w:r>
                <w:rPr>
                  <w:rFonts w:ascii="Arial" w:cs="Arial" w:eastAsia="Arial" w:hAnsi="Arial"/>
                  <w:sz w:val="18"/>
                  <w:szCs w:val="18"/>
                  <w:color w:val="0000EE"/>
                </w:rPr>
                <w:t>79</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Item 6.</w:t>
              </w:r>
            </w:hyperlink>
          </w:p>
        </w:tc>
        <w:tc>
          <w:tcPr>
            <w:tcW w:w="9680" w:type="dxa"/>
            <w:vAlign w:val="bottom"/>
          </w:tcPr>
          <w:p>
            <w:pPr>
              <w:ind w:left="140"/>
              <w:spacing w:after="0"/>
              <w:rPr>
                <w:sz w:val="20"/>
                <w:szCs w:val="20"/>
                <w:color w:val="auto"/>
              </w:rPr>
            </w:pPr>
            <w:r>
              <w:rPr>
                <w:rFonts w:ascii="Arial" w:cs="Arial" w:eastAsia="Arial" w:hAnsi="Arial"/>
                <w:sz w:val="18"/>
                <w:szCs w:val="18"/>
                <w:color w:val="auto"/>
              </w:rPr>
              <w:t>Exhibits</w:t>
            </w:r>
          </w:p>
        </w:tc>
        <w:tc>
          <w:tcPr>
            <w:tcW w:w="800" w:type="dxa"/>
            <w:vAlign w:val="bottom"/>
          </w:tcPr>
          <w:p>
            <w:pPr>
              <w:jc w:val="right"/>
              <w:spacing w:after="0"/>
              <w:rPr>
                <w:rFonts w:ascii="Arial" w:cs="Arial" w:eastAsia="Arial" w:hAnsi="Arial"/>
                <w:sz w:val="18"/>
                <w:szCs w:val="18"/>
                <w:color w:val="0000EE"/>
              </w:rPr>
            </w:pPr>
            <w:hyperlink w:anchor="page81">
              <w:r>
                <w:rPr>
                  <w:rFonts w:ascii="Arial" w:cs="Arial" w:eastAsia="Arial" w:hAnsi="Arial"/>
                  <w:sz w:val="18"/>
                  <w:szCs w:val="18"/>
                  <w:color w:val="0000EE"/>
                </w:rPr>
                <w:t>79</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Signatures</w:t>
              </w:r>
            </w:hyperlink>
          </w:p>
        </w:tc>
        <w:tc>
          <w:tcPr>
            <w:tcW w:w="9680" w:type="dxa"/>
            <w:vAlign w:val="bottom"/>
          </w:tcPr>
          <w:p>
            <w:pPr>
              <w:spacing w:after="0"/>
              <w:rPr>
                <w:sz w:val="24"/>
                <w:szCs w:val="24"/>
                <w:color w:val="auto"/>
              </w:rPr>
            </w:pPr>
          </w:p>
        </w:tc>
        <w:tc>
          <w:tcPr>
            <w:tcW w:w="800" w:type="dxa"/>
            <w:vAlign w:val="bottom"/>
          </w:tcPr>
          <w:p>
            <w:pPr>
              <w:jc w:val="right"/>
              <w:spacing w:after="0"/>
              <w:rPr>
                <w:rFonts w:ascii="Arial" w:cs="Arial" w:eastAsia="Arial" w:hAnsi="Arial"/>
                <w:sz w:val="18"/>
                <w:szCs w:val="18"/>
                <w:color w:val="0000EE"/>
              </w:rPr>
            </w:pPr>
            <w:hyperlink w:anchor="page83">
              <w:r>
                <w:rPr>
                  <w:rFonts w:ascii="Arial" w:cs="Arial" w:eastAsia="Arial" w:hAnsi="Arial"/>
                  <w:sz w:val="18"/>
                  <w:szCs w:val="18"/>
                  <w:color w:val="0000EE"/>
                </w:rPr>
                <w:t>81</w:t>
              </w:r>
            </w:hyperlink>
          </w:p>
        </w:tc>
        <w:tc>
          <w:tcPr>
            <w:tcW w:w="0" w:type="dxa"/>
            <w:vAlign w:val="bottom"/>
          </w:tcPr>
          <w:p>
            <w:pPr>
              <w:spacing w:after="0"/>
              <w:rPr>
                <w:sz w:val="1"/>
                <w:szCs w:val="1"/>
                <w:color w:val="auto"/>
              </w:rPr>
            </w:pPr>
          </w:p>
        </w:tc>
      </w:tr>
      <w:tr>
        <w:trPr>
          <w:trHeight w:val="702"/>
        </w:trPr>
        <w:tc>
          <w:tcPr>
            <w:tcW w:w="900" w:type="dxa"/>
            <w:vAlign w:val="bottom"/>
          </w:tcPr>
          <w:p>
            <w:pPr>
              <w:spacing w:after="0"/>
              <w:rPr>
                <w:sz w:val="24"/>
                <w:szCs w:val="24"/>
                <w:color w:val="auto"/>
              </w:rPr>
            </w:pPr>
          </w:p>
        </w:tc>
        <w:tc>
          <w:tcPr>
            <w:tcW w:w="9680" w:type="dxa"/>
            <w:vAlign w:val="bottom"/>
          </w:tcPr>
          <w:p>
            <w:pPr>
              <w:ind w:left="4720"/>
              <w:spacing w:after="0"/>
              <w:rPr>
                <w:sz w:val="20"/>
                <w:szCs w:val="20"/>
                <w:color w:val="auto"/>
              </w:rPr>
            </w:pPr>
            <w:r>
              <w:rPr>
                <w:rFonts w:ascii="Arial" w:cs="Arial" w:eastAsia="Arial" w:hAnsi="Arial"/>
                <w:sz w:val="18"/>
                <w:szCs w:val="18"/>
                <w:color w:val="auto"/>
              </w:rPr>
              <w:t>1</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80" w:top="58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jc w:val="both"/>
        <w:ind w:right="220" w:firstLine="324"/>
        <w:spacing w:after="0" w:line="259" w:lineRule="auto"/>
        <w:rPr>
          <w:sz w:val="20"/>
          <w:szCs w:val="20"/>
          <w:color w:val="auto"/>
        </w:rPr>
      </w:pPr>
      <w:r>
        <w:rPr>
          <w:rFonts w:ascii="Arial" w:cs="Arial" w:eastAsia="Arial" w:hAnsi="Arial"/>
          <w:sz w:val="18"/>
          <w:szCs w:val="18"/>
          <w:color w:val="auto"/>
        </w:rPr>
        <w:t>This Quarterly Report contains forward-looking statements within the meaning of Section 27A of the Securities Act of 1933, as amended, and Section 21E of the Securities Exchange Act of 1934, as amended. All statements, other than statements of historical fact included in this report, including, without limitation, statements regarding our financial position, business strategy and other plans and objectives for our future operations, are forward-looking statements.</w:t>
      </w:r>
    </w:p>
    <w:p>
      <w:pPr>
        <w:spacing w:after="0" w:line="79"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These statements include declarations regarding our management’s beliefs and current expectations. In some cases, you can identify forward-looking statements by terminology such as “may,” “will,” “should,” “could”, “intend,” “consider,” “expect,” “plan,” “anticipate,” “believe,” “estimate,” “predict” or “continue” or the negative of such terms or other comparable terminology. Forward-looking statements by their nature address matters that are, to different degrees, uncertain. Our business has been undergoing substantial change, which has magnified such uncertainties. Readers should bear these factors in mind when considering such statements and should not place undue reliance on such statements. Forward-looking statements involve a number of assumptions, risks and uncertainties that could cause actual results to differ materially from those suggested by such statements. In the past, actual results have differed from those suggested by forward-looking statements and this may happen again. Important factors that could cause actual results to differ include, but are not limited to, the risks discussed in “Risk Factors” in our Annual Report on Form 10-K for the year ended December 31, 2015 and the following:</w:t>
      </w:r>
    </w:p>
    <w:p>
      <w:pPr>
        <w:spacing w:after="0" w:line="58"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effects on our business as a result of regulatory investigations or settlements;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reactions to the announcement of such investigations or settlements by key counterparties;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regulatory scrutiny and media attention;</w:t>
      </w:r>
    </w:p>
    <w:p>
      <w:pPr>
        <w:spacing w:after="0" w:line="9" w:lineRule="exact"/>
        <w:rPr>
          <w:rFonts w:ascii="Arial" w:cs="Arial" w:eastAsia="Arial" w:hAnsi="Arial"/>
          <w:sz w:val="18"/>
          <w:szCs w:val="18"/>
          <w:color w:val="auto"/>
        </w:rPr>
      </w:pPr>
    </w:p>
    <w:p>
      <w:pPr>
        <w:ind w:left="660" w:right="140" w:hanging="328"/>
        <w:spacing w:after="0" w:line="281"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uncertainty related to claims, litigation and investigations brought by government agencies and private parties regarding our servicing, foreclosure, modification, origination and other practices, including uncertainty related to past, present or future investigations and settlements with state regulators, the Consumer Financial Protection Bureau (CFPB), State Attorneys General, the Securities and Exchange Commission (SEC), Department of Justice or the Department of Housing and Urban Development (HUD) and actions brought under the False Claims Act by private parties on behalf of the United States of America regarding incentive and other payments made by governmental entities;</w:t>
      </w:r>
    </w:p>
    <w:p>
      <w:pPr>
        <w:spacing w:after="0" w:line="3"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adverse developments in existing legal proceedings or the initiation of new legal proceedings;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manage our regulatory and contractual compliance obligations;</w:t>
      </w:r>
    </w:p>
    <w:p>
      <w:pPr>
        <w:spacing w:after="0" w:line="9" w:lineRule="exact"/>
        <w:rPr>
          <w:rFonts w:ascii="Arial" w:cs="Arial" w:eastAsia="Arial" w:hAnsi="Arial"/>
          <w:sz w:val="18"/>
          <w:szCs w:val="18"/>
          <w:color w:val="auto"/>
        </w:rPr>
      </w:pPr>
    </w:p>
    <w:p>
      <w:pPr>
        <w:ind w:left="660" w:right="44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adequacy of our financial resources, including our sources of liquidity and ability to sell, fund and recover advances, repay borrowings and comply with our debt agreements, including the financial and other covenants contained in them;</w:t>
      </w:r>
    </w:p>
    <w:p>
      <w:pPr>
        <w:ind w:left="660" w:right="44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servicer and credit ratings as well as other actions from various rating agencies, including the impact of recent or future downgrades of our servicer and credit ratings;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volatility in our stock price;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characteristics of our servicing portfolio, including prepayment speeds along with delinquency and advance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contain and reduce our operating costs, including our ability to successfully execute on our cost improvement initiative;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modify delinquent loans, manage foreclosures and sell foreclosed properties;</w:t>
      </w:r>
    </w:p>
    <w:p>
      <w:pPr>
        <w:spacing w:after="0" w:line="9" w:lineRule="exact"/>
        <w:rPr>
          <w:rFonts w:ascii="Arial" w:cs="Arial" w:eastAsia="Arial" w:hAnsi="Arial"/>
          <w:sz w:val="18"/>
          <w:szCs w:val="18"/>
          <w:color w:val="auto"/>
        </w:rPr>
      </w:pPr>
    </w:p>
    <w:p>
      <w:pPr>
        <w:ind w:left="660" w:right="48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related to legislation, regulations, regulatory agency actions, regulatory examinations, government programs and policies, industry initiatives and evolving best servicing practices;</w:t>
      </w:r>
    </w:p>
    <w:p>
      <w:pPr>
        <w:ind w:left="660" w:right="20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New Residential Investment Corp. (NRZ) for a substantial portion of our advance funding for non-Agency mortgage servicing rights;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uncertainties related to our long-term relationship with NRZ;</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loss of the services of our senior managers;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uncertainty related to general economic and market conditions, delinquency rates, home prices and disposition timelines on foreclosed properties;</w:t>
      </w:r>
    </w:p>
    <w:p>
      <w:pPr>
        <w:spacing w:after="0" w:line="32" w:lineRule="exact"/>
        <w:rPr>
          <w:rFonts w:ascii="Arial" w:cs="Arial" w:eastAsia="Arial" w:hAnsi="Arial"/>
          <w:sz w:val="16"/>
          <w:szCs w:val="16"/>
          <w:color w:val="auto"/>
        </w:rPr>
      </w:pPr>
    </w:p>
    <w:p>
      <w:pPr>
        <w:ind w:left="660" w:hanging="328"/>
        <w:spacing w:after="0" w:line="281"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uncertainty related to the actions of loan owners and guarantors, including mortgage-backed securities investors, the Government National Mortgage Association (Ginnie Mae), trustees and government sponsored entities (GSEs), regarding loan put-backs, penalties and legal actions;</w:t>
      </w:r>
    </w:p>
    <w:p>
      <w:pPr>
        <w:spacing w:after="0" w:line="1" w:lineRule="exact"/>
        <w:rPr>
          <w:rFonts w:ascii="Arial" w:cs="Arial" w:eastAsia="Arial" w:hAnsi="Arial"/>
          <w:sz w:val="16"/>
          <w:szCs w:val="16"/>
          <w:color w:val="auto"/>
        </w:rPr>
      </w:pPr>
    </w:p>
    <w:p>
      <w:pPr>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comply with our servicing agreements, including our ability to comply with our seller/servicer agreements with GSEs and maintain our status as an approved seller/servicer;</w:t>
      </w:r>
    </w:p>
    <w:p>
      <w:pPr>
        <w:ind w:left="660" w:right="60" w:hanging="328"/>
        <w:spacing w:after="0" w:line="265"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uncertainty related to the GSEs substantially curtailing or ceasing to purchase our conforming loan originations or the Federal Housing Authority of the Department of Housing and Urban Development or Department of Veterans Affairs ceasing to provide insurance;</w:t>
      </w:r>
    </w:p>
    <w:p>
      <w:pPr>
        <w:ind w:left="660" w:hanging="328"/>
        <w:spacing w:after="0" w:line="323"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uncertainty with respect to the Home Affordable Modification Program (HAMP) and the Home Affordable Refinance Program (HARP), which have been significant drivers of our servicing and origination revenue and which are scheduled to expire on December 31, 2016, unless extended;</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688" w:right="279" w:bottom="1440" w:gutter="0" w:footer="0" w:header="0"/>
        </w:sectPr>
      </w:pPr>
    </w:p>
    <w:bookmarkStart w:id="3" w:name="page4"/>
    <w:bookmarkEnd w:id="3"/>
    <w:p>
      <w:pPr>
        <w:ind w:left="660" w:right="120" w:hanging="328"/>
        <w:spacing w:after="0" w:line="25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uncertainty related to the processes for judicial and non-judicial foreclosure proceedings, including potential additional costs or delays or moratoria in the future or claims pertaining to past practices;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reserves, valuations, provisions and anticipated realization on assets;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uncertainty related to the ability of third-party obligors and financing sources to fund servicing advances on a timely basis on loans serviced by us;</w:t>
      </w:r>
    </w:p>
    <w:p>
      <w:pPr>
        <w:spacing w:after="0" w:line="32" w:lineRule="exact"/>
        <w:rPr>
          <w:rFonts w:ascii="Arial" w:cs="Arial" w:eastAsia="Arial" w:hAnsi="Arial"/>
          <w:sz w:val="16"/>
          <w:szCs w:val="16"/>
          <w:color w:val="auto"/>
        </w:rPr>
      </w:pPr>
    </w:p>
    <w:p>
      <w:pPr>
        <w:ind w:left="660" w:right="24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uncertainty related to the ability of our technology vendors to adequately maintain and support our systems, including our servicing systems, loan originations and financial reporting systems;</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effectively manage our exposure to interest rate changes and foreign exchange fluctuations;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uncertainty related to our ability to adapt and grow our business, including our new business initiatives;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our technology systems and our ability to adapt such systems for future operating environments;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of our internal security measures or breach of our privacy protections;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uncertainty related to the political or economic stability of foreign countries in which we have operations.</w:t>
      </w:r>
    </w:p>
    <w:p>
      <w:pPr>
        <w:spacing w:after="0" w:line="103"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Further information on the risks specific to our business is detailed within this report and our other reports and filings with the SEC including our Annual Report on Form 10-K for the year ended December 31, 2015 and our Quarterly and Current Reports on Form 10-Q and Form 8-K, respectively, since such date. Forward-looking statements speak only as of the date they were made and we disclaim any obligation to update or revise forward-looking statements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584" w:right="27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UNAUDITED CONSOLIDATED FINANCIAL STATEMENTS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8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June 30, 2016</w:t>
            </w: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834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Cash</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218,915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257,272</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Mortgage servicing rights ($700,668 and $761,190 carried at fair value)</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1,047,142</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1,138,569</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Advances, net</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329,228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444,298</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Match funded advances</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1,614,447</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1,706,768</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Loans held for sale ($339,687 and $309,054 carried at fair value)</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401,790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414,046</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Loans held for investment - Reverse mortgages, at fair value</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3,057,564</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2,488,253</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Receivables, net</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307,372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286,981</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Premises and equipment, net</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63,057</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57,626</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Other assets ($23,839 and $14,352 carried at fair value)</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448,737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586,495</w:t>
            </w:r>
          </w:p>
        </w:tc>
      </w:tr>
      <w:tr>
        <w:trPr>
          <w:trHeight w:val="27"/>
        </w:trPr>
        <w:tc>
          <w:tcPr>
            <w:tcW w:w="834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7,488,252</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7,380,308</w:t>
            </w:r>
          </w:p>
        </w:tc>
      </w:tr>
      <w:tr>
        <w:trPr>
          <w:trHeight w:val="20"/>
        </w:trPr>
        <w:tc>
          <w:tcPr>
            <w:tcW w:w="8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22"/>
        </w:trPr>
        <w:tc>
          <w:tcPr>
            <w:tcW w:w="8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00" w:type="dxa"/>
            <w:vAlign w:val="bottom"/>
          </w:tcPr>
          <w:p>
            <w:pPr>
              <w:spacing w:after="0"/>
              <w:rPr>
                <w:sz w:val="10"/>
                <w:szCs w:val="10"/>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b w:val="1"/>
                <w:bCs w:val="1"/>
                <w:color w:val="auto"/>
              </w:rPr>
              <w:t>Liabilities</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Match funded liabilities</w:t>
            </w: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1,431,381</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1,584,049</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Financing liabilities ($3,431,054 and $2,933,066 carried at fair value)</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3,568,017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3,089,255</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Other secured borrowings, net</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737,512</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762,411</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Senior unsecured notes, net</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346,179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345,511</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Other liabilities</w:t>
            </w:r>
          </w:p>
        </w:tc>
        <w:tc>
          <w:tcPr>
            <w:tcW w:w="18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752,011</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744,444</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6,835,100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6,525,670</w:t>
            </w:r>
          </w:p>
        </w:tc>
      </w:tr>
      <w:tr>
        <w:trPr>
          <w:trHeight w:val="27"/>
        </w:trPr>
        <w:tc>
          <w:tcPr>
            <w:tcW w:w="834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29"/>
        </w:trPr>
        <w:tc>
          <w:tcPr>
            <w:tcW w:w="8340" w:type="dxa"/>
            <w:vAlign w:val="bottom"/>
            <w:shd w:val="clear" w:color="auto" w:fill="EAF9E8"/>
          </w:tcPr>
          <w:p>
            <w:pPr>
              <w:spacing w:after="0"/>
              <w:rPr>
                <w:sz w:val="11"/>
                <w:szCs w:val="11"/>
                <w:color w:val="auto"/>
              </w:rPr>
            </w:pPr>
          </w:p>
        </w:tc>
        <w:tc>
          <w:tcPr>
            <w:tcW w:w="180" w:type="dxa"/>
            <w:vAlign w:val="bottom"/>
            <w:shd w:val="clear" w:color="auto" w:fill="EAF9E8"/>
          </w:tcPr>
          <w:p>
            <w:pPr>
              <w:spacing w:after="0"/>
              <w:rPr>
                <w:sz w:val="11"/>
                <w:szCs w:val="11"/>
                <w:color w:val="auto"/>
              </w:rPr>
            </w:pPr>
          </w:p>
        </w:tc>
        <w:tc>
          <w:tcPr>
            <w:tcW w:w="132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180" w:type="dxa"/>
            <w:vAlign w:val="bottom"/>
            <w:shd w:val="clear" w:color="auto" w:fill="EAF9E8"/>
          </w:tcPr>
          <w:p>
            <w:pPr>
              <w:spacing w:after="0"/>
              <w:rPr>
                <w:sz w:val="11"/>
                <w:szCs w:val="11"/>
                <w:color w:val="auto"/>
              </w:rPr>
            </w:pPr>
          </w:p>
        </w:tc>
        <w:tc>
          <w:tcPr>
            <w:tcW w:w="1300" w:type="dxa"/>
            <w:vAlign w:val="bottom"/>
            <w:shd w:val="clear" w:color="auto" w:fill="EAF9E8"/>
          </w:tcPr>
          <w:p>
            <w:pPr>
              <w:spacing w:after="0"/>
              <w:rPr>
                <w:sz w:val="11"/>
                <w:szCs w:val="1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b w:val="1"/>
                <w:bCs w:val="1"/>
                <w:color w:val="auto"/>
              </w:rPr>
              <w:t>Commitments and Contingencies (Notes 18 and 19)</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35"/>
        </w:trPr>
        <w:tc>
          <w:tcPr>
            <w:tcW w:w="8340" w:type="dxa"/>
            <w:vAlign w:val="bottom"/>
            <w:shd w:val="clear" w:color="auto" w:fill="EAF9E8"/>
          </w:tcPr>
          <w:p>
            <w:pPr>
              <w:spacing w:after="0"/>
              <w:rPr>
                <w:sz w:val="11"/>
                <w:szCs w:val="11"/>
                <w:color w:val="auto"/>
              </w:rPr>
            </w:pPr>
          </w:p>
        </w:tc>
        <w:tc>
          <w:tcPr>
            <w:tcW w:w="180" w:type="dxa"/>
            <w:vAlign w:val="bottom"/>
            <w:shd w:val="clear" w:color="auto" w:fill="EAF9E8"/>
          </w:tcPr>
          <w:p>
            <w:pPr>
              <w:spacing w:after="0"/>
              <w:rPr>
                <w:sz w:val="11"/>
                <w:szCs w:val="11"/>
                <w:color w:val="auto"/>
              </w:rPr>
            </w:pPr>
          </w:p>
        </w:tc>
        <w:tc>
          <w:tcPr>
            <w:tcW w:w="132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180" w:type="dxa"/>
            <w:vAlign w:val="bottom"/>
            <w:shd w:val="clear" w:color="auto" w:fill="EAF9E8"/>
          </w:tcPr>
          <w:p>
            <w:pPr>
              <w:spacing w:after="0"/>
              <w:rPr>
                <w:sz w:val="11"/>
                <w:szCs w:val="11"/>
                <w:color w:val="auto"/>
              </w:rPr>
            </w:pPr>
          </w:p>
        </w:tc>
        <w:tc>
          <w:tcPr>
            <w:tcW w:w="1300" w:type="dxa"/>
            <w:vAlign w:val="bottom"/>
            <w:shd w:val="clear" w:color="auto" w:fill="EAF9E8"/>
          </w:tcPr>
          <w:p>
            <w:pPr>
              <w:spacing w:after="0"/>
              <w:rPr>
                <w:sz w:val="11"/>
                <w:szCs w:val="1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b w:val="1"/>
                <w:bCs w:val="1"/>
                <w:color w:val="auto"/>
              </w:rPr>
              <w:t>Equity</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rPr>
              <w:t>Ocwen Financial Corporation (Ocwen) stockholders’ equity</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r>
      <w:tr>
        <w:trPr>
          <w:trHeight w:val="229"/>
        </w:trPr>
        <w:tc>
          <w:tcPr>
            <w:tcW w:w="8340" w:type="dxa"/>
            <w:vAlign w:val="bottom"/>
          </w:tcPr>
          <w:p>
            <w:pPr>
              <w:ind w:left="500"/>
              <w:spacing w:after="0"/>
              <w:rPr>
                <w:sz w:val="20"/>
                <w:szCs w:val="20"/>
                <w:color w:val="auto"/>
              </w:rPr>
            </w:pPr>
            <w:r>
              <w:rPr>
                <w:rFonts w:ascii="Arial" w:cs="Arial" w:eastAsia="Arial" w:hAnsi="Arial"/>
                <w:sz w:val="18"/>
                <w:szCs w:val="18"/>
                <w:color w:val="auto"/>
                <w:w w:val="90"/>
              </w:rPr>
              <w:t>Common stock, $.01 par value; 200,000,000 shares authorized; 123,986,954 and 124,774,516 shares issued</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8340" w:type="dxa"/>
            <w:vAlign w:val="bottom"/>
          </w:tcPr>
          <w:p>
            <w:pPr>
              <w:ind w:left="660"/>
              <w:spacing w:after="0"/>
              <w:rPr>
                <w:sz w:val="20"/>
                <w:szCs w:val="20"/>
                <w:color w:val="auto"/>
              </w:rPr>
            </w:pPr>
            <w:r>
              <w:rPr>
                <w:rFonts w:ascii="Arial" w:cs="Arial" w:eastAsia="Arial" w:hAnsi="Arial"/>
                <w:sz w:val="18"/>
                <w:szCs w:val="18"/>
                <w:color w:val="auto"/>
              </w:rPr>
              <w:t>and outstanding at June 30, 2016 and December 31, 2015, respectively</w:t>
            </w:r>
          </w:p>
        </w:tc>
        <w:tc>
          <w:tcPr>
            <w:tcW w:w="18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1,240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1,248</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Additional paid-in capital</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524,053</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526,148</w:t>
            </w: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Retained earnings</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127,220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325,929</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Accumulated other comprehensive loss, net of income taxes</w:t>
            </w:r>
          </w:p>
        </w:tc>
        <w:tc>
          <w:tcPr>
            <w:tcW w:w="18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(1,589)</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(1,763)</w:t>
            </w:r>
          </w:p>
        </w:tc>
      </w:tr>
      <w:tr>
        <w:trPr>
          <w:trHeight w:val="237"/>
        </w:trPr>
        <w:tc>
          <w:tcPr>
            <w:tcW w:w="8340" w:type="dxa"/>
            <w:vAlign w:val="bottom"/>
          </w:tcPr>
          <w:p>
            <w:pPr>
              <w:ind w:left="600"/>
              <w:spacing w:after="0"/>
              <w:rPr>
                <w:sz w:val="20"/>
                <w:szCs w:val="20"/>
                <w:color w:val="auto"/>
              </w:rPr>
            </w:pPr>
            <w:r>
              <w:rPr>
                <w:rFonts w:ascii="Arial" w:cs="Arial" w:eastAsia="Arial" w:hAnsi="Arial"/>
                <w:sz w:val="18"/>
                <w:szCs w:val="18"/>
                <w:color w:val="auto"/>
              </w:rPr>
              <w:t>Total Ocwen stockholders’ equity</w:t>
            </w: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650,924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851,562</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rPr>
              <w:t>Non-controlling interest in subsidiaries</w:t>
            </w:r>
          </w:p>
        </w:tc>
        <w:tc>
          <w:tcPr>
            <w:tcW w:w="18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2,228</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3,076</w:t>
            </w:r>
          </w:p>
        </w:tc>
      </w:tr>
      <w:tr>
        <w:trPr>
          <w:trHeight w:val="237"/>
        </w:trPr>
        <w:tc>
          <w:tcPr>
            <w:tcW w:w="8340" w:type="dxa"/>
            <w:vAlign w:val="bottom"/>
          </w:tcPr>
          <w:p>
            <w:pPr>
              <w:ind w:left="500"/>
              <w:spacing w:after="0"/>
              <w:rPr>
                <w:sz w:val="20"/>
                <w:szCs w:val="20"/>
                <w:color w:val="auto"/>
              </w:rPr>
            </w:pPr>
            <w:r>
              <w:rPr>
                <w:rFonts w:ascii="Arial" w:cs="Arial" w:eastAsia="Arial" w:hAnsi="Arial"/>
                <w:sz w:val="18"/>
                <w:szCs w:val="18"/>
                <w:color w:val="auto"/>
              </w:rPr>
              <w:t>Total equity</w:t>
            </w: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653,152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854,638</w:t>
            </w:r>
          </w:p>
        </w:tc>
      </w:tr>
      <w:tr>
        <w:trPr>
          <w:trHeight w:val="27"/>
        </w:trPr>
        <w:tc>
          <w:tcPr>
            <w:tcW w:w="834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 liabilities and equity</w:t>
            </w: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7,488,252</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7,380,308</w:t>
            </w:r>
          </w:p>
        </w:tc>
      </w:tr>
      <w:tr>
        <w:trPr>
          <w:trHeight w:val="20"/>
        </w:trPr>
        <w:tc>
          <w:tcPr>
            <w:tcW w:w="8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3200" w:type="dxa"/>
            <w:vAlign w:val="bottom"/>
            <w:gridSpan w:val="6"/>
          </w:tcPr>
          <w:p>
            <w:pPr>
              <w:ind w:left="100"/>
              <w:spacing w:after="0"/>
              <w:rPr>
                <w:sz w:val="20"/>
                <w:szCs w:val="20"/>
                <w:color w:val="auto"/>
              </w:rPr>
            </w:pPr>
            <w:r>
              <w:rPr>
                <w:rFonts w:ascii="Arial" w:cs="Arial" w:eastAsia="Arial" w:hAnsi="Arial"/>
                <w:sz w:val="18"/>
                <w:szCs w:val="18"/>
                <w:b w:val="1"/>
                <w:bCs w:val="1"/>
                <w:color w:val="auto"/>
                <w:w w:val="95"/>
              </w:rPr>
              <w:t>For the Three Months Ended June 30,</w:t>
            </w:r>
          </w:p>
        </w:tc>
        <w:tc>
          <w:tcPr>
            <w:tcW w:w="160" w:type="dxa"/>
            <w:vAlign w:val="bottom"/>
          </w:tcPr>
          <w:p>
            <w:pPr>
              <w:spacing w:after="0"/>
              <w:rPr>
                <w:sz w:val="20"/>
                <w:szCs w:val="20"/>
                <w:color w:val="auto"/>
              </w:rPr>
            </w:pPr>
          </w:p>
        </w:tc>
        <w:tc>
          <w:tcPr>
            <w:tcW w:w="290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w w:val="90"/>
              </w:rPr>
              <w:t>For the Six Months Ended June 30,</w:t>
            </w:r>
          </w:p>
        </w:tc>
      </w:tr>
      <w:tr>
        <w:trPr>
          <w:trHeight w:val="27"/>
        </w:trPr>
        <w:tc>
          <w:tcPr>
            <w:tcW w:w="5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516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Revenue</w:t>
            </w: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Servicing and subservicing fees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307,262</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396,983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604,758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843,524</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1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Gain on loans held for sale, net</w:t>
            </w: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27,857</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45,132</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43,429</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89,636</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Other revenues</w:t>
            </w:r>
          </w:p>
        </w:tc>
        <w:tc>
          <w:tcPr>
            <w:tcW w:w="30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37,935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21,136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55,624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40,535</w:t>
            </w:r>
          </w:p>
        </w:tc>
      </w:tr>
      <w:tr>
        <w:trPr>
          <w:trHeight w:val="27"/>
        </w:trPr>
        <w:tc>
          <w:tcPr>
            <w:tcW w:w="516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EAF9E8"/>
            </w:tcBorders>
            <w:shd w:val="clear" w:color="auto" w:fill="EAF9E8"/>
          </w:tcPr>
          <w:p>
            <w:pPr>
              <w:spacing w:after="0"/>
              <w:rPr>
                <w:sz w:val="22"/>
                <w:szCs w:val="22"/>
                <w:color w:val="auto"/>
              </w:rPr>
            </w:pP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373,054</w:t>
            </w:r>
          </w:p>
        </w:tc>
        <w:tc>
          <w:tcPr>
            <w:tcW w:w="12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463,251</w:t>
            </w: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spacing w:after="0"/>
              <w:rPr>
                <w:sz w:val="22"/>
                <w:szCs w:val="22"/>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703,811</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973,695</w:t>
            </w:r>
          </w:p>
        </w:tc>
      </w:tr>
      <w:tr>
        <w:trPr>
          <w:trHeight w:val="210"/>
        </w:trPr>
        <w:tc>
          <w:tcPr>
            <w:tcW w:w="51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r>
      <w:tr>
        <w:trPr>
          <w:trHeight w:val="250"/>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Expenses</w:t>
            </w: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Compensation and benefits</w:t>
            </w:r>
          </w:p>
        </w:tc>
        <w:tc>
          <w:tcPr>
            <w:tcW w:w="30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98,422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105,843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194,671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210,987</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1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Amortization of mortgage servicing rights</w:t>
            </w: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8,347</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31,586</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21,153</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70,080</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Servicing and origination</w:t>
            </w:r>
          </w:p>
        </w:tc>
        <w:tc>
          <w:tcPr>
            <w:tcW w:w="30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89,987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52,558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185,679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154,360</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1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Technology and communications</w:t>
            </w: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32,709</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41,260</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59,578</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80,611</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Professional services</w:t>
            </w:r>
          </w:p>
        </w:tc>
        <w:tc>
          <w:tcPr>
            <w:tcW w:w="30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121,399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72,369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192,306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129,300</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1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Occupancy and equipment</w:t>
            </w: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20,708</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28,773</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45,453</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54,487</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13,446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19,863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14,835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30,785</w:t>
            </w:r>
          </w:p>
        </w:tc>
      </w:tr>
      <w:tr>
        <w:trPr>
          <w:trHeight w:val="27"/>
        </w:trPr>
        <w:tc>
          <w:tcPr>
            <w:tcW w:w="516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 expenses</w:t>
            </w:r>
          </w:p>
        </w:tc>
        <w:tc>
          <w:tcPr>
            <w:tcW w:w="300" w:type="dxa"/>
            <w:vAlign w:val="bottom"/>
            <w:tcBorders>
              <w:bottom w:val="single" w:sz="8" w:color="EAF9E8"/>
            </w:tcBorders>
            <w:shd w:val="clear" w:color="auto" w:fill="EAF9E8"/>
          </w:tcPr>
          <w:p>
            <w:pPr>
              <w:spacing w:after="0"/>
              <w:rPr>
                <w:sz w:val="22"/>
                <w:szCs w:val="22"/>
                <w:color w:val="auto"/>
              </w:rPr>
            </w:pP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385,018</w:t>
            </w:r>
          </w:p>
        </w:tc>
        <w:tc>
          <w:tcPr>
            <w:tcW w:w="12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352,252</w:t>
            </w: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spacing w:after="0"/>
              <w:rPr>
                <w:sz w:val="22"/>
                <w:szCs w:val="22"/>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713,675</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730,610</w:t>
            </w:r>
          </w:p>
        </w:tc>
      </w:tr>
      <w:tr>
        <w:trPr>
          <w:trHeight w:val="210"/>
        </w:trPr>
        <w:tc>
          <w:tcPr>
            <w:tcW w:w="51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r>
      <w:tr>
        <w:trPr>
          <w:trHeight w:val="250"/>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5,140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5,038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9,330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10,613</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1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(91,033)</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(124,897)</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(197,122)</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(244,293)</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Gain on sale of mortgage servicing rights, net</w:t>
            </w:r>
          </w:p>
        </w:tc>
        <w:tc>
          <w:tcPr>
            <w:tcW w:w="30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853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30,306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2,028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56,712</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51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Other, net</w:t>
            </w:r>
          </w:p>
        </w:tc>
        <w:tc>
          <w:tcPr>
            <w:tcW w:w="300" w:type="dxa"/>
            <w:vAlign w:val="bottom"/>
            <w:tcBorders>
              <w:bottom w:val="single" w:sz="8" w:color="EAF9E8"/>
            </w:tcBorders>
            <w:shd w:val="clear" w:color="auto" w:fill="EAF9E8"/>
          </w:tcPr>
          <w:p>
            <w:pPr>
              <w:spacing w:after="0"/>
              <w:rPr>
                <w:sz w:val="23"/>
                <w:szCs w:val="23"/>
                <w:color w:val="auto"/>
              </w:rPr>
            </w:pP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606</w:t>
            </w:r>
          </w:p>
        </w:tc>
        <w:tc>
          <w:tcPr>
            <w:tcW w:w="12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(8,946)</w:t>
            </w:r>
          </w:p>
        </w:tc>
        <w:tc>
          <w:tcPr>
            <w:tcW w:w="10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(2,895)</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(10,788)</w:t>
            </w:r>
          </w:p>
        </w:tc>
      </w:tr>
      <w:tr>
        <w:trPr>
          <w:trHeight w:val="237"/>
        </w:trPr>
        <w:tc>
          <w:tcPr>
            <w:tcW w:w="5160" w:type="dxa"/>
            <w:vAlign w:val="bottom"/>
          </w:tcPr>
          <w:p>
            <w:pPr>
              <w:ind w:left="280"/>
              <w:spacing w:after="0"/>
              <w:rPr>
                <w:sz w:val="20"/>
                <w:szCs w:val="20"/>
                <w:color w:val="auto"/>
              </w:rPr>
            </w:pPr>
            <w:r>
              <w:rPr>
                <w:rFonts w:ascii="Arial" w:cs="Arial" w:eastAsia="Arial" w:hAnsi="Arial"/>
                <w:sz w:val="18"/>
                <w:szCs w:val="18"/>
                <w:color w:val="auto"/>
              </w:rPr>
              <w:t>Total other expense, net</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(84,434)</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(98,499)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(188,659)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(187,756)</w:t>
            </w:r>
          </w:p>
        </w:tc>
      </w:tr>
      <w:tr>
        <w:trPr>
          <w:trHeight w:val="27"/>
        </w:trPr>
        <w:tc>
          <w:tcPr>
            <w:tcW w:w="516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0"/>
        </w:trPr>
        <w:tc>
          <w:tcPr>
            <w:tcW w:w="516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2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1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3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180" w:type="dxa"/>
            <w:vAlign w:val="bottom"/>
            <w:shd w:val="clear" w:color="auto" w:fill="EAF9E8"/>
          </w:tcPr>
          <w:p>
            <w:pPr>
              <w:spacing w:after="0"/>
              <w:rPr>
                <w:sz w:val="18"/>
                <w:szCs w:val="18"/>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Income (loss) before income taxes</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(96,398)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12,500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(198,523)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55,329</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Income tax expense (benefit)</w:t>
            </w:r>
          </w:p>
        </w:tc>
        <w:tc>
          <w:tcPr>
            <w:tcW w:w="300" w:type="dxa"/>
            <w:vAlign w:val="bottom"/>
            <w:tcBorders>
              <w:bottom w:val="single" w:sz="8" w:color="EAF9E8"/>
            </w:tcBorders>
            <w:shd w:val="clear" w:color="auto" w:fill="EAF9E8"/>
          </w:tcPr>
          <w:p>
            <w:pPr>
              <w:spacing w:after="0"/>
              <w:rPr>
                <w:sz w:val="23"/>
                <w:szCs w:val="23"/>
                <w:color w:val="auto"/>
              </w:rPr>
            </w:pP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(9,180)</w:t>
            </w:r>
          </w:p>
        </w:tc>
        <w:tc>
          <w:tcPr>
            <w:tcW w:w="12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2,594</w:t>
            </w:r>
          </w:p>
        </w:tc>
        <w:tc>
          <w:tcPr>
            <w:tcW w:w="10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11,034</w:t>
            </w:r>
          </w:p>
        </w:tc>
      </w:tr>
      <w:tr>
        <w:trPr>
          <w:trHeight w:val="237"/>
        </w:trPr>
        <w:tc>
          <w:tcPr>
            <w:tcW w:w="5160" w:type="dxa"/>
            <w:vAlign w:val="bottom"/>
          </w:tcPr>
          <w:p>
            <w:pPr>
              <w:ind w:left="280"/>
              <w:spacing w:after="0"/>
              <w:rPr>
                <w:sz w:val="20"/>
                <w:szCs w:val="20"/>
                <w:color w:val="auto"/>
              </w:rPr>
            </w:pPr>
            <w:r>
              <w:rPr>
                <w:rFonts w:ascii="Arial" w:cs="Arial" w:eastAsia="Arial" w:hAnsi="Arial"/>
                <w:sz w:val="18"/>
                <w:szCs w:val="18"/>
                <w:b w:val="1"/>
                <w:bCs w:val="1"/>
                <w:color w:val="auto"/>
              </w:rPr>
              <w:t>Net income (loss)</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(87,218)</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9,906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(198,419)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44,295</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300" w:type="dxa"/>
            <w:vAlign w:val="bottom"/>
            <w:tcBorders>
              <w:bottom w:val="single" w:sz="8" w:color="EAF9E8"/>
            </w:tcBorders>
            <w:shd w:val="clear" w:color="auto" w:fill="EAF9E8"/>
          </w:tcPr>
          <w:p>
            <w:pPr>
              <w:spacing w:after="0"/>
              <w:rPr>
                <w:sz w:val="23"/>
                <w:szCs w:val="23"/>
                <w:color w:val="auto"/>
              </w:rPr>
            </w:pP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(202)</w:t>
            </w:r>
          </w:p>
        </w:tc>
      </w:tr>
      <w:tr>
        <w:trPr>
          <w:trHeight w:val="297"/>
        </w:trPr>
        <w:tc>
          <w:tcPr>
            <w:tcW w:w="5160" w:type="dxa"/>
            <w:vAlign w:val="bottom"/>
            <w:tcBorders>
              <w:bottom w:val="single" w:sz="8" w:color="EAF9E8"/>
            </w:tcBorders>
          </w:tcPr>
          <w:p>
            <w:pPr>
              <w:ind w:left="280"/>
              <w:spacing w:after="0"/>
              <w:rPr>
                <w:sz w:val="20"/>
                <w:szCs w:val="20"/>
                <w:color w:val="auto"/>
              </w:rPr>
            </w:pPr>
            <w:r>
              <w:rPr>
                <w:rFonts w:ascii="Arial" w:cs="Arial" w:eastAsia="Arial" w:hAnsi="Arial"/>
                <w:sz w:val="18"/>
                <w:szCs w:val="18"/>
                <w:b w:val="1"/>
                <w:bCs w:val="1"/>
                <w:color w:val="auto"/>
              </w:rPr>
              <w:t>Net income (loss) attributable to Ocwen stockholders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(87,378)</w:t>
            </w:r>
          </w:p>
        </w:tc>
        <w:tc>
          <w:tcPr>
            <w:tcW w:w="120" w:type="dxa"/>
            <w:vAlign w:val="bottom"/>
            <w:tcBorders>
              <w:bottom w:val="single" w:sz="8" w:color="EAF9E8"/>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9,738</w:t>
            </w:r>
          </w:p>
        </w:tc>
        <w:tc>
          <w:tcPr>
            <w:tcW w:w="100" w:type="dxa"/>
            <w:vAlign w:val="bottom"/>
            <w:tcBorders>
              <w:bottom w:val="single" w:sz="8" w:color="EAF9E8"/>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(198,709)</w:t>
            </w:r>
          </w:p>
        </w:tc>
        <w:tc>
          <w:tcPr>
            <w:tcW w:w="100" w:type="dxa"/>
            <w:vAlign w:val="bottom"/>
            <w:tcBorders>
              <w:bottom w:val="single" w:sz="8" w:color="EAF9E8"/>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44,093</w:t>
            </w:r>
          </w:p>
        </w:tc>
      </w:tr>
      <w:tr>
        <w:trPr>
          <w:trHeight w:val="203"/>
        </w:trPr>
        <w:tc>
          <w:tcPr>
            <w:tcW w:w="5160" w:type="dxa"/>
            <w:vAlign w:val="bottom"/>
            <w:shd w:val="clear" w:color="auto" w:fill="EAF9E8"/>
          </w:tcPr>
          <w:p>
            <w:pPr>
              <w:spacing w:after="0"/>
              <w:rPr>
                <w:sz w:val="17"/>
                <w:szCs w:val="17"/>
                <w:color w:val="auto"/>
              </w:rPr>
            </w:pPr>
          </w:p>
        </w:tc>
        <w:tc>
          <w:tcPr>
            <w:tcW w:w="300" w:type="dxa"/>
            <w:vAlign w:val="bottom"/>
            <w:shd w:val="clear" w:color="auto" w:fill="EAF9E8"/>
          </w:tcPr>
          <w:p>
            <w:pPr>
              <w:spacing w:after="0"/>
              <w:rPr>
                <w:sz w:val="17"/>
                <w:szCs w:val="17"/>
                <w:color w:val="auto"/>
              </w:rPr>
            </w:pPr>
          </w:p>
        </w:tc>
        <w:tc>
          <w:tcPr>
            <w:tcW w:w="12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300" w:type="dxa"/>
            <w:vAlign w:val="bottom"/>
            <w:shd w:val="clear" w:color="auto" w:fill="EAF9E8"/>
          </w:tcPr>
          <w:p>
            <w:pPr>
              <w:spacing w:after="0"/>
              <w:rPr>
                <w:sz w:val="17"/>
                <w:szCs w:val="17"/>
                <w:color w:val="auto"/>
              </w:rPr>
            </w:pPr>
          </w:p>
        </w:tc>
        <w:tc>
          <w:tcPr>
            <w:tcW w:w="118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13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300" w:type="dxa"/>
            <w:vAlign w:val="bottom"/>
            <w:shd w:val="clear" w:color="auto" w:fill="EAF9E8"/>
          </w:tcPr>
          <w:p>
            <w:pPr>
              <w:spacing w:after="0"/>
              <w:rPr>
                <w:sz w:val="17"/>
                <w:szCs w:val="17"/>
                <w:color w:val="auto"/>
              </w:rPr>
            </w:pPr>
          </w:p>
        </w:tc>
        <w:tc>
          <w:tcPr>
            <w:tcW w:w="1180" w:type="dxa"/>
            <w:vAlign w:val="bottom"/>
            <w:shd w:val="clear" w:color="auto" w:fill="EAF9E8"/>
          </w:tcPr>
          <w:p>
            <w:pPr>
              <w:spacing w:after="0"/>
              <w:rPr>
                <w:sz w:val="17"/>
                <w:szCs w:val="17"/>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w w:val="97"/>
              </w:rPr>
              <w:t>Earnings (loss) per share attributable to Ocwen stockholders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1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(0.71)</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0.08</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0.35</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Diluted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(0.71)</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0.35</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22"/>
        </w:trPr>
        <w:tc>
          <w:tcPr>
            <w:tcW w:w="5160" w:type="dxa"/>
            <w:vAlign w:val="bottom"/>
            <w:shd w:val="clear" w:color="auto" w:fill="EAF9E8"/>
          </w:tcPr>
          <w:p>
            <w:pPr>
              <w:spacing w:after="0"/>
              <w:rPr>
                <w:sz w:val="10"/>
                <w:szCs w:val="10"/>
                <w:color w:val="auto"/>
              </w:rPr>
            </w:pPr>
          </w:p>
        </w:tc>
        <w:tc>
          <w:tcPr>
            <w:tcW w:w="300" w:type="dxa"/>
            <w:vAlign w:val="bottom"/>
            <w:shd w:val="clear" w:color="auto" w:fill="EAF9E8"/>
          </w:tcPr>
          <w:p>
            <w:pPr>
              <w:spacing w:after="0"/>
              <w:rPr>
                <w:sz w:val="10"/>
                <w:szCs w:val="10"/>
                <w:color w:val="auto"/>
              </w:rPr>
            </w:pPr>
          </w:p>
        </w:tc>
        <w:tc>
          <w:tcPr>
            <w:tcW w:w="1200" w:type="dxa"/>
            <w:vAlign w:val="bottom"/>
            <w:shd w:val="clear" w:color="auto" w:fill="EAF9E8"/>
          </w:tcPr>
          <w:p>
            <w:pPr>
              <w:spacing w:after="0"/>
              <w:rPr>
                <w:sz w:val="10"/>
                <w:szCs w:val="10"/>
                <w:color w:val="auto"/>
              </w:rPr>
            </w:pPr>
          </w:p>
        </w:tc>
        <w:tc>
          <w:tcPr>
            <w:tcW w:w="120" w:type="dxa"/>
            <w:vAlign w:val="bottom"/>
            <w:shd w:val="clear" w:color="auto" w:fill="EAF9E8"/>
          </w:tcPr>
          <w:p>
            <w:pPr>
              <w:spacing w:after="0"/>
              <w:rPr>
                <w:sz w:val="10"/>
                <w:szCs w:val="10"/>
                <w:color w:val="auto"/>
              </w:rPr>
            </w:pPr>
          </w:p>
        </w:tc>
        <w:tc>
          <w:tcPr>
            <w:tcW w:w="300" w:type="dxa"/>
            <w:vAlign w:val="bottom"/>
            <w:shd w:val="clear" w:color="auto" w:fill="EAF9E8"/>
          </w:tcPr>
          <w:p>
            <w:pPr>
              <w:spacing w:after="0"/>
              <w:rPr>
                <w:sz w:val="10"/>
                <w:szCs w:val="10"/>
                <w:color w:val="auto"/>
              </w:rPr>
            </w:pPr>
          </w:p>
        </w:tc>
        <w:tc>
          <w:tcPr>
            <w:tcW w:w="1180" w:type="dxa"/>
            <w:vAlign w:val="bottom"/>
            <w:shd w:val="clear" w:color="auto" w:fill="EAF9E8"/>
          </w:tcPr>
          <w:p>
            <w:pPr>
              <w:spacing w:after="0"/>
              <w:rPr>
                <w:sz w:val="10"/>
                <w:szCs w:val="10"/>
                <w:color w:val="auto"/>
              </w:rPr>
            </w:pPr>
          </w:p>
        </w:tc>
        <w:tc>
          <w:tcPr>
            <w:tcW w:w="100" w:type="dxa"/>
            <w:vAlign w:val="bottom"/>
            <w:shd w:val="clear" w:color="auto" w:fill="EAF9E8"/>
          </w:tcPr>
          <w:p>
            <w:pPr>
              <w:spacing w:after="0"/>
              <w:rPr>
                <w:sz w:val="10"/>
                <w:szCs w:val="10"/>
                <w:color w:val="auto"/>
              </w:rPr>
            </w:pPr>
          </w:p>
        </w:tc>
        <w:tc>
          <w:tcPr>
            <w:tcW w:w="160" w:type="dxa"/>
            <w:vAlign w:val="bottom"/>
            <w:shd w:val="clear" w:color="auto" w:fill="EAF9E8"/>
          </w:tcPr>
          <w:p>
            <w:pPr>
              <w:spacing w:after="0"/>
              <w:rPr>
                <w:sz w:val="10"/>
                <w:szCs w:val="10"/>
                <w:color w:val="auto"/>
              </w:rPr>
            </w:pPr>
          </w:p>
        </w:tc>
        <w:tc>
          <w:tcPr>
            <w:tcW w:w="1320" w:type="dxa"/>
            <w:vAlign w:val="bottom"/>
            <w:shd w:val="clear" w:color="auto" w:fill="EAF9E8"/>
          </w:tcPr>
          <w:p>
            <w:pPr>
              <w:spacing w:after="0"/>
              <w:rPr>
                <w:sz w:val="10"/>
                <w:szCs w:val="10"/>
                <w:color w:val="auto"/>
              </w:rPr>
            </w:pPr>
          </w:p>
        </w:tc>
        <w:tc>
          <w:tcPr>
            <w:tcW w:w="100" w:type="dxa"/>
            <w:vAlign w:val="bottom"/>
            <w:shd w:val="clear" w:color="auto" w:fill="EAF9E8"/>
          </w:tcPr>
          <w:p>
            <w:pPr>
              <w:spacing w:after="0"/>
              <w:rPr>
                <w:sz w:val="10"/>
                <w:szCs w:val="10"/>
                <w:color w:val="auto"/>
              </w:rPr>
            </w:pPr>
          </w:p>
        </w:tc>
        <w:tc>
          <w:tcPr>
            <w:tcW w:w="300" w:type="dxa"/>
            <w:vAlign w:val="bottom"/>
            <w:shd w:val="clear" w:color="auto" w:fill="EAF9E8"/>
          </w:tcPr>
          <w:p>
            <w:pPr>
              <w:spacing w:after="0"/>
              <w:rPr>
                <w:sz w:val="10"/>
                <w:szCs w:val="10"/>
                <w:color w:val="auto"/>
              </w:rPr>
            </w:pPr>
          </w:p>
        </w:tc>
        <w:tc>
          <w:tcPr>
            <w:tcW w:w="1180" w:type="dxa"/>
            <w:vAlign w:val="bottom"/>
            <w:shd w:val="clear" w:color="auto" w:fill="EAF9E8"/>
          </w:tcPr>
          <w:p>
            <w:pPr>
              <w:spacing w:after="0"/>
              <w:rPr>
                <w:sz w:val="10"/>
                <w:szCs w:val="10"/>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Weighted average common shares outstanding</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1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123,893,752</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125,311,133</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123,993,545</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125,291,788</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Diluted</w:t>
            </w:r>
          </w:p>
        </w:tc>
        <w:tc>
          <w:tcPr>
            <w:tcW w:w="30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123,893,752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127,152,479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123,993,545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127,076,178</w:t>
            </w: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37" w:right="239" w:bottom="1440" w:gutter="0" w:footer="0" w:header="0"/>
        </w:sectPr>
      </w:pPr>
    </w:p>
    <w:bookmarkStart w:id="6" w:name="page7"/>
    <w:bookmarkEnd w:id="6"/>
    <w:p>
      <w:pPr>
        <w:jc w:val="center"/>
        <w:spacing w:after="0" w:line="266" w:lineRule="auto"/>
        <w:rPr>
          <w:sz w:val="20"/>
          <w:szCs w:val="20"/>
          <w:color w:val="auto"/>
        </w:rPr>
      </w:pPr>
      <w:r>
        <w:rPr>
          <w:rFonts w:ascii="Arial" w:cs="Arial" w:eastAsia="Arial" w:hAnsi="Arial"/>
          <w:sz w:val="18"/>
          <w:szCs w:val="18"/>
          <w:b w:val="1"/>
          <w:bCs w:val="1"/>
          <w:color w:val="auto"/>
        </w:rPr>
        <w:t>OCWEN FINANCIAL CORPORATION AND SUBSIDIARIES UNAUDITED CONSOLIDATED STATEMENTS OF COMPREHENSIVE INCOME (Dollars 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3200" w:type="dxa"/>
            <w:vAlign w:val="bottom"/>
            <w:gridSpan w:val="6"/>
          </w:tcPr>
          <w:p>
            <w:pPr>
              <w:ind w:left="100"/>
              <w:spacing w:after="0"/>
              <w:rPr>
                <w:sz w:val="20"/>
                <w:szCs w:val="20"/>
                <w:color w:val="auto"/>
              </w:rPr>
            </w:pPr>
            <w:r>
              <w:rPr>
                <w:rFonts w:ascii="Arial" w:cs="Arial" w:eastAsia="Arial" w:hAnsi="Arial"/>
                <w:sz w:val="18"/>
                <w:szCs w:val="18"/>
                <w:b w:val="1"/>
                <w:bCs w:val="1"/>
                <w:color w:val="auto"/>
                <w:w w:val="95"/>
              </w:rPr>
              <w:t>For the Three Months Ended June 30,</w:t>
            </w:r>
          </w:p>
        </w:tc>
        <w:tc>
          <w:tcPr>
            <w:tcW w:w="160" w:type="dxa"/>
            <w:vAlign w:val="bottom"/>
          </w:tcPr>
          <w:p>
            <w:pPr>
              <w:spacing w:after="0"/>
              <w:rPr>
                <w:sz w:val="20"/>
                <w:szCs w:val="20"/>
                <w:color w:val="auto"/>
              </w:rPr>
            </w:pPr>
          </w:p>
        </w:tc>
        <w:tc>
          <w:tcPr>
            <w:tcW w:w="290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w w:val="90"/>
              </w:rPr>
              <w:t>For the Six Months Ended June 30,</w:t>
            </w:r>
          </w:p>
        </w:tc>
      </w:tr>
      <w:tr>
        <w:trPr>
          <w:trHeight w:val="27"/>
        </w:trPr>
        <w:tc>
          <w:tcPr>
            <w:tcW w:w="5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516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5160" w:type="dxa"/>
            <w:vAlign w:val="bottom"/>
            <w:shd w:val="clear" w:color="auto" w:fill="EAF9E8"/>
          </w:tcPr>
          <w:p>
            <w:pPr>
              <w:ind w:left="40"/>
              <w:spacing w:after="0"/>
              <w:rPr>
                <w:sz w:val="20"/>
                <w:szCs w:val="20"/>
                <w:color w:val="auto"/>
              </w:rPr>
            </w:pPr>
            <w:r>
              <w:rPr>
                <w:rFonts w:ascii="Arial" w:cs="Arial" w:eastAsia="Arial" w:hAnsi="Arial"/>
                <w:sz w:val="18"/>
                <w:szCs w:val="18"/>
                <w:color w:val="auto"/>
              </w:rPr>
              <w:t>Net income (loss)</w:t>
            </w:r>
          </w:p>
        </w:tc>
        <w:tc>
          <w:tcPr>
            <w:tcW w:w="340" w:type="dxa"/>
            <w:vAlign w:val="bottom"/>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(87,218)</w:t>
            </w:r>
          </w:p>
        </w:tc>
        <w:tc>
          <w:tcPr>
            <w:tcW w:w="120" w:type="dxa"/>
            <w:vAlign w:val="bottom"/>
            <w:shd w:val="clear" w:color="auto" w:fill="EAF9E8"/>
          </w:tcPr>
          <w:p>
            <w:pPr>
              <w:spacing w:after="0"/>
              <w:rPr>
                <w:sz w:val="20"/>
                <w:szCs w:val="20"/>
                <w:color w:val="auto"/>
              </w:rPr>
            </w:pPr>
          </w:p>
        </w:tc>
        <w:tc>
          <w:tcPr>
            <w:tcW w:w="340" w:type="dxa"/>
            <w:vAlign w:val="bottom"/>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9,906</w:t>
            </w:r>
          </w:p>
        </w:tc>
        <w:tc>
          <w:tcPr>
            <w:tcW w:w="100" w:type="dxa"/>
            <w:vAlign w:val="bottom"/>
            <w:shd w:val="clear" w:color="auto" w:fill="EAF9E8"/>
          </w:tcPr>
          <w:p>
            <w:pPr>
              <w:spacing w:after="0"/>
              <w:rPr>
                <w:sz w:val="20"/>
                <w:szCs w:val="20"/>
                <w:color w:val="auto"/>
              </w:rPr>
            </w:pPr>
          </w:p>
        </w:tc>
        <w:tc>
          <w:tcPr>
            <w:tcW w:w="1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(198,419)</w:t>
            </w:r>
          </w:p>
        </w:tc>
        <w:tc>
          <w:tcPr>
            <w:tcW w:w="100" w:type="dxa"/>
            <w:vAlign w:val="bottom"/>
            <w:shd w:val="clear" w:color="auto" w:fill="EAF9E8"/>
          </w:tcPr>
          <w:p>
            <w:pPr>
              <w:spacing w:after="0"/>
              <w:rPr>
                <w:sz w:val="20"/>
                <w:szCs w:val="20"/>
                <w:color w:val="auto"/>
              </w:rPr>
            </w:pPr>
          </w:p>
        </w:tc>
        <w:tc>
          <w:tcPr>
            <w:tcW w:w="340" w:type="dxa"/>
            <w:vAlign w:val="bottom"/>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44,295</w:t>
            </w:r>
          </w:p>
        </w:tc>
      </w:tr>
      <w:tr>
        <w:trPr>
          <w:trHeight w:val="27"/>
        </w:trPr>
        <w:tc>
          <w:tcPr>
            <w:tcW w:w="5160" w:type="dxa"/>
            <w:vAlign w:val="bottom"/>
            <w:shd w:val="clear" w:color="auto" w:fill="EAF9E8"/>
          </w:tcPr>
          <w:p>
            <w:pPr>
              <w:spacing w:after="0"/>
              <w:rPr>
                <w:sz w:val="2"/>
                <w:szCs w:val="2"/>
                <w:color w:val="auto"/>
              </w:rPr>
            </w:pPr>
          </w:p>
        </w:tc>
        <w:tc>
          <w:tcPr>
            <w:tcW w:w="340" w:type="dxa"/>
            <w:vAlign w:val="bottom"/>
            <w:shd w:val="clear" w:color="auto" w:fill="EAF9E8"/>
          </w:tcPr>
          <w:p>
            <w:pPr>
              <w:spacing w:after="0"/>
              <w:rPr>
                <w:sz w:val="2"/>
                <w:szCs w:val="2"/>
                <w:color w:val="auto"/>
              </w:rPr>
            </w:pPr>
          </w:p>
        </w:tc>
        <w:tc>
          <w:tcPr>
            <w:tcW w:w="116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340" w:type="dxa"/>
            <w:vAlign w:val="bottom"/>
            <w:shd w:val="clear" w:color="auto" w:fill="EAF9E8"/>
          </w:tcPr>
          <w:p>
            <w:pPr>
              <w:spacing w:after="0"/>
              <w:rPr>
                <w:sz w:val="2"/>
                <w:szCs w:val="2"/>
                <w:color w:val="auto"/>
              </w:rPr>
            </w:pPr>
          </w:p>
        </w:tc>
        <w:tc>
          <w:tcPr>
            <w:tcW w:w="114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160" w:type="dxa"/>
            <w:vAlign w:val="bottom"/>
            <w:shd w:val="clear" w:color="auto" w:fill="EAF9E8"/>
          </w:tcPr>
          <w:p>
            <w:pPr>
              <w:spacing w:after="0"/>
              <w:rPr>
                <w:sz w:val="2"/>
                <w:szCs w:val="2"/>
                <w:color w:val="auto"/>
              </w:rPr>
            </w:pPr>
          </w:p>
        </w:tc>
        <w:tc>
          <w:tcPr>
            <w:tcW w:w="132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340" w:type="dxa"/>
            <w:vAlign w:val="bottom"/>
            <w:shd w:val="clear" w:color="auto" w:fill="EAF9E8"/>
          </w:tcPr>
          <w:p>
            <w:pPr>
              <w:spacing w:after="0"/>
              <w:rPr>
                <w:sz w:val="2"/>
                <w:szCs w:val="2"/>
                <w:color w:val="auto"/>
              </w:rPr>
            </w:pPr>
          </w:p>
        </w:tc>
        <w:tc>
          <w:tcPr>
            <w:tcW w:w="1140" w:type="dxa"/>
            <w:vAlign w:val="bottom"/>
            <w:shd w:val="clear" w:color="auto" w:fill="EAF9E8"/>
          </w:tcPr>
          <w:p>
            <w:pPr>
              <w:spacing w:after="0"/>
              <w:rPr>
                <w:sz w:val="2"/>
                <w:szCs w:val="2"/>
                <w:color w:val="auto"/>
              </w:rPr>
            </w:pPr>
          </w:p>
        </w:tc>
      </w:tr>
    </w:tbl>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160" w:type="dxa"/>
            <w:vAlign w:val="bottom"/>
            <w:shd w:val="clear" w:color="auto" w:fill="EAF9E8"/>
          </w:tcPr>
          <w:p>
            <w:pPr>
              <w:ind w:left="40"/>
              <w:spacing w:after="0"/>
              <w:rPr>
                <w:sz w:val="20"/>
                <w:szCs w:val="20"/>
                <w:color w:val="auto"/>
              </w:rPr>
            </w:pPr>
            <w:r>
              <w:rPr>
                <w:rFonts w:ascii="Arial" w:cs="Arial" w:eastAsia="Arial" w:hAnsi="Arial"/>
                <w:sz w:val="18"/>
                <w:szCs w:val="18"/>
                <w:color w:val="auto"/>
              </w:rPr>
              <w:t>Other comprehensive income, net of income taxes:</w:t>
            </w:r>
          </w:p>
        </w:tc>
        <w:tc>
          <w:tcPr>
            <w:tcW w:w="480" w:type="dxa"/>
            <w:vAlign w:val="bottom"/>
            <w:shd w:val="clear" w:color="auto" w:fill="EAF9E8"/>
          </w:tcPr>
          <w:p>
            <w:pPr>
              <w:spacing w:after="0"/>
              <w:rPr>
                <w:sz w:val="23"/>
                <w:szCs w:val="23"/>
                <w:color w:val="auto"/>
              </w:rPr>
            </w:pPr>
          </w:p>
        </w:tc>
        <w:tc>
          <w:tcPr>
            <w:tcW w:w="1020" w:type="dxa"/>
            <w:vAlign w:val="bottom"/>
            <w:shd w:val="clear" w:color="auto" w:fill="EAF9E8"/>
          </w:tcPr>
          <w:p>
            <w:pPr>
              <w:spacing w:after="0"/>
              <w:rPr>
                <w:sz w:val="23"/>
                <w:szCs w:val="23"/>
                <w:color w:val="auto"/>
              </w:rPr>
            </w:pPr>
          </w:p>
        </w:tc>
        <w:tc>
          <w:tcPr>
            <w:tcW w:w="120" w:type="dxa"/>
            <w:vAlign w:val="bottom"/>
            <w:shd w:val="clear" w:color="auto" w:fill="EAF9E8"/>
          </w:tcPr>
          <w:p>
            <w:pPr>
              <w:spacing w:after="0"/>
              <w:rPr>
                <w:sz w:val="23"/>
                <w:szCs w:val="23"/>
                <w:color w:val="auto"/>
              </w:rPr>
            </w:pPr>
          </w:p>
        </w:tc>
        <w:tc>
          <w:tcPr>
            <w:tcW w:w="500" w:type="dxa"/>
            <w:vAlign w:val="bottom"/>
            <w:shd w:val="clear" w:color="auto" w:fill="EAF9E8"/>
          </w:tcPr>
          <w:p>
            <w:pPr>
              <w:spacing w:after="0"/>
              <w:rPr>
                <w:sz w:val="23"/>
                <w:szCs w:val="23"/>
                <w:color w:val="auto"/>
              </w:rPr>
            </w:pPr>
          </w:p>
        </w:tc>
        <w:tc>
          <w:tcPr>
            <w:tcW w:w="98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420" w:type="dxa"/>
            <w:vAlign w:val="bottom"/>
            <w:shd w:val="clear" w:color="auto" w:fill="EAF9E8"/>
          </w:tcPr>
          <w:p>
            <w:pPr>
              <w:spacing w:after="0"/>
              <w:rPr>
                <w:sz w:val="23"/>
                <w:szCs w:val="23"/>
                <w:color w:val="auto"/>
              </w:rPr>
            </w:pPr>
          </w:p>
        </w:tc>
        <w:tc>
          <w:tcPr>
            <w:tcW w:w="106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500" w:type="dxa"/>
            <w:vAlign w:val="bottom"/>
            <w:shd w:val="clear" w:color="auto" w:fill="EAF9E8"/>
          </w:tcPr>
          <w:p>
            <w:pPr>
              <w:spacing w:after="0"/>
              <w:rPr>
                <w:sz w:val="23"/>
                <w:szCs w:val="23"/>
                <w:color w:val="auto"/>
              </w:rPr>
            </w:pPr>
          </w:p>
        </w:tc>
        <w:tc>
          <w:tcPr>
            <w:tcW w:w="980" w:type="dxa"/>
            <w:vAlign w:val="bottom"/>
            <w:shd w:val="clear" w:color="auto" w:fill="EAF9E8"/>
          </w:tcPr>
          <w:p>
            <w:pPr>
              <w:spacing w:after="0"/>
              <w:rPr>
                <w:sz w:val="23"/>
                <w:szCs w:val="23"/>
                <w:color w:val="auto"/>
              </w:rPr>
            </w:pPr>
          </w:p>
        </w:tc>
      </w:tr>
      <w:tr>
        <w:trPr>
          <w:trHeight w:val="229"/>
        </w:trPr>
        <w:tc>
          <w:tcPr>
            <w:tcW w:w="5160" w:type="dxa"/>
            <w:vAlign w:val="bottom"/>
          </w:tcPr>
          <w:p>
            <w:pPr>
              <w:ind w:left="180"/>
              <w:spacing w:after="0"/>
              <w:rPr>
                <w:sz w:val="20"/>
                <w:szCs w:val="20"/>
                <w:color w:val="auto"/>
              </w:rPr>
            </w:pPr>
            <w:r>
              <w:rPr>
                <w:rFonts w:ascii="Arial" w:cs="Arial" w:eastAsia="Arial" w:hAnsi="Arial"/>
                <w:sz w:val="18"/>
                <w:szCs w:val="18"/>
                <w:color w:val="auto"/>
                <w:w w:val="91"/>
              </w:rPr>
              <w:t>Reclassification adjustment for losses on cash flow hedges included</w:t>
            </w:r>
          </w:p>
        </w:tc>
        <w:tc>
          <w:tcPr>
            <w:tcW w:w="4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5160" w:type="dxa"/>
            <w:vAlign w:val="bottom"/>
          </w:tcPr>
          <w:p>
            <w:pPr>
              <w:ind w:left="340"/>
              <w:spacing w:after="0"/>
              <w:rPr>
                <w:sz w:val="20"/>
                <w:szCs w:val="20"/>
                <w:color w:val="auto"/>
              </w:rPr>
            </w:pPr>
            <w:r>
              <w:rPr>
                <w:rFonts w:ascii="Arial" w:cs="Arial" w:eastAsia="Arial" w:hAnsi="Arial"/>
                <w:sz w:val="18"/>
                <w:szCs w:val="18"/>
                <w:color w:val="auto"/>
              </w:rPr>
              <w:t>in net income (1)(2)</w:t>
            </w:r>
          </w:p>
        </w:tc>
        <w:tc>
          <w:tcPr>
            <w:tcW w:w="48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5,615</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6,033</w:t>
            </w:r>
          </w:p>
        </w:tc>
      </w:tr>
      <w:tr>
        <w:trPr>
          <w:trHeight w:val="27"/>
        </w:trPr>
        <w:tc>
          <w:tcPr>
            <w:tcW w:w="5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1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Other</w:t>
            </w:r>
          </w:p>
        </w:tc>
        <w:tc>
          <w:tcPr>
            <w:tcW w:w="480" w:type="dxa"/>
            <w:vAlign w:val="bottom"/>
            <w:tcBorders>
              <w:bottom w:val="single" w:sz="8" w:color="EAF9E8"/>
            </w:tcBorders>
            <w:shd w:val="clear" w:color="auto" w:fill="EAF9E8"/>
          </w:tcPr>
          <w:p>
            <w:pPr>
              <w:spacing w:after="0"/>
              <w:rPr>
                <w:sz w:val="23"/>
                <w:szCs w:val="23"/>
                <w:color w:val="auto"/>
              </w:rPr>
            </w:pPr>
          </w:p>
        </w:tc>
        <w:tc>
          <w:tcPr>
            <w:tcW w:w="10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EAF9E8"/>
            </w:tcBorders>
            <w:shd w:val="clear" w:color="auto" w:fill="EAF9E8"/>
          </w:tcPr>
          <w:p>
            <w:pPr>
              <w:spacing w:after="0"/>
              <w:rPr>
                <w:sz w:val="23"/>
                <w:szCs w:val="23"/>
                <w:color w:val="auto"/>
              </w:rPr>
            </w:pPr>
          </w:p>
        </w:tc>
        <w:tc>
          <w:tcPr>
            <w:tcW w:w="500" w:type="dxa"/>
            <w:vAlign w:val="bottom"/>
            <w:tcBorders>
              <w:bottom w:val="single" w:sz="8" w:color="EAF9E8"/>
            </w:tcBorders>
            <w:shd w:val="clear" w:color="auto" w:fill="EAF9E8"/>
          </w:tcPr>
          <w:p>
            <w:pPr>
              <w:spacing w:after="0"/>
              <w:rPr>
                <w:sz w:val="23"/>
                <w:szCs w:val="23"/>
                <w:color w:val="auto"/>
              </w:rPr>
            </w:pPr>
          </w:p>
        </w:tc>
        <w:tc>
          <w:tcPr>
            <w:tcW w:w="10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EAF9E8"/>
            </w:tcBorders>
            <w:shd w:val="clear" w:color="auto" w:fill="EAF9E8"/>
          </w:tcPr>
          <w:p>
            <w:pPr>
              <w:spacing w:after="0"/>
              <w:rPr>
                <w:sz w:val="23"/>
                <w:szCs w:val="23"/>
                <w:color w:val="auto"/>
              </w:rPr>
            </w:pPr>
          </w:p>
        </w:tc>
        <w:tc>
          <w:tcPr>
            <w:tcW w:w="10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EAF9E8"/>
            </w:tcBorders>
            <w:shd w:val="clear" w:color="auto" w:fill="EAF9E8"/>
          </w:tcPr>
          <w:p>
            <w:pPr>
              <w:spacing w:after="0"/>
              <w:rPr>
                <w:sz w:val="23"/>
                <w:szCs w:val="23"/>
                <w:color w:val="auto"/>
              </w:rPr>
            </w:pPr>
          </w:p>
        </w:tc>
        <w:tc>
          <w:tcPr>
            <w:tcW w:w="500" w:type="dxa"/>
            <w:vAlign w:val="bottom"/>
            <w:tcBorders>
              <w:bottom w:val="single" w:sz="8" w:color="EAF9E8"/>
            </w:tcBorders>
            <w:shd w:val="clear" w:color="auto" w:fill="EAF9E8"/>
          </w:tcPr>
          <w:p>
            <w:pPr>
              <w:spacing w:after="0"/>
              <w:rPr>
                <w:sz w:val="23"/>
                <w:szCs w:val="23"/>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5160" w:type="dxa"/>
            <w:vAlign w:val="bottom"/>
          </w:tcPr>
          <w:p>
            <w:pPr>
              <w:ind w:left="280"/>
              <w:spacing w:after="0"/>
              <w:rPr>
                <w:sz w:val="20"/>
                <w:szCs w:val="20"/>
                <w:color w:val="auto"/>
              </w:rPr>
            </w:pPr>
            <w:r>
              <w:rPr>
                <w:rFonts w:ascii="Arial" w:cs="Arial" w:eastAsia="Arial" w:hAnsi="Arial"/>
                <w:sz w:val="18"/>
                <w:szCs w:val="18"/>
                <w:color w:val="auto"/>
              </w:rPr>
              <w:t>Total other comprehensive income, net of income taxes</w:t>
            </w:r>
          </w:p>
        </w:tc>
        <w:tc>
          <w:tcPr>
            <w:tcW w:w="4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5,615</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6,033</w:t>
            </w:r>
          </w:p>
        </w:tc>
      </w:tr>
      <w:tr>
        <w:trPr>
          <w:trHeight w:val="27"/>
        </w:trPr>
        <w:tc>
          <w:tcPr>
            <w:tcW w:w="5160" w:type="dxa"/>
            <w:vAlign w:val="bottom"/>
            <w:tcBorders>
              <w:bottom w:val="single" w:sz="8" w:color="EAF9E8"/>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91"/>
        </w:trPr>
        <w:tc>
          <w:tcPr>
            <w:tcW w:w="5160" w:type="dxa"/>
            <w:vAlign w:val="bottom"/>
            <w:shd w:val="clear" w:color="auto" w:fill="EAF9E8"/>
          </w:tcPr>
          <w:p>
            <w:pPr>
              <w:spacing w:after="0"/>
              <w:rPr>
                <w:sz w:val="24"/>
                <w:szCs w:val="24"/>
                <w:color w:val="auto"/>
              </w:rPr>
            </w:pPr>
          </w:p>
        </w:tc>
        <w:tc>
          <w:tcPr>
            <w:tcW w:w="480" w:type="dxa"/>
            <w:vAlign w:val="bottom"/>
            <w:shd w:val="clear" w:color="auto" w:fill="EAF9E8"/>
          </w:tcPr>
          <w:p>
            <w:pPr>
              <w:spacing w:after="0"/>
              <w:rPr>
                <w:sz w:val="24"/>
                <w:szCs w:val="24"/>
                <w:color w:val="auto"/>
              </w:rPr>
            </w:pPr>
          </w:p>
        </w:tc>
        <w:tc>
          <w:tcPr>
            <w:tcW w:w="10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50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420" w:type="dxa"/>
            <w:vAlign w:val="bottom"/>
            <w:shd w:val="clear" w:color="auto" w:fill="EAF9E8"/>
          </w:tcPr>
          <w:p>
            <w:pPr>
              <w:spacing w:after="0"/>
              <w:rPr>
                <w:sz w:val="24"/>
                <w:szCs w:val="24"/>
                <w:color w:val="auto"/>
              </w:rPr>
            </w:pPr>
          </w:p>
        </w:tc>
        <w:tc>
          <w:tcPr>
            <w:tcW w:w="10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50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Comprehensive income (loss)</w:t>
            </w: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(87,149)</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15,521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(198,245)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50,328</w:t>
            </w:r>
          </w:p>
        </w:tc>
      </w:tr>
      <w:tr>
        <w:trPr>
          <w:trHeight w:val="27"/>
        </w:trPr>
        <w:tc>
          <w:tcPr>
            <w:tcW w:w="5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Comprehensive income attributable to non-controlling interests</w:t>
            </w:r>
          </w:p>
        </w:tc>
        <w:tc>
          <w:tcPr>
            <w:tcW w:w="480" w:type="dxa"/>
            <w:vAlign w:val="bottom"/>
            <w:tcBorders>
              <w:bottom w:val="single" w:sz="8" w:color="EAF9E8"/>
            </w:tcBorders>
            <w:shd w:val="clear" w:color="auto" w:fill="EAF9E8"/>
          </w:tcPr>
          <w:p>
            <w:pPr>
              <w:spacing w:after="0"/>
              <w:rPr>
                <w:sz w:val="23"/>
                <w:szCs w:val="23"/>
                <w:color w:val="auto"/>
              </w:rPr>
            </w:pPr>
          </w:p>
        </w:tc>
        <w:tc>
          <w:tcPr>
            <w:tcW w:w="10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Borders>
              <w:bottom w:val="single" w:sz="8" w:color="EAF9E8"/>
            </w:tcBorders>
            <w:shd w:val="clear" w:color="auto" w:fill="EAF9E8"/>
          </w:tcPr>
          <w:p>
            <w:pPr>
              <w:spacing w:after="0"/>
              <w:rPr>
                <w:sz w:val="23"/>
                <w:szCs w:val="23"/>
                <w:color w:val="auto"/>
              </w:rPr>
            </w:pPr>
          </w:p>
        </w:tc>
        <w:tc>
          <w:tcPr>
            <w:tcW w:w="500" w:type="dxa"/>
            <w:vAlign w:val="bottom"/>
            <w:tcBorders>
              <w:bottom w:val="single" w:sz="8" w:color="EAF9E8"/>
            </w:tcBorders>
            <w:shd w:val="clear" w:color="auto" w:fill="EAF9E8"/>
          </w:tcPr>
          <w:p>
            <w:pPr>
              <w:spacing w:after="0"/>
              <w:rPr>
                <w:sz w:val="23"/>
                <w:szCs w:val="23"/>
                <w:color w:val="auto"/>
              </w:rPr>
            </w:pPr>
          </w:p>
        </w:tc>
        <w:tc>
          <w:tcPr>
            <w:tcW w:w="9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EAF9E8"/>
            </w:tcBorders>
            <w:shd w:val="clear" w:color="auto" w:fill="EAF9E8"/>
          </w:tcPr>
          <w:p>
            <w:pPr>
              <w:spacing w:after="0"/>
              <w:rPr>
                <w:sz w:val="23"/>
                <w:szCs w:val="23"/>
                <w:color w:val="auto"/>
              </w:rPr>
            </w:pPr>
          </w:p>
        </w:tc>
        <w:tc>
          <w:tcPr>
            <w:tcW w:w="420" w:type="dxa"/>
            <w:vAlign w:val="bottom"/>
            <w:tcBorders>
              <w:bottom w:val="single" w:sz="8" w:color="EAF9E8"/>
            </w:tcBorders>
            <w:shd w:val="clear" w:color="auto" w:fill="EAF9E8"/>
          </w:tcPr>
          <w:p>
            <w:pPr>
              <w:spacing w:after="0"/>
              <w:rPr>
                <w:sz w:val="23"/>
                <w:szCs w:val="23"/>
                <w:color w:val="auto"/>
              </w:rPr>
            </w:pPr>
          </w:p>
        </w:tc>
        <w:tc>
          <w:tcPr>
            <w:tcW w:w="10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Borders>
              <w:bottom w:val="single" w:sz="8" w:color="EAF9E8"/>
            </w:tcBorders>
            <w:shd w:val="clear" w:color="auto" w:fill="EAF9E8"/>
          </w:tcPr>
          <w:p>
            <w:pPr>
              <w:spacing w:after="0"/>
              <w:rPr>
                <w:sz w:val="23"/>
                <w:szCs w:val="23"/>
                <w:color w:val="auto"/>
              </w:rPr>
            </w:pPr>
          </w:p>
        </w:tc>
        <w:tc>
          <w:tcPr>
            <w:tcW w:w="500" w:type="dxa"/>
            <w:vAlign w:val="bottom"/>
            <w:tcBorders>
              <w:bottom w:val="single" w:sz="8" w:color="EAF9E8"/>
            </w:tcBorders>
            <w:shd w:val="clear" w:color="auto" w:fill="EAF9E8"/>
          </w:tcPr>
          <w:p>
            <w:pPr>
              <w:spacing w:after="0"/>
              <w:rPr>
                <w:sz w:val="23"/>
                <w:szCs w:val="23"/>
                <w:color w:val="auto"/>
              </w:rPr>
            </w:pPr>
          </w:p>
        </w:tc>
        <w:tc>
          <w:tcPr>
            <w:tcW w:w="9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(202)</w:t>
            </w: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w w:val="98"/>
              </w:rPr>
              <w:t>Comprehensive income (loss) attributable to Ocwen stockholders</w:t>
            </w: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(87,309)</w:t>
            </w:r>
          </w:p>
        </w:tc>
        <w:tc>
          <w:tcPr>
            <w:tcW w:w="12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15,353</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(198,535)</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50,126</w:t>
            </w:r>
          </w:p>
        </w:tc>
      </w:tr>
      <w:tr>
        <w:trPr>
          <w:trHeight w:val="20"/>
        </w:trPr>
        <w:tc>
          <w:tcPr>
            <w:tcW w:w="5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hanging="492"/>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These losses are reclassified to Other, net in the Unaudited Consolidated Statements of Operations.</w:t>
      </w:r>
    </w:p>
    <w:p>
      <w:pPr>
        <w:spacing w:after="0" w:line="23" w:lineRule="exact"/>
        <w:rPr>
          <w:rFonts w:ascii="Arial" w:cs="Arial" w:eastAsia="Arial" w:hAnsi="Arial"/>
          <w:sz w:val="18"/>
          <w:szCs w:val="18"/>
          <w:color w:val="auto"/>
        </w:rPr>
      </w:pPr>
    </w:p>
    <w:p>
      <w:pPr>
        <w:ind w:left="500" w:hanging="492"/>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of tax expense of $0.3 million and $0.4 million for the three and six months ended June 30, 2015, respectively.</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37" w:right="239" w:bottom="1440" w:gutter="0" w:footer="0" w:header="0"/>
        </w:sectPr>
      </w:pPr>
    </w:p>
    <w:bookmarkStart w:id="7" w:name="page8"/>
    <w:bookmarkEnd w:id="7"/>
    <w:p>
      <w:pPr>
        <w:jc w:val="center"/>
        <w:spacing w:after="0" w:line="263" w:lineRule="auto"/>
        <w:rPr>
          <w:sz w:val="20"/>
          <w:szCs w:val="20"/>
          <w:color w:val="auto"/>
        </w:rPr>
      </w:pPr>
      <w:r>
        <w:rPr>
          <w:rFonts w:ascii="Arial" w:cs="Arial" w:eastAsia="Arial" w:hAnsi="Arial"/>
          <w:sz w:val="18"/>
          <w:szCs w:val="18"/>
          <w:b w:val="1"/>
          <w:bCs w:val="1"/>
          <w:color w:val="auto"/>
        </w:rPr>
        <w:t>OCWEN FINANCIAL CORPORATION AND SUBSIDIARIES UNAUDITED CONSOLIDATED STATEMENTS OF CHANGES IN EQUITY FOR THE SIX MONTHS ENDED JUNE 30, 2016 AND 2015 (Dollars in thousands)</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7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60" w:type="dxa"/>
            <w:vAlign w:val="bottom"/>
            <w:gridSpan w:val="5"/>
          </w:tcPr>
          <w:p>
            <w:pPr>
              <w:ind w:left="20"/>
              <w:spacing w:after="0"/>
              <w:rPr>
                <w:sz w:val="20"/>
                <w:szCs w:val="20"/>
                <w:color w:val="auto"/>
              </w:rPr>
            </w:pPr>
            <w:r>
              <w:rPr>
                <w:rFonts w:ascii="Arial" w:cs="Arial" w:eastAsia="Arial" w:hAnsi="Arial"/>
                <w:sz w:val="16"/>
                <w:szCs w:val="16"/>
                <w:b w:val="1"/>
                <w:bCs w:val="1"/>
                <w:color w:val="auto"/>
                <w:w w:val="89"/>
              </w:rPr>
              <w:t>Ocwen Stockholders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7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Accumulated</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2400" w:type="dxa"/>
            <w:vAlign w:val="bottom"/>
            <w:gridSpan w:val="4"/>
            <w:vMerge w:val="restart"/>
          </w:tcPr>
          <w:p>
            <w:pPr>
              <w:jc w:val="right"/>
              <w:ind w:right="539"/>
              <w:spacing w:after="0"/>
              <w:rPr>
                <w:sz w:val="20"/>
                <w:szCs w:val="20"/>
                <w:color w:val="auto"/>
              </w:rPr>
            </w:pPr>
            <w:r>
              <w:rPr>
                <w:rFonts w:ascii="Arial" w:cs="Arial" w:eastAsia="Arial" w:hAnsi="Arial"/>
                <w:sz w:val="16"/>
                <w:szCs w:val="16"/>
                <w:b w:val="1"/>
                <w:bCs w:val="1"/>
                <w:color w:val="auto"/>
              </w:rPr>
              <w:t>Common Stock</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Other</w:t>
            </w:r>
          </w:p>
        </w:tc>
        <w:tc>
          <w:tcPr>
            <w:tcW w:w="12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Non-</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
        </w:trPr>
        <w:tc>
          <w:tcPr>
            <w:tcW w:w="2740" w:type="dxa"/>
            <w:vAlign w:val="bottom"/>
          </w:tcPr>
          <w:p>
            <w:pPr>
              <w:spacing w:after="0"/>
              <w:rPr>
                <w:sz w:val="6"/>
                <w:szCs w:val="6"/>
                <w:color w:val="auto"/>
              </w:rPr>
            </w:pPr>
          </w:p>
        </w:tc>
        <w:tc>
          <w:tcPr>
            <w:tcW w:w="2400" w:type="dxa"/>
            <w:vAlign w:val="bottom"/>
            <w:gridSpan w:val="4"/>
            <w:vMerge w:val="continue"/>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2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w w:val="94"/>
              </w:rPr>
              <w:t>Additional</w:t>
            </w:r>
          </w:p>
        </w:tc>
        <w:tc>
          <w:tcPr>
            <w:tcW w:w="18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4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w w:val="99"/>
              </w:rPr>
              <w:t>Comprehensive</w:t>
            </w:r>
          </w:p>
        </w:tc>
        <w:tc>
          <w:tcPr>
            <w:tcW w:w="120" w:type="dxa"/>
            <w:vAlign w:val="bottom"/>
          </w:tcPr>
          <w:p>
            <w:pPr>
              <w:spacing w:after="0"/>
              <w:rPr>
                <w:sz w:val="6"/>
                <w:szCs w:val="6"/>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89"/>
              </w:rPr>
              <w:t>controlling</w:t>
            </w: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27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90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4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Paid-in</w:t>
            </w:r>
          </w:p>
        </w:tc>
        <w:tc>
          <w:tcPr>
            <w:tcW w:w="180" w:type="dxa"/>
            <w:vAlign w:val="bottom"/>
          </w:tcPr>
          <w:p>
            <w:pPr>
              <w:spacing w:after="0"/>
              <w:rPr>
                <w:sz w:val="17"/>
                <w:szCs w:val="17"/>
                <w:color w:val="auto"/>
              </w:rPr>
            </w:pPr>
          </w:p>
        </w:tc>
        <w:tc>
          <w:tcPr>
            <w:tcW w:w="1060" w:type="dxa"/>
            <w:vAlign w:val="bottom"/>
            <w:gridSpan w:val="2"/>
          </w:tcPr>
          <w:p>
            <w:pPr>
              <w:ind w:left="80"/>
              <w:spacing w:after="0"/>
              <w:rPr>
                <w:sz w:val="20"/>
                <w:szCs w:val="20"/>
                <w:color w:val="auto"/>
              </w:rPr>
            </w:pPr>
            <w:r>
              <w:rPr>
                <w:rFonts w:ascii="Arial" w:cs="Arial" w:eastAsia="Arial" w:hAnsi="Arial"/>
                <w:sz w:val="16"/>
                <w:szCs w:val="16"/>
                <w:b w:val="1"/>
                <w:bCs w:val="1"/>
                <w:color w:val="auto"/>
              </w:rPr>
              <w:t>Retained</w:t>
            </w:r>
          </w:p>
        </w:tc>
        <w:tc>
          <w:tcPr>
            <w:tcW w:w="12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Income (Loss),</w:t>
            </w:r>
          </w:p>
        </w:tc>
        <w:tc>
          <w:tcPr>
            <w:tcW w:w="12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Interest in</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740" w:type="dxa"/>
            <w:vAlign w:val="bottom"/>
          </w:tcPr>
          <w:p>
            <w:pPr>
              <w:spacing w:after="0"/>
              <w:rPr>
                <w:sz w:val="18"/>
                <w:szCs w:val="18"/>
                <w:color w:val="auto"/>
              </w:rPr>
            </w:pPr>
          </w:p>
        </w:tc>
        <w:tc>
          <w:tcPr>
            <w:tcW w:w="1300" w:type="dxa"/>
            <w:vAlign w:val="bottom"/>
            <w:gridSpan w:val="2"/>
          </w:tcPr>
          <w:p>
            <w:pPr>
              <w:ind w:left="360"/>
              <w:spacing w:after="0"/>
              <w:rPr>
                <w:sz w:val="20"/>
                <w:szCs w:val="20"/>
                <w:color w:val="auto"/>
              </w:rPr>
            </w:pPr>
            <w:r>
              <w:rPr>
                <w:rFonts w:ascii="Arial" w:cs="Arial" w:eastAsia="Arial" w:hAnsi="Arial"/>
                <w:sz w:val="16"/>
                <w:szCs w:val="16"/>
                <w:b w:val="1"/>
                <w:bCs w:val="1"/>
                <w:color w:val="auto"/>
              </w:rPr>
              <w:t>Shares</w:t>
            </w:r>
          </w:p>
        </w:tc>
        <w:tc>
          <w:tcPr>
            <w:tcW w:w="200" w:type="dxa"/>
            <w:vAlign w:val="bottom"/>
          </w:tcPr>
          <w:p>
            <w:pPr>
              <w:spacing w:after="0"/>
              <w:rPr>
                <w:sz w:val="18"/>
                <w:szCs w:val="18"/>
                <w:color w:val="auto"/>
              </w:rPr>
            </w:pPr>
          </w:p>
        </w:tc>
        <w:tc>
          <w:tcPr>
            <w:tcW w:w="900" w:type="dxa"/>
            <w:vAlign w:val="bottom"/>
          </w:tcPr>
          <w:p>
            <w:pPr>
              <w:jc w:val="right"/>
              <w:ind w:right="159"/>
              <w:spacing w:after="0"/>
              <w:rPr>
                <w:sz w:val="20"/>
                <w:szCs w:val="20"/>
                <w:color w:val="auto"/>
              </w:rPr>
            </w:pPr>
            <w:r>
              <w:rPr>
                <w:rFonts w:ascii="Arial" w:cs="Arial" w:eastAsia="Arial" w:hAnsi="Arial"/>
                <w:sz w:val="16"/>
                <w:szCs w:val="16"/>
                <w:b w:val="1"/>
                <w:bCs w:val="1"/>
                <w:color w:val="auto"/>
              </w:rPr>
              <w:t>Amount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7"/>
              </w:rPr>
              <w:t>Capital</w:t>
            </w:r>
          </w:p>
        </w:tc>
        <w:tc>
          <w:tcPr>
            <w:tcW w:w="18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Arial" w:cs="Arial" w:eastAsia="Arial" w:hAnsi="Arial"/>
                <w:sz w:val="16"/>
                <w:szCs w:val="16"/>
                <w:b w:val="1"/>
                <w:bCs w:val="1"/>
                <w:color w:val="auto"/>
              </w:rPr>
              <w:t>Earnings</w:t>
            </w: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Net of Taxes</w:t>
            </w: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Subsidiaries</w:t>
            </w:r>
          </w:p>
        </w:tc>
        <w:tc>
          <w:tcPr>
            <w:tcW w:w="240" w:type="dxa"/>
            <w:vAlign w:val="bottom"/>
          </w:tcPr>
          <w:p>
            <w:pPr>
              <w:spacing w:after="0"/>
              <w:rPr>
                <w:sz w:val="18"/>
                <w:szCs w:val="18"/>
                <w:color w:val="auto"/>
              </w:rPr>
            </w:pPr>
          </w:p>
        </w:tc>
        <w:tc>
          <w:tcPr>
            <w:tcW w:w="880" w:type="dxa"/>
            <w:vAlign w:val="bottom"/>
          </w:tcPr>
          <w:p>
            <w:pPr>
              <w:jc w:val="right"/>
              <w:ind w:right="2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2740" w:type="dxa"/>
            <w:vAlign w:val="bottom"/>
            <w:tcBorders>
              <w:bottom w:val="single" w:sz="8" w:color="EAF9E8"/>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6"/>
                <w:szCs w:val="16"/>
                <w:b w:val="1"/>
                <w:bCs w:val="1"/>
                <w:color w:val="auto"/>
              </w:rPr>
              <w:t>Balance at December 31, 2015</w:t>
            </w:r>
          </w:p>
        </w:tc>
        <w:tc>
          <w:tcPr>
            <w:tcW w:w="1180" w:type="dxa"/>
            <w:vAlign w:val="bottom"/>
            <w:tcBorders>
              <w:bottom w:val="single" w:sz="8" w:color="EAF9E8"/>
            </w:tcBorders>
            <w:shd w:val="clear" w:color="auto" w:fill="EAF9E8"/>
          </w:tcPr>
          <w:p>
            <w:pPr>
              <w:jc w:val="right"/>
              <w:ind w:right="59"/>
              <w:spacing w:after="0"/>
              <w:rPr>
                <w:sz w:val="20"/>
                <w:szCs w:val="20"/>
                <w:color w:val="auto"/>
              </w:rPr>
            </w:pPr>
            <w:r>
              <w:rPr>
                <w:rFonts w:ascii="Arial" w:cs="Arial" w:eastAsia="Arial" w:hAnsi="Arial"/>
                <w:sz w:val="16"/>
                <w:szCs w:val="16"/>
                <w:color w:val="auto"/>
              </w:rPr>
              <w:t>124,774,516</w:t>
            </w:r>
          </w:p>
        </w:tc>
        <w:tc>
          <w:tcPr>
            <w:tcW w:w="120" w:type="dxa"/>
            <w:vAlign w:val="bottom"/>
            <w:tcBorders>
              <w:bottom w:val="single" w:sz="8" w:color="EAF9E8"/>
            </w:tcBorders>
            <w:shd w:val="clear" w:color="auto" w:fill="EAF9E8"/>
          </w:tcPr>
          <w:p>
            <w:pPr>
              <w:spacing w:after="0"/>
              <w:rPr>
                <w:sz w:val="20"/>
                <w:szCs w:val="20"/>
                <w:color w:val="auto"/>
              </w:rPr>
            </w:pPr>
          </w:p>
        </w:tc>
        <w:tc>
          <w:tcPr>
            <w:tcW w:w="20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1,248</w:t>
            </w:r>
          </w:p>
        </w:tc>
        <w:tc>
          <w:tcPr>
            <w:tcW w:w="340" w:type="dxa"/>
            <w:vAlign w:val="bottom"/>
            <w:tcBorders>
              <w:bottom w:val="single" w:sz="8" w:color="EAF9E8"/>
            </w:tcBorders>
            <w:gridSpan w:val="3"/>
            <w:shd w:val="clear" w:color="auto" w:fill="EAF9E8"/>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526,148</w:t>
            </w:r>
          </w:p>
        </w:tc>
        <w:tc>
          <w:tcPr>
            <w:tcW w:w="120" w:type="dxa"/>
            <w:vAlign w:val="bottom"/>
            <w:tcBorders>
              <w:bottom w:val="single" w:sz="8" w:color="EAF9E8"/>
            </w:tcBorders>
            <w:shd w:val="clear" w:color="auto" w:fill="EAF9E8"/>
          </w:tcPr>
          <w:p>
            <w:pPr>
              <w:spacing w:after="0"/>
              <w:rPr>
                <w:sz w:val="20"/>
                <w:szCs w:val="20"/>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325,929</w:t>
            </w:r>
          </w:p>
        </w:tc>
        <w:tc>
          <w:tcPr>
            <w:tcW w:w="10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(1,763)</w:t>
            </w:r>
          </w:p>
        </w:tc>
        <w:tc>
          <w:tcPr>
            <w:tcW w:w="12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3,076</w:t>
            </w:r>
          </w:p>
        </w:tc>
        <w:tc>
          <w:tcPr>
            <w:tcW w:w="100" w:type="dxa"/>
            <w:vAlign w:val="bottom"/>
            <w:tcBorders>
              <w:bottom w:val="single" w:sz="8" w:color="EAF9E8"/>
            </w:tcBorders>
            <w:shd w:val="clear" w:color="auto" w:fill="EAF9E8"/>
          </w:tcPr>
          <w:p>
            <w:pPr>
              <w:spacing w:after="0"/>
              <w:rPr>
                <w:sz w:val="20"/>
                <w:szCs w:val="20"/>
                <w:color w:val="auto"/>
              </w:rPr>
            </w:pPr>
          </w:p>
        </w:tc>
        <w:tc>
          <w:tcPr>
            <w:tcW w:w="240" w:type="dxa"/>
            <w:vAlign w:val="bottom"/>
            <w:tcBorders>
              <w:bottom w:val="single" w:sz="8" w:color="EAF9E8"/>
            </w:tcBorders>
            <w:shd w:val="clear" w:color="auto" w:fill="EAF9E8"/>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854,638</w:t>
            </w:r>
          </w:p>
        </w:tc>
        <w:tc>
          <w:tcPr>
            <w:tcW w:w="0" w:type="dxa"/>
            <w:vAlign w:val="bottom"/>
          </w:tcPr>
          <w:p>
            <w:pPr>
              <w:spacing w:after="0"/>
              <w:rPr>
                <w:sz w:val="1"/>
                <w:szCs w:val="1"/>
                <w:color w:val="auto"/>
              </w:rPr>
            </w:pPr>
          </w:p>
        </w:tc>
      </w:tr>
      <w:tr>
        <w:trPr>
          <w:trHeight w:val="237"/>
        </w:trPr>
        <w:tc>
          <w:tcPr>
            <w:tcW w:w="2740" w:type="dxa"/>
            <w:vAlign w:val="bottom"/>
          </w:tcPr>
          <w:p>
            <w:pPr>
              <w:ind w:left="180"/>
              <w:spacing w:after="0"/>
              <w:rPr>
                <w:sz w:val="20"/>
                <w:szCs w:val="20"/>
                <w:color w:val="auto"/>
              </w:rPr>
            </w:pPr>
            <w:r>
              <w:rPr>
                <w:rFonts w:ascii="Arial" w:cs="Arial" w:eastAsia="Arial" w:hAnsi="Arial"/>
                <w:sz w:val="16"/>
                <w:szCs w:val="16"/>
                <w:color w:val="auto"/>
              </w:rPr>
              <w:t>Net income (loss)</w:t>
            </w: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(198,709)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290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(198,419)</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6"/>
                <w:szCs w:val="16"/>
                <w:color w:val="auto"/>
              </w:rPr>
              <w:t>Repurchase of common stock</w:t>
            </w: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(991,985)</w:t>
            </w: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(10)</w:t>
            </w:r>
          </w:p>
        </w:tc>
        <w:tc>
          <w:tcPr>
            <w:tcW w:w="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(5,880)</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EAF9E8"/>
            </w:tcBorders>
            <w:shd w:val="clear" w:color="auto" w:fill="EAF9E8"/>
          </w:tcPr>
          <w:p>
            <w:pPr>
              <w:spacing w:after="0"/>
              <w:rPr>
                <w:sz w:val="21"/>
                <w:szCs w:val="21"/>
                <w:color w:val="auto"/>
              </w:rPr>
            </w:pPr>
          </w:p>
        </w:tc>
        <w:tc>
          <w:tcPr>
            <w:tcW w:w="8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(5,890)</w:t>
            </w:r>
          </w:p>
        </w:tc>
        <w:tc>
          <w:tcPr>
            <w:tcW w:w="0" w:type="dxa"/>
            <w:vAlign w:val="bottom"/>
          </w:tcPr>
          <w:p>
            <w:pPr>
              <w:spacing w:after="0"/>
              <w:rPr>
                <w:sz w:val="1"/>
                <w:szCs w:val="1"/>
                <w:color w:val="auto"/>
              </w:rPr>
            </w:pPr>
          </w:p>
        </w:tc>
      </w:tr>
      <w:tr>
        <w:trPr>
          <w:trHeight w:val="237"/>
        </w:trPr>
        <w:tc>
          <w:tcPr>
            <w:tcW w:w="2740" w:type="dxa"/>
            <w:vAlign w:val="bottom"/>
          </w:tcPr>
          <w:p>
            <w:pPr>
              <w:ind w:left="180"/>
              <w:spacing w:after="0"/>
              <w:rPr>
                <w:sz w:val="20"/>
                <w:szCs w:val="20"/>
                <w:color w:val="auto"/>
              </w:rPr>
            </w:pPr>
            <w:r>
              <w:rPr>
                <w:rFonts w:ascii="Arial" w:cs="Arial" w:eastAsia="Arial" w:hAnsi="Arial"/>
                <w:sz w:val="16"/>
                <w:szCs w:val="16"/>
                <w:color w:val="auto"/>
              </w:rPr>
              <w:t>Exercise of common stock options</w:t>
            </w: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69,805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441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442</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6"/>
                <w:szCs w:val="16"/>
                <w:color w:val="auto"/>
                <w:w w:val="94"/>
              </w:rPr>
              <w:t>Equity-based compensation and other</w:t>
            </w:r>
          </w:p>
        </w:tc>
        <w:tc>
          <w:tcPr>
            <w:tcW w:w="1180" w:type="dxa"/>
            <w:vAlign w:val="bottom"/>
            <w:tcBorders>
              <w:bottom w:val="single" w:sz="8" w:color="EAF9E8"/>
            </w:tcBorders>
            <w:shd w:val="clear" w:color="auto" w:fill="EAF9E8"/>
          </w:tcPr>
          <w:p>
            <w:pPr>
              <w:jc w:val="right"/>
              <w:ind w:right="59"/>
              <w:spacing w:after="0"/>
              <w:rPr>
                <w:sz w:val="20"/>
                <w:szCs w:val="20"/>
                <w:color w:val="auto"/>
              </w:rPr>
            </w:pPr>
            <w:r>
              <w:rPr>
                <w:rFonts w:ascii="Arial" w:cs="Arial" w:eastAsia="Arial" w:hAnsi="Arial"/>
                <w:sz w:val="16"/>
                <w:szCs w:val="16"/>
                <w:color w:val="auto"/>
              </w:rPr>
              <w:t>134,618</w:t>
            </w: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1</w:t>
            </w:r>
          </w:p>
        </w:tc>
        <w:tc>
          <w:tcPr>
            <w:tcW w:w="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3,344</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EAF9E8"/>
            </w:tcBorders>
            <w:shd w:val="clear" w:color="auto" w:fill="EAF9E8"/>
          </w:tcPr>
          <w:p>
            <w:pPr>
              <w:spacing w:after="0"/>
              <w:rPr>
                <w:sz w:val="21"/>
                <w:szCs w:val="21"/>
                <w:color w:val="auto"/>
              </w:rPr>
            </w:pPr>
          </w:p>
        </w:tc>
        <w:tc>
          <w:tcPr>
            <w:tcW w:w="88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3,345</w:t>
            </w:r>
          </w:p>
        </w:tc>
        <w:tc>
          <w:tcPr>
            <w:tcW w:w="0" w:type="dxa"/>
            <w:vAlign w:val="bottom"/>
          </w:tcPr>
          <w:p>
            <w:pPr>
              <w:spacing w:after="0"/>
              <w:rPr>
                <w:sz w:val="1"/>
                <w:szCs w:val="1"/>
                <w:color w:val="auto"/>
              </w:rPr>
            </w:pPr>
          </w:p>
        </w:tc>
      </w:tr>
      <w:tr>
        <w:trPr>
          <w:trHeight w:val="220"/>
        </w:trPr>
        <w:tc>
          <w:tcPr>
            <w:tcW w:w="2740" w:type="dxa"/>
            <w:vAlign w:val="bottom"/>
          </w:tcPr>
          <w:p>
            <w:pPr>
              <w:ind w:left="180"/>
              <w:spacing w:after="0"/>
              <w:rPr>
                <w:sz w:val="20"/>
                <w:szCs w:val="20"/>
                <w:color w:val="auto"/>
              </w:rPr>
            </w:pPr>
            <w:r>
              <w:rPr>
                <w:rFonts w:ascii="Arial" w:cs="Arial" w:eastAsia="Arial" w:hAnsi="Arial"/>
                <w:sz w:val="16"/>
                <w:szCs w:val="16"/>
                <w:color w:val="auto"/>
                <w:w w:val="98"/>
              </w:rPr>
              <w:t>Capital distribution to non-controlling</w:t>
            </w: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180"/>
              <w:spacing w:after="0"/>
              <w:rPr>
                <w:sz w:val="20"/>
                <w:szCs w:val="20"/>
                <w:color w:val="auto"/>
              </w:rPr>
            </w:pPr>
            <w:r>
              <w:rPr>
                <w:rFonts w:ascii="Arial" w:cs="Arial" w:eastAsia="Arial" w:hAnsi="Arial"/>
                <w:sz w:val="16"/>
                <w:szCs w:val="16"/>
                <w:color w:val="auto"/>
              </w:rPr>
              <w:t>interest</w:t>
            </w: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(1,138)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(1,138)</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EAF9E8"/>
          </w:tcPr>
          <w:p>
            <w:pPr>
              <w:ind w:left="180"/>
              <w:spacing w:after="0"/>
              <w:rPr>
                <w:sz w:val="20"/>
                <w:szCs w:val="20"/>
                <w:color w:val="auto"/>
              </w:rPr>
            </w:pPr>
            <w:r>
              <w:rPr>
                <w:rFonts w:ascii="Arial" w:cs="Arial" w:eastAsia="Arial" w:hAnsi="Arial"/>
                <w:sz w:val="16"/>
                <w:szCs w:val="16"/>
                <w:color w:val="auto"/>
                <w:w w:val="98"/>
              </w:rPr>
              <w:t>Other comprehensive income, net of</w:t>
            </w:r>
          </w:p>
        </w:tc>
        <w:tc>
          <w:tcPr>
            <w:tcW w:w="11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900" w:type="dxa"/>
            <w:vAlign w:val="bottom"/>
            <w:shd w:val="clear" w:color="auto" w:fill="EAF9E8"/>
          </w:tcPr>
          <w:p>
            <w:pPr>
              <w:spacing w:after="0"/>
              <w:rPr>
                <w:sz w:val="19"/>
                <w:szCs w:val="19"/>
                <w:color w:val="auto"/>
              </w:rPr>
            </w:pPr>
          </w:p>
        </w:tc>
        <w:tc>
          <w:tcPr>
            <w:tcW w:w="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9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88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6"/>
                <w:szCs w:val="16"/>
                <w:color w:val="auto"/>
              </w:rPr>
              <w:t>income taxes</w:t>
            </w:r>
          </w:p>
        </w:tc>
        <w:tc>
          <w:tcPr>
            <w:tcW w:w="1300" w:type="dxa"/>
            <w:vAlign w:val="bottom"/>
            <w:tcBorders>
              <w:bottom w:val="single" w:sz="8" w:color="EAF9E8"/>
            </w:tcBorders>
            <w:gridSpan w:val="2"/>
            <w:shd w:val="clear" w:color="auto" w:fill="EAF9E8"/>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EAF9E8"/>
            </w:tcBorders>
            <w:shd w:val="clear" w:color="auto" w:fill="EAF9E8"/>
          </w:tcPr>
          <w:p>
            <w:pPr>
              <w:spacing w:after="0"/>
              <w:rPr>
                <w:sz w:val="20"/>
                <w:szCs w:val="20"/>
                <w:color w:val="auto"/>
              </w:rPr>
            </w:pPr>
          </w:p>
        </w:tc>
        <w:tc>
          <w:tcPr>
            <w:tcW w:w="9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160" w:type="dxa"/>
            <w:vAlign w:val="bottom"/>
            <w:tcBorders>
              <w:bottom w:val="single" w:sz="8" w:color="EAF9E8"/>
            </w:tcBorders>
            <w:shd w:val="clear" w:color="auto" w:fill="EAF9E8"/>
          </w:tcPr>
          <w:p>
            <w:pPr>
              <w:spacing w:after="0"/>
              <w:rPr>
                <w:sz w:val="20"/>
                <w:szCs w:val="20"/>
                <w:color w:val="auto"/>
              </w:rPr>
            </w:pPr>
          </w:p>
        </w:tc>
        <w:tc>
          <w:tcPr>
            <w:tcW w:w="112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EAF9E8"/>
            </w:tcBorders>
            <w:shd w:val="clear" w:color="auto" w:fill="EAF9E8"/>
          </w:tcPr>
          <w:p>
            <w:pPr>
              <w:spacing w:after="0"/>
              <w:rPr>
                <w:sz w:val="20"/>
                <w:szCs w:val="20"/>
                <w:color w:val="auto"/>
              </w:rPr>
            </w:pPr>
          </w:p>
        </w:tc>
        <w:tc>
          <w:tcPr>
            <w:tcW w:w="10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AF9E8"/>
            </w:tcBorders>
            <w:shd w:val="clear" w:color="auto" w:fill="EAF9E8"/>
          </w:tcPr>
          <w:p>
            <w:pPr>
              <w:spacing w:after="0"/>
              <w:rPr>
                <w:sz w:val="20"/>
                <w:szCs w:val="20"/>
                <w:color w:val="auto"/>
              </w:rPr>
            </w:pPr>
          </w:p>
        </w:tc>
        <w:tc>
          <w:tcPr>
            <w:tcW w:w="100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174</w:t>
            </w:r>
          </w:p>
        </w:tc>
        <w:tc>
          <w:tcPr>
            <w:tcW w:w="12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EAF9E8"/>
            </w:tcBorders>
            <w:shd w:val="clear" w:color="auto" w:fill="EAF9E8"/>
          </w:tcPr>
          <w:p>
            <w:pPr>
              <w:spacing w:after="0"/>
              <w:rPr>
                <w:sz w:val="20"/>
                <w:szCs w:val="20"/>
                <w:color w:val="auto"/>
              </w:rPr>
            </w:pPr>
          </w:p>
        </w:tc>
        <w:tc>
          <w:tcPr>
            <w:tcW w:w="88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174</w:t>
            </w:r>
          </w:p>
        </w:tc>
        <w:tc>
          <w:tcPr>
            <w:tcW w:w="0" w:type="dxa"/>
            <w:vAlign w:val="bottom"/>
          </w:tcPr>
          <w:p>
            <w:pPr>
              <w:spacing w:after="0"/>
              <w:rPr>
                <w:sz w:val="1"/>
                <w:szCs w:val="1"/>
                <w:color w:val="auto"/>
              </w:rPr>
            </w:pPr>
          </w:p>
        </w:tc>
      </w:tr>
      <w:tr>
        <w:trPr>
          <w:trHeight w:val="284"/>
        </w:trPr>
        <w:tc>
          <w:tcPr>
            <w:tcW w:w="2740" w:type="dxa"/>
            <w:vAlign w:val="bottom"/>
            <w:tcBorders>
              <w:bottom w:val="single" w:sz="8" w:color="EAF9E8"/>
            </w:tcBorders>
          </w:tcPr>
          <w:p>
            <w:pPr>
              <w:ind w:left="40"/>
              <w:spacing w:after="0"/>
              <w:rPr>
                <w:sz w:val="20"/>
                <w:szCs w:val="20"/>
                <w:color w:val="auto"/>
              </w:rPr>
            </w:pPr>
            <w:r>
              <w:rPr>
                <w:rFonts w:ascii="Arial" w:cs="Arial" w:eastAsia="Arial" w:hAnsi="Arial"/>
                <w:sz w:val="16"/>
                <w:szCs w:val="16"/>
                <w:b w:val="1"/>
                <w:bCs w:val="1"/>
                <w:color w:val="auto"/>
              </w:rPr>
              <w:t>Balance at June 30, 2016</w:t>
            </w:r>
          </w:p>
        </w:tc>
        <w:tc>
          <w:tcPr>
            <w:tcW w:w="11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123,986,954</w:t>
            </w:r>
          </w:p>
        </w:tc>
        <w:tc>
          <w:tcPr>
            <w:tcW w:w="120" w:type="dxa"/>
            <w:vAlign w:val="bottom"/>
            <w:tcBorders>
              <w:bottom w:val="single" w:sz="8" w:color="EAF9E8"/>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1,240</w:t>
            </w:r>
          </w:p>
        </w:tc>
        <w:tc>
          <w:tcPr>
            <w:tcW w:w="6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EAF9E8"/>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524,053</w:t>
            </w:r>
          </w:p>
        </w:tc>
        <w:tc>
          <w:tcPr>
            <w:tcW w:w="120" w:type="dxa"/>
            <w:vAlign w:val="bottom"/>
            <w:tcBorders>
              <w:bottom w:val="single" w:sz="8" w:color="EAF9E8"/>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127,220</w:t>
            </w:r>
          </w:p>
        </w:tc>
        <w:tc>
          <w:tcPr>
            <w:tcW w:w="100" w:type="dxa"/>
            <w:vAlign w:val="bottom"/>
            <w:tcBorders>
              <w:bottom w:val="single" w:sz="8" w:color="EAF9E8"/>
            </w:tcBorders>
          </w:tcPr>
          <w:p>
            <w:pPr>
              <w:spacing w:after="0"/>
              <w:rPr>
                <w:sz w:val="24"/>
                <w:szCs w:val="24"/>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(1,589)</w:t>
            </w:r>
          </w:p>
        </w:tc>
        <w:tc>
          <w:tcPr>
            <w:tcW w:w="120" w:type="dxa"/>
            <w:vAlign w:val="bottom"/>
            <w:tcBorders>
              <w:bottom w:val="single" w:sz="8" w:color="EAF9E8"/>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2,228</w:t>
            </w:r>
          </w:p>
        </w:tc>
        <w:tc>
          <w:tcPr>
            <w:tcW w:w="100" w:type="dxa"/>
            <w:vAlign w:val="bottom"/>
            <w:tcBorders>
              <w:bottom w:val="single" w:sz="8" w:color="EAF9E8"/>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653,152</w:t>
            </w:r>
          </w:p>
        </w:tc>
        <w:tc>
          <w:tcPr>
            <w:tcW w:w="0" w:type="dxa"/>
            <w:vAlign w:val="bottom"/>
          </w:tcPr>
          <w:p>
            <w:pPr>
              <w:spacing w:after="0"/>
              <w:rPr>
                <w:sz w:val="1"/>
                <w:szCs w:val="1"/>
                <w:color w:val="auto"/>
              </w:rPr>
            </w:pPr>
          </w:p>
        </w:tc>
      </w:tr>
      <w:tr>
        <w:trPr>
          <w:trHeight w:val="271"/>
        </w:trPr>
        <w:tc>
          <w:tcPr>
            <w:tcW w:w="2740" w:type="dxa"/>
            <w:vAlign w:val="bottom"/>
            <w:shd w:val="clear" w:color="auto" w:fill="EAF9E8"/>
          </w:tcPr>
          <w:p>
            <w:pPr>
              <w:spacing w:after="0"/>
              <w:rPr>
                <w:sz w:val="23"/>
                <w:szCs w:val="23"/>
                <w:color w:val="auto"/>
              </w:rPr>
            </w:pPr>
          </w:p>
        </w:tc>
        <w:tc>
          <w:tcPr>
            <w:tcW w:w="1180" w:type="dxa"/>
            <w:vAlign w:val="bottom"/>
            <w:shd w:val="clear" w:color="auto" w:fill="EAF9E8"/>
          </w:tcPr>
          <w:p>
            <w:pPr>
              <w:spacing w:after="0"/>
              <w:rPr>
                <w:sz w:val="23"/>
                <w:szCs w:val="23"/>
                <w:color w:val="auto"/>
              </w:rPr>
            </w:pPr>
          </w:p>
        </w:tc>
        <w:tc>
          <w:tcPr>
            <w:tcW w:w="120" w:type="dxa"/>
            <w:vAlign w:val="bottom"/>
            <w:shd w:val="clear" w:color="auto" w:fill="EAF9E8"/>
          </w:tcPr>
          <w:p>
            <w:pPr>
              <w:spacing w:after="0"/>
              <w:rPr>
                <w:sz w:val="23"/>
                <w:szCs w:val="23"/>
                <w:color w:val="auto"/>
              </w:rPr>
            </w:pPr>
          </w:p>
        </w:tc>
        <w:tc>
          <w:tcPr>
            <w:tcW w:w="200" w:type="dxa"/>
            <w:vAlign w:val="bottom"/>
            <w:shd w:val="clear" w:color="auto" w:fill="EAF9E8"/>
          </w:tcPr>
          <w:p>
            <w:pPr>
              <w:spacing w:after="0"/>
              <w:rPr>
                <w:sz w:val="23"/>
                <w:szCs w:val="23"/>
                <w:color w:val="auto"/>
              </w:rPr>
            </w:pPr>
          </w:p>
        </w:tc>
        <w:tc>
          <w:tcPr>
            <w:tcW w:w="900" w:type="dxa"/>
            <w:vAlign w:val="bottom"/>
            <w:shd w:val="clear" w:color="auto" w:fill="EAF9E8"/>
          </w:tcPr>
          <w:p>
            <w:pPr>
              <w:spacing w:after="0"/>
              <w:rPr>
                <w:sz w:val="23"/>
                <w:szCs w:val="23"/>
                <w:color w:val="auto"/>
              </w:rPr>
            </w:pPr>
          </w:p>
        </w:tc>
        <w:tc>
          <w:tcPr>
            <w:tcW w:w="60" w:type="dxa"/>
            <w:vAlign w:val="bottom"/>
            <w:shd w:val="clear" w:color="auto" w:fill="EAF9E8"/>
          </w:tcPr>
          <w:p>
            <w:pPr>
              <w:spacing w:after="0"/>
              <w:rPr>
                <w:sz w:val="23"/>
                <w:szCs w:val="23"/>
                <w:color w:val="auto"/>
              </w:rPr>
            </w:pPr>
          </w:p>
        </w:tc>
        <w:tc>
          <w:tcPr>
            <w:tcW w:w="120" w:type="dxa"/>
            <w:vAlign w:val="bottom"/>
            <w:shd w:val="clear" w:color="auto" w:fill="EAF9E8"/>
          </w:tcPr>
          <w:p>
            <w:pPr>
              <w:spacing w:after="0"/>
              <w:rPr>
                <w:sz w:val="23"/>
                <w:szCs w:val="23"/>
                <w:color w:val="auto"/>
              </w:rPr>
            </w:pPr>
          </w:p>
        </w:tc>
        <w:tc>
          <w:tcPr>
            <w:tcW w:w="160" w:type="dxa"/>
            <w:vAlign w:val="bottom"/>
            <w:shd w:val="clear" w:color="auto" w:fill="EAF9E8"/>
          </w:tcPr>
          <w:p>
            <w:pPr>
              <w:spacing w:after="0"/>
              <w:rPr>
                <w:sz w:val="23"/>
                <w:szCs w:val="23"/>
                <w:color w:val="auto"/>
              </w:rPr>
            </w:pPr>
          </w:p>
        </w:tc>
        <w:tc>
          <w:tcPr>
            <w:tcW w:w="1000" w:type="dxa"/>
            <w:vAlign w:val="bottom"/>
            <w:shd w:val="clear" w:color="auto" w:fill="EAF9E8"/>
          </w:tcPr>
          <w:p>
            <w:pPr>
              <w:spacing w:after="0"/>
              <w:rPr>
                <w:sz w:val="23"/>
                <w:szCs w:val="23"/>
                <w:color w:val="auto"/>
              </w:rPr>
            </w:pPr>
          </w:p>
        </w:tc>
        <w:tc>
          <w:tcPr>
            <w:tcW w:w="120" w:type="dxa"/>
            <w:vAlign w:val="bottom"/>
            <w:shd w:val="clear" w:color="auto" w:fill="EAF9E8"/>
          </w:tcPr>
          <w:p>
            <w:pPr>
              <w:spacing w:after="0"/>
              <w:rPr>
                <w:sz w:val="23"/>
                <w:szCs w:val="23"/>
                <w:color w:val="auto"/>
              </w:rPr>
            </w:pPr>
          </w:p>
        </w:tc>
        <w:tc>
          <w:tcPr>
            <w:tcW w:w="180" w:type="dxa"/>
            <w:vAlign w:val="bottom"/>
            <w:shd w:val="clear" w:color="auto" w:fill="EAF9E8"/>
          </w:tcPr>
          <w:p>
            <w:pPr>
              <w:spacing w:after="0"/>
              <w:rPr>
                <w:sz w:val="23"/>
                <w:szCs w:val="23"/>
                <w:color w:val="auto"/>
              </w:rPr>
            </w:pPr>
          </w:p>
        </w:tc>
        <w:tc>
          <w:tcPr>
            <w:tcW w:w="96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120" w:type="dxa"/>
            <w:vAlign w:val="bottom"/>
            <w:shd w:val="clear" w:color="auto" w:fill="EAF9E8"/>
          </w:tcPr>
          <w:p>
            <w:pPr>
              <w:spacing w:after="0"/>
              <w:rPr>
                <w:sz w:val="23"/>
                <w:szCs w:val="23"/>
                <w:color w:val="auto"/>
              </w:rPr>
            </w:pPr>
          </w:p>
        </w:tc>
        <w:tc>
          <w:tcPr>
            <w:tcW w:w="1000" w:type="dxa"/>
            <w:vAlign w:val="bottom"/>
            <w:shd w:val="clear" w:color="auto" w:fill="EAF9E8"/>
          </w:tcPr>
          <w:p>
            <w:pPr>
              <w:spacing w:after="0"/>
              <w:rPr>
                <w:sz w:val="23"/>
                <w:szCs w:val="23"/>
                <w:color w:val="auto"/>
              </w:rPr>
            </w:pPr>
          </w:p>
        </w:tc>
        <w:tc>
          <w:tcPr>
            <w:tcW w:w="120" w:type="dxa"/>
            <w:vAlign w:val="bottom"/>
            <w:shd w:val="clear" w:color="auto" w:fill="EAF9E8"/>
          </w:tcPr>
          <w:p>
            <w:pPr>
              <w:spacing w:after="0"/>
              <w:rPr>
                <w:sz w:val="23"/>
                <w:szCs w:val="23"/>
                <w:color w:val="auto"/>
              </w:rPr>
            </w:pPr>
          </w:p>
        </w:tc>
        <w:tc>
          <w:tcPr>
            <w:tcW w:w="120" w:type="dxa"/>
            <w:vAlign w:val="bottom"/>
            <w:shd w:val="clear" w:color="auto" w:fill="EAF9E8"/>
          </w:tcPr>
          <w:p>
            <w:pPr>
              <w:spacing w:after="0"/>
              <w:rPr>
                <w:sz w:val="23"/>
                <w:szCs w:val="23"/>
                <w:color w:val="auto"/>
              </w:rPr>
            </w:pPr>
          </w:p>
        </w:tc>
        <w:tc>
          <w:tcPr>
            <w:tcW w:w="100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240" w:type="dxa"/>
            <w:vAlign w:val="bottom"/>
            <w:shd w:val="clear" w:color="auto" w:fill="EAF9E8"/>
          </w:tcPr>
          <w:p>
            <w:pPr>
              <w:spacing w:after="0"/>
              <w:rPr>
                <w:sz w:val="23"/>
                <w:szCs w:val="23"/>
                <w:color w:val="auto"/>
              </w:rPr>
            </w:pPr>
          </w:p>
        </w:tc>
        <w:tc>
          <w:tcPr>
            <w:tcW w:w="880" w:type="dxa"/>
            <w:vAlign w:val="bottom"/>
            <w:shd w:val="clear" w:color="auto" w:fill="EAF9E8"/>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27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6"/>
                <w:szCs w:val="16"/>
                <w:b w:val="1"/>
                <w:bCs w:val="1"/>
                <w:color w:val="auto"/>
              </w:rPr>
              <w:t>Balance at December 31, 2014</w:t>
            </w:r>
          </w:p>
        </w:tc>
        <w:tc>
          <w:tcPr>
            <w:tcW w:w="1180" w:type="dxa"/>
            <w:vAlign w:val="bottom"/>
            <w:tcBorders>
              <w:bottom w:val="single" w:sz="8" w:color="EAF9E8"/>
            </w:tcBorders>
            <w:shd w:val="clear" w:color="auto" w:fill="EAF9E8"/>
          </w:tcPr>
          <w:p>
            <w:pPr>
              <w:jc w:val="right"/>
              <w:ind w:right="59"/>
              <w:spacing w:after="0"/>
              <w:rPr>
                <w:sz w:val="20"/>
                <w:szCs w:val="20"/>
                <w:color w:val="auto"/>
              </w:rPr>
            </w:pPr>
            <w:r>
              <w:rPr>
                <w:rFonts w:ascii="Arial" w:cs="Arial" w:eastAsia="Arial" w:hAnsi="Arial"/>
                <w:sz w:val="16"/>
                <w:szCs w:val="16"/>
                <w:color w:val="auto"/>
              </w:rPr>
              <w:t>125,215,615</w:t>
            </w: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1,252</w:t>
            </w:r>
          </w:p>
        </w:tc>
        <w:tc>
          <w:tcPr>
            <w:tcW w:w="340" w:type="dxa"/>
            <w:vAlign w:val="bottom"/>
            <w:tcBorders>
              <w:bottom w:val="single" w:sz="8" w:color="EAF9E8"/>
            </w:tcBorders>
            <w:gridSpan w:val="3"/>
            <w:shd w:val="clear" w:color="auto" w:fill="EAF9E8"/>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515,194</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530,361</w:t>
            </w:r>
          </w:p>
        </w:tc>
        <w:tc>
          <w:tcPr>
            <w:tcW w:w="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(8,413)</w:t>
            </w:r>
          </w:p>
        </w:tc>
        <w:tc>
          <w:tcPr>
            <w:tcW w:w="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2,771</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1,041,165</w:t>
            </w:r>
          </w:p>
        </w:tc>
        <w:tc>
          <w:tcPr>
            <w:tcW w:w="0" w:type="dxa"/>
            <w:vAlign w:val="bottom"/>
          </w:tcPr>
          <w:p>
            <w:pPr>
              <w:spacing w:after="0"/>
              <w:rPr>
                <w:sz w:val="1"/>
                <w:szCs w:val="1"/>
                <w:color w:val="auto"/>
              </w:rPr>
            </w:pPr>
          </w:p>
        </w:tc>
      </w:tr>
      <w:tr>
        <w:trPr>
          <w:trHeight w:val="237"/>
        </w:trPr>
        <w:tc>
          <w:tcPr>
            <w:tcW w:w="274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44,093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202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44,295</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EAF9E8"/>
          </w:tcPr>
          <w:p>
            <w:pPr>
              <w:ind w:left="180"/>
              <w:spacing w:after="0"/>
              <w:rPr>
                <w:sz w:val="20"/>
                <w:szCs w:val="20"/>
                <w:color w:val="auto"/>
              </w:rPr>
            </w:pPr>
            <w:r>
              <w:rPr>
                <w:rFonts w:ascii="Arial" w:cs="Arial" w:eastAsia="Arial" w:hAnsi="Arial"/>
                <w:sz w:val="16"/>
                <w:szCs w:val="16"/>
                <w:color w:val="auto"/>
                <w:w w:val="93"/>
              </w:rPr>
              <w:t>Cumulative effect of fair value election</w:t>
            </w:r>
          </w:p>
        </w:tc>
        <w:tc>
          <w:tcPr>
            <w:tcW w:w="11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900" w:type="dxa"/>
            <w:vAlign w:val="bottom"/>
            <w:shd w:val="clear" w:color="auto" w:fill="EAF9E8"/>
          </w:tcPr>
          <w:p>
            <w:pPr>
              <w:spacing w:after="0"/>
              <w:rPr>
                <w:sz w:val="19"/>
                <w:szCs w:val="19"/>
                <w:color w:val="auto"/>
              </w:rPr>
            </w:pPr>
          </w:p>
        </w:tc>
        <w:tc>
          <w:tcPr>
            <w:tcW w:w="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9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88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740" w:type="dxa"/>
            <w:vAlign w:val="bottom"/>
            <w:shd w:val="clear" w:color="auto" w:fill="EAF9E8"/>
          </w:tcPr>
          <w:p>
            <w:pPr>
              <w:ind w:left="340"/>
              <w:spacing w:after="0"/>
              <w:rPr>
                <w:sz w:val="20"/>
                <w:szCs w:val="20"/>
                <w:color w:val="auto"/>
              </w:rPr>
            </w:pPr>
            <w:r>
              <w:rPr>
                <w:rFonts w:ascii="Arial" w:cs="Arial" w:eastAsia="Arial" w:hAnsi="Arial"/>
                <w:sz w:val="16"/>
                <w:szCs w:val="16"/>
                <w:color w:val="auto"/>
              </w:rPr>
              <w:t>- Mortgage servicing rights, net of</w:t>
            </w:r>
          </w:p>
        </w:tc>
        <w:tc>
          <w:tcPr>
            <w:tcW w:w="118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900" w:type="dxa"/>
            <w:vAlign w:val="bottom"/>
            <w:shd w:val="clear" w:color="auto" w:fill="EAF9E8"/>
          </w:tcPr>
          <w:p>
            <w:pPr>
              <w:spacing w:after="0"/>
              <w:rPr>
                <w:sz w:val="17"/>
                <w:szCs w:val="17"/>
                <w:color w:val="auto"/>
              </w:rPr>
            </w:pPr>
          </w:p>
        </w:tc>
        <w:tc>
          <w:tcPr>
            <w:tcW w:w="6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10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96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0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0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88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EAF9E8"/>
            </w:tcBorders>
            <w:shd w:val="clear" w:color="auto" w:fill="EAF9E8"/>
          </w:tcPr>
          <w:p>
            <w:pPr>
              <w:ind w:left="340"/>
              <w:spacing w:after="0"/>
              <w:rPr>
                <w:sz w:val="20"/>
                <w:szCs w:val="20"/>
                <w:color w:val="auto"/>
              </w:rPr>
            </w:pPr>
            <w:r>
              <w:rPr>
                <w:rFonts w:ascii="Arial" w:cs="Arial" w:eastAsia="Arial" w:hAnsi="Arial"/>
                <w:sz w:val="16"/>
                <w:szCs w:val="16"/>
                <w:color w:val="auto"/>
              </w:rPr>
              <w:t>income taxes</w:t>
            </w:r>
          </w:p>
        </w:tc>
        <w:tc>
          <w:tcPr>
            <w:tcW w:w="1300" w:type="dxa"/>
            <w:vAlign w:val="bottom"/>
            <w:tcBorders>
              <w:bottom w:val="single" w:sz="8" w:color="EAF9E8"/>
            </w:tcBorders>
            <w:gridSpan w:val="2"/>
            <w:shd w:val="clear" w:color="auto" w:fill="EAF9E8"/>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EAF9E8"/>
            </w:tcBorders>
            <w:shd w:val="clear" w:color="auto" w:fill="EAF9E8"/>
          </w:tcPr>
          <w:p>
            <w:pPr>
              <w:spacing w:after="0"/>
              <w:rPr>
                <w:sz w:val="19"/>
                <w:szCs w:val="19"/>
                <w:color w:val="auto"/>
              </w:rPr>
            </w:pPr>
          </w:p>
        </w:tc>
        <w:tc>
          <w:tcPr>
            <w:tcW w:w="9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EAF9E8"/>
            </w:tcBorders>
            <w:shd w:val="clear" w:color="auto" w:fill="EAF9E8"/>
          </w:tcPr>
          <w:p>
            <w:pPr>
              <w:spacing w:after="0"/>
              <w:rPr>
                <w:sz w:val="19"/>
                <w:szCs w:val="19"/>
                <w:color w:val="auto"/>
              </w:rPr>
            </w:pPr>
          </w:p>
        </w:tc>
        <w:tc>
          <w:tcPr>
            <w:tcW w:w="120" w:type="dxa"/>
            <w:vAlign w:val="bottom"/>
            <w:tcBorders>
              <w:bottom w:val="single" w:sz="8" w:color="EAF9E8"/>
            </w:tcBorders>
            <w:shd w:val="clear" w:color="auto" w:fill="EAF9E8"/>
          </w:tcPr>
          <w:p>
            <w:pPr>
              <w:spacing w:after="0"/>
              <w:rPr>
                <w:sz w:val="19"/>
                <w:szCs w:val="19"/>
                <w:color w:val="auto"/>
              </w:rPr>
            </w:pPr>
          </w:p>
        </w:tc>
        <w:tc>
          <w:tcPr>
            <w:tcW w:w="160" w:type="dxa"/>
            <w:vAlign w:val="bottom"/>
            <w:tcBorders>
              <w:bottom w:val="single" w:sz="8" w:color="EAF9E8"/>
            </w:tcBorders>
            <w:shd w:val="clear" w:color="auto" w:fill="EAF9E8"/>
          </w:tcPr>
          <w:p>
            <w:pPr>
              <w:spacing w:after="0"/>
              <w:rPr>
                <w:sz w:val="19"/>
                <w:szCs w:val="19"/>
                <w:color w:val="auto"/>
              </w:rPr>
            </w:pPr>
          </w:p>
        </w:tc>
        <w:tc>
          <w:tcPr>
            <w:tcW w:w="112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EAF9E8"/>
            </w:tcBorders>
            <w:shd w:val="clear" w:color="auto" w:fill="EAF9E8"/>
          </w:tcPr>
          <w:p>
            <w:pPr>
              <w:spacing w:after="0"/>
              <w:rPr>
                <w:sz w:val="19"/>
                <w:szCs w:val="19"/>
                <w:color w:val="auto"/>
              </w:rPr>
            </w:pPr>
          </w:p>
        </w:tc>
        <w:tc>
          <w:tcPr>
            <w:tcW w:w="96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42,846</w:t>
            </w:r>
          </w:p>
        </w:tc>
        <w:tc>
          <w:tcPr>
            <w:tcW w:w="100" w:type="dxa"/>
            <w:vAlign w:val="bottom"/>
            <w:tcBorders>
              <w:bottom w:val="single" w:sz="8" w:color="EAF9E8"/>
            </w:tcBorders>
            <w:shd w:val="clear" w:color="auto" w:fill="EAF9E8"/>
          </w:tcPr>
          <w:p>
            <w:pPr>
              <w:spacing w:after="0"/>
              <w:rPr>
                <w:sz w:val="19"/>
                <w:szCs w:val="19"/>
                <w:color w:val="auto"/>
              </w:rPr>
            </w:pPr>
          </w:p>
        </w:tc>
        <w:tc>
          <w:tcPr>
            <w:tcW w:w="120" w:type="dxa"/>
            <w:vAlign w:val="bottom"/>
            <w:tcBorders>
              <w:bottom w:val="single" w:sz="8" w:color="EAF9E8"/>
            </w:tcBorders>
            <w:shd w:val="clear" w:color="auto" w:fill="EAF9E8"/>
          </w:tcPr>
          <w:p>
            <w:pPr>
              <w:spacing w:after="0"/>
              <w:rPr>
                <w:sz w:val="19"/>
                <w:szCs w:val="19"/>
                <w:color w:val="auto"/>
              </w:rPr>
            </w:pPr>
          </w:p>
        </w:tc>
        <w:tc>
          <w:tcPr>
            <w:tcW w:w="11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AF9E8"/>
            </w:tcBorders>
            <w:shd w:val="clear" w:color="auto" w:fill="EAF9E8"/>
          </w:tcPr>
          <w:p>
            <w:pPr>
              <w:spacing w:after="0"/>
              <w:rPr>
                <w:sz w:val="19"/>
                <w:szCs w:val="19"/>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EAF9E8"/>
            </w:tcBorders>
            <w:shd w:val="clear" w:color="auto" w:fill="EAF9E8"/>
          </w:tcPr>
          <w:p>
            <w:pPr>
              <w:spacing w:after="0"/>
              <w:rPr>
                <w:sz w:val="19"/>
                <w:szCs w:val="19"/>
                <w:color w:val="auto"/>
              </w:rPr>
            </w:pPr>
          </w:p>
        </w:tc>
        <w:tc>
          <w:tcPr>
            <w:tcW w:w="88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42,846</w:t>
            </w:r>
          </w:p>
        </w:tc>
        <w:tc>
          <w:tcPr>
            <w:tcW w:w="0" w:type="dxa"/>
            <w:vAlign w:val="bottom"/>
          </w:tcPr>
          <w:p>
            <w:pPr>
              <w:spacing w:after="0"/>
              <w:rPr>
                <w:sz w:val="1"/>
                <w:szCs w:val="1"/>
                <w:color w:val="auto"/>
              </w:rPr>
            </w:pPr>
          </w:p>
        </w:tc>
      </w:tr>
      <w:tr>
        <w:trPr>
          <w:trHeight w:val="237"/>
        </w:trPr>
        <w:tc>
          <w:tcPr>
            <w:tcW w:w="2740" w:type="dxa"/>
            <w:vAlign w:val="bottom"/>
          </w:tcPr>
          <w:p>
            <w:pPr>
              <w:ind w:left="180"/>
              <w:spacing w:after="0"/>
              <w:rPr>
                <w:sz w:val="20"/>
                <w:szCs w:val="20"/>
                <w:color w:val="auto"/>
              </w:rPr>
            </w:pPr>
            <w:r>
              <w:rPr>
                <w:rFonts w:ascii="Arial" w:cs="Arial" w:eastAsia="Arial" w:hAnsi="Arial"/>
                <w:sz w:val="16"/>
                <w:szCs w:val="16"/>
                <w:color w:val="auto"/>
              </w:rPr>
              <w:t>Exercise of common stock options</w:t>
            </w: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85,173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508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509</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6"/>
                <w:szCs w:val="16"/>
                <w:color w:val="auto"/>
                <w:w w:val="94"/>
              </w:rPr>
              <w:t>Equity-based compensation and other</w:t>
            </w:r>
          </w:p>
        </w:tc>
        <w:tc>
          <w:tcPr>
            <w:tcW w:w="1180" w:type="dxa"/>
            <w:vAlign w:val="bottom"/>
            <w:tcBorders>
              <w:bottom w:val="single" w:sz="8" w:color="EAF9E8"/>
            </w:tcBorders>
            <w:shd w:val="clear" w:color="auto" w:fill="EAF9E8"/>
          </w:tcPr>
          <w:p>
            <w:pPr>
              <w:jc w:val="right"/>
              <w:ind w:right="59"/>
              <w:spacing w:after="0"/>
              <w:rPr>
                <w:sz w:val="20"/>
                <w:szCs w:val="20"/>
                <w:color w:val="auto"/>
              </w:rPr>
            </w:pPr>
            <w:r>
              <w:rPr>
                <w:rFonts w:ascii="Arial" w:cs="Arial" w:eastAsia="Arial" w:hAnsi="Arial"/>
                <w:sz w:val="16"/>
                <w:szCs w:val="16"/>
                <w:color w:val="auto"/>
              </w:rPr>
              <w:t>79,330</w:t>
            </w: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1</w:t>
            </w:r>
          </w:p>
        </w:tc>
        <w:tc>
          <w:tcPr>
            <w:tcW w:w="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10,195</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EAF9E8"/>
            </w:tcBorders>
            <w:shd w:val="clear" w:color="auto" w:fill="EAF9E8"/>
          </w:tcPr>
          <w:p>
            <w:pPr>
              <w:spacing w:after="0"/>
              <w:rPr>
                <w:sz w:val="21"/>
                <w:szCs w:val="21"/>
                <w:color w:val="auto"/>
              </w:rPr>
            </w:pPr>
          </w:p>
        </w:tc>
        <w:tc>
          <w:tcPr>
            <w:tcW w:w="88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10,182</w:t>
            </w:r>
          </w:p>
        </w:tc>
        <w:tc>
          <w:tcPr>
            <w:tcW w:w="0" w:type="dxa"/>
            <w:vAlign w:val="bottom"/>
          </w:tcPr>
          <w:p>
            <w:pPr>
              <w:spacing w:after="0"/>
              <w:rPr>
                <w:sz w:val="1"/>
                <w:szCs w:val="1"/>
                <w:color w:val="auto"/>
              </w:rPr>
            </w:pPr>
          </w:p>
        </w:tc>
      </w:tr>
      <w:tr>
        <w:trPr>
          <w:trHeight w:val="220"/>
        </w:trPr>
        <w:tc>
          <w:tcPr>
            <w:tcW w:w="2740" w:type="dxa"/>
            <w:vAlign w:val="bottom"/>
          </w:tcPr>
          <w:p>
            <w:pPr>
              <w:ind w:left="180"/>
              <w:spacing w:after="0"/>
              <w:rPr>
                <w:sz w:val="20"/>
                <w:szCs w:val="20"/>
                <w:color w:val="auto"/>
              </w:rPr>
            </w:pPr>
            <w:r>
              <w:rPr>
                <w:rFonts w:ascii="Arial" w:cs="Arial" w:eastAsia="Arial" w:hAnsi="Arial"/>
                <w:sz w:val="16"/>
                <w:szCs w:val="16"/>
                <w:color w:val="auto"/>
                <w:w w:val="98"/>
              </w:rPr>
              <w:t>Other comprehensive income, net of</w:t>
            </w: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180"/>
              <w:spacing w:after="0"/>
              <w:rPr>
                <w:sz w:val="20"/>
                <w:szCs w:val="20"/>
                <w:color w:val="auto"/>
              </w:rPr>
            </w:pPr>
            <w:r>
              <w:rPr>
                <w:rFonts w:ascii="Arial" w:cs="Arial" w:eastAsia="Arial" w:hAnsi="Arial"/>
                <w:sz w:val="16"/>
                <w:szCs w:val="16"/>
                <w:color w:val="auto"/>
              </w:rPr>
              <w:t>income taxes</w:t>
            </w: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6,033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6,033</w:t>
            </w:r>
          </w:p>
        </w:tc>
        <w:tc>
          <w:tcPr>
            <w:tcW w:w="0" w:type="dxa"/>
            <w:vAlign w:val="bottom"/>
          </w:tcPr>
          <w:p>
            <w:pPr>
              <w:spacing w:after="0"/>
              <w:rPr>
                <w:sz w:val="1"/>
                <w:szCs w:val="1"/>
                <w:color w:val="auto"/>
              </w:rPr>
            </w:pPr>
          </w:p>
        </w:tc>
      </w:tr>
      <w:tr>
        <w:trPr>
          <w:trHeight w:val="33"/>
        </w:trPr>
        <w:tc>
          <w:tcPr>
            <w:tcW w:w="2740" w:type="dxa"/>
            <w:vAlign w:val="bottom"/>
            <w:tcBorders>
              <w:bottom w:val="single" w:sz="8" w:color="EAF9E8"/>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shd w:val="clear" w:color="auto" w:fill="EAF9E8"/>
          </w:tcPr>
          <w:p>
            <w:pPr>
              <w:ind w:left="40"/>
              <w:spacing w:after="0"/>
              <w:rPr>
                <w:sz w:val="20"/>
                <w:szCs w:val="20"/>
                <w:color w:val="auto"/>
              </w:rPr>
            </w:pPr>
            <w:r>
              <w:rPr>
                <w:rFonts w:ascii="Arial" w:cs="Arial" w:eastAsia="Arial" w:hAnsi="Arial"/>
                <w:sz w:val="16"/>
                <w:szCs w:val="16"/>
                <w:b w:val="1"/>
                <w:bCs w:val="1"/>
                <w:color w:val="auto"/>
              </w:rPr>
              <w:t>Balance at June 30, 2015</w:t>
            </w:r>
          </w:p>
        </w:tc>
        <w:tc>
          <w:tcPr>
            <w:tcW w:w="1180" w:type="dxa"/>
            <w:vAlign w:val="bottom"/>
            <w:shd w:val="clear" w:color="auto" w:fill="EAF9E8"/>
          </w:tcPr>
          <w:p>
            <w:pPr>
              <w:jc w:val="right"/>
              <w:ind w:right="59"/>
              <w:spacing w:after="0"/>
              <w:rPr>
                <w:sz w:val="20"/>
                <w:szCs w:val="20"/>
                <w:color w:val="auto"/>
              </w:rPr>
            </w:pPr>
            <w:r>
              <w:rPr>
                <w:rFonts w:ascii="Arial" w:cs="Arial" w:eastAsia="Arial" w:hAnsi="Arial"/>
                <w:sz w:val="16"/>
                <w:szCs w:val="16"/>
                <w:color w:val="auto"/>
              </w:rPr>
              <w:t>125,380,118</w:t>
            </w:r>
          </w:p>
        </w:tc>
        <w:tc>
          <w:tcPr>
            <w:tcW w:w="120" w:type="dxa"/>
            <w:vAlign w:val="bottom"/>
            <w:shd w:val="clear" w:color="auto" w:fill="EAF9E8"/>
          </w:tcPr>
          <w:p>
            <w:pPr>
              <w:spacing w:after="0"/>
              <w:rPr>
                <w:sz w:val="21"/>
                <w:szCs w:val="21"/>
                <w:color w:val="auto"/>
              </w:rPr>
            </w:pPr>
          </w:p>
        </w:tc>
        <w:tc>
          <w:tcPr>
            <w:tcW w:w="200" w:type="dxa"/>
            <w:vAlign w:val="bottom"/>
            <w:shd w:val="clear" w:color="auto" w:fill="EAF9E8"/>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EAF9E8"/>
          </w:tcPr>
          <w:p>
            <w:pPr>
              <w:jc w:val="right"/>
              <w:spacing w:after="0"/>
              <w:rPr>
                <w:sz w:val="20"/>
                <w:szCs w:val="20"/>
                <w:color w:val="auto"/>
              </w:rPr>
            </w:pPr>
            <w:r>
              <w:rPr>
                <w:rFonts w:ascii="Arial" w:cs="Arial" w:eastAsia="Arial" w:hAnsi="Arial"/>
                <w:sz w:val="16"/>
                <w:szCs w:val="16"/>
                <w:color w:val="auto"/>
              </w:rPr>
              <w:t>1,254</w:t>
            </w:r>
          </w:p>
        </w:tc>
        <w:tc>
          <w:tcPr>
            <w:tcW w:w="340" w:type="dxa"/>
            <w:vAlign w:val="bottom"/>
            <w:gridSpan w:val="3"/>
            <w:shd w:val="clear" w:color="auto" w:fill="EAF9E8"/>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EAF9E8"/>
          </w:tcPr>
          <w:p>
            <w:pPr>
              <w:jc w:val="right"/>
              <w:ind w:right="39"/>
              <w:spacing w:after="0"/>
              <w:rPr>
                <w:sz w:val="20"/>
                <w:szCs w:val="20"/>
                <w:color w:val="auto"/>
              </w:rPr>
            </w:pPr>
            <w:r>
              <w:rPr>
                <w:rFonts w:ascii="Arial" w:cs="Arial" w:eastAsia="Arial" w:hAnsi="Arial"/>
                <w:sz w:val="16"/>
                <w:szCs w:val="16"/>
                <w:color w:val="auto"/>
              </w:rPr>
              <w:t>525,897</w:t>
            </w:r>
          </w:p>
        </w:tc>
        <w:tc>
          <w:tcPr>
            <w:tcW w:w="120" w:type="dxa"/>
            <w:vAlign w:val="bottom"/>
            <w:shd w:val="clear" w:color="auto" w:fill="EAF9E8"/>
          </w:tcPr>
          <w:p>
            <w:pPr>
              <w:spacing w:after="0"/>
              <w:rPr>
                <w:sz w:val="21"/>
                <w:szCs w:val="21"/>
                <w:color w:val="auto"/>
              </w:rPr>
            </w:pPr>
          </w:p>
        </w:tc>
        <w:tc>
          <w:tcPr>
            <w:tcW w:w="180" w:type="dxa"/>
            <w:vAlign w:val="bottom"/>
            <w:shd w:val="clear" w:color="auto" w:fill="EAF9E8"/>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EAF9E8"/>
          </w:tcPr>
          <w:p>
            <w:pPr>
              <w:jc w:val="right"/>
              <w:ind w:right="39"/>
              <w:spacing w:after="0"/>
              <w:rPr>
                <w:sz w:val="20"/>
                <w:szCs w:val="20"/>
                <w:color w:val="auto"/>
              </w:rPr>
            </w:pPr>
            <w:r>
              <w:rPr>
                <w:rFonts w:ascii="Arial" w:cs="Arial" w:eastAsia="Arial" w:hAnsi="Arial"/>
                <w:sz w:val="16"/>
                <w:szCs w:val="16"/>
                <w:color w:val="auto"/>
              </w:rPr>
              <w:t>617,286</w:t>
            </w:r>
          </w:p>
        </w:tc>
        <w:tc>
          <w:tcPr>
            <w:tcW w:w="100" w:type="dxa"/>
            <w:vAlign w:val="bottom"/>
            <w:shd w:val="clear" w:color="auto" w:fill="EAF9E8"/>
          </w:tcPr>
          <w:p>
            <w:pPr>
              <w:spacing w:after="0"/>
              <w:rPr>
                <w:sz w:val="21"/>
                <w:szCs w:val="21"/>
                <w:color w:val="auto"/>
              </w:rPr>
            </w:pPr>
          </w:p>
        </w:tc>
        <w:tc>
          <w:tcPr>
            <w:tcW w:w="120" w:type="dxa"/>
            <w:vAlign w:val="bottom"/>
            <w:shd w:val="clear" w:color="auto" w:fill="EAF9E8"/>
          </w:tcPr>
          <w:p>
            <w:pPr>
              <w:ind w:left="20"/>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EAF9E8"/>
          </w:tcPr>
          <w:p>
            <w:pPr>
              <w:jc w:val="right"/>
              <w:spacing w:after="0"/>
              <w:rPr>
                <w:sz w:val="20"/>
                <w:szCs w:val="20"/>
                <w:color w:val="auto"/>
              </w:rPr>
            </w:pPr>
            <w:r>
              <w:rPr>
                <w:rFonts w:ascii="Arial" w:cs="Arial" w:eastAsia="Arial" w:hAnsi="Arial"/>
                <w:sz w:val="16"/>
                <w:szCs w:val="16"/>
                <w:color w:val="auto"/>
              </w:rPr>
              <w:t>(2,380)</w:t>
            </w:r>
          </w:p>
        </w:tc>
        <w:tc>
          <w:tcPr>
            <w:tcW w:w="120" w:type="dxa"/>
            <w:vAlign w:val="bottom"/>
            <w:shd w:val="clear" w:color="auto" w:fill="EAF9E8"/>
          </w:tcPr>
          <w:p>
            <w:pPr>
              <w:spacing w:after="0"/>
              <w:rPr>
                <w:sz w:val="21"/>
                <w:szCs w:val="21"/>
                <w:color w:val="auto"/>
              </w:rPr>
            </w:pPr>
          </w:p>
        </w:tc>
        <w:tc>
          <w:tcPr>
            <w:tcW w:w="120" w:type="dxa"/>
            <w:vAlign w:val="bottom"/>
            <w:shd w:val="clear" w:color="auto" w:fill="EAF9E8"/>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EAF9E8"/>
          </w:tcPr>
          <w:p>
            <w:pPr>
              <w:jc w:val="right"/>
              <w:ind w:right="39"/>
              <w:spacing w:after="0"/>
              <w:rPr>
                <w:sz w:val="20"/>
                <w:szCs w:val="20"/>
                <w:color w:val="auto"/>
              </w:rPr>
            </w:pPr>
            <w:r>
              <w:rPr>
                <w:rFonts w:ascii="Arial" w:cs="Arial" w:eastAsia="Arial" w:hAnsi="Arial"/>
                <w:sz w:val="16"/>
                <w:szCs w:val="16"/>
                <w:color w:val="auto"/>
              </w:rPr>
              <w:t>2,973</w:t>
            </w:r>
          </w:p>
        </w:tc>
        <w:tc>
          <w:tcPr>
            <w:tcW w:w="100" w:type="dxa"/>
            <w:vAlign w:val="bottom"/>
            <w:shd w:val="clear" w:color="auto" w:fill="EAF9E8"/>
          </w:tcPr>
          <w:p>
            <w:pPr>
              <w:spacing w:after="0"/>
              <w:rPr>
                <w:sz w:val="21"/>
                <w:szCs w:val="21"/>
                <w:color w:val="auto"/>
              </w:rPr>
            </w:pPr>
          </w:p>
        </w:tc>
        <w:tc>
          <w:tcPr>
            <w:tcW w:w="240" w:type="dxa"/>
            <w:vAlign w:val="bottom"/>
            <w:shd w:val="clear" w:color="auto" w:fill="EAF9E8"/>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EAF9E8"/>
          </w:tcPr>
          <w:p>
            <w:pPr>
              <w:jc w:val="right"/>
              <w:ind w:right="19"/>
              <w:spacing w:after="0"/>
              <w:rPr>
                <w:sz w:val="20"/>
                <w:szCs w:val="20"/>
                <w:color w:val="auto"/>
              </w:rPr>
            </w:pPr>
            <w:r>
              <w:rPr>
                <w:rFonts w:ascii="Arial" w:cs="Arial" w:eastAsia="Arial" w:hAnsi="Arial"/>
                <w:sz w:val="16"/>
                <w:szCs w:val="16"/>
                <w:color w:val="auto"/>
              </w:rPr>
              <w:t>1,145,030</w:t>
            </w:r>
          </w:p>
        </w:tc>
        <w:tc>
          <w:tcPr>
            <w:tcW w:w="0" w:type="dxa"/>
            <w:vAlign w:val="bottom"/>
          </w:tcPr>
          <w:p>
            <w:pPr>
              <w:spacing w:after="0"/>
              <w:rPr>
                <w:sz w:val="1"/>
                <w:szCs w:val="1"/>
                <w:color w:val="auto"/>
              </w:rPr>
            </w:pPr>
          </w:p>
        </w:tc>
      </w:tr>
      <w:tr>
        <w:trPr>
          <w:trHeight w:val="20"/>
        </w:trPr>
        <w:tc>
          <w:tcPr>
            <w:tcW w:w="2740" w:type="dxa"/>
            <w:vAlign w:val="bottom"/>
            <w:tcBorders>
              <w:top w:val="single" w:sz="8" w:color="EAF9E8"/>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0"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2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w w:val="91"/>
              </w:rPr>
              <w:t>For the Six Months Ended June 30,</w:t>
            </w:r>
          </w:p>
        </w:tc>
      </w:tr>
      <w:tr>
        <w:trPr>
          <w:trHeight w:val="27"/>
        </w:trPr>
        <w:tc>
          <w:tcPr>
            <w:tcW w:w="8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834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8340" w:type="dxa"/>
            <w:vAlign w:val="bottom"/>
            <w:shd w:val="clear" w:color="auto" w:fill="EAF9E8"/>
          </w:tcPr>
          <w:p>
            <w:pPr>
              <w:spacing w:after="0"/>
              <w:rPr>
                <w:sz w:val="22"/>
                <w:szCs w:val="22"/>
                <w:color w:val="auto"/>
              </w:rPr>
            </w:pPr>
          </w:p>
        </w:tc>
        <w:tc>
          <w:tcPr>
            <w:tcW w:w="160" w:type="dxa"/>
            <w:vAlign w:val="bottom"/>
            <w:shd w:val="clear" w:color="auto" w:fill="EAF9E8"/>
          </w:tcPr>
          <w:p>
            <w:pPr>
              <w:spacing w:after="0"/>
              <w:rPr>
                <w:sz w:val="22"/>
                <w:szCs w:val="22"/>
                <w:color w:val="auto"/>
              </w:rPr>
            </w:pPr>
          </w:p>
        </w:tc>
        <w:tc>
          <w:tcPr>
            <w:tcW w:w="134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340" w:type="dxa"/>
            <w:vAlign w:val="bottom"/>
            <w:shd w:val="clear" w:color="auto" w:fill="EAF9E8"/>
          </w:tcPr>
          <w:p>
            <w:pPr>
              <w:spacing w:after="0"/>
              <w:rPr>
                <w:sz w:val="22"/>
                <w:szCs w:val="22"/>
                <w:color w:val="auto"/>
              </w:rPr>
            </w:pPr>
          </w:p>
        </w:tc>
        <w:tc>
          <w:tcPr>
            <w:tcW w:w="1140" w:type="dxa"/>
            <w:vAlign w:val="bottom"/>
            <w:shd w:val="clear" w:color="auto" w:fill="EAF9E8"/>
          </w:tcPr>
          <w:p>
            <w:pPr>
              <w:spacing w:after="0"/>
              <w:rPr>
                <w:sz w:val="22"/>
                <w:szCs w:val="22"/>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Net income (loss)</w:t>
            </w: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(198,419)</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44,295</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Amortization of mortgage servicing rights</w:t>
            </w:r>
          </w:p>
        </w:tc>
        <w:tc>
          <w:tcPr>
            <w:tcW w:w="1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21,153</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70,080</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Loss on valuation of mortgage servicing rights, at fair value</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59,104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48,480</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Impairment of mortgage servicing rights</w:t>
            </w:r>
          </w:p>
        </w:tc>
        <w:tc>
          <w:tcPr>
            <w:tcW w:w="1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39,030</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1,608</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Gain on sale of mortgage servicing rights</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(2,028)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(56,712)</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Realized and unrealized losses on derivative financial instruments</w:t>
            </w:r>
          </w:p>
        </w:tc>
        <w:tc>
          <w:tcPr>
            <w:tcW w:w="1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2,080</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7,268</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Provision for bad debts</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32,785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24,686</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Depreciation</w:t>
            </w:r>
          </w:p>
        </w:tc>
        <w:tc>
          <w:tcPr>
            <w:tcW w:w="1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11,850</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8,420</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Amortization of debt issuance costs</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6,498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7,311</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Gain on sale of fixed assets</w:t>
            </w:r>
          </w:p>
        </w:tc>
        <w:tc>
          <w:tcPr>
            <w:tcW w:w="160" w:type="dxa"/>
            <w:vAlign w:val="bottom"/>
            <w:tcBorders>
              <w:bottom w:val="single" w:sz="8" w:color="EAF9E8"/>
            </w:tcBorders>
            <w:shd w:val="clear" w:color="auto" w:fill="EAF9E8"/>
          </w:tcPr>
          <w:p>
            <w:pPr>
              <w:spacing w:after="0"/>
              <w:rPr>
                <w:sz w:val="21"/>
                <w:szCs w:val="21"/>
                <w:color w:val="auto"/>
              </w:rPr>
            </w:pPr>
          </w:p>
        </w:tc>
        <w:tc>
          <w:tcPr>
            <w:tcW w:w="144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(1,095)</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Increase in deferred tax assets</w:t>
            </w:r>
          </w:p>
        </w:tc>
        <w:tc>
          <w:tcPr>
            <w:tcW w:w="16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(18,909)</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Equity-based compensation expense</w:t>
            </w:r>
          </w:p>
        </w:tc>
        <w:tc>
          <w:tcPr>
            <w:tcW w:w="1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3,079</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3,581</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Gain on loans held for sale, net</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(43,429)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(89,636)</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Origination and purchase of loans held for sale</w:t>
            </w:r>
          </w:p>
        </w:tc>
        <w:tc>
          <w:tcPr>
            <w:tcW w:w="1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(2,883,124)</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(2,314,488)</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Proceeds from sale and collections of loans held for sale</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2,789,433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2,517,096</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Changes in assets and liabilities:</w:t>
            </w:r>
          </w:p>
        </w:tc>
        <w:tc>
          <w:tcPr>
            <w:tcW w:w="1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Decrease in advances and match funded advances</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215,525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383,028</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Decrease (increase) in receivables and other assets, net</w:t>
            </w:r>
          </w:p>
        </w:tc>
        <w:tc>
          <w:tcPr>
            <w:tcW w:w="1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75,208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(29,957)</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Increase (decrease) in other liabilities</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40,951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(84,690)</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Other, net</w:t>
            </w:r>
          </w:p>
        </w:tc>
        <w:tc>
          <w:tcPr>
            <w:tcW w:w="160" w:type="dxa"/>
            <w:vAlign w:val="bottom"/>
            <w:tcBorders>
              <w:bottom w:val="single" w:sz="8" w:color="EAF9E8"/>
            </w:tcBorders>
            <w:shd w:val="clear" w:color="auto" w:fill="EAF9E8"/>
          </w:tcPr>
          <w:p>
            <w:pPr>
              <w:spacing w:after="0"/>
              <w:rPr>
                <w:sz w:val="23"/>
                <w:szCs w:val="23"/>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2,469</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14,599</w:t>
            </w:r>
          </w:p>
        </w:tc>
      </w:tr>
      <w:tr>
        <w:trPr>
          <w:trHeight w:val="237"/>
        </w:trPr>
        <w:tc>
          <w:tcPr>
            <w:tcW w:w="8340" w:type="dxa"/>
            <w:vAlign w:val="bottom"/>
          </w:tcPr>
          <w:p>
            <w:pPr>
              <w:ind w:left="280"/>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172,165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534,965</w:t>
            </w:r>
          </w:p>
        </w:tc>
      </w:tr>
      <w:tr>
        <w:trPr>
          <w:trHeight w:val="27"/>
        </w:trPr>
        <w:tc>
          <w:tcPr>
            <w:tcW w:w="834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318"/>
        </w:trPr>
        <w:tc>
          <w:tcPr>
            <w:tcW w:w="834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3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140" w:type="dxa"/>
            <w:vAlign w:val="bottom"/>
            <w:shd w:val="clear" w:color="auto" w:fill="EAF9E8"/>
          </w:tcPr>
          <w:p>
            <w:pPr>
              <w:spacing w:after="0"/>
              <w:rPr>
                <w:sz w:val="24"/>
                <w:szCs w:val="24"/>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Origination of loans held for investment – reverse mortgages</w:t>
            </w:r>
          </w:p>
        </w:tc>
        <w:tc>
          <w:tcPr>
            <w:tcW w:w="1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(675,665)</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(530,402)</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Principal payments received on loans held for investment - reverse mortgages</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238,838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63,942</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Purchase of mortgage servicing rights, net</w:t>
            </w:r>
          </w:p>
        </w:tc>
        <w:tc>
          <w:tcPr>
            <w:tcW w:w="1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(12,432)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(6,252)</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Proceeds from sale of mortgage servicing rights</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15,122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388,938</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Proceeds from sale of advances and match funded advances</w:t>
            </w:r>
          </w:p>
        </w:tc>
        <w:tc>
          <w:tcPr>
            <w:tcW w:w="1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66,651</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128,821</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Additions to premises and equipment</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(17,312)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(8,038)</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Proceeds from sale of premises and equipment</w:t>
            </w:r>
          </w:p>
        </w:tc>
        <w:tc>
          <w:tcPr>
            <w:tcW w:w="160" w:type="dxa"/>
            <w:vAlign w:val="bottom"/>
            <w:tcBorders>
              <w:bottom w:val="single" w:sz="8" w:color="EAF9E8"/>
            </w:tcBorders>
            <w:shd w:val="clear" w:color="auto" w:fill="EAF9E8"/>
          </w:tcPr>
          <w:p>
            <w:pPr>
              <w:spacing w:after="0"/>
              <w:rPr>
                <w:sz w:val="21"/>
                <w:szCs w:val="21"/>
                <w:color w:val="auto"/>
              </w:rPr>
            </w:pPr>
          </w:p>
        </w:tc>
        <w:tc>
          <w:tcPr>
            <w:tcW w:w="144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4,758</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8,179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2,158</w:t>
            </w:r>
          </w:p>
        </w:tc>
      </w:tr>
      <w:tr>
        <w:trPr>
          <w:trHeight w:val="27"/>
        </w:trPr>
        <w:tc>
          <w:tcPr>
            <w:tcW w:w="834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Net cash provided by (used in) investing activities</w:t>
            </w:r>
          </w:p>
        </w:tc>
        <w:tc>
          <w:tcPr>
            <w:tcW w:w="160" w:type="dxa"/>
            <w:vAlign w:val="bottom"/>
            <w:tcBorders>
              <w:bottom w:val="single" w:sz="8" w:color="EAF9E8"/>
            </w:tcBorders>
            <w:shd w:val="clear" w:color="auto" w:fill="EAF9E8"/>
          </w:tcPr>
          <w:p>
            <w:pPr>
              <w:spacing w:after="0"/>
              <w:rPr>
                <w:sz w:val="22"/>
                <w:szCs w:val="22"/>
                <w:color w:val="auto"/>
              </w:rPr>
            </w:pPr>
          </w:p>
        </w:tc>
        <w:tc>
          <w:tcPr>
            <w:tcW w:w="13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(376,619)</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43,925</w:t>
            </w:r>
          </w:p>
        </w:tc>
      </w:tr>
      <w:tr>
        <w:trPr>
          <w:trHeight w:val="318"/>
        </w:trPr>
        <w:tc>
          <w:tcPr>
            <w:tcW w:w="83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1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Repayment of match funded liabilities</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(152,668)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(349,125)</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Proceeds from other secured borrowings</w:t>
            </w:r>
          </w:p>
        </w:tc>
        <w:tc>
          <w:tcPr>
            <w:tcW w:w="1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4,173,609</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3,895,539</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Repayments of other secured borrowings</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(4,368,903)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(4,455,813)</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Payment of debt issuance costs</w:t>
            </w:r>
          </w:p>
        </w:tc>
        <w:tc>
          <w:tcPr>
            <w:tcW w:w="1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(2,242)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(18,610)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Proceeds from sale of loans accounted for as a financing</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522,981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532,856</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Repurchase of common stock</w:t>
            </w:r>
          </w:p>
        </w:tc>
        <w:tc>
          <w:tcPr>
            <w:tcW w:w="1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(5,890)</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Proceeds from exercise of common stock options</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406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413</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EAF9E8"/>
            </w:tcBorders>
            <w:shd w:val="clear" w:color="auto" w:fill="EAF9E8"/>
          </w:tcPr>
          <w:p>
            <w:pPr>
              <w:spacing w:after="0"/>
              <w:rPr>
                <w:sz w:val="23"/>
                <w:szCs w:val="23"/>
                <w:color w:val="auto"/>
              </w:rPr>
            </w:pPr>
          </w:p>
        </w:tc>
        <w:tc>
          <w:tcPr>
            <w:tcW w:w="13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(1,196)</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6,457</w:t>
            </w:r>
          </w:p>
        </w:tc>
      </w:tr>
      <w:tr>
        <w:trPr>
          <w:trHeight w:val="237"/>
        </w:trPr>
        <w:tc>
          <w:tcPr>
            <w:tcW w:w="8340" w:type="dxa"/>
            <w:vAlign w:val="bottom"/>
          </w:tcPr>
          <w:p>
            <w:pPr>
              <w:ind w:left="280"/>
              <w:spacing w:after="0"/>
              <w:rPr>
                <w:sz w:val="20"/>
                <w:szCs w:val="20"/>
                <w:color w:val="auto"/>
              </w:rPr>
            </w:pPr>
            <w:r>
              <w:rPr>
                <w:rFonts w:ascii="Arial" w:cs="Arial" w:eastAsia="Arial" w:hAnsi="Arial"/>
                <w:sz w:val="18"/>
                <w:szCs w:val="18"/>
                <w:color w:val="auto"/>
              </w:rPr>
              <w:t>Net cash provided by (used in) financing activities</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166,097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(388,283)</w:t>
            </w:r>
          </w:p>
        </w:tc>
      </w:tr>
      <w:tr>
        <w:trPr>
          <w:trHeight w:val="27"/>
        </w:trPr>
        <w:tc>
          <w:tcPr>
            <w:tcW w:w="834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318"/>
        </w:trPr>
        <w:tc>
          <w:tcPr>
            <w:tcW w:w="834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3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140" w:type="dxa"/>
            <w:vAlign w:val="bottom"/>
            <w:shd w:val="clear" w:color="auto" w:fill="EAF9E8"/>
          </w:tcPr>
          <w:p>
            <w:pPr>
              <w:spacing w:after="0"/>
              <w:rPr>
                <w:sz w:val="24"/>
                <w:szCs w:val="24"/>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increase (decrease) in cash</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(38,357)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190,607</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Cash at beginning of year</w:t>
            </w:r>
          </w:p>
        </w:tc>
        <w:tc>
          <w:tcPr>
            <w:tcW w:w="160" w:type="dxa"/>
            <w:vAlign w:val="bottom"/>
            <w:tcBorders>
              <w:bottom w:val="single" w:sz="8" w:color="EAF9E8"/>
            </w:tcBorders>
            <w:shd w:val="clear" w:color="auto" w:fill="EAF9E8"/>
          </w:tcPr>
          <w:p>
            <w:pPr>
              <w:spacing w:after="0"/>
              <w:rPr>
                <w:sz w:val="23"/>
                <w:szCs w:val="23"/>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257,272</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129,473</w:t>
            </w:r>
          </w:p>
        </w:tc>
      </w:tr>
      <w:tr>
        <w:trPr>
          <w:trHeight w:val="297"/>
        </w:trPr>
        <w:tc>
          <w:tcPr>
            <w:tcW w:w="8340" w:type="dxa"/>
            <w:vAlign w:val="bottom"/>
            <w:tcBorders>
              <w:bottom w:val="single" w:sz="8" w:color="EAF9E8"/>
            </w:tcBorders>
          </w:tcPr>
          <w:p>
            <w:pPr>
              <w:ind w:left="40"/>
              <w:spacing w:after="0"/>
              <w:rPr>
                <w:sz w:val="20"/>
                <w:szCs w:val="20"/>
                <w:color w:val="auto"/>
              </w:rPr>
            </w:pPr>
            <w:r>
              <w:rPr>
                <w:rFonts w:ascii="Arial" w:cs="Arial" w:eastAsia="Arial" w:hAnsi="Arial"/>
                <w:sz w:val="18"/>
                <w:szCs w:val="18"/>
                <w:color w:val="auto"/>
              </w:rPr>
              <w:t>Cash at end of period</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218,915</w:t>
            </w:r>
          </w:p>
        </w:tc>
        <w:tc>
          <w:tcPr>
            <w:tcW w:w="100" w:type="dxa"/>
            <w:vAlign w:val="bottom"/>
            <w:tcBorders>
              <w:bottom w:val="single" w:sz="8" w:color="EAF9E8"/>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320,080</w:t>
            </w:r>
          </w:p>
        </w:tc>
      </w:tr>
      <w:tr>
        <w:trPr>
          <w:trHeight w:val="311"/>
        </w:trPr>
        <w:tc>
          <w:tcPr>
            <w:tcW w:w="834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3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140" w:type="dxa"/>
            <w:vAlign w:val="bottom"/>
            <w:shd w:val="clear" w:color="auto" w:fill="EAF9E8"/>
          </w:tcPr>
          <w:p>
            <w:pPr>
              <w:spacing w:after="0"/>
              <w:rPr>
                <w:sz w:val="24"/>
                <w:szCs w:val="24"/>
                <w:color w:val="auto"/>
              </w:rPr>
            </w:pPr>
          </w:p>
        </w:tc>
      </w:tr>
    </w:tbl>
    <w:p>
      <w:pPr>
        <w:sectPr>
          <w:pgSz w:w="11900" w:h="16838" w:orient="portrait"/>
          <w:cols w:equalWidth="0" w:num="1">
            <w:col w:w="11420"/>
          </w:cols>
          <w:pgMar w:left="240" w:top="337" w:right="239" w:bottom="198" w:gutter="0" w:footer="0" w:header="0"/>
        </w:sectPr>
      </w:pPr>
    </w:p>
    <w:bookmarkStart w:id="9" w:name="page10"/>
    <w:bookmarkEnd w:id="9"/>
    <w:p>
      <w:pPr>
        <w:jc w:val="center"/>
        <w:ind w:right="-20"/>
        <w:spacing w:after="0"/>
        <w:rPr>
          <w:sz w:val="20"/>
          <w:szCs w:val="20"/>
          <w:color w:val="auto"/>
        </w:rPr>
      </w:pPr>
      <w:r>
        <w:rPr>
          <w:rFonts w:ascii="Arial" w:cs="Arial" w:eastAsia="Arial" w:hAnsi="Arial"/>
          <w:sz w:val="16"/>
          <w:szCs w:val="16"/>
          <w:i w:val="1"/>
          <w:iCs w:val="1"/>
          <w:color w:val="auto"/>
        </w:rPr>
        <w:t>The accompanying notes are an integral part of these unaudited consolidated financial statements</w:t>
      </w:r>
    </w:p>
    <w:p>
      <w:pPr>
        <w:sectPr>
          <w:pgSz w:w="11900" w:h="16838" w:orient="portrait"/>
          <w:cols w:equalWidth="0" w:num="1">
            <w:col w:w="9019"/>
          </w:cols>
          <w:pgMar w:left="1440" w:top="584" w:right="1440" w:bottom="1440" w:gutter="0" w:footer="0" w:header="0"/>
        </w:sect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9019"/>
          </w:cols>
          <w:pgMar w:left="1440" w:top="584" w:right="1440" w:bottom="1440" w:gutter="0" w:footer="0" w:header="0"/>
          <w:type w:val="continuous"/>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2016</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data and unless otherwise indicated)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Business Environment and Basis of Presentation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w:t>
      </w:r>
    </w:p>
    <w:p>
      <w:pPr>
        <w:spacing w:after="0" w:line="12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Ocwen Financial Corporation (NYSE: OCN) (Ocwen, we, us and our) is a financial services holding company which, through its subsidiaries, originates and services loans. We are headquartered in West Palm Beach, Florida with offices located throughout the United States (U.S.) and in the United States Virgin Islands (USVI) and operations in India and the Philippines. Ocwen is a Florida corporation organized in February 1988.</w:t>
      </w:r>
    </w:p>
    <w:p>
      <w:pPr>
        <w:spacing w:after="0" w:line="166" w:lineRule="exact"/>
        <w:rPr>
          <w:sz w:val="20"/>
          <w:szCs w:val="20"/>
          <w:color w:val="auto"/>
        </w:rPr>
      </w:pPr>
    </w:p>
    <w:p>
      <w:pPr>
        <w:jc w:val="both"/>
        <w:ind w:right="100" w:firstLine="324"/>
        <w:spacing w:after="0" w:line="264" w:lineRule="auto"/>
        <w:rPr>
          <w:sz w:val="20"/>
          <w:szCs w:val="20"/>
          <w:color w:val="auto"/>
        </w:rPr>
      </w:pPr>
      <w:r>
        <w:rPr>
          <w:rFonts w:ascii="Arial" w:cs="Arial" w:eastAsia="Arial" w:hAnsi="Arial"/>
          <w:sz w:val="18"/>
          <w:szCs w:val="18"/>
          <w:color w:val="auto"/>
        </w:rPr>
        <w:t>Ocwen owns all of the common stock of its primary operating subsidiary, Ocwen Mortgage Servicing, Inc. (OMS), and directly or indirectly owns all of the outstanding stock of its other primary operating subsidiaries: Ocwen Loan Servicing, LLC (OLS), Ocwen Financial Solutions Private Limited (OFSPL), Homeward Residential, Inc. (Homeward), and Liberty Home Equity Solutions, Inc. (Liberty).</w:t>
      </w:r>
    </w:p>
    <w:p>
      <w:pPr>
        <w:spacing w:after="0" w:line="73" w:lineRule="exact"/>
        <w:rPr>
          <w:sz w:val="20"/>
          <w:szCs w:val="20"/>
          <w:color w:val="auto"/>
        </w:rPr>
      </w:pPr>
    </w:p>
    <w:p>
      <w:pPr>
        <w:ind w:right="520" w:firstLine="324"/>
        <w:spacing w:after="0" w:line="291" w:lineRule="auto"/>
        <w:rPr>
          <w:sz w:val="20"/>
          <w:szCs w:val="20"/>
          <w:color w:val="auto"/>
        </w:rPr>
      </w:pPr>
      <w:r>
        <w:rPr>
          <w:rFonts w:ascii="Arial" w:cs="Arial" w:eastAsia="Arial" w:hAnsi="Arial"/>
          <w:sz w:val="16"/>
          <w:szCs w:val="16"/>
          <w:color w:val="auto"/>
        </w:rPr>
        <w:t>We perform primary and master servicer activities on behalf of investors and other servicers, including the Federal National Mortgage Association (Fannie Mae) and Federal Home Loan Mortgage Corporation (Freddie Mac) (collectively, the GSEs), the Government National Mortgage Association</w:t>
      </w:r>
    </w:p>
    <w:p>
      <w:pPr>
        <w:ind w:right="120"/>
        <w:spacing w:after="0" w:line="253" w:lineRule="auto"/>
        <w:rPr>
          <w:sz w:val="20"/>
          <w:szCs w:val="20"/>
          <w:color w:val="auto"/>
        </w:rPr>
      </w:pPr>
      <w:r>
        <w:rPr>
          <w:rFonts w:ascii="Arial" w:cs="Arial" w:eastAsia="Arial" w:hAnsi="Arial"/>
          <w:sz w:val="18"/>
          <w:szCs w:val="18"/>
          <w:color w:val="auto"/>
        </w:rPr>
        <w:t>(Ginnie Mae) and private-label securitizations (non-Agency). As primary servicer, we may be required to make certain payments of property taxes and insurance premiums, default and property maintenance payments, as well as advances of principal and interest payments before collecting them from borrowers. As master servicer, we collect mortgage payments from primary servicers and distribute the funds to investors in the mortgage-backed securities. To the extent the primary servicer does not advance the scheduled principal and interest, as master servicer we are responsible for advancing the shortfall subject to certain limitations.</w:t>
      </w:r>
    </w:p>
    <w:p>
      <w:pPr>
        <w:spacing w:after="0" w:line="83"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We primarily originate, purchase, sell and securitize conventional (conforming to the underwriting standards of Fannie Mae or Freddie Mac; collectively referred to as Agency loans) and government-insured (Federal Housing Authority (FHA) or Department of Veterans Affairs (VA)) forward and reverse mortgages. The GSEs or Ginnie Mae guarantee these mortgage securitizations.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Liquidity, Financing Activities and Management’s Plans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are facing certain challenges and uncertainties that could have significant adverse effects on our business, liquidity and financing activities.</w:t>
      </w:r>
    </w:p>
    <w:p>
      <w:pPr>
        <w:spacing w:after="0" w:line="129"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We have faced, and expect to continue to face, increased regulatory and public scrutiny as well as stricter and more comprehensive regulation of our business. We have entered into a number of regulatory settlements, which subject us to ongoing monitoring or reporting and which have significantly impacted our ability to grow our servicing portfolio. See Note 17 – Regulatory Requirements and Note 19 – Contingencies for further information regarding regulatory requirements, regulatory settlements and regulatory-related contingencies.</w:t>
      </w:r>
    </w:p>
    <w:p>
      <w:pPr>
        <w:spacing w:after="0" w:line="79"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To the extent that an examination, monitorship, audit or other regulatory engagement results in an alleged failure by us to comply with applicable law, regulation or licensing requirement, or if allegations are made that we have failed to comply with the commitments we have made in connection with our regulatory settlements, or if other regulatory actions are taken in the future against us of a similar or different nature, this could lead to (i) loss of our licenses and approvals to engage in our servicing and lending businesses, (ii) governmental investigations and enforcement actions, (iii) administrative fines and penalties and litigation, (iv) civil and criminal liability, including class action lawsuits, (v) breaches of covenants and representations under our servicing, debt or other agreements, (vi) inability to raise capital and (vii) inability to execute on our business strategy. Any of these occurrences could increase our operating expenses and reduce our revenues, hamper our ability to grow or otherwise materially and adversely affect our business, reputation, financial condition and results of operations.</w:t>
      </w:r>
    </w:p>
    <w:p>
      <w:pPr>
        <w:spacing w:after="0" w:line="192"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Given the intense regulatory scrutiny and the subsequent investments Ocwen has made in its risk and compliance infrastructure, we believe the underlying economics of our Servicing business have likely been changed for the foreseeable future. We believe it is unlikely Ocwen will achieve meaningful profitability in its Servicing business in the near term unless there is a significant, structural change in the business model. While we believe such structural change is probably unlikely in the current regulatory environment, we are nonetheless intensely focused on improving our operations to enhance borrower experiences and improve efficiencies, both of which we believe will drive stronger financial performance through lower overall costs.</w:t>
      </w: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688" w:right="259" w:bottom="1440" w:gutter="0" w:footer="0" w:header="0"/>
        </w:sectPr>
      </w:pPr>
    </w:p>
    <w:bookmarkStart w:id="11" w:name="page12"/>
    <w:bookmarkEnd w:id="11"/>
    <w:p>
      <w:pPr>
        <w:ind w:right="40" w:firstLine="324"/>
        <w:spacing w:after="0" w:line="287" w:lineRule="auto"/>
        <w:rPr>
          <w:sz w:val="20"/>
          <w:szCs w:val="20"/>
          <w:color w:val="auto"/>
        </w:rPr>
      </w:pPr>
      <w:r>
        <w:rPr>
          <w:rFonts w:ascii="Arial" w:cs="Arial" w:eastAsia="Arial" w:hAnsi="Arial"/>
          <w:sz w:val="16"/>
          <w:szCs w:val="16"/>
          <w:color w:val="auto"/>
        </w:rPr>
        <w:t>We are also investing in our forward and reverse lending businesses and will continue to evaluate new adjacent market opportunities that are consistent with our strategic goals, such as providing secured floor plan lending to used car dealerships through our Automotive Capital Services (ACS) venture and providing financing to investors to purchase single family homes and apartments for lease through our Liberty Rental Finance venture. Our new ventures involve risks and uncertainties, including potential difficulties integrating new lines of business into our current infrastructure, the inability to achieve the expected financial results in a reasonable time frame, implementing and maintaining consistent standards, controls, policies and information systems, and diversion of management’s attention from other business matters. Further, our strategic initiatives could be impacted by factors beyond our control, such as general economic conditions and increased competition. The diversion of management’s attention and any delays or difficulties encountered in implementing our new strategic initiatives could negatively impact our business and results of operations. Further, the economic benefits that we anticipate from these strategic initiatives may not develop. There can be no assurance that we will be successful in returning to profitability. Our success will depend on market conditions and other factors outside of our control as well as successful operational execution. If we continue to experience losses, our share price, business, reputation, financial condition and results of operations could be materially and adversely affected.</w:t>
      </w:r>
    </w:p>
    <w:p>
      <w:pPr>
        <w:spacing w:after="0" w:line="173"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New Residential Investment Corp. (NRZ) is an important business partner to which we have sold rights to receive servicing fees, excluding ancillary income (other than net income on custodial and escrow accounts), with respect to certain non-Agency mortgage servicing rights (MSRs), which we refer to as Rights to MSRs. As of June 30, 2016, these Rights to MSRs relate to approximately $128.1 billion in unpaid principal balance (UPB) of our non-Agency MSRs. A level of future uncertainty exists regarding our relationship with NRZ, including with respect to the impact of our Standard &amp; Poor’s Ratings Services (S&amp;P) servicer rating under our agreements with NRZ beginning April 7, 2017. Under the Master Servicing Rights Purchase Agreement and Sale Supplements with NRZ, if a termination event related to our servicer rating exists with respect to any servicing agreement, NRZ will have the right to direct the transfer of servicing with respect to any affected servicing agreement to a licensed replacement servicer that obtains all required third-party consents. As of June 30, 2016, a termination event exists because our servicer rating from S&amp;P is below Average. If our servicer rating from S&amp;P is not upgraded to Average or better prior to April 7, 2017, NRZ will have the right to direct the transfer of any affected servicing agreements to a successor licensed servicer that obtains all required third-party consents. Following any such transfer, we would no longer be entitled to receive future servicing fee revenue with respect to any transferred servicing agreement. See Note 4 — Sales of Advances and MSRs for further information regarding our relationship with NRZ.</w:t>
      </w:r>
    </w:p>
    <w:p>
      <w:pPr>
        <w:spacing w:after="0" w:line="173"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If we fail to comply with our debt agreements and are unable to avoid, remedy or secure a waiver of any resulting default, we may be subject to adverse action by our lenders, including termination of further funding, acceleration of outstanding obligations, enforcement of liens against the assets securing or otherwise supporting our obligations and other legal remedies. Our lenders can waive their contractual rights in the event of a default. Effective March 24, 2016 we entered into an amendment to our Senior Secured Term Loan (SSTL), which, among other things, removed in their entirety (including the consolidated total debt to consolidated tangible net worth ratio) or amended for the remaining term of the SSTL certain financial covenants. This amendment also required a prepayment of $6.3 million on May 31, 2016, with additional prepayments of the same amount due on July 29, 2016 and September 30, 2016. As a result of this amendment, we project we will maintain compliance with our financial covenants during 2016. In order to avoid an event of default arising from a covenant breach, we could repay or refinance debt, among other actions. See Note 11 – Borrowings for further information regarding our debt agreements.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The accompanying unaudited consolidated financial statements have been prepared in conformity with the instructions of the Securities and Exchange Commission (SEC) to Form 10-Q and SEC Regulation S-X, Article 10, Rule 10-01 for interim financial statements. Accordingly, they do not include all of the information and footnotes required by accounting principles generally accepted in the United States of America (GAAP) for complete financial statements. In our opinion, the accompanying unaudited consolidated financial statements contain all adjustments, consisting only of normal recurring adjustments, necessary for a fair presentation. The results of operations and other data for the three and six months ended June 30, 2016 are not necessarily indicative of the results that may be expected for any other interim period or for the year ending December 31, 2016. The unaudited consolidated financial statements presented herein should be read in conjunction with the audited consolidated financial statements and related notes thereto included in our Annual Report on Form 10-K for the year ended December 31, 2015.</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121"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 xml:space="preserve">As a result of our retrospective adoption on January 1, 2016 of FASB Accounting Standards Update (ASU) 2015-03, </w:t>
      </w:r>
      <w:r>
        <w:rPr>
          <w:rFonts w:ascii="Arial" w:cs="Arial" w:eastAsia="Arial" w:hAnsi="Arial"/>
          <w:sz w:val="18"/>
          <w:szCs w:val="18"/>
          <w:i w:val="1"/>
          <w:iCs w:val="1"/>
          <w:color w:val="auto"/>
        </w:rPr>
        <w:t>Interest—Imputation of Interest:</w:t>
      </w:r>
      <w:r>
        <w:rPr>
          <w:rFonts w:ascii="Arial" w:cs="Arial" w:eastAsia="Arial" w:hAnsi="Arial"/>
          <w:sz w:val="18"/>
          <w:szCs w:val="18"/>
          <w:color w:val="auto"/>
        </w:rPr>
        <w:t xml:space="preserve"> </w:t>
      </w:r>
      <w:r>
        <w:rPr>
          <w:rFonts w:ascii="Arial" w:cs="Arial" w:eastAsia="Arial" w:hAnsi="Arial"/>
          <w:sz w:val="18"/>
          <w:szCs w:val="18"/>
          <w:i w:val="1"/>
          <w:iCs w:val="1"/>
          <w:color w:val="auto"/>
        </w:rPr>
        <w:t>Simplifying the Presentation of Debt Issuance Costs</w:t>
      </w:r>
      <w:r>
        <w:rPr>
          <w:rFonts w:ascii="Arial" w:cs="Arial" w:eastAsia="Arial" w:hAnsi="Arial"/>
          <w:sz w:val="18"/>
          <w:szCs w:val="18"/>
          <w:color w:val="auto"/>
        </w:rPr>
        <w:t>, and ASU 2015-15,</w:t>
      </w:r>
      <w:r>
        <w:rPr>
          <w:rFonts w:ascii="Arial" w:cs="Arial" w:eastAsia="Arial" w:hAnsi="Arial"/>
          <w:sz w:val="18"/>
          <w:szCs w:val="18"/>
          <w:i w:val="1"/>
          <w:iCs w:val="1"/>
          <w:color w:val="auto"/>
        </w:rPr>
        <w:t xml:space="preserve"> Interest—Imputation of Interest: Presentation and Subsequent Measurement of Debt Issuance Costs Associated with Line-of-Credit Arrangements—Amendments to SEC Paragraphs Pursuant to Staff Announcement at June 18, 2015 EITF Meeting</w:t>
      </w:r>
      <w:r>
        <w:rPr>
          <w:rFonts w:ascii="Arial" w:cs="Arial" w:eastAsia="Arial" w:hAnsi="Arial"/>
          <w:sz w:val="18"/>
          <w:szCs w:val="18"/>
          <w:color w:val="auto"/>
        </w:rPr>
        <w:t>, unamortized debt issuance costs that are not related to revolving line-of-credit arrangements have been reclassified from other assets to other</w:t>
      </w:r>
      <w:r>
        <w:rPr>
          <w:rFonts w:ascii="Arial" w:cs="Arial" w:eastAsia="Arial" w:hAnsi="Arial"/>
          <w:sz w:val="18"/>
          <w:szCs w:val="18"/>
          <w:i w:val="1"/>
          <w:iCs w:val="1"/>
          <w:color w:val="auto"/>
        </w:rPr>
        <w:t xml:space="preserve"> </w:t>
      </w:r>
      <w:r>
        <w:rPr>
          <w:rFonts w:ascii="Arial" w:cs="Arial" w:eastAsia="Arial" w:hAnsi="Arial"/>
          <w:sz w:val="18"/>
          <w:szCs w:val="18"/>
          <w:color w:val="auto"/>
        </w:rPr>
        <w:t>secured</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692" w:right="279" w:bottom="1440" w:gutter="0" w:footer="0" w:header="0"/>
        </w:sectPr>
      </w:pPr>
    </w:p>
    <w:bookmarkStart w:id="12" w:name="page13"/>
    <w:bookmarkEnd w:id="12"/>
    <w:p>
      <w:pPr>
        <w:ind w:right="20"/>
        <w:spacing w:after="0" w:line="277" w:lineRule="auto"/>
        <w:rPr>
          <w:sz w:val="20"/>
          <w:szCs w:val="20"/>
          <w:color w:val="auto"/>
        </w:rPr>
      </w:pPr>
      <w:r>
        <w:rPr>
          <w:rFonts w:ascii="Arial" w:cs="Arial" w:eastAsia="Arial" w:hAnsi="Arial"/>
          <w:sz w:val="18"/>
          <w:szCs w:val="18"/>
          <w:color w:val="auto"/>
        </w:rPr>
        <w:t>borrowings and senior unsecured notes on the consolidated balance sheets, resulting in a reduction to Ocwen’s assets and liabilities of $20.3 million and $24.5 million at June 30, 2016 and December 31, 2015, respectively.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 and Assumptions</w:t>
      </w:r>
    </w:p>
    <w:p>
      <w:pPr>
        <w:spacing w:after="0" w:line="121"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The preparation of financial statements in conformity with GAAP requires that management make estimates and assumptions that affect the reported amounts of assets and liabilities at the date of the financial statements, the reported amounts of revenues and expenses during the reporting period and the related disclosures in the accompanying notes. Such estimates and assumptions include, but are not limited to, those that relate to fair value measurements, the provision for potential losses that may arise from litigation proceedings, and representation and warranty and other indemnification obligations. In developing estimates and assumptions, management uses all available information; however, actual results could materially differ from those estimates and assumptions.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5" w:lineRule="exact"/>
        <w:rPr>
          <w:sz w:val="20"/>
          <w:szCs w:val="20"/>
          <w:color w:val="auto"/>
        </w:rPr>
      </w:pPr>
    </w:p>
    <w:p>
      <w:pPr>
        <w:ind w:left="340" w:right="280"/>
        <w:spacing w:after="0" w:line="282" w:lineRule="auto"/>
        <w:rPr>
          <w:sz w:val="20"/>
          <w:szCs w:val="20"/>
          <w:color w:val="auto"/>
        </w:rPr>
      </w:pPr>
      <w:r>
        <w:rPr>
          <w:rFonts w:ascii="Arial" w:cs="Arial" w:eastAsia="Arial" w:hAnsi="Arial"/>
          <w:sz w:val="18"/>
          <w:szCs w:val="18"/>
          <w:b w:val="1"/>
          <w:bCs w:val="1"/>
          <w:color w:val="auto"/>
        </w:rPr>
        <w:t>Presentation of Financial Statements—Going Concern: Disclosure of Uncertainties about an Entity’s Ability to Continue as a Going Concern (ASU 2014-15)</w:t>
      </w:r>
    </w:p>
    <w:p>
      <w:pPr>
        <w:spacing w:after="0" w:line="166" w:lineRule="exact"/>
        <w:rPr>
          <w:sz w:val="20"/>
          <w:szCs w:val="20"/>
          <w:color w:val="auto"/>
        </w:rPr>
      </w:pPr>
    </w:p>
    <w:p>
      <w:pPr>
        <w:ind w:right="380" w:firstLine="324"/>
        <w:spacing w:after="0" w:line="259" w:lineRule="auto"/>
        <w:rPr>
          <w:sz w:val="20"/>
          <w:szCs w:val="20"/>
          <w:color w:val="auto"/>
        </w:rPr>
      </w:pPr>
      <w:r>
        <w:rPr>
          <w:rFonts w:ascii="Arial" w:cs="Arial" w:eastAsia="Arial" w:hAnsi="Arial"/>
          <w:sz w:val="18"/>
          <w:szCs w:val="18"/>
          <w:color w:val="auto"/>
        </w:rPr>
        <w:t>In August 2014, the FASB issued ASU 2014-15 to define management’s responsibility to evaluate whether there is substantial doubt about an organization’s ability to continue as a going concern and to provide related footnote disclosures. This ASU provides guidance to an organization’s management, with principles and definitions that are intended to reduce diversity in the timing and content of disclosures that are commonly provided by organizations today in the financial statement footnotes.</w:t>
      </w:r>
    </w:p>
    <w:p>
      <w:pPr>
        <w:spacing w:after="0" w:line="160"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In connection with preparing financial statements for each reporting period, an organization’s management should evaluate whether there are conditions or events, considered in the aggregate, that raise substantial doubt about the organization’s ability to continue as a going concern within one year after the date that the financial statements are issued (or are available to be issued, when applicable), based on relevant conditions and events that are known and reasonably knowable at the date that the financial statements are issued (or are available to be issued, when applicable).</w:t>
      </w:r>
    </w:p>
    <w:p>
      <w:pPr>
        <w:spacing w:after="0" w:line="117" w:lineRule="exact"/>
        <w:rPr>
          <w:sz w:val="20"/>
          <w:szCs w:val="20"/>
          <w:color w:val="auto"/>
        </w:rPr>
      </w:pPr>
    </w:p>
    <w:p>
      <w:pPr>
        <w:ind w:right="80" w:firstLine="324"/>
        <w:spacing w:after="0" w:line="308" w:lineRule="auto"/>
        <w:rPr>
          <w:sz w:val="20"/>
          <w:szCs w:val="20"/>
          <w:color w:val="auto"/>
        </w:rPr>
      </w:pPr>
      <w:r>
        <w:rPr>
          <w:rFonts w:ascii="Arial" w:cs="Arial" w:eastAsia="Arial" w:hAnsi="Arial"/>
          <w:sz w:val="17"/>
          <w:szCs w:val="17"/>
          <w:color w:val="auto"/>
        </w:rPr>
        <w:t>ASU 2014-15 will be effective for the annual period ending on December 31, 2016 and for interim periods beginning in 2017. While the adoption of this standard may result in additional disclosures, it will not have a material impact on our consolidated financial condition or results of operations.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Leases (ASU 2016-02)</w:t>
      </w:r>
    </w:p>
    <w:p>
      <w:pPr>
        <w:spacing w:after="0" w:line="229" w:lineRule="exact"/>
        <w:rPr>
          <w:sz w:val="20"/>
          <w:szCs w:val="20"/>
          <w:color w:val="auto"/>
        </w:rPr>
      </w:pPr>
    </w:p>
    <w:p>
      <w:pPr>
        <w:jc w:val="both"/>
        <w:ind w:right="120" w:firstLine="324"/>
        <w:spacing w:after="0" w:line="288" w:lineRule="auto"/>
        <w:rPr>
          <w:sz w:val="20"/>
          <w:szCs w:val="20"/>
          <w:color w:val="auto"/>
        </w:rPr>
      </w:pPr>
      <w:r>
        <w:rPr>
          <w:rFonts w:ascii="Arial" w:cs="Arial" w:eastAsia="Arial" w:hAnsi="Arial"/>
          <w:sz w:val="16"/>
          <w:szCs w:val="16"/>
          <w:color w:val="auto"/>
        </w:rPr>
        <w:t>In February 2016, the FASB issued ASU 2016-02 to increase transparency and comparability among organizations by recognizing lease assets and lease liabilities on the balance sheet and disclosing key qualitative and quantitative information about leasing arrangements. A lessee will be required to recognize assets and liabilities for leases with lease terms of more than 12 months, regardless of whether the lease is classified as a finance or operating lease.</w:t>
      </w:r>
    </w:p>
    <w:p>
      <w:pPr>
        <w:jc w:val="both"/>
        <w:ind w:right="440"/>
        <w:spacing w:after="0" w:line="255" w:lineRule="auto"/>
        <w:rPr>
          <w:sz w:val="20"/>
          <w:szCs w:val="20"/>
          <w:color w:val="auto"/>
        </w:rPr>
      </w:pPr>
      <w:r>
        <w:rPr>
          <w:rFonts w:ascii="Arial" w:cs="Arial" w:eastAsia="Arial" w:hAnsi="Arial"/>
          <w:sz w:val="18"/>
          <w:szCs w:val="18"/>
          <w:color w:val="auto"/>
        </w:rPr>
        <w:t>Additional disclosures will help investors and financial statement users better understand the amount, timing and uncertainty of cash flows arising from leases. ASU 2016-02 will be effective for us on January 1, 2019, with early application permitted. We are currently evaluating the effect of adopting this standard.</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Derivatives and Hedging: Effect of Derivative Contract Novations on Existing Hedge Accounting Relationships (ASU 2016-05)</w:t>
      </w:r>
    </w:p>
    <w:p>
      <w:pPr>
        <w:spacing w:after="0" w:line="229" w:lineRule="exact"/>
        <w:rPr>
          <w:sz w:val="20"/>
          <w:szCs w:val="20"/>
          <w:color w:val="auto"/>
        </w:rPr>
      </w:pPr>
    </w:p>
    <w:p>
      <w:pPr>
        <w:ind w:right="300" w:firstLine="324"/>
        <w:spacing w:after="0" w:line="257" w:lineRule="auto"/>
        <w:rPr>
          <w:sz w:val="20"/>
          <w:szCs w:val="20"/>
          <w:color w:val="auto"/>
        </w:rPr>
      </w:pPr>
      <w:r>
        <w:rPr>
          <w:rFonts w:ascii="Arial" w:cs="Arial" w:eastAsia="Arial" w:hAnsi="Arial"/>
          <w:sz w:val="18"/>
          <w:szCs w:val="18"/>
          <w:color w:val="auto"/>
        </w:rPr>
        <w:t xml:space="preserve">In March 2016, the FASB issued ASU 2016-05 to clarify that a change in the counterparty to a derivative instrument that has been designated as a hedging instrument under FASB Accounting Standards Codification (ASC) Topic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does not, in and of itself, require dedesignation of that hedging relationship provided that all other hedge accounting criteria continue to be met. ASU 2016-05 will be effective for us on January 1, 2017, with early adoption permitted, including adoption in an interim period. We do not anticipate that our adoption of this standard will have a material impact on our consolidated financial statements.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Derivatives and Hedging: Contingent Put and Call Options in Debt Instruments (ASU 2016-06)</w:t>
      </w:r>
    </w:p>
    <w:p>
      <w:pPr>
        <w:spacing w:after="0" w:line="229"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In March 2016, the FASB issued ASU 2016-06 to clarify that in assessing whether embedded contingent put or call options that can accelerate the payment of principal on debt instruments are clearly and closely related to their debt hosts, an entity is required to apply only the four-step decision sequence in FASB ASC 815-15-25-42 (as amended by this ASU). An entity does not have to separately assess whether the event that triggers its ability to exercise the contingent option is itself indexed only to interest rates or credit risk. ASU 2016-06 will be effective for us on January 1, 2017, with early adoption permitted, including adoption in an interim period. We are currently evaluating the effect of adopting this standard.</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692" w:right="239" w:bottom="1440" w:gutter="0" w:footer="0" w:header="0"/>
        </w:sectPr>
      </w:pPr>
    </w:p>
    <w:bookmarkStart w:id="13" w:name="page14"/>
    <w:bookmarkEnd w:id="13"/>
    <w:p>
      <w:pPr>
        <w:ind w:left="340"/>
        <w:spacing w:after="0"/>
        <w:rPr>
          <w:sz w:val="20"/>
          <w:szCs w:val="20"/>
          <w:color w:val="auto"/>
        </w:rPr>
      </w:pPr>
      <w:r>
        <w:rPr>
          <w:rFonts w:ascii="Arial" w:cs="Arial" w:eastAsia="Arial" w:hAnsi="Arial"/>
          <w:sz w:val="18"/>
          <w:szCs w:val="18"/>
          <w:b w:val="1"/>
          <w:bCs w:val="1"/>
          <w:color w:val="auto"/>
        </w:rPr>
        <w:t>Investments - Equity Method and Joint Ventures: Simplifying the Transition to the Equity Method of Accounting (ASU 2016-07)</w:t>
      </w:r>
    </w:p>
    <w:p>
      <w:pPr>
        <w:spacing w:after="0" w:line="229"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In March 2016, the FASB issued ASU 2016-07 to simplify the transition to the equity method of accounting as part of its simplification initiative to reduce cost and complexity in accounting standards while maintaining or improving the usefulness of the information provided to the users of financial statements. This standard requires that an equity method investor add the cost of acquiring the additional interest in the investee to the current basis of the investor’s previously held interest and adopt the equity method of accounting as of the date the investment qualifies for equity method accounting, rather than adjusting the investment retroactively. This standard also requires that an entity that has an available-for-sale equity security that qualifies for the equity method of accounting recognize through earnings the unrealized holding gain or loss in accumulated other comprehensive income at the date the investment qualifies for use of the equity method. ASU 2016-07 will be effective for us on January 1, 2017, with early application permitted. We are currently evaluating the effect of adopting this standard.</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Revenue from Contracts with Customers: Principal versus Agent Considerations (ASU 2016-08)</w:t>
      </w:r>
    </w:p>
    <w:p>
      <w:pPr>
        <w:spacing w:after="0" w:line="229"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 xml:space="preserve">In March 2016, the FASB issued ASU 2016-08 to clarify the implementation guidance included in FASB ASC Topic 606, </w:t>
      </w:r>
      <w:r>
        <w:rPr>
          <w:rFonts w:ascii="Arial" w:cs="Arial" w:eastAsia="Arial" w:hAnsi="Arial"/>
          <w:sz w:val="17"/>
          <w:szCs w:val="17"/>
          <w:i w:val="1"/>
          <w:iCs w:val="1"/>
          <w:color w:val="auto"/>
        </w:rPr>
        <w:t>Revenue from Contracts with</w:t>
      </w:r>
      <w:r>
        <w:rPr>
          <w:rFonts w:ascii="Arial" w:cs="Arial" w:eastAsia="Arial" w:hAnsi="Arial"/>
          <w:sz w:val="17"/>
          <w:szCs w:val="17"/>
          <w:color w:val="auto"/>
        </w:rPr>
        <w:t xml:space="preserve"> </w:t>
      </w:r>
      <w:r>
        <w:rPr>
          <w:rFonts w:ascii="Arial" w:cs="Arial" w:eastAsia="Arial" w:hAnsi="Arial"/>
          <w:sz w:val="17"/>
          <w:szCs w:val="17"/>
          <w:i w:val="1"/>
          <w:iCs w:val="1"/>
          <w:color w:val="auto"/>
        </w:rPr>
        <w:t>Customers</w:t>
      </w:r>
      <w:r>
        <w:rPr>
          <w:rFonts w:ascii="Arial" w:cs="Arial" w:eastAsia="Arial" w:hAnsi="Arial"/>
          <w:sz w:val="17"/>
          <w:szCs w:val="17"/>
          <w:color w:val="auto"/>
        </w:rPr>
        <w:t>, related to principal versus agent considerations and add illustrative examples to assist in the application of the guidance. When another party is</w:t>
      </w:r>
      <w:r>
        <w:rPr>
          <w:rFonts w:ascii="Arial" w:cs="Arial" w:eastAsia="Arial" w:hAnsi="Arial"/>
          <w:sz w:val="17"/>
          <w:szCs w:val="17"/>
          <w:i w:val="1"/>
          <w:iCs w:val="1"/>
          <w:color w:val="auto"/>
        </w:rPr>
        <w:t xml:space="preserve"> </w:t>
      </w:r>
      <w:r>
        <w:rPr>
          <w:rFonts w:ascii="Arial" w:cs="Arial" w:eastAsia="Arial" w:hAnsi="Arial"/>
          <w:sz w:val="17"/>
          <w:szCs w:val="17"/>
          <w:color w:val="auto"/>
        </w:rPr>
        <w:t>involved in providing goods or services to a customer, an entity is required to determine whether the nature of its promise is that of a principal -- providing the specified good or service itself, or that of an agent -- arranging for that good or service to be provided by the other party. An entity is a principal if it controls the specified good or service before that good or service is transferred to a customer. ASU 2016-08 will be effective for us on January 1, 2018, with early application permitted. We are currently evaluating the effect of adopting this standard.</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Compensation - Stock Compensation: Improvements to Employee Shared-Based Payment Accounting (ASU 2016-09)</w:t>
      </w:r>
    </w:p>
    <w:p>
      <w:pPr>
        <w:spacing w:after="0" w:line="229" w:lineRule="exact"/>
        <w:rPr>
          <w:sz w:val="20"/>
          <w:szCs w:val="20"/>
          <w:color w:val="auto"/>
        </w:rPr>
      </w:pPr>
    </w:p>
    <w:p>
      <w:pPr>
        <w:ind w:right="100" w:firstLine="324"/>
        <w:spacing w:after="0" w:line="276" w:lineRule="auto"/>
        <w:rPr>
          <w:sz w:val="20"/>
          <w:szCs w:val="20"/>
          <w:color w:val="auto"/>
        </w:rPr>
      </w:pPr>
      <w:r>
        <w:rPr>
          <w:rFonts w:ascii="Arial" w:cs="Arial" w:eastAsia="Arial" w:hAnsi="Arial"/>
          <w:sz w:val="17"/>
          <w:szCs w:val="17"/>
          <w:color w:val="auto"/>
        </w:rPr>
        <w:t>In March 2016, the FASB issued ASU 2016-09 to improve the accounting for employee share-based payments. This standard simplifies several aspects of the accounting for share-based payment award transactions, including the income tax consequences, classification of awards as either equity or liabilities, and classification on the statement of cash flows, as part of FASB’s simplification initiative to reduce cost and complexity in accounting standards while maintaining or improving the usefulness of the information provided to the users of financial statements. ASU 2016-09 will be effective for us on January 1, 2017, with early adoption permitted. We are currently evaluating the effect of adopting this standard.</w:t>
      </w:r>
    </w:p>
    <w:p>
      <w:pPr>
        <w:spacing w:after="0" w:line="6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Revenue from Contracts with Customers: Narrow-Scope Improvements and Practical Expedients (ASU 2016-12)</w:t>
      </w:r>
    </w:p>
    <w:p>
      <w:pPr>
        <w:spacing w:after="0" w:line="229"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 xml:space="preserve">In May 2016, the FASB issued ASU 2016-12 to amend guidance in FASB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related to collectability, noncash consideration, presentation of sales tax, completed contracts and transition. The amendments are intended to address implementation issues that were raised by stakeholders and to provide additional practical expedients. These amendments are intended to reduce the risk of diversity in practice and the cost and complexity of applying certain aspects of the revenue standard. ASU 2016-12 will be effective for us on January 1, 2018, with early application permitted. We are currently evaluating the effect of adopting this standard.</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Financial Instruments - Credit Losses: Measurement of Credit Losses on Financial Instruments (ASU 2016-13)</w:t>
      </w:r>
    </w:p>
    <w:p>
      <w:pPr>
        <w:spacing w:after="0" w:line="229"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In June 2016, the FASB issued ASU 2016-13 to improve financial reporting by requiring timelier recording of credit losses on loans and other financial instruments held by financial institutions and other organizations. This standard aligns the accounting with the economics of lending by requiring banks and other lending institutions to immediately record the full amount of credit losses that are expected in their loan portfolios, providing investors with better information about those losses on a more timely basis. The new guidance requires an organization to measure all expected credit losses for financial assets held at the reporting date based on historical experience, current conditions, and reasonable and supportable forecasts. This standard requires enhanced disclosures to help investors and other financial statement users better understand significant estimates and judgments used in estimating credit losses, as well as the credit quality and underwriting standards of an organization’s portfolio. Additionally, the new guidance amends the accounting for credit losses on available-for-sale debt securities and purchased financial assets with credit deterioration. ASU 2016-13 will be effective for us on January 1, 2020, with early application permitted. We are currently evaluating the effect of adopting this standard.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Securitizations and Variable Interest Entities</w:t>
      </w:r>
    </w:p>
    <w:p>
      <w:pPr>
        <w:spacing w:after="0" w:line="121"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We securitize, sell and service forward and reverse residential mortgage loans and regularly transfer financial assets in connection with asset-backed financing arrangements. We have aggregated these securitizations and asset-backed financing arrangements into two groups: (1) securitizations of residential mortgage loans and (2) financings of advances on loans serviced for others.</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688" w:right="279" w:bottom="1440" w:gutter="0" w:footer="0" w:header="0"/>
        </w:sectPr>
      </w:pPr>
    </w:p>
    <w:bookmarkStart w:id="14" w:name="page15"/>
    <w:bookmarkEnd w:id="14"/>
    <w:p>
      <w:pPr>
        <w:ind w:right="20" w:firstLine="324"/>
        <w:spacing w:after="0" w:line="277" w:lineRule="auto"/>
        <w:rPr>
          <w:sz w:val="20"/>
          <w:szCs w:val="20"/>
          <w:color w:val="auto"/>
        </w:rPr>
      </w:pPr>
      <w:r>
        <w:rPr>
          <w:rFonts w:ascii="Arial" w:cs="Arial" w:eastAsia="Arial" w:hAnsi="Arial"/>
          <w:sz w:val="18"/>
          <w:szCs w:val="18"/>
          <w:color w:val="auto"/>
        </w:rPr>
        <w:t>We have determined that the special purpose entities (SPEs) created in connection with our match funded advance financing facilities are variable interest entities (VIEs) for which we are the primary beneficiary.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Securitizations of Residential Mortgage Loans</w:t>
      </w:r>
    </w:p>
    <w:p>
      <w:pPr>
        <w:spacing w:after="0" w:line="121"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Currently, we securitize forward and reverse residential mortgage loans involving the GSEs and Ginnie Mae and loans insured by the FHA or VA. We retain the right to service these loans and receive servicing fees based upon the securitized loan balances and certain ancillary fees, all of which are reported in Servicing and subservicing fees in the Unaudited Consolidated Statements of Operations.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Transfers of Forward Loans</w:t>
      </w:r>
    </w:p>
    <w:p>
      <w:pPr>
        <w:spacing w:after="0" w:line="117"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We sell or securitize forward loans that we originate or that we purchase from third parties, generally in the form of mortgage-backed securities guaranteed by the GSEs or Ginnie Mae. Securitization usually occurs within 30 days of loan closing or purchase. We retain the servicing rights associated with the transferred loans and receive a servicing fee for services provided. We act only as a fiduciary and do not have a variable interest in the securitization trusts. As a result, we account for these transactions as sales upon transfer.</w:t>
      </w:r>
    </w:p>
    <w:p>
      <w:pPr>
        <w:spacing w:after="0" w:line="79"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We report the gain or loss on the transfer of the loans held for sale in Gain on loans held for sale, net in the Unaudited Consolidated Statements of Operations along with the changes in fair value of the loans and the gain or loss on any related derivatives.</w:t>
      </w:r>
    </w:p>
    <w:p>
      <w:pPr>
        <w:spacing w:after="0" w:line="62"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following table presents a summary of cash flows received from and paid to securitization trusts related to transfers accounted for as sales that were outstanding during the periods ended June 30:</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0" w:type="dxa"/>
            <w:vAlign w:val="bottom"/>
            <w:gridSpan w:val="3"/>
          </w:tcPr>
          <w:p>
            <w:pPr>
              <w:jc w:val="right"/>
              <w:spacing w:after="0"/>
              <w:rPr>
                <w:sz w:val="20"/>
                <w:szCs w:val="20"/>
                <w:color w:val="auto"/>
              </w:rPr>
            </w:pPr>
            <w:r>
              <w:rPr>
                <w:rFonts w:ascii="Arial" w:cs="Arial" w:eastAsia="Arial" w:hAnsi="Arial"/>
                <w:sz w:val="18"/>
                <w:szCs w:val="18"/>
                <w:b w:val="1"/>
                <w:bCs w:val="1"/>
                <w:color w:val="auto"/>
              </w:rPr>
              <w:t>Three Months</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b w:val="1"/>
                <w:bCs w:val="1"/>
                <w:color w:val="auto"/>
              </w:rPr>
              <w:t>Six Months</w:t>
            </w:r>
          </w:p>
        </w:tc>
        <w:tc>
          <w:tcPr>
            <w:tcW w:w="100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516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Proceeds received from securitizations</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1,357,206</w:t>
            </w:r>
          </w:p>
        </w:tc>
        <w:tc>
          <w:tcPr>
            <w:tcW w:w="12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1,415,952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2,366,470</w:t>
            </w:r>
          </w:p>
        </w:tc>
        <w:tc>
          <w:tcPr>
            <w:tcW w:w="100" w:type="dxa"/>
            <w:vAlign w:val="bottom"/>
            <w:tcBorders>
              <w:bottom w:val="single" w:sz="8" w:color="EAF9E8"/>
            </w:tcBorders>
            <w:shd w:val="clear" w:color="auto" w:fill="EAF9E8"/>
          </w:tcPr>
          <w:p>
            <w:pPr>
              <w:spacing w:after="0"/>
              <w:rPr>
                <w:sz w:val="21"/>
                <w:szCs w:val="21"/>
                <w:color w:val="auto"/>
              </w:rPr>
            </w:pPr>
          </w:p>
        </w:tc>
        <w:tc>
          <w:tcPr>
            <w:tcW w:w="480" w:type="dxa"/>
            <w:vAlign w:val="bottom"/>
            <w:tcBorders>
              <w:bottom w:val="single" w:sz="8" w:color="EAF9E8"/>
            </w:tcBorders>
            <w:shd w:val="clear" w:color="auto" w:fill="EAF9E8"/>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2,486,724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Servicing fees collected</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3,549</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8,229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6,673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19,093</w:t>
            </w: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w w:val="93"/>
              </w:rPr>
              <w:t>Purchases of previously transferred assets, net of claims reimbursed</w:t>
            </w: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(766)</w:t>
            </w:r>
          </w:p>
        </w:tc>
        <w:tc>
          <w:tcPr>
            <w:tcW w:w="120" w:type="dxa"/>
            <w:vAlign w:val="bottom"/>
            <w:tcBorders>
              <w:bottom w:val="single" w:sz="8" w:color="EAF9E8"/>
            </w:tcBorders>
            <w:shd w:val="clear" w:color="auto" w:fill="EAF9E8"/>
          </w:tcPr>
          <w:p>
            <w:pPr>
              <w:spacing w:after="0"/>
              <w:rPr>
                <w:sz w:val="23"/>
                <w:szCs w:val="23"/>
                <w:color w:val="auto"/>
              </w:rPr>
            </w:pPr>
          </w:p>
        </w:tc>
        <w:tc>
          <w:tcPr>
            <w:tcW w:w="520" w:type="dxa"/>
            <w:vAlign w:val="bottom"/>
            <w:tcBorders>
              <w:bottom w:val="single" w:sz="8" w:color="EAF9E8"/>
            </w:tcBorders>
            <w:shd w:val="clear" w:color="auto" w:fill="EAF9E8"/>
          </w:tcPr>
          <w:p>
            <w:pPr>
              <w:spacing w:after="0"/>
              <w:rPr>
                <w:sz w:val="23"/>
                <w:szCs w:val="23"/>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396</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(779)</w:t>
            </w:r>
          </w:p>
        </w:tc>
        <w:tc>
          <w:tcPr>
            <w:tcW w:w="100" w:type="dxa"/>
            <w:vAlign w:val="bottom"/>
            <w:tcBorders>
              <w:bottom w:val="single" w:sz="8" w:color="EAF9E8"/>
            </w:tcBorders>
            <w:shd w:val="clear" w:color="auto" w:fill="EAF9E8"/>
          </w:tcPr>
          <w:p>
            <w:pPr>
              <w:spacing w:after="0"/>
              <w:rPr>
                <w:sz w:val="23"/>
                <w:szCs w:val="23"/>
                <w:color w:val="auto"/>
              </w:rPr>
            </w:pPr>
          </w:p>
        </w:tc>
        <w:tc>
          <w:tcPr>
            <w:tcW w:w="480" w:type="dxa"/>
            <w:vAlign w:val="bottom"/>
            <w:tcBorders>
              <w:bottom w:val="single" w:sz="8" w:color="EAF9E8"/>
            </w:tcBorders>
            <w:shd w:val="clear" w:color="auto" w:fill="EAF9E8"/>
          </w:tcPr>
          <w:p>
            <w:pPr>
              <w:spacing w:after="0"/>
              <w:rPr>
                <w:sz w:val="23"/>
                <w:szCs w:val="23"/>
                <w:color w:val="auto"/>
              </w:rPr>
            </w:pPr>
          </w:p>
        </w:tc>
        <w:tc>
          <w:tcPr>
            <w:tcW w:w="10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896</w:t>
            </w:r>
          </w:p>
        </w:tc>
      </w:tr>
      <w:tr>
        <w:trPr>
          <w:trHeight w:val="237"/>
        </w:trPr>
        <w:tc>
          <w:tcPr>
            <w:tcW w:w="516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1,359,989</w:t>
            </w:r>
          </w:p>
        </w:tc>
        <w:tc>
          <w:tcPr>
            <w:tcW w:w="12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1,424,577</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2,372,364</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2,506,713</w:t>
            </w:r>
          </w:p>
        </w:tc>
      </w:tr>
      <w:tr>
        <w:trPr>
          <w:trHeight w:val="27"/>
        </w:trPr>
        <w:tc>
          <w:tcPr>
            <w:tcW w:w="5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920" w:firstLine="324"/>
        <w:spacing w:after="0" w:line="277" w:lineRule="auto"/>
        <w:rPr>
          <w:sz w:val="20"/>
          <w:szCs w:val="20"/>
          <w:color w:val="auto"/>
        </w:rPr>
      </w:pPr>
      <w:r>
        <w:rPr>
          <w:rFonts w:ascii="Arial" w:cs="Arial" w:eastAsia="Arial" w:hAnsi="Arial"/>
          <w:sz w:val="18"/>
          <w:szCs w:val="18"/>
          <w:color w:val="auto"/>
        </w:rPr>
        <w:t>In connection with these transfers, we retained MSRs of $9.5 million and $16.7 million during the three and six months ended June 30, 2016, respectively, and $9.8 million and $18.3 million during the three and six months ended June 30, 2015, respectively.</w:t>
      </w:r>
    </w:p>
    <w:p>
      <w:pPr>
        <w:spacing w:after="0" w:line="62" w:lineRule="exact"/>
        <w:rPr>
          <w:sz w:val="20"/>
          <w:szCs w:val="20"/>
          <w:color w:val="auto"/>
        </w:rPr>
      </w:pPr>
    </w:p>
    <w:p>
      <w:pPr>
        <w:ind w:right="340" w:firstLine="324"/>
        <w:spacing w:after="0" w:line="342" w:lineRule="auto"/>
        <w:rPr>
          <w:sz w:val="20"/>
          <w:szCs w:val="20"/>
          <w:color w:val="auto"/>
        </w:rPr>
      </w:pPr>
      <w:r>
        <w:rPr>
          <w:rFonts w:ascii="Arial" w:cs="Arial" w:eastAsia="Arial" w:hAnsi="Arial"/>
          <w:sz w:val="16"/>
          <w:szCs w:val="16"/>
          <w:color w:val="auto"/>
        </w:rPr>
        <w:t>Certain obligations arise from the agreements associated with our transfers of loans. Under these agreements, we may be obligated to repurchase the loans, or otherwise indemnify or reimburse the investor or insurer for losses incurred due to material breach of contractual representations and warranties.</w:t>
      </w:r>
    </w:p>
    <w:p>
      <w:pPr>
        <w:spacing w:after="0" w:line="16" w:lineRule="exact"/>
        <w:rPr>
          <w:sz w:val="20"/>
          <w:szCs w:val="20"/>
          <w:color w:val="auto"/>
        </w:rPr>
      </w:pPr>
    </w:p>
    <w:p>
      <w:pPr>
        <w:ind w:right="360" w:firstLine="324"/>
        <w:spacing w:after="0" w:line="342" w:lineRule="auto"/>
        <w:rPr>
          <w:sz w:val="20"/>
          <w:szCs w:val="20"/>
          <w:color w:val="auto"/>
        </w:rPr>
      </w:pPr>
      <w:r>
        <w:rPr>
          <w:rFonts w:ascii="Arial" w:cs="Arial" w:eastAsia="Arial" w:hAnsi="Arial"/>
          <w:sz w:val="16"/>
          <w:szCs w:val="16"/>
          <w:color w:val="auto"/>
        </w:rPr>
        <w:t>The following table presents the carrying amounts of our assets that relate to our continuing involvement with forward loans that we have transferred with servicing rights retained as well as our maximum exposure to loss including the UPB of the transferred loans at the dates indicated:</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8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June 30, 2016</w:t>
            </w: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834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Carrying value of assets:</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Mortgage servicing rights, at amortized cost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72,548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54,729</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Mortgage servicing rights, at fair value</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236</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Advances and match funded advances</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29,877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26,968</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UPB of loans transferred</w:t>
            </w:r>
          </w:p>
        </w:tc>
        <w:tc>
          <w:tcPr>
            <w:tcW w:w="18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9,220,490</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7,471,025</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Maximum exposure to loss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9,323,078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7,552,958</w:t>
            </w:r>
          </w:p>
        </w:tc>
      </w:tr>
      <w:tr>
        <w:trPr>
          <w:trHeight w:val="20"/>
        </w:trPr>
        <w:tc>
          <w:tcPr>
            <w:tcW w:w="8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At June 30, 2016 and December 31, 2015, 7.3% and 8.2%, respectively, of the transferred residential loans that we service were 60 days or more past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due.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Transfers of Reverse Mortgages</w:t>
      </w:r>
    </w:p>
    <w:p>
      <w:pPr>
        <w:spacing w:after="0" w:line="117" w:lineRule="exact"/>
        <w:rPr>
          <w:sz w:val="20"/>
          <w:szCs w:val="20"/>
          <w:color w:val="auto"/>
        </w:rPr>
      </w:pPr>
    </w:p>
    <w:p>
      <w:pPr>
        <w:ind w:right="260" w:firstLine="324"/>
        <w:spacing w:after="0" w:line="264" w:lineRule="auto"/>
        <w:rPr>
          <w:sz w:val="20"/>
          <w:szCs w:val="20"/>
          <w:color w:val="auto"/>
        </w:rPr>
      </w:pPr>
      <w:r>
        <w:rPr>
          <w:rFonts w:ascii="Arial" w:cs="Arial" w:eastAsia="Arial" w:hAnsi="Arial"/>
          <w:sz w:val="18"/>
          <w:szCs w:val="18"/>
          <w:color w:val="auto"/>
        </w:rPr>
        <w:t>We are an approved issuer of Ginnie Mae Home Equity Conversion Mortgage-Backed Securities (HMBS) that are guaranteed by Ginnie Mae. We originate Home Equity Conversion Mortgages (HECM, or reverse mortgages) that are insured by the FHA. We then pool the loans into HMBS that we sell into the secondary market with servicing rights retained. We have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692" w:right="239" w:bottom="1440" w:gutter="0" w:footer="0" w:header="0"/>
        </w:sectPr>
      </w:pPr>
    </w:p>
    <w:bookmarkStart w:id="15" w:name="page16"/>
    <w:bookmarkEnd w:id="15"/>
    <w:p>
      <w:pPr>
        <w:spacing w:after="0" w:line="272" w:lineRule="auto"/>
        <w:rPr>
          <w:sz w:val="20"/>
          <w:szCs w:val="20"/>
          <w:color w:val="auto"/>
        </w:rPr>
      </w:pPr>
      <w:r>
        <w:rPr>
          <w:rFonts w:ascii="Arial" w:cs="Arial" w:eastAsia="Arial" w:hAnsi="Arial"/>
          <w:sz w:val="17"/>
          <w:szCs w:val="17"/>
          <w:color w:val="auto"/>
        </w:rPr>
        <w:t>determined that loan transfers in the HMBS program do not meet the definition of a participating interest because of the servicing requirements in the product that require the issuer/servicer to absorb some level of interest rate risk, cash flow timing risk and incidental credit risk. As a result, the transfers of the HECM loans do not qualify for sale accounting, and therefore, we account for these transfers as financings. Under this accounting treatment, the HECM loans are classified as Loans held for investment - Reverse mortgages, at fair value, on our Unaudited Consolidated Balance Sheets. We record the proceeds from the transfer of assets as secured borrowings (HMBS-related borrowings) in Financing liabilities and recognize no gain or loss on the transfer. Holders of participating interests in the HMBS have no recourse against the assets of Ocwen, except with respect to standard representations and warranties and our contractual obligation to service the HECM loans and the HMBS.</w:t>
      </w:r>
    </w:p>
    <w:p>
      <w:pPr>
        <w:spacing w:after="0" w:line="70"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We measure the HECM loans and HMBS-related borrowings at fair value on a recurring basis. The changes in fair value of the HECM loans and HMBS-related borrowings are included in Other revenues in our Unaudited Consolidated Statements of Operations. Included in net fair value gains on the HECM loans and related HMBS borrowings are the interest income that we expect to be collected on the HECM loans and the interest expense that we expect to be paid on the HMBS-related borrowings.</w:t>
      </w:r>
    </w:p>
    <w:p>
      <w:pPr>
        <w:spacing w:after="0" w:line="79" w:lineRule="exact"/>
        <w:rPr>
          <w:sz w:val="20"/>
          <w:szCs w:val="20"/>
          <w:color w:val="auto"/>
        </w:rPr>
      </w:pPr>
    </w:p>
    <w:p>
      <w:pPr>
        <w:jc w:val="both"/>
        <w:ind w:right="240" w:firstLine="324"/>
        <w:spacing w:after="0" w:line="264" w:lineRule="auto"/>
        <w:rPr>
          <w:sz w:val="20"/>
          <w:szCs w:val="20"/>
          <w:color w:val="auto"/>
        </w:rPr>
      </w:pPr>
      <w:r>
        <w:rPr>
          <w:rFonts w:ascii="Arial" w:cs="Arial" w:eastAsia="Arial" w:hAnsi="Arial"/>
          <w:sz w:val="18"/>
          <w:szCs w:val="18"/>
          <w:color w:val="auto"/>
        </w:rPr>
        <w:t>At June 30, 2016, HMBS-related borrowings of $2.9 billion were outstanding. The amount of HECM loans pledged as collateral to the pools was $3.0 billion at June 30, 2016. At June 30, 2016, Loans held for investment - Reverse mortgages, at fair value of $3.1 billion included $86.2 million of originated loans which had not yet been pledged as collateral.</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Financings of Advances on Loans Serviced for Others</w:t>
      </w:r>
    </w:p>
    <w:p>
      <w:pPr>
        <w:spacing w:after="0" w:line="121"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Match funded advances on loans serviced for others result from our transfers of residential loan servicing advances to SPEs in exchange for cash. We consolidate these SPEs because we have determined that Ocwen is the primary beneficiary of the SPE. These SPEs issue debt supported by collections on the transferred advances, and we refer to this debt as Match funded liabilities.</w:t>
      </w:r>
    </w:p>
    <w:p>
      <w:pPr>
        <w:spacing w:after="0" w:line="73"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We make the transfers to these SPEs under the terms of our advance financing facility agreements. We classify the transferred advances on our Unaudited Consolidated Balance Sheets as Match funded advances and the related liabilities as Match funded liabilities. The SPEs use collections of the pledged advances to repay principal and interest and to pay the expenses of the SPE. Holders of the debt issued by these entities have recourse only to the assets of the SPE for satisfaction of the debt. The assets and liabilities of the advance financing SPEs are comprised solely of Match funded advances, Debt service accounts, Match funded liabilities and amounts due to affiliates. Amounts due to affiliates are eliminated in consolidation in our Unaudited Consolidated Balance Sheets.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Fair Value</w:t>
      </w:r>
    </w:p>
    <w:p>
      <w:pPr>
        <w:spacing w:after="0" w:line="121"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Fair value is estimated based on a hierarchy that maximizes the use of observable inputs and minimizes the use of unobservable inputs. Observable inputs are inputs that reflect the assumptions that market participants would use in pricing the asset or liability developed based on market data obtained from sources independent of the reporting entity. Unobservable inputs are inputs that reflect the reporting entity’s own assumptions about the assumptions market participants would use in pricing the asset or liability developed based on the best information available in the circumstances. The fair value hierarchy prioritizes the inputs to valuation techniques into three broad levels whereby the highest priority is given to Level 1 inputs and the lowest to Level 3 inputs.</w:t>
      </w:r>
    </w:p>
    <w:p>
      <w:pPr>
        <w:spacing w:after="0" w:line="50" w:lineRule="exact"/>
        <w:rPr>
          <w:sz w:val="20"/>
          <w:szCs w:val="20"/>
          <w:color w:val="auto"/>
        </w:rPr>
      </w:pPr>
    </w:p>
    <w:p>
      <w:pPr>
        <w:ind w:left="340"/>
        <w:spacing w:after="0"/>
        <w:tabs>
          <w:tab w:leader="none" w:pos="112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Quoted prices (unadjusted) in active markets for identical assets or liabilities that the reporting entity can access at the measurement date.</w:t>
      </w:r>
    </w:p>
    <w:p>
      <w:pPr>
        <w:spacing w:after="0" w:line="23" w:lineRule="exact"/>
        <w:rPr>
          <w:sz w:val="20"/>
          <w:szCs w:val="20"/>
          <w:color w:val="auto"/>
        </w:rPr>
      </w:pPr>
    </w:p>
    <w:p>
      <w:pPr>
        <w:ind w:left="340"/>
        <w:spacing w:after="0"/>
        <w:tabs>
          <w:tab w:leader="none" w:pos="112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Inputs other than quoted prices included in Level 1 that are observable for the asset or liability, either directly or indirectly.</w:t>
      </w:r>
    </w:p>
    <w:p>
      <w:pPr>
        <w:spacing w:after="0" w:line="9" w:lineRule="exact"/>
        <w:rPr>
          <w:sz w:val="20"/>
          <w:szCs w:val="20"/>
          <w:color w:val="auto"/>
        </w:rPr>
      </w:pPr>
    </w:p>
    <w:p>
      <w:pPr>
        <w:ind w:left="340"/>
        <w:spacing w:after="0"/>
        <w:tabs>
          <w:tab w:leader="none" w:pos="112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Unobservable inputs for the asset or liability.</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classify assets in their entirety based on the lowest level of input that is significant to the fair value measurement.</w:t>
      </w:r>
    </w:p>
    <w:p>
      <w:pPr>
        <w:spacing w:after="0" w:line="117"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The carrying amounts and the estimated fair values of our financial instruments and certain of our nonfinancial assets measured at fair value on a recurring or non-recurring basis or disclosed, but not carried, at fair value are as follows at the dates indicated: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380" w:type="dxa"/>
            <w:vAlign w:val="bottom"/>
            <w:gridSpan w:val="5"/>
          </w:tcPr>
          <w:p>
            <w:pPr>
              <w:ind w:left="460"/>
              <w:spacing w:after="0"/>
              <w:rPr>
                <w:sz w:val="20"/>
                <w:szCs w:val="20"/>
                <w:color w:val="auto"/>
              </w:rPr>
            </w:pPr>
            <w:r>
              <w:rPr>
                <w:rFonts w:ascii="Arial" w:cs="Arial" w:eastAsia="Arial" w:hAnsi="Arial"/>
                <w:sz w:val="18"/>
                <w:szCs w:val="18"/>
                <w:b w:val="1"/>
                <w:bCs w:val="1"/>
                <w:color w:val="auto"/>
              </w:rPr>
              <w:t>June 30, 2016</w:t>
            </w:r>
          </w:p>
        </w:tc>
        <w:tc>
          <w:tcPr>
            <w:tcW w:w="340" w:type="dxa"/>
            <w:vAlign w:val="bottom"/>
          </w:tcPr>
          <w:p>
            <w:pPr>
              <w:spacing w:after="0"/>
              <w:rPr>
                <w:sz w:val="20"/>
                <w:szCs w:val="20"/>
                <w:color w:val="auto"/>
              </w:rPr>
            </w:pPr>
          </w:p>
        </w:tc>
        <w:tc>
          <w:tcPr>
            <w:tcW w:w="228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December 31, 2015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Level</w:t>
            </w:r>
          </w:p>
        </w:tc>
        <w:tc>
          <w:tcPr>
            <w:tcW w:w="1360" w:type="dxa"/>
            <w:vAlign w:val="bottom"/>
            <w:gridSpan w:val="3"/>
          </w:tcPr>
          <w:p>
            <w:pPr>
              <w:ind w:left="20"/>
              <w:spacing w:after="0"/>
              <w:rPr>
                <w:sz w:val="20"/>
                <w:szCs w:val="20"/>
                <w:color w:val="auto"/>
              </w:rPr>
            </w:pPr>
            <w:r>
              <w:rPr>
                <w:rFonts w:ascii="Arial" w:cs="Arial" w:eastAsia="Arial" w:hAnsi="Arial"/>
                <w:sz w:val="18"/>
                <w:szCs w:val="18"/>
                <w:b w:val="1"/>
                <w:bCs w:val="1"/>
                <w:color w:val="auto"/>
              </w:rPr>
              <w:t>Carrying Value</w:t>
            </w:r>
          </w:p>
        </w:tc>
        <w:tc>
          <w:tcPr>
            <w:tcW w:w="16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b w:val="1"/>
                <w:bCs w:val="1"/>
                <w:color w:val="auto"/>
              </w:rPr>
              <w:t>Fair Value</w:t>
            </w:r>
          </w:p>
        </w:tc>
        <w:tc>
          <w:tcPr>
            <w:tcW w:w="1360" w:type="dxa"/>
            <w:vAlign w:val="bottom"/>
            <w:gridSpan w:val="3"/>
          </w:tcPr>
          <w:p>
            <w:pPr>
              <w:ind w:left="40"/>
              <w:spacing w:after="0"/>
              <w:rPr>
                <w:sz w:val="20"/>
                <w:szCs w:val="20"/>
                <w:color w:val="auto"/>
              </w:rPr>
            </w:pPr>
            <w:r>
              <w:rPr>
                <w:rFonts w:ascii="Arial" w:cs="Arial" w:eastAsia="Arial" w:hAnsi="Arial"/>
                <w:sz w:val="18"/>
                <w:szCs w:val="18"/>
                <w:b w:val="1"/>
                <w:bCs w:val="1"/>
                <w:color w:val="auto"/>
              </w:rPr>
              <w:t>Carrying Value</w:t>
            </w:r>
          </w:p>
        </w:tc>
        <w:tc>
          <w:tcPr>
            <w:tcW w:w="180" w:type="dxa"/>
            <w:vAlign w:val="bottom"/>
          </w:tcPr>
          <w:p>
            <w:pPr>
              <w:spacing w:after="0"/>
              <w:rPr>
                <w:sz w:val="20"/>
                <w:szCs w:val="20"/>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w w:val="97"/>
              </w:rPr>
              <w:t>Fair Value</w:t>
            </w:r>
          </w:p>
        </w:tc>
        <w:tc>
          <w:tcPr>
            <w:tcW w:w="0" w:type="dxa"/>
            <w:vAlign w:val="bottom"/>
          </w:tcPr>
          <w:p>
            <w:pPr>
              <w:spacing w:after="0"/>
              <w:rPr>
                <w:sz w:val="1"/>
                <w:szCs w:val="1"/>
                <w:color w:val="auto"/>
              </w:rPr>
            </w:pPr>
          </w:p>
        </w:tc>
      </w:tr>
      <w:tr>
        <w:trPr>
          <w:trHeight w:val="27"/>
        </w:trPr>
        <w:tc>
          <w:tcPr>
            <w:tcW w:w="5160" w:type="dxa"/>
            <w:vAlign w:val="bottom"/>
            <w:tcBorders>
              <w:bottom w:val="single" w:sz="8" w:color="EAF9E8"/>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Financial assets:</w:t>
            </w:r>
          </w:p>
        </w:tc>
        <w:tc>
          <w:tcPr>
            <w:tcW w:w="8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9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Loans held for sale:</w:t>
            </w: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Loans held for sale, at fair value (a)</w:t>
            </w:r>
          </w:p>
        </w:tc>
        <w:tc>
          <w:tcPr>
            <w:tcW w:w="8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339,687</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339,687</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309,054</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309,054</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Loans held for sale, at lower of cost or fair value (b)</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62,103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62,103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104,992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104,992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800" w:type="dxa"/>
            <w:vAlign w:val="bottom"/>
            <w:vMerge w:val="restart"/>
          </w:tcPr>
          <w:p>
            <w:pPr>
              <w:jc w:val="right"/>
              <w:ind w:right="7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53"/>
        </w:trPr>
        <w:tc>
          <w:tcPr>
            <w:tcW w:w="5160" w:type="dxa"/>
            <w:vAlign w:val="bottom"/>
          </w:tcPr>
          <w:p>
            <w:pPr>
              <w:spacing w:after="0"/>
              <w:rPr>
                <w:sz w:val="24"/>
                <w:szCs w:val="24"/>
                <w:color w:val="auto"/>
              </w:rPr>
            </w:pPr>
          </w:p>
        </w:tc>
        <w:tc>
          <w:tcPr>
            <w:tcW w:w="8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2" w:right="2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60" w:type="dxa"/>
            <w:vAlign w:val="bottom"/>
            <w:gridSpan w:val="5"/>
          </w:tcPr>
          <w:p>
            <w:pPr>
              <w:ind w:left="540"/>
              <w:spacing w:after="0"/>
              <w:rPr>
                <w:sz w:val="20"/>
                <w:szCs w:val="20"/>
                <w:color w:val="auto"/>
              </w:rPr>
            </w:pPr>
            <w:r>
              <w:rPr>
                <w:rFonts w:ascii="Arial" w:cs="Arial" w:eastAsia="Arial" w:hAnsi="Arial"/>
                <w:sz w:val="18"/>
                <w:szCs w:val="18"/>
                <w:b w:val="1"/>
                <w:bCs w:val="1"/>
                <w:color w:val="auto"/>
              </w:rPr>
              <w:t>June 30, 2016</w:t>
            </w:r>
          </w:p>
        </w:tc>
        <w:tc>
          <w:tcPr>
            <w:tcW w:w="280" w:type="dxa"/>
            <w:vAlign w:val="bottom"/>
          </w:tcPr>
          <w:p>
            <w:pPr>
              <w:spacing w:after="0"/>
              <w:rPr>
                <w:sz w:val="20"/>
                <w:szCs w:val="20"/>
                <w:color w:val="auto"/>
              </w:rPr>
            </w:pPr>
          </w:p>
        </w:tc>
        <w:tc>
          <w:tcPr>
            <w:tcW w:w="234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December 31, 2015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Level</w:t>
            </w:r>
          </w:p>
        </w:tc>
        <w:tc>
          <w:tcPr>
            <w:tcW w:w="1360" w:type="dxa"/>
            <w:vAlign w:val="bottom"/>
            <w:gridSpan w:val="3"/>
          </w:tcPr>
          <w:p>
            <w:pPr>
              <w:ind w:left="20"/>
              <w:spacing w:after="0"/>
              <w:rPr>
                <w:sz w:val="20"/>
                <w:szCs w:val="20"/>
                <w:color w:val="auto"/>
              </w:rPr>
            </w:pPr>
            <w:r>
              <w:rPr>
                <w:rFonts w:ascii="Arial" w:cs="Arial" w:eastAsia="Arial" w:hAnsi="Arial"/>
                <w:sz w:val="18"/>
                <w:szCs w:val="18"/>
                <w:b w:val="1"/>
                <w:bCs w:val="1"/>
                <w:color w:val="auto"/>
              </w:rPr>
              <w:t>Carrying Value</w:t>
            </w:r>
          </w:p>
        </w:tc>
        <w:tc>
          <w:tcPr>
            <w:tcW w:w="16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b w:val="1"/>
                <w:bCs w:val="1"/>
                <w:color w:val="auto"/>
              </w:rPr>
              <w:t>Fair Value</w:t>
            </w:r>
          </w:p>
        </w:tc>
        <w:tc>
          <w:tcPr>
            <w:tcW w:w="1360" w:type="dxa"/>
            <w:vAlign w:val="bottom"/>
            <w:gridSpan w:val="3"/>
          </w:tcPr>
          <w:p>
            <w:pPr>
              <w:ind w:left="40"/>
              <w:spacing w:after="0"/>
              <w:rPr>
                <w:sz w:val="20"/>
                <w:szCs w:val="20"/>
                <w:color w:val="auto"/>
              </w:rPr>
            </w:pPr>
            <w:r>
              <w:rPr>
                <w:rFonts w:ascii="Arial" w:cs="Arial" w:eastAsia="Arial" w:hAnsi="Arial"/>
                <w:sz w:val="18"/>
                <w:szCs w:val="18"/>
                <w:b w:val="1"/>
                <w:bCs w:val="1"/>
                <w:color w:val="auto"/>
              </w:rPr>
              <w:t>Carrying Value</w:t>
            </w:r>
          </w:p>
        </w:tc>
        <w:tc>
          <w:tcPr>
            <w:tcW w:w="180" w:type="dxa"/>
            <w:vAlign w:val="bottom"/>
          </w:tcPr>
          <w:p>
            <w:pPr>
              <w:spacing w:after="0"/>
              <w:rPr>
                <w:sz w:val="20"/>
                <w:szCs w:val="20"/>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w w:val="97"/>
              </w:rPr>
              <w:t>Fair Value</w:t>
            </w:r>
          </w:p>
        </w:tc>
        <w:tc>
          <w:tcPr>
            <w:tcW w:w="0" w:type="dxa"/>
            <w:vAlign w:val="bottom"/>
          </w:tcPr>
          <w:p>
            <w:pPr>
              <w:spacing w:after="0"/>
              <w:rPr>
                <w:sz w:val="1"/>
                <w:szCs w:val="1"/>
                <w:color w:val="auto"/>
              </w:rPr>
            </w:pPr>
          </w:p>
        </w:tc>
      </w:tr>
      <w:tr>
        <w:trPr>
          <w:trHeight w:val="27"/>
        </w:trPr>
        <w:tc>
          <w:tcPr>
            <w:tcW w:w="5160" w:type="dxa"/>
            <w:vAlign w:val="bottom"/>
            <w:tcBorders>
              <w:bottom w:val="single" w:sz="8" w:color="EAF9E8"/>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rPr>
              <w:t>Total Loans held for sale</w:t>
            </w:r>
          </w:p>
        </w:tc>
        <w:tc>
          <w:tcPr>
            <w:tcW w:w="80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401,790</w:t>
            </w:r>
          </w:p>
        </w:tc>
        <w:tc>
          <w:tcPr>
            <w:tcW w:w="12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401,790</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414,046</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414,046</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160" w:type="dxa"/>
            <w:vAlign w:val="bottom"/>
          </w:tcPr>
          <w:p>
            <w:pPr>
              <w:ind w:left="180"/>
              <w:spacing w:after="0"/>
              <w:rPr>
                <w:sz w:val="20"/>
                <w:szCs w:val="20"/>
                <w:color w:val="auto"/>
              </w:rPr>
            </w:pPr>
            <w:r>
              <w:rPr>
                <w:rFonts w:ascii="Arial" w:cs="Arial" w:eastAsia="Arial" w:hAnsi="Arial"/>
                <w:sz w:val="18"/>
                <w:szCs w:val="18"/>
                <w:color w:val="auto"/>
                <w:w w:val="97"/>
              </w:rPr>
              <w:t>Loans held for investment - Reverse mortgages, at fair value (a)</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Pr>
          <w:p>
            <w:pPr>
              <w:spacing w:after="0"/>
              <w:rPr>
                <w:sz w:val="20"/>
                <w:szCs w:val="20"/>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3,057,564</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3,057,564</w:t>
            </w:r>
          </w:p>
        </w:tc>
        <w:tc>
          <w:tcPr>
            <w:tcW w:w="100" w:type="dxa"/>
            <w:vAlign w:val="bottom"/>
          </w:tcPr>
          <w:p>
            <w:pPr>
              <w:spacing w:after="0"/>
              <w:rPr>
                <w:sz w:val="20"/>
                <w:szCs w:val="20"/>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2,488,253</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2,488,253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Advances and match funded advances (c)</w:t>
            </w:r>
          </w:p>
        </w:tc>
        <w:tc>
          <w:tcPr>
            <w:tcW w:w="8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1,943,675</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1,943,675</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2,151,066</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2,151,066</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Receivables, net (c)</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307,372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307,372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286,981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286,981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Mortgage-backed securities, at fair value (a)</w:t>
            </w:r>
          </w:p>
        </w:tc>
        <w:tc>
          <w:tcPr>
            <w:tcW w:w="8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9,063</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9,063</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7,985</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7,985</w:t>
            </w:r>
          </w:p>
        </w:tc>
        <w:tc>
          <w:tcPr>
            <w:tcW w:w="0" w:type="dxa"/>
            <w:vAlign w:val="bottom"/>
          </w:tcPr>
          <w:p>
            <w:pPr>
              <w:spacing w:after="0"/>
              <w:rPr>
                <w:sz w:val="1"/>
                <w:szCs w:val="1"/>
                <w:color w:val="auto"/>
              </w:rPr>
            </w:pPr>
          </w:p>
        </w:tc>
      </w:tr>
      <w:tr>
        <w:trPr>
          <w:trHeight w:val="324"/>
        </w:trPr>
        <w:tc>
          <w:tcPr>
            <w:tcW w:w="5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Financial liabilities:</w:t>
            </w:r>
          </w:p>
        </w:tc>
        <w:tc>
          <w:tcPr>
            <w:tcW w:w="8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Match funded liabilities (c)</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1,431,381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1,432,592</w:t>
            </w:r>
          </w:p>
        </w:tc>
        <w:tc>
          <w:tcPr>
            <w:tcW w:w="100" w:type="dxa"/>
            <w:vAlign w:val="bottom"/>
          </w:tcPr>
          <w:p>
            <w:pPr>
              <w:spacing w:after="0"/>
              <w:rPr>
                <w:sz w:val="21"/>
                <w:szCs w:val="21"/>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1,584,049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1,581,786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Financing liabilities:</w:t>
            </w:r>
          </w:p>
        </w:tc>
        <w:tc>
          <w:tcPr>
            <w:tcW w:w="8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HMBS-related borrowings, at fair value (a)</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2,935,928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2,935,928</w:t>
            </w:r>
          </w:p>
        </w:tc>
        <w:tc>
          <w:tcPr>
            <w:tcW w:w="100" w:type="dxa"/>
            <w:vAlign w:val="bottom"/>
          </w:tcPr>
          <w:p>
            <w:pPr>
              <w:spacing w:after="0"/>
              <w:rPr>
                <w:sz w:val="21"/>
                <w:szCs w:val="21"/>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2,391,362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2,391,362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Financing liability - MSRs pledged (a)</w:t>
            </w:r>
          </w:p>
        </w:tc>
        <w:tc>
          <w:tcPr>
            <w:tcW w:w="8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495,126</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495,126</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541,704</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541,704</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Other (c)</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136,963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104,925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156,189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131,940</w:t>
            </w:r>
          </w:p>
        </w:tc>
        <w:tc>
          <w:tcPr>
            <w:tcW w:w="0" w:type="dxa"/>
            <w:vAlign w:val="bottom"/>
          </w:tcPr>
          <w:p>
            <w:pPr>
              <w:spacing w:after="0"/>
              <w:rPr>
                <w:sz w:val="1"/>
                <w:szCs w:val="1"/>
                <w:color w:val="auto"/>
              </w:rPr>
            </w:pPr>
          </w:p>
        </w:tc>
      </w:tr>
      <w:tr>
        <w:trPr>
          <w:trHeight w:val="27"/>
        </w:trPr>
        <w:tc>
          <w:tcPr>
            <w:tcW w:w="5160" w:type="dxa"/>
            <w:vAlign w:val="bottom"/>
            <w:tcBorders>
              <w:bottom w:val="single" w:sz="8" w:color="EAF9E8"/>
            </w:tcBorders>
          </w:tcPr>
          <w:p>
            <w:pPr>
              <w:spacing w:after="0"/>
              <w:rPr>
                <w:sz w:val="2"/>
                <w:szCs w:val="2"/>
                <w:color w:val="auto"/>
              </w:rPr>
            </w:pPr>
          </w:p>
        </w:tc>
        <w:tc>
          <w:tcPr>
            <w:tcW w:w="80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rPr>
              <w:t>Total Financing liabilities</w:t>
            </w:r>
          </w:p>
        </w:tc>
        <w:tc>
          <w:tcPr>
            <w:tcW w:w="80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3,568,017</w:t>
            </w:r>
          </w:p>
        </w:tc>
        <w:tc>
          <w:tcPr>
            <w:tcW w:w="12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3,535,979</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3,089,255</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3,065,006</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180"/>
              <w:spacing w:after="0"/>
              <w:rPr>
                <w:sz w:val="20"/>
                <w:szCs w:val="20"/>
                <w:color w:val="auto"/>
              </w:rPr>
            </w:pPr>
            <w:r>
              <w:rPr>
                <w:rFonts w:ascii="Arial" w:cs="Arial" w:eastAsia="Arial" w:hAnsi="Arial"/>
                <w:sz w:val="18"/>
                <w:szCs w:val="18"/>
                <w:color w:val="auto"/>
              </w:rPr>
              <w:t>Other secured borrowings:</w:t>
            </w: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160" w:type="dxa"/>
            <w:vAlign w:val="bottom"/>
            <w:vMerge w:val="continue"/>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Senior secured term loan (c)(d)</w:t>
            </w:r>
          </w:p>
        </w:tc>
        <w:tc>
          <w:tcPr>
            <w:tcW w:w="8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351,703</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367,719</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377,091</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397,956</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Other (c)</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385,809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385,809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385,320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385,320</w:t>
            </w:r>
          </w:p>
        </w:tc>
        <w:tc>
          <w:tcPr>
            <w:tcW w:w="0" w:type="dxa"/>
            <w:vAlign w:val="bottom"/>
          </w:tcPr>
          <w:p>
            <w:pPr>
              <w:spacing w:after="0"/>
              <w:rPr>
                <w:sz w:val="1"/>
                <w:szCs w:val="1"/>
                <w:color w:val="auto"/>
              </w:rPr>
            </w:pPr>
          </w:p>
        </w:tc>
      </w:tr>
      <w:tr>
        <w:trPr>
          <w:trHeight w:val="27"/>
        </w:trPr>
        <w:tc>
          <w:tcPr>
            <w:tcW w:w="5160" w:type="dxa"/>
            <w:vAlign w:val="bottom"/>
            <w:tcBorders>
              <w:bottom w:val="single" w:sz="8" w:color="EAF9E8"/>
            </w:tcBorders>
          </w:tcPr>
          <w:p>
            <w:pPr>
              <w:spacing w:after="0"/>
              <w:rPr>
                <w:sz w:val="2"/>
                <w:szCs w:val="2"/>
                <w:color w:val="auto"/>
              </w:rPr>
            </w:pPr>
          </w:p>
        </w:tc>
        <w:tc>
          <w:tcPr>
            <w:tcW w:w="80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rPr>
              <w:t>Total Other secured borrowings</w:t>
            </w:r>
          </w:p>
        </w:tc>
        <w:tc>
          <w:tcPr>
            <w:tcW w:w="80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737,512</w:t>
            </w:r>
          </w:p>
        </w:tc>
        <w:tc>
          <w:tcPr>
            <w:tcW w:w="12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753,528</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762,411</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783,276</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Senior unsecured notes (c)(d)</w:t>
            </w:r>
          </w:p>
        </w:tc>
        <w:tc>
          <w:tcPr>
            <w:tcW w:w="8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346,179</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238,000</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345,511</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318,063</w:t>
            </w:r>
          </w:p>
        </w:tc>
        <w:tc>
          <w:tcPr>
            <w:tcW w:w="0" w:type="dxa"/>
            <w:vAlign w:val="bottom"/>
          </w:tcPr>
          <w:p>
            <w:pPr>
              <w:spacing w:after="0"/>
              <w:rPr>
                <w:sz w:val="1"/>
                <w:szCs w:val="1"/>
                <w:color w:val="auto"/>
              </w:rPr>
            </w:pPr>
          </w:p>
        </w:tc>
      </w:tr>
      <w:tr>
        <w:trPr>
          <w:trHeight w:val="324"/>
        </w:trPr>
        <w:tc>
          <w:tcPr>
            <w:tcW w:w="5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Derivative financial instruments assets (liabilities) (a):</w:t>
            </w:r>
          </w:p>
        </w:tc>
        <w:tc>
          <w:tcPr>
            <w:tcW w:w="8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Interest rate lock commitments</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14,576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14,576</w:t>
            </w:r>
          </w:p>
        </w:tc>
        <w:tc>
          <w:tcPr>
            <w:tcW w:w="100" w:type="dxa"/>
            <w:vAlign w:val="bottom"/>
          </w:tcPr>
          <w:p>
            <w:pPr>
              <w:spacing w:after="0"/>
              <w:rPr>
                <w:sz w:val="21"/>
                <w:szCs w:val="21"/>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6,080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6,080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Forward mortgage-backed securities trades</w:t>
            </w:r>
          </w:p>
        </w:tc>
        <w:tc>
          <w:tcPr>
            <w:tcW w:w="8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79"/>
              </w:rPr>
              <w:t>1</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(7,365)</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(7,365)</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295</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Interest rate caps</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2,042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2,042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5160" w:type="dxa"/>
            <w:vAlign w:val="bottom"/>
            <w:shd w:val="clear" w:color="auto" w:fill="EAF9E8"/>
          </w:tcPr>
          <w:p>
            <w:pPr>
              <w:spacing w:after="0"/>
              <w:rPr>
                <w:sz w:val="24"/>
                <w:szCs w:val="24"/>
                <w:color w:val="auto"/>
              </w:rPr>
            </w:pPr>
          </w:p>
        </w:tc>
        <w:tc>
          <w:tcPr>
            <w:tcW w:w="8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6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08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Mortgage servicing rights:</w:t>
            </w: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Mortgage servicing rights, at fair value (a)</w:t>
            </w:r>
          </w:p>
        </w:tc>
        <w:tc>
          <w:tcPr>
            <w:tcW w:w="8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700,668</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700,668</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761,190</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761,190</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Mortgage servicing rights, at amortized cost (c)(e)</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346,474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367,951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377,379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461,555</w:t>
            </w:r>
          </w:p>
        </w:tc>
        <w:tc>
          <w:tcPr>
            <w:tcW w:w="0" w:type="dxa"/>
            <w:vAlign w:val="bottom"/>
          </w:tcPr>
          <w:p>
            <w:pPr>
              <w:spacing w:after="0"/>
              <w:rPr>
                <w:sz w:val="1"/>
                <w:szCs w:val="1"/>
                <w:color w:val="auto"/>
              </w:rPr>
            </w:pPr>
          </w:p>
        </w:tc>
      </w:tr>
      <w:tr>
        <w:trPr>
          <w:trHeight w:val="27"/>
        </w:trPr>
        <w:tc>
          <w:tcPr>
            <w:tcW w:w="5160" w:type="dxa"/>
            <w:vAlign w:val="bottom"/>
            <w:tcBorders>
              <w:bottom w:val="single" w:sz="8" w:color="EAF9E8"/>
            </w:tcBorders>
          </w:tcPr>
          <w:p>
            <w:pPr>
              <w:spacing w:after="0"/>
              <w:rPr>
                <w:sz w:val="2"/>
                <w:szCs w:val="2"/>
                <w:color w:val="auto"/>
              </w:rPr>
            </w:pPr>
          </w:p>
        </w:tc>
        <w:tc>
          <w:tcPr>
            <w:tcW w:w="80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 Mortgage servicing rights</w:t>
            </w:r>
          </w:p>
        </w:tc>
        <w:tc>
          <w:tcPr>
            <w:tcW w:w="80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1,047,142</w:t>
            </w:r>
          </w:p>
        </w:tc>
        <w:tc>
          <w:tcPr>
            <w:tcW w:w="12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1,068,619</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1,138,569</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1,222,745</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ind w:left="500" w:hanging="492"/>
        <w:spacing w:after="0"/>
        <w:tabs>
          <w:tab w:leader="none" w:pos="500" w:val="left"/>
        </w:tabs>
        <w:numPr>
          <w:ilvl w:val="0"/>
          <w:numId w:val="6"/>
        </w:numPr>
        <w:rPr>
          <w:rFonts w:ascii="Arial" w:cs="Arial" w:eastAsia="Arial" w:hAnsi="Arial"/>
          <w:sz w:val="16"/>
          <w:szCs w:val="16"/>
          <w:color w:val="auto"/>
        </w:rPr>
      </w:pPr>
      <w:r>
        <w:rPr>
          <w:rFonts w:ascii="Arial" w:cs="Arial" w:eastAsia="Arial" w:hAnsi="Arial"/>
          <w:sz w:val="16"/>
          <w:szCs w:val="16"/>
          <w:color w:val="auto"/>
        </w:rPr>
        <w:t>Measured at fair value on a recurring basis.</w:t>
      </w:r>
    </w:p>
    <w:p>
      <w:pPr>
        <w:spacing w:after="0" w:line="19" w:lineRule="exact"/>
        <w:rPr>
          <w:rFonts w:ascii="Arial" w:cs="Arial" w:eastAsia="Arial" w:hAnsi="Arial"/>
          <w:sz w:val="16"/>
          <w:szCs w:val="16"/>
          <w:color w:val="auto"/>
        </w:rPr>
      </w:pPr>
    </w:p>
    <w:p>
      <w:pPr>
        <w:ind w:left="500" w:hanging="492"/>
        <w:spacing w:after="0"/>
        <w:tabs>
          <w:tab w:leader="none" w:pos="500" w:val="left"/>
        </w:tabs>
        <w:numPr>
          <w:ilvl w:val="0"/>
          <w:numId w:val="6"/>
        </w:numPr>
        <w:rPr>
          <w:rFonts w:ascii="Arial" w:cs="Arial" w:eastAsia="Arial" w:hAnsi="Arial"/>
          <w:sz w:val="16"/>
          <w:szCs w:val="16"/>
          <w:color w:val="auto"/>
        </w:rPr>
      </w:pPr>
      <w:r>
        <w:rPr>
          <w:rFonts w:ascii="Arial" w:cs="Arial" w:eastAsia="Arial" w:hAnsi="Arial"/>
          <w:sz w:val="16"/>
          <w:szCs w:val="16"/>
          <w:color w:val="auto"/>
        </w:rPr>
        <w:t>Measured at fair value on a non-recurring basis.</w:t>
      </w:r>
    </w:p>
    <w:p>
      <w:pPr>
        <w:spacing w:after="0" w:line="5" w:lineRule="exact"/>
        <w:rPr>
          <w:rFonts w:ascii="Arial" w:cs="Arial" w:eastAsia="Arial" w:hAnsi="Arial"/>
          <w:sz w:val="16"/>
          <w:szCs w:val="16"/>
          <w:color w:val="auto"/>
        </w:rPr>
      </w:pPr>
    </w:p>
    <w:p>
      <w:pPr>
        <w:ind w:left="500" w:hanging="492"/>
        <w:spacing w:after="0"/>
        <w:tabs>
          <w:tab w:leader="none" w:pos="500" w:val="left"/>
        </w:tabs>
        <w:numPr>
          <w:ilvl w:val="0"/>
          <w:numId w:val="6"/>
        </w:numPr>
        <w:rPr>
          <w:rFonts w:ascii="Arial" w:cs="Arial" w:eastAsia="Arial" w:hAnsi="Arial"/>
          <w:sz w:val="16"/>
          <w:szCs w:val="16"/>
          <w:color w:val="auto"/>
        </w:rPr>
      </w:pPr>
      <w:r>
        <w:rPr>
          <w:rFonts w:ascii="Arial" w:cs="Arial" w:eastAsia="Arial" w:hAnsi="Arial"/>
          <w:sz w:val="16"/>
          <w:szCs w:val="16"/>
          <w:color w:val="auto"/>
        </w:rPr>
        <w:t>Disclosed, but not carried, at fair value.</w:t>
      </w:r>
    </w:p>
    <w:p>
      <w:pPr>
        <w:spacing w:after="0" w:line="5" w:lineRule="exact"/>
        <w:rPr>
          <w:rFonts w:ascii="Arial" w:cs="Arial" w:eastAsia="Arial" w:hAnsi="Arial"/>
          <w:sz w:val="16"/>
          <w:szCs w:val="16"/>
          <w:color w:val="auto"/>
        </w:rPr>
      </w:pPr>
    </w:p>
    <w:p>
      <w:pPr>
        <w:ind w:left="500" w:hanging="492"/>
        <w:spacing w:after="0"/>
        <w:tabs>
          <w:tab w:leader="none" w:pos="5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carrying values are net of unamortized debt issuance costs and discount. See Note 11 – Borrowings for additional information</w:t>
      </w:r>
      <w:r>
        <w:rPr>
          <w:rFonts w:ascii="Arial" w:cs="Arial" w:eastAsia="Arial" w:hAnsi="Arial"/>
          <w:sz w:val="16"/>
          <w:szCs w:val="16"/>
          <w:b w:val="1"/>
          <w:bCs w:val="1"/>
          <w:color w:val="auto"/>
        </w:rPr>
        <w:t>.</w:t>
      </w:r>
    </w:p>
    <w:p>
      <w:pPr>
        <w:spacing w:after="0" w:line="5" w:lineRule="exact"/>
        <w:rPr>
          <w:rFonts w:ascii="Arial" w:cs="Arial" w:eastAsia="Arial" w:hAnsi="Arial"/>
          <w:sz w:val="16"/>
          <w:szCs w:val="16"/>
          <w:color w:val="auto"/>
        </w:rPr>
      </w:pPr>
    </w:p>
    <w:p>
      <w:pPr>
        <w:ind w:left="500" w:right="100" w:hanging="492"/>
        <w:spacing w:after="0" w:line="250" w:lineRule="auto"/>
        <w:tabs>
          <w:tab w:leader="none" w:pos="5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net carrying value at June 30, 2016 and December 31, 2015 is net of the valuation allowance on the impaired government-insured stratum of our amortization method MSRs, which is measured at fair value on a non-recurring basis. Before applying the valuation allowance of $56.4 million, the carrying value of this stratum at June 30, 2016 was $154.2 million. At December 31, 2015, the carrying value of this stratum was $146.5 million before applying the valuation allowance of $17.3 million.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742" w:right="239" w:bottom="1440" w:gutter="0" w:footer="0" w:header="0"/>
        </w:sectPr>
      </w:pPr>
    </w:p>
    <w:bookmarkStart w:id="17" w:name="page18"/>
    <w:bookmarkEnd w:id="17"/>
    <w:p>
      <w:pPr>
        <w:ind w:right="440" w:firstLine="324"/>
        <w:spacing w:after="0" w:line="277" w:lineRule="auto"/>
        <w:rPr>
          <w:sz w:val="20"/>
          <w:szCs w:val="20"/>
          <w:color w:val="auto"/>
        </w:rPr>
      </w:pPr>
      <w:r>
        <w:rPr>
          <w:rFonts w:ascii="Arial" w:cs="Arial" w:eastAsia="Arial" w:hAnsi="Arial"/>
          <w:sz w:val="18"/>
          <w:szCs w:val="18"/>
          <w:color w:val="auto"/>
        </w:rPr>
        <w:t>The following tables present a reconciliation of the changes in fair value of Level 3 assets and liabilities that we measure at fair value on a recurring basis: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42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92"/>
              </w:rPr>
              <w:t>Loans Held for</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Financing</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2"/>
              </w:rPr>
              <w:t>Investment -</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Mortgage-</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8"/>
              </w:rPr>
              <w:t>Liability -</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Reverse</w:t>
            </w:r>
          </w:p>
        </w:tc>
        <w:tc>
          <w:tcPr>
            <w:tcW w:w="1360" w:type="dxa"/>
            <w:vAlign w:val="bottom"/>
            <w:gridSpan w:val="3"/>
          </w:tcPr>
          <w:p>
            <w:pPr>
              <w:ind w:left="40"/>
              <w:spacing w:after="0"/>
              <w:rPr>
                <w:sz w:val="20"/>
                <w:szCs w:val="20"/>
                <w:color w:val="auto"/>
              </w:rPr>
            </w:pPr>
            <w:r>
              <w:rPr>
                <w:rFonts w:ascii="Arial" w:cs="Arial" w:eastAsia="Arial" w:hAnsi="Arial"/>
                <w:sz w:val="18"/>
                <w:szCs w:val="18"/>
                <w:b w:val="1"/>
                <w:bCs w:val="1"/>
                <w:color w:val="auto"/>
              </w:rPr>
              <w:t>HMBS-Related</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Backed</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MSRs</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Mortgages</w:t>
            </w:r>
          </w:p>
        </w:tc>
        <w:tc>
          <w:tcPr>
            <w:tcW w:w="14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Borrowings</w:t>
            </w:r>
          </w:p>
        </w:tc>
        <w:tc>
          <w:tcPr>
            <w:tcW w:w="14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Securities</w:t>
            </w:r>
          </w:p>
        </w:tc>
        <w:tc>
          <w:tcPr>
            <w:tcW w:w="160" w:type="dxa"/>
            <w:vAlign w:val="bottom"/>
          </w:tcPr>
          <w:p>
            <w:pPr>
              <w:spacing w:after="0"/>
              <w:rPr>
                <w:sz w:val="20"/>
                <w:szCs w:val="20"/>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Pledged</w:t>
            </w:r>
          </w:p>
        </w:tc>
        <w:tc>
          <w:tcPr>
            <w:tcW w:w="16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Derivatives</w:t>
            </w:r>
          </w:p>
        </w:tc>
        <w:tc>
          <w:tcPr>
            <w:tcW w:w="18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Arial" w:cs="Arial" w:eastAsia="Arial" w:hAnsi="Arial"/>
                <w:sz w:val="18"/>
                <w:szCs w:val="18"/>
                <w:b w:val="1"/>
                <w:bCs w:val="1"/>
                <w:color w:val="auto"/>
              </w:rPr>
              <w:t>MSRs</w:t>
            </w: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7"/>
        </w:trPr>
        <w:tc>
          <w:tcPr>
            <w:tcW w:w="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3"/>
        </w:trPr>
        <w:tc>
          <w:tcPr>
            <w:tcW w:w="3820" w:type="dxa"/>
            <w:vAlign w:val="bottom"/>
            <w:gridSpan w:val="5"/>
          </w:tcPr>
          <w:p>
            <w:pPr>
              <w:ind w:left="40"/>
              <w:spacing w:after="0" w:line="182" w:lineRule="exact"/>
              <w:rPr>
                <w:sz w:val="20"/>
                <w:szCs w:val="20"/>
                <w:color w:val="auto"/>
              </w:rPr>
            </w:pPr>
            <w:r>
              <w:rPr>
                <w:rFonts w:ascii="Arial" w:cs="Arial" w:eastAsia="Arial" w:hAnsi="Arial"/>
                <w:sz w:val="18"/>
                <w:szCs w:val="18"/>
                <w:b w:val="1"/>
                <w:bCs w:val="1"/>
                <w:color w:val="auto"/>
              </w:rPr>
              <w:t>Three months ended June 30, 2016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48"/>
        </w:trPr>
        <w:tc>
          <w:tcPr>
            <w:tcW w:w="40" w:type="dxa"/>
            <w:vAlign w:val="bottom"/>
          </w:tcPr>
          <w:p>
            <w:pPr>
              <w:spacing w:after="0"/>
              <w:rPr>
                <w:sz w:val="4"/>
                <w:szCs w:val="4"/>
                <w:color w:val="auto"/>
              </w:rPr>
            </w:pPr>
          </w:p>
        </w:tc>
        <w:tc>
          <w:tcPr>
            <w:tcW w:w="248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250"/>
        </w:trPr>
        <w:tc>
          <w:tcPr>
            <w:tcW w:w="252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w:t>
            </w: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gridSpan w:val="2"/>
            <w:shd w:val="clear" w:color="auto" w:fill="EAF9E8"/>
          </w:tcPr>
          <w:p>
            <w:pPr>
              <w:jc w:val="right"/>
              <w:ind w:right="30"/>
              <w:spacing w:after="0"/>
              <w:rPr>
                <w:sz w:val="20"/>
                <w:szCs w:val="20"/>
                <w:color w:val="auto"/>
              </w:rPr>
            </w:pPr>
            <w:r>
              <w:rPr>
                <w:rFonts w:ascii="Arial" w:cs="Arial" w:eastAsia="Arial" w:hAnsi="Arial"/>
                <w:sz w:val="18"/>
                <w:szCs w:val="18"/>
                <w:color w:val="auto"/>
              </w:rPr>
              <w:t>2,771,242</w:t>
            </w: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(2,648,100)</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8,386</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(523,503)</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570</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732,174</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340,769</w:t>
            </w:r>
          </w:p>
        </w:tc>
      </w:tr>
      <w:tr>
        <w:trPr>
          <w:trHeight w:val="229"/>
        </w:trPr>
        <w:tc>
          <w:tcPr>
            <w:tcW w:w="2520" w:type="dxa"/>
            <w:vAlign w:val="bottom"/>
            <w:gridSpan w:val="2"/>
          </w:tcPr>
          <w:p>
            <w:pPr>
              <w:ind w:left="40"/>
              <w:spacing w:after="0"/>
              <w:rPr>
                <w:sz w:val="20"/>
                <w:szCs w:val="20"/>
                <w:color w:val="auto"/>
              </w:rPr>
            </w:pPr>
            <w:r>
              <w:rPr>
                <w:rFonts w:ascii="Arial" w:cs="Arial" w:eastAsia="Arial" w:hAnsi="Arial"/>
                <w:sz w:val="18"/>
                <w:szCs w:val="18"/>
                <w:color w:val="auto"/>
                <w:w w:val="93"/>
              </w:rPr>
              <w:t>Purchases, issuances, sales and</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2480" w:type="dxa"/>
            <w:vAlign w:val="bottom"/>
          </w:tcPr>
          <w:p>
            <w:pPr>
              <w:ind w:left="160"/>
              <w:spacing w:after="0"/>
              <w:rPr>
                <w:sz w:val="20"/>
                <w:szCs w:val="20"/>
                <w:color w:val="auto"/>
              </w:rPr>
            </w:pPr>
            <w:r>
              <w:rPr>
                <w:rFonts w:ascii="Arial" w:cs="Arial" w:eastAsia="Arial" w:hAnsi="Arial"/>
                <w:sz w:val="18"/>
                <w:szCs w:val="18"/>
                <w:color w:val="auto"/>
              </w:rPr>
              <w:t>settlements:</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2480" w:type="dxa"/>
            <w:vAlign w:val="bottom"/>
            <w:tcBorders>
              <w:bottom w:val="single" w:sz="8" w:color="EAF9E8"/>
            </w:tcBorders>
            <w:shd w:val="clear" w:color="auto" w:fill="EAF9E8"/>
          </w:tcPr>
          <w:p>
            <w:pPr>
              <w:ind w:left="240"/>
              <w:spacing w:after="0"/>
              <w:rPr>
                <w:sz w:val="20"/>
                <w:szCs w:val="20"/>
                <w:color w:val="auto"/>
              </w:rPr>
            </w:pPr>
            <w:r>
              <w:rPr>
                <w:rFonts w:ascii="Arial" w:cs="Arial" w:eastAsia="Arial" w:hAnsi="Arial"/>
                <w:sz w:val="18"/>
                <w:szCs w:val="18"/>
                <w:color w:val="auto"/>
              </w:rPr>
              <w:t>Purchases</w:t>
            </w:r>
          </w:p>
        </w:tc>
        <w:tc>
          <w:tcPr>
            <w:tcW w:w="140" w:type="dxa"/>
            <w:vAlign w:val="bottom"/>
            <w:tcBorders>
              <w:bottom w:val="single" w:sz="8" w:color="EAF9E8"/>
            </w:tcBorders>
            <w:shd w:val="clear" w:color="auto" w:fill="EAF9E8"/>
          </w:tcPr>
          <w:p>
            <w:pPr>
              <w:spacing w:after="0"/>
              <w:rPr>
                <w:sz w:val="21"/>
                <w:szCs w:val="21"/>
                <w:color w:val="auto"/>
              </w:rPr>
            </w:pPr>
          </w:p>
        </w:tc>
        <w:tc>
          <w:tcPr>
            <w:tcW w:w="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144</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9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144</w:t>
            </w:r>
          </w:p>
        </w:tc>
      </w:tr>
      <w:tr>
        <w:trPr>
          <w:trHeight w:val="243"/>
        </w:trPr>
        <w:tc>
          <w:tcPr>
            <w:tcW w:w="40" w:type="dxa"/>
            <w:vAlign w:val="bottom"/>
          </w:tcPr>
          <w:p>
            <w:pPr>
              <w:spacing w:after="0"/>
              <w:rPr>
                <w:sz w:val="21"/>
                <w:szCs w:val="21"/>
                <w:color w:val="auto"/>
              </w:rPr>
            </w:pPr>
          </w:p>
        </w:tc>
        <w:tc>
          <w:tcPr>
            <w:tcW w:w="2480" w:type="dxa"/>
            <w:vAlign w:val="bottom"/>
          </w:tcPr>
          <w:p>
            <w:pPr>
              <w:ind w:left="240"/>
              <w:spacing w:after="0"/>
              <w:rPr>
                <w:sz w:val="20"/>
                <w:szCs w:val="20"/>
                <w:color w:val="auto"/>
              </w:rPr>
            </w:pPr>
            <w:r>
              <w:rPr>
                <w:rFonts w:ascii="Arial" w:cs="Arial" w:eastAsia="Arial" w:hAnsi="Arial"/>
                <w:sz w:val="18"/>
                <w:szCs w:val="18"/>
                <w:color w:val="auto"/>
              </w:rPr>
              <w:t>Issuances</w:t>
            </w:r>
          </w:p>
        </w:tc>
        <w:tc>
          <w:tcPr>
            <w:tcW w:w="140" w:type="dxa"/>
            <w:vAlign w:val="bottom"/>
          </w:tcPr>
          <w:p>
            <w:pPr>
              <w:spacing w:after="0"/>
              <w:rPr>
                <w:sz w:val="21"/>
                <w:szCs w:val="21"/>
                <w:color w:val="auto"/>
              </w:rPr>
            </w:pPr>
          </w:p>
        </w:tc>
        <w:tc>
          <w:tcPr>
            <w:tcW w:w="1160" w:type="dxa"/>
            <w:vAlign w:val="bottom"/>
            <w:gridSpan w:val="2"/>
          </w:tcPr>
          <w:p>
            <w:pPr>
              <w:jc w:val="right"/>
              <w:ind w:right="30"/>
              <w:spacing w:after="0"/>
              <w:rPr>
                <w:sz w:val="20"/>
                <w:szCs w:val="20"/>
                <w:color w:val="auto"/>
              </w:rPr>
            </w:pPr>
            <w:r>
              <w:rPr>
                <w:rFonts w:ascii="Arial" w:cs="Arial" w:eastAsia="Arial" w:hAnsi="Arial"/>
                <w:sz w:val="18"/>
                <w:szCs w:val="18"/>
                <w:color w:val="auto"/>
              </w:rPr>
              <w:t>371,607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(289,807)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(1,694)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80,106</w:t>
            </w:r>
          </w:p>
        </w:tc>
      </w:tr>
      <w:tr>
        <w:trPr>
          <w:trHeight w:val="27"/>
        </w:trPr>
        <w:tc>
          <w:tcPr>
            <w:tcW w:w="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2480" w:type="dxa"/>
            <w:vAlign w:val="bottom"/>
            <w:tcBorders>
              <w:bottom w:val="single" w:sz="8" w:color="EAF9E8"/>
            </w:tcBorders>
            <w:shd w:val="clear" w:color="auto" w:fill="EAF9E8"/>
          </w:tcPr>
          <w:p>
            <w:pPr>
              <w:ind w:left="240"/>
              <w:spacing w:after="0"/>
              <w:rPr>
                <w:sz w:val="20"/>
                <w:szCs w:val="20"/>
                <w:color w:val="auto"/>
              </w:rPr>
            </w:pPr>
            <w:r>
              <w:rPr>
                <w:rFonts w:ascii="Arial" w:cs="Arial" w:eastAsia="Arial" w:hAnsi="Arial"/>
                <w:sz w:val="18"/>
                <w:szCs w:val="18"/>
                <w:color w:val="auto"/>
              </w:rPr>
              <w:t>Sales</w:t>
            </w:r>
          </w:p>
        </w:tc>
        <w:tc>
          <w:tcPr>
            <w:tcW w:w="140" w:type="dxa"/>
            <w:vAlign w:val="bottom"/>
            <w:tcBorders>
              <w:bottom w:val="single" w:sz="8" w:color="EAF9E8"/>
            </w:tcBorders>
            <w:shd w:val="clear" w:color="auto" w:fill="EAF9E8"/>
          </w:tcPr>
          <w:p>
            <w:pPr>
              <w:spacing w:after="0"/>
              <w:rPr>
                <w:sz w:val="21"/>
                <w:szCs w:val="21"/>
                <w:color w:val="auto"/>
              </w:rPr>
            </w:pPr>
          </w:p>
        </w:tc>
        <w:tc>
          <w:tcPr>
            <w:tcW w:w="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8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40" w:type="dxa"/>
            <w:vAlign w:val="bottom"/>
          </w:tcPr>
          <w:p>
            <w:pPr>
              <w:spacing w:after="0"/>
              <w:rPr>
                <w:sz w:val="21"/>
                <w:szCs w:val="21"/>
                <w:color w:val="auto"/>
              </w:rPr>
            </w:pPr>
          </w:p>
        </w:tc>
        <w:tc>
          <w:tcPr>
            <w:tcW w:w="2480" w:type="dxa"/>
            <w:vAlign w:val="bottom"/>
          </w:tcPr>
          <w:p>
            <w:pPr>
              <w:ind w:left="240"/>
              <w:spacing w:after="0"/>
              <w:rPr>
                <w:sz w:val="20"/>
                <w:szCs w:val="20"/>
                <w:color w:val="auto"/>
              </w:rPr>
            </w:pPr>
            <w:r>
              <w:rPr>
                <w:rFonts w:ascii="Arial" w:cs="Arial" w:eastAsia="Arial" w:hAnsi="Arial"/>
                <w:sz w:val="18"/>
                <w:szCs w:val="18"/>
                <w:color w:val="auto"/>
              </w:rPr>
              <w:t>Settlements</w:t>
            </w:r>
          </w:p>
        </w:tc>
        <w:tc>
          <w:tcPr>
            <w:tcW w:w="14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(151,600)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59,223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28,377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(64,000)</w:t>
            </w:r>
          </w:p>
        </w:tc>
      </w:tr>
      <w:tr>
        <w:trPr>
          <w:trHeight w:val="27"/>
        </w:trPr>
        <w:tc>
          <w:tcPr>
            <w:tcW w:w="40" w:type="dxa"/>
            <w:vAlign w:val="bottom"/>
            <w:tcBorders>
              <w:bottom w:val="single" w:sz="8" w:color="EAF9E8"/>
            </w:tcBorders>
          </w:tcPr>
          <w:p>
            <w:pPr>
              <w:spacing w:after="0"/>
              <w:rPr>
                <w:sz w:val="2"/>
                <w:szCs w:val="2"/>
                <w:color w:val="auto"/>
              </w:rPr>
            </w:pPr>
          </w:p>
        </w:tc>
        <w:tc>
          <w:tcPr>
            <w:tcW w:w="248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EAF9E8"/>
            </w:tcBorders>
            <w:shd w:val="clear" w:color="auto" w:fill="EAF9E8"/>
          </w:tcPr>
          <w:p>
            <w:pPr>
              <w:spacing w:after="0"/>
              <w:rPr>
                <w:sz w:val="22"/>
                <w:szCs w:val="22"/>
                <w:color w:val="auto"/>
              </w:rPr>
            </w:pPr>
          </w:p>
        </w:tc>
        <w:tc>
          <w:tcPr>
            <w:tcW w:w="248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160" w:type="dxa"/>
            <w:vAlign w:val="bottom"/>
            <w:tcBorders>
              <w:bottom w:val="single" w:sz="8" w:color="EAF9E8"/>
            </w:tcBorders>
            <w:gridSpan w:val="2"/>
            <w:shd w:val="clear" w:color="auto" w:fill="EAF9E8"/>
          </w:tcPr>
          <w:p>
            <w:pPr>
              <w:jc w:val="right"/>
              <w:ind w:right="30"/>
              <w:spacing w:after="0"/>
              <w:rPr>
                <w:sz w:val="20"/>
                <w:szCs w:val="20"/>
                <w:color w:val="auto"/>
              </w:rPr>
            </w:pPr>
            <w:r>
              <w:rPr>
                <w:rFonts w:ascii="Arial" w:cs="Arial" w:eastAsia="Arial" w:hAnsi="Arial"/>
                <w:sz w:val="18"/>
                <w:szCs w:val="18"/>
                <w:color w:val="auto"/>
              </w:rPr>
              <w:t>220,007</w:t>
            </w:r>
          </w:p>
        </w:tc>
        <w:tc>
          <w:tcPr>
            <w:tcW w:w="1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(230,584)</w:t>
            </w:r>
          </w:p>
        </w:tc>
        <w:tc>
          <w:tcPr>
            <w:tcW w:w="1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2"/>
                <w:szCs w:val="22"/>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28,377</w:t>
            </w: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144</w:t>
            </w:r>
          </w:p>
        </w:tc>
        <w:tc>
          <w:tcPr>
            <w:tcW w:w="12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8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(1,695)</w:t>
            </w:r>
          </w:p>
        </w:tc>
        <w:tc>
          <w:tcPr>
            <w:tcW w:w="10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EAF9E8"/>
            </w:tcBorders>
            <w:shd w:val="clear" w:color="auto" w:fill="EAF9E8"/>
          </w:tcPr>
          <w:p>
            <w:pPr>
              <w:spacing w:after="0"/>
              <w:rPr>
                <w:sz w:val="22"/>
                <w:szCs w:val="22"/>
                <w:color w:val="auto"/>
              </w:rPr>
            </w:pP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16,249</w:t>
            </w:r>
          </w:p>
        </w:tc>
      </w:tr>
      <w:tr>
        <w:trPr>
          <w:trHeight w:val="209"/>
        </w:trPr>
        <w:tc>
          <w:tcPr>
            <w:tcW w:w="2520" w:type="dxa"/>
            <w:vAlign w:val="bottom"/>
            <w:gridSpan w:val="2"/>
          </w:tcPr>
          <w:p>
            <w:pPr>
              <w:ind w:left="40"/>
              <w:spacing w:after="0"/>
              <w:rPr>
                <w:sz w:val="20"/>
                <w:szCs w:val="20"/>
                <w:color w:val="auto"/>
              </w:rPr>
            </w:pPr>
            <w:r>
              <w:rPr>
                <w:rFonts w:ascii="Arial" w:cs="Arial" w:eastAsia="Arial" w:hAnsi="Arial"/>
                <w:sz w:val="18"/>
                <w:szCs w:val="18"/>
                <w:color w:val="auto"/>
              </w:rPr>
              <w:t>Total realized and unrealized</w:t>
            </w:r>
          </w:p>
        </w:tc>
        <w:tc>
          <w:tcPr>
            <w:tcW w:w="1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r>
      <w:tr>
        <w:trPr>
          <w:trHeight w:val="230"/>
        </w:trPr>
        <w:tc>
          <w:tcPr>
            <w:tcW w:w="40" w:type="dxa"/>
            <w:vAlign w:val="bottom"/>
          </w:tcPr>
          <w:p>
            <w:pPr>
              <w:spacing w:after="0"/>
              <w:rPr>
                <w:sz w:val="20"/>
                <w:szCs w:val="20"/>
                <w:color w:val="auto"/>
              </w:rPr>
            </w:pPr>
          </w:p>
        </w:tc>
        <w:tc>
          <w:tcPr>
            <w:tcW w:w="2480" w:type="dxa"/>
            <w:vAlign w:val="bottom"/>
          </w:tcPr>
          <w:p>
            <w:pPr>
              <w:ind w:left="160"/>
              <w:spacing w:after="0"/>
              <w:rPr>
                <w:sz w:val="20"/>
                <w:szCs w:val="20"/>
                <w:color w:val="auto"/>
              </w:rPr>
            </w:pPr>
            <w:r>
              <w:rPr>
                <w:rFonts w:ascii="Arial" w:cs="Arial" w:eastAsia="Arial" w:hAnsi="Arial"/>
                <w:sz w:val="18"/>
                <w:szCs w:val="18"/>
                <w:color w:val="auto"/>
              </w:rPr>
              <w:t>gains and (losses):</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2480" w:type="dxa"/>
            <w:vAlign w:val="bottom"/>
            <w:tcBorders>
              <w:bottom w:val="single" w:sz="8" w:color="EAF9E8"/>
            </w:tcBorders>
            <w:shd w:val="clear" w:color="auto" w:fill="EAF9E8"/>
          </w:tcPr>
          <w:p>
            <w:pPr>
              <w:ind w:left="240"/>
              <w:spacing w:after="0"/>
              <w:rPr>
                <w:sz w:val="20"/>
                <w:szCs w:val="20"/>
                <w:color w:val="auto"/>
              </w:rPr>
            </w:pPr>
            <w:r>
              <w:rPr>
                <w:rFonts w:ascii="Arial" w:cs="Arial" w:eastAsia="Arial" w:hAnsi="Arial"/>
                <w:sz w:val="18"/>
                <w:szCs w:val="18"/>
                <w:color w:val="auto"/>
              </w:rPr>
              <w:t>Included in earnings</w:t>
            </w:r>
          </w:p>
        </w:tc>
        <w:tc>
          <w:tcPr>
            <w:tcW w:w="1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gridSpan w:val="2"/>
            <w:shd w:val="clear" w:color="auto" w:fill="EAF9E8"/>
          </w:tcPr>
          <w:p>
            <w:pPr>
              <w:jc w:val="right"/>
              <w:ind w:right="30"/>
              <w:spacing w:after="0"/>
              <w:rPr>
                <w:sz w:val="20"/>
                <w:szCs w:val="20"/>
                <w:color w:val="auto"/>
              </w:rPr>
            </w:pPr>
            <w:r>
              <w:rPr>
                <w:rFonts w:ascii="Arial" w:cs="Arial" w:eastAsia="Arial" w:hAnsi="Arial"/>
                <w:sz w:val="18"/>
                <w:szCs w:val="18"/>
                <w:color w:val="auto"/>
              </w:rPr>
              <w:t>66,315</w:t>
            </w: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(57,244)</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677</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(514)</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8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(29,811)</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(20,577)</w:t>
            </w:r>
          </w:p>
        </w:tc>
      </w:tr>
      <w:tr>
        <w:trPr>
          <w:trHeight w:val="229"/>
        </w:trPr>
        <w:tc>
          <w:tcPr>
            <w:tcW w:w="40" w:type="dxa"/>
            <w:vAlign w:val="bottom"/>
          </w:tcPr>
          <w:p>
            <w:pPr>
              <w:spacing w:after="0"/>
              <w:rPr>
                <w:sz w:val="19"/>
                <w:szCs w:val="19"/>
                <w:color w:val="auto"/>
              </w:rPr>
            </w:pPr>
          </w:p>
        </w:tc>
        <w:tc>
          <w:tcPr>
            <w:tcW w:w="2480" w:type="dxa"/>
            <w:vAlign w:val="bottom"/>
          </w:tcPr>
          <w:p>
            <w:pPr>
              <w:ind w:left="240"/>
              <w:spacing w:after="0"/>
              <w:rPr>
                <w:sz w:val="20"/>
                <w:szCs w:val="20"/>
                <w:color w:val="auto"/>
              </w:rPr>
            </w:pPr>
            <w:r>
              <w:rPr>
                <w:rFonts w:ascii="Arial" w:cs="Arial" w:eastAsia="Arial" w:hAnsi="Arial"/>
                <w:sz w:val="18"/>
                <w:szCs w:val="18"/>
                <w:color w:val="auto"/>
              </w:rPr>
              <w:t>Included in Other</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2480" w:type="dxa"/>
            <w:vAlign w:val="bottom"/>
          </w:tcPr>
          <w:p>
            <w:pPr>
              <w:ind w:left="400"/>
              <w:spacing w:after="0"/>
              <w:rPr>
                <w:sz w:val="20"/>
                <w:szCs w:val="20"/>
                <w:color w:val="auto"/>
              </w:rPr>
            </w:pPr>
            <w:r>
              <w:rPr>
                <w:rFonts w:ascii="Arial" w:cs="Arial" w:eastAsia="Arial" w:hAnsi="Arial"/>
                <w:sz w:val="18"/>
                <w:szCs w:val="18"/>
                <w:color w:val="auto"/>
              </w:rPr>
              <w:t>comprehensive income</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Borders>
              <w:bottom w:val="single" w:sz="8" w:color="EAF9E8"/>
            </w:tcBorders>
          </w:tcPr>
          <w:p>
            <w:pPr>
              <w:spacing w:after="0"/>
              <w:rPr>
                <w:sz w:val="2"/>
                <w:szCs w:val="2"/>
                <w:color w:val="auto"/>
              </w:rPr>
            </w:pPr>
          </w:p>
        </w:tc>
        <w:tc>
          <w:tcPr>
            <w:tcW w:w="248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EAF9E8"/>
            </w:tcBorders>
            <w:shd w:val="clear" w:color="auto" w:fill="EAF9E8"/>
          </w:tcPr>
          <w:p>
            <w:pPr>
              <w:spacing w:after="0"/>
              <w:rPr>
                <w:sz w:val="22"/>
                <w:szCs w:val="22"/>
                <w:color w:val="auto"/>
              </w:rPr>
            </w:pPr>
          </w:p>
        </w:tc>
        <w:tc>
          <w:tcPr>
            <w:tcW w:w="248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160" w:type="dxa"/>
            <w:vAlign w:val="bottom"/>
            <w:tcBorders>
              <w:bottom w:val="single" w:sz="8" w:color="EAF9E8"/>
            </w:tcBorders>
            <w:gridSpan w:val="2"/>
            <w:shd w:val="clear" w:color="auto" w:fill="EAF9E8"/>
          </w:tcPr>
          <w:p>
            <w:pPr>
              <w:jc w:val="right"/>
              <w:ind w:right="30"/>
              <w:spacing w:after="0"/>
              <w:rPr>
                <w:sz w:val="20"/>
                <w:szCs w:val="20"/>
                <w:color w:val="auto"/>
              </w:rPr>
            </w:pPr>
            <w:r>
              <w:rPr>
                <w:rFonts w:ascii="Arial" w:cs="Arial" w:eastAsia="Arial" w:hAnsi="Arial"/>
                <w:sz w:val="18"/>
                <w:szCs w:val="18"/>
                <w:color w:val="auto"/>
              </w:rPr>
              <w:t>66,315</w:t>
            </w:r>
          </w:p>
        </w:tc>
        <w:tc>
          <w:tcPr>
            <w:tcW w:w="1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(57,244)</w:t>
            </w:r>
          </w:p>
        </w:tc>
        <w:tc>
          <w:tcPr>
            <w:tcW w:w="1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0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677</w:t>
            </w: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spacing w:after="0"/>
              <w:rPr>
                <w:sz w:val="22"/>
                <w:szCs w:val="22"/>
                <w:color w:val="auto"/>
              </w:rPr>
            </w:pPr>
          </w:p>
        </w:tc>
        <w:tc>
          <w:tcPr>
            <w:tcW w:w="10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(514)</w:t>
            </w:r>
          </w:p>
        </w:tc>
        <w:tc>
          <w:tcPr>
            <w:tcW w:w="12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8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(29,811)</w:t>
            </w:r>
          </w:p>
        </w:tc>
        <w:tc>
          <w:tcPr>
            <w:tcW w:w="10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EAF9E8"/>
            </w:tcBorders>
            <w:shd w:val="clear" w:color="auto" w:fill="EAF9E8"/>
          </w:tcPr>
          <w:p>
            <w:pPr>
              <w:spacing w:after="0"/>
              <w:rPr>
                <w:sz w:val="22"/>
                <w:szCs w:val="22"/>
                <w:color w:val="auto"/>
              </w:rPr>
            </w:pPr>
          </w:p>
        </w:tc>
        <w:tc>
          <w:tcPr>
            <w:tcW w:w="9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(20,577)</w:t>
            </w:r>
          </w:p>
        </w:tc>
      </w:tr>
      <w:tr>
        <w:trPr>
          <w:trHeight w:val="209"/>
        </w:trPr>
        <w:tc>
          <w:tcPr>
            <w:tcW w:w="2520" w:type="dxa"/>
            <w:vAlign w:val="bottom"/>
            <w:gridSpan w:val="2"/>
          </w:tcPr>
          <w:p>
            <w:pPr>
              <w:ind w:left="40"/>
              <w:spacing w:after="0"/>
              <w:rPr>
                <w:sz w:val="20"/>
                <w:szCs w:val="20"/>
                <w:color w:val="auto"/>
              </w:rPr>
            </w:pPr>
            <w:r>
              <w:rPr>
                <w:rFonts w:ascii="Arial" w:cs="Arial" w:eastAsia="Arial" w:hAnsi="Arial"/>
                <w:sz w:val="18"/>
                <w:szCs w:val="18"/>
                <w:color w:val="auto"/>
                <w:w w:val="94"/>
              </w:rPr>
              <w:t>Transfers in and / or out of Level</w:t>
            </w:r>
          </w:p>
        </w:tc>
        <w:tc>
          <w:tcPr>
            <w:tcW w:w="1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r>
      <w:tr>
        <w:trPr>
          <w:trHeight w:val="230"/>
        </w:trPr>
        <w:tc>
          <w:tcPr>
            <w:tcW w:w="2520" w:type="dxa"/>
            <w:vAlign w:val="bottom"/>
            <w:gridSpan w:val="2"/>
          </w:tcPr>
          <w:p>
            <w:pPr>
              <w:ind w:left="20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Borders>
              <w:bottom w:val="single" w:sz="8" w:color="EAF9E8"/>
            </w:tcBorders>
          </w:tcPr>
          <w:p>
            <w:pPr>
              <w:spacing w:after="0"/>
              <w:rPr>
                <w:sz w:val="2"/>
                <w:szCs w:val="2"/>
                <w:color w:val="auto"/>
              </w:rPr>
            </w:pPr>
          </w:p>
        </w:tc>
        <w:tc>
          <w:tcPr>
            <w:tcW w:w="248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252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b w:val="1"/>
                <w:bCs w:val="1"/>
                <w:color w:val="auto"/>
              </w:rPr>
              <w:t>Ending balance</w:t>
            </w:r>
          </w:p>
        </w:tc>
        <w:tc>
          <w:tcPr>
            <w:tcW w:w="1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gridSpan w:val="2"/>
            <w:shd w:val="clear" w:color="auto" w:fill="EAF9E8"/>
          </w:tcPr>
          <w:p>
            <w:pPr>
              <w:jc w:val="right"/>
              <w:ind w:right="30"/>
              <w:spacing w:after="0"/>
              <w:rPr>
                <w:sz w:val="20"/>
                <w:szCs w:val="20"/>
                <w:color w:val="auto"/>
              </w:rPr>
            </w:pPr>
            <w:r>
              <w:rPr>
                <w:rFonts w:ascii="Arial" w:cs="Arial" w:eastAsia="Arial" w:hAnsi="Arial"/>
                <w:sz w:val="18"/>
                <w:szCs w:val="18"/>
                <w:color w:val="auto"/>
              </w:rPr>
              <w:t>3,057,564</w:t>
            </w:r>
          </w:p>
        </w:tc>
        <w:tc>
          <w:tcPr>
            <w:tcW w:w="1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(2,935,928)</w:t>
            </w:r>
          </w:p>
        </w:tc>
        <w:tc>
          <w:tcPr>
            <w:tcW w:w="1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9,063</w:t>
            </w: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(495,126)</w:t>
            </w: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700,668</w:t>
            </w:r>
          </w:p>
        </w:tc>
        <w:tc>
          <w:tcPr>
            <w:tcW w:w="10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336,441</w:t>
            </w:r>
          </w:p>
        </w:tc>
      </w:tr>
      <w:tr>
        <w:trPr>
          <w:trHeight w:val="20"/>
        </w:trPr>
        <w:tc>
          <w:tcPr>
            <w:tcW w:w="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347"/>
        </w:trPr>
        <w:tc>
          <w:tcPr>
            <w:tcW w:w="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42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92"/>
              </w:rPr>
              <w:t>Loans Held for</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Financing</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16"/>
        </w:trPr>
        <w:tc>
          <w:tcPr>
            <w:tcW w:w="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2"/>
              </w:rPr>
              <w:t>Investment -</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Mortgage-</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8"/>
              </w:rPr>
              <w:t>Liability -</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Reverse</w:t>
            </w:r>
          </w:p>
        </w:tc>
        <w:tc>
          <w:tcPr>
            <w:tcW w:w="1360" w:type="dxa"/>
            <w:vAlign w:val="bottom"/>
            <w:gridSpan w:val="3"/>
          </w:tcPr>
          <w:p>
            <w:pPr>
              <w:ind w:left="40"/>
              <w:spacing w:after="0"/>
              <w:rPr>
                <w:sz w:val="20"/>
                <w:szCs w:val="20"/>
                <w:color w:val="auto"/>
              </w:rPr>
            </w:pPr>
            <w:r>
              <w:rPr>
                <w:rFonts w:ascii="Arial" w:cs="Arial" w:eastAsia="Arial" w:hAnsi="Arial"/>
                <w:sz w:val="18"/>
                <w:szCs w:val="18"/>
                <w:b w:val="1"/>
                <w:bCs w:val="1"/>
                <w:color w:val="auto"/>
              </w:rPr>
              <w:t>HMBS-Related</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Backed</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MSRs</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Mortgages</w:t>
            </w:r>
          </w:p>
        </w:tc>
        <w:tc>
          <w:tcPr>
            <w:tcW w:w="14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Borrowings</w:t>
            </w:r>
          </w:p>
        </w:tc>
        <w:tc>
          <w:tcPr>
            <w:tcW w:w="14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Securities</w:t>
            </w:r>
          </w:p>
        </w:tc>
        <w:tc>
          <w:tcPr>
            <w:tcW w:w="160" w:type="dxa"/>
            <w:vAlign w:val="bottom"/>
          </w:tcPr>
          <w:p>
            <w:pPr>
              <w:spacing w:after="0"/>
              <w:rPr>
                <w:sz w:val="20"/>
                <w:szCs w:val="20"/>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Pledged</w:t>
            </w:r>
          </w:p>
        </w:tc>
        <w:tc>
          <w:tcPr>
            <w:tcW w:w="16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Derivatives</w:t>
            </w:r>
          </w:p>
        </w:tc>
        <w:tc>
          <w:tcPr>
            <w:tcW w:w="18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Arial" w:cs="Arial" w:eastAsia="Arial" w:hAnsi="Arial"/>
                <w:sz w:val="18"/>
                <w:szCs w:val="18"/>
                <w:b w:val="1"/>
                <w:bCs w:val="1"/>
                <w:color w:val="auto"/>
              </w:rPr>
              <w:t>MSRs</w:t>
            </w: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7"/>
        </w:trPr>
        <w:tc>
          <w:tcPr>
            <w:tcW w:w="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3"/>
        </w:trPr>
        <w:tc>
          <w:tcPr>
            <w:tcW w:w="3820" w:type="dxa"/>
            <w:vAlign w:val="bottom"/>
            <w:gridSpan w:val="5"/>
          </w:tcPr>
          <w:p>
            <w:pPr>
              <w:ind w:left="40"/>
              <w:spacing w:after="0" w:line="182" w:lineRule="exact"/>
              <w:rPr>
                <w:sz w:val="20"/>
                <w:szCs w:val="20"/>
                <w:color w:val="auto"/>
              </w:rPr>
            </w:pPr>
            <w:r>
              <w:rPr>
                <w:rFonts w:ascii="Arial" w:cs="Arial" w:eastAsia="Arial" w:hAnsi="Arial"/>
                <w:sz w:val="18"/>
                <w:szCs w:val="18"/>
                <w:b w:val="1"/>
                <w:bCs w:val="1"/>
                <w:color w:val="auto"/>
              </w:rPr>
              <w:t>Three months ended June 30, 2015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48"/>
        </w:trPr>
        <w:tc>
          <w:tcPr>
            <w:tcW w:w="40" w:type="dxa"/>
            <w:vAlign w:val="bottom"/>
          </w:tcPr>
          <w:p>
            <w:pPr>
              <w:spacing w:after="0"/>
              <w:rPr>
                <w:sz w:val="4"/>
                <w:szCs w:val="4"/>
                <w:color w:val="auto"/>
              </w:rPr>
            </w:pPr>
          </w:p>
        </w:tc>
        <w:tc>
          <w:tcPr>
            <w:tcW w:w="248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250"/>
        </w:trPr>
        <w:tc>
          <w:tcPr>
            <w:tcW w:w="252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w:t>
            </w: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gridSpan w:val="2"/>
            <w:shd w:val="clear" w:color="auto" w:fill="EAF9E8"/>
          </w:tcPr>
          <w:p>
            <w:pPr>
              <w:jc w:val="right"/>
              <w:ind w:right="30"/>
              <w:spacing w:after="0"/>
              <w:rPr>
                <w:sz w:val="20"/>
                <w:szCs w:val="20"/>
                <w:color w:val="auto"/>
              </w:rPr>
            </w:pPr>
            <w:r>
              <w:rPr>
                <w:rFonts w:ascii="Arial" w:cs="Arial" w:eastAsia="Arial" w:hAnsi="Arial"/>
                <w:sz w:val="18"/>
                <w:szCs w:val="18"/>
                <w:color w:val="auto"/>
              </w:rPr>
              <w:t>1,808,141</w:t>
            </w: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(1,702,397)</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7,701</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(594,495)</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203</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897,797</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416,950</w:t>
            </w:r>
          </w:p>
        </w:tc>
      </w:tr>
      <w:tr>
        <w:trPr>
          <w:trHeight w:val="229"/>
        </w:trPr>
        <w:tc>
          <w:tcPr>
            <w:tcW w:w="2520" w:type="dxa"/>
            <w:vAlign w:val="bottom"/>
            <w:gridSpan w:val="2"/>
          </w:tcPr>
          <w:p>
            <w:pPr>
              <w:ind w:left="40"/>
              <w:spacing w:after="0"/>
              <w:rPr>
                <w:sz w:val="20"/>
                <w:szCs w:val="20"/>
                <w:color w:val="auto"/>
              </w:rPr>
            </w:pPr>
            <w:r>
              <w:rPr>
                <w:rFonts w:ascii="Arial" w:cs="Arial" w:eastAsia="Arial" w:hAnsi="Arial"/>
                <w:sz w:val="18"/>
                <w:szCs w:val="18"/>
                <w:color w:val="auto"/>
                <w:w w:val="93"/>
              </w:rPr>
              <w:t>Purchases, issuances, sales and</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2480" w:type="dxa"/>
            <w:vAlign w:val="bottom"/>
          </w:tcPr>
          <w:p>
            <w:pPr>
              <w:ind w:left="160"/>
              <w:spacing w:after="0"/>
              <w:rPr>
                <w:sz w:val="20"/>
                <w:szCs w:val="20"/>
                <w:color w:val="auto"/>
              </w:rPr>
            </w:pPr>
            <w:r>
              <w:rPr>
                <w:rFonts w:ascii="Arial" w:cs="Arial" w:eastAsia="Arial" w:hAnsi="Arial"/>
                <w:sz w:val="18"/>
                <w:szCs w:val="18"/>
                <w:color w:val="auto"/>
              </w:rPr>
              <w:t>settlements:</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2480" w:type="dxa"/>
            <w:vAlign w:val="bottom"/>
            <w:tcBorders>
              <w:bottom w:val="single" w:sz="8" w:color="EAF9E8"/>
            </w:tcBorders>
            <w:shd w:val="clear" w:color="auto" w:fill="EAF9E8"/>
          </w:tcPr>
          <w:p>
            <w:pPr>
              <w:ind w:left="240"/>
              <w:spacing w:after="0"/>
              <w:rPr>
                <w:sz w:val="20"/>
                <w:szCs w:val="20"/>
                <w:color w:val="auto"/>
              </w:rPr>
            </w:pPr>
            <w:r>
              <w:rPr>
                <w:rFonts w:ascii="Arial" w:cs="Arial" w:eastAsia="Arial" w:hAnsi="Arial"/>
                <w:sz w:val="18"/>
                <w:szCs w:val="18"/>
                <w:color w:val="auto"/>
              </w:rPr>
              <w:t>Purchases</w:t>
            </w:r>
          </w:p>
        </w:tc>
        <w:tc>
          <w:tcPr>
            <w:tcW w:w="140" w:type="dxa"/>
            <w:vAlign w:val="bottom"/>
            <w:tcBorders>
              <w:bottom w:val="single" w:sz="8" w:color="EAF9E8"/>
            </w:tcBorders>
            <w:shd w:val="clear" w:color="auto" w:fill="EAF9E8"/>
          </w:tcPr>
          <w:p>
            <w:pPr>
              <w:spacing w:after="0"/>
              <w:rPr>
                <w:sz w:val="21"/>
                <w:szCs w:val="21"/>
                <w:color w:val="auto"/>
              </w:rPr>
            </w:pPr>
          </w:p>
        </w:tc>
        <w:tc>
          <w:tcPr>
            <w:tcW w:w="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116</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9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116</w:t>
            </w:r>
          </w:p>
        </w:tc>
      </w:tr>
      <w:tr>
        <w:trPr>
          <w:trHeight w:val="243"/>
        </w:trPr>
        <w:tc>
          <w:tcPr>
            <w:tcW w:w="40" w:type="dxa"/>
            <w:vAlign w:val="bottom"/>
          </w:tcPr>
          <w:p>
            <w:pPr>
              <w:spacing w:after="0"/>
              <w:rPr>
                <w:sz w:val="21"/>
                <w:szCs w:val="21"/>
                <w:color w:val="auto"/>
              </w:rPr>
            </w:pPr>
          </w:p>
        </w:tc>
        <w:tc>
          <w:tcPr>
            <w:tcW w:w="2480" w:type="dxa"/>
            <w:vAlign w:val="bottom"/>
          </w:tcPr>
          <w:p>
            <w:pPr>
              <w:ind w:left="240"/>
              <w:spacing w:after="0"/>
              <w:rPr>
                <w:sz w:val="20"/>
                <w:szCs w:val="20"/>
                <w:color w:val="auto"/>
              </w:rPr>
            </w:pPr>
            <w:r>
              <w:rPr>
                <w:rFonts w:ascii="Arial" w:cs="Arial" w:eastAsia="Arial" w:hAnsi="Arial"/>
                <w:sz w:val="18"/>
                <w:szCs w:val="18"/>
                <w:color w:val="auto"/>
              </w:rPr>
              <w:t>Issuances</w:t>
            </w:r>
          </w:p>
        </w:tc>
        <w:tc>
          <w:tcPr>
            <w:tcW w:w="140" w:type="dxa"/>
            <w:vAlign w:val="bottom"/>
          </w:tcPr>
          <w:p>
            <w:pPr>
              <w:spacing w:after="0"/>
              <w:rPr>
                <w:sz w:val="21"/>
                <w:szCs w:val="21"/>
                <w:color w:val="auto"/>
              </w:rPr>
            </w:pPr>
          </w:p>
        </w:tc>
        <w:tc>
          <w:tcPr>
            <w:tcW w:w="1160" w:type="dxa"/>
            <w:vAlign w:val="bottom"/>
            <w:gridSpan w:val="2"/>
          </w:tcPr>
          <w:p>
            <w:pPr>
              <w:jc w:val="right"/>
              <w:ind w:right="30"/>
              <w:spacing w:after="0"/>
              <w:rPr>
                <w:sz w:val="20"/>
                <w:szCs w:val="20"/>
                <w:color w:val="auto"/>
              </w:rPr>
            </w:pPr>
            <w:r>
              <w:rPr>
                <w:rFonts w:ascii="Arial" w:cs="Arial" w:eastAsia="Arial" w:hAnsi="Arial"/>
                <w:sz w:val="18"/>
                <w:szCs w:val="18"/>
                <w:color w:val="auto"/>
              </w:rPr>
              <w:t>295,131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(294,241)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920</w:t>
            </w:r>
          </w:p>
        </w:tc>
      </w:tr>
      <w:tr>
        <w:trPr>
          <w:trHeight w:val="27"/>
        </w:trPr>
        <w:tc>
          <w:tcPr>
            <w:tcW w:w="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2480" w:type="dxa"/>
            <w:vAlign w:val="bottom"/>
            <w:tcBorders>
              <w:bottom w:val="single" w:sz="8" w:color="EAF9E8"/>
            </w:tcBorders>
            <w:shd w:val="clear" w:color="auto" w:fill="EAF9E8"/>
          </w:tcPr>
          <w:p>
            <w:pPr>
              <w:ind w:left="240"/>
              <w:spacing w:after="0"/>
              <w:rPr>
                <w:sz w:val="20"/>
                <w:szCs w:val="20"/>
                <w:color w:val="auto"/>
              </w:rPr>
            </w:pPr>
            <w:r>
              <w:rPr>
                <w:rFonts w:ascii="Arial" w:cs="Arial" w:eastAsia="Arial" w:hAnsi="Arial"/>
                <w:sz w:val="18"/>
                <w:szCs w:val="18"/>
                <w:color w:val="auto"/>
              </w:rPr>
              <w:t>Sales</w:t>
            </w:r>
          </w:p>
        </w:tc>
        <w:tc>
          <w:tcPr>
            <w:tcW w:w="140" w:type="dxa"/>
            <w:vAlign w:val="bottom"/>
            <w:tcBorders>
              <w:bottom w:val="single" w:sz="8" w:color="EAF9E8"/>
            </w:tcBorders>
            <w:shd w:val="clear" w:color="auto" w:fill="EAF9E8"/>
          </w:tcPr>
          <w:p>
            <w:pPr>
              <w:spacing w:after="0"/>
              <w:rPr>
                <w:sz w:val="21"/>
                <w:szCs w:val="21"/>
                <w:color w:val="auto"/>
              </w:rPr>
            </w:pPr>
          </w:p>
        </w:tc>
        <w:tc>
          <w:tcPr>
            <w:tcW w:w="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8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(68,072)</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(68,072)</w:t>
            </w:r>
          </w:p>
        </w:tc>
      </w:tr>
      <w:tr>
        <w:trPr>
          <w:trHeight w:val="243"/>
        </w:trPr>
        <w:tc>
          <w:tcPr>
            <w:tcW w:w="40" w:type="dxa"/>
            <w:vAlign w:val="bottom"/>
          </w:tcPr>
          <w:p>
            <w:pPr>
              <w:spacing w:after="0"/>
              <w:rPr>
                <w:sz w:val="21"/>
                <w:szCs w:val="21"/>
                <w:color w:val="auto"/>
              </w:rPr>
            </w:pPr>
          </w:p>
        </w:tc>
        <w:tc>
          <w:tcPr>
            <w:tcW w:w="2480" w:type="dxa"/>
            <w:vAlign w:val="bottom"/>
          </w:tcPr>
          <w:p>
            <w:pPr>
              <w:ind w:left="240"/>
              <w:spacing w:after="0"/>
              <w:rPr>
                <w:sz w:val="20"/>
                <w:szCs w:val="20"/>
                <w:color w:val="auto"/>
              </w:rPr>
            </w:pPr>
            <w:r>
              <w:rPr>
                <w:rFonts w:ascii="Arial" w:cs="Arial" w:eastAsia="Arial" w:hAnsi="Arial"/>
                <w:sz w:val="18"/>
                <w:szCs w:val="18"/>
                <w:color w:val="auto"/>
              </w:rPr>
              <w:t>Settlements</w:t>
            </w:r>
          </w:p>
        </w:tc>
        <w:tc>
          <w:tcPr>
            <w:tcW w:w="14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(37,690)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37,812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13,276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13,398</w:t>
            </w:r>
          </w:p>
        </w:tc>
      </w:tr>
      <w:tr>
        <w:trPr>
          <w:trHeight w:val="27"/>
        </w:trPr>
        <w:tc>
          <w:tcPr>
            <w:tcW w:w="40" w:type="dxa"/>
            <w:vAlign w:val="bottom"/>
            <w:tcBorders>
              <w:bottom w:val="single" w:sz="8" w:color="EAF9E8"/>
            </w:tcBorders>
          </w:tcPr>
          <w:p>
            <w:pPr>
              <w:spacing w:after="0"/>
              <w:rPr>
                <w:sz w:val="2"/>
                <w:szCs w:val="2"/>
                <w:color w:val="auto"/>
              </w:rPr>
            </w:pPr>
          </w:p>
        </w:tc>
        <w:tc>
          <w:tcPr>
            <w:tcW w:w="248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EAF9E8"/>
            </w:tcBorders>
            <w:shd w:val="clear" w:color="auto" w:fill="EAF9E8"/>
          </w:tcPr>
          <w:p>
            <w:pPr>
              <w:spacing w:after="0"/>
              <w:rPr>
                <w:sz w:val="22"/>
                <w:szCs w:val="22"/>
                <w:color w:val="auto"/>
              </w:rPr>
            </w:pPr>
          </w:p>
        </w:tc>
        <w:tc>
          <w:tcPr>
            <w:tcW w:w="248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160" w:type="dxa"/>
            <w:vAlign w:val="bottom"/>
            <w:tcBorders>
              <w:bottom w:val="single" w:sz="8" w:color="EAF9E8"/>
            </w:tcBorders>
            <w:gridSpan w:val="2"/>
            <w:shd w:val="clear" w:color="auto" w:fill="EAF9E8"/>
          </w:tcPr>
          <w:p>
            <w:pPr>
              <w:jc w:val="right"/>
              <w:ind w:right="30"/>
              <w:spacing w:after="0"/>
              <w:rPr>
                <w:sz w:val="20"/>
                <w:szCs w:val="20"/>
                <w:color w:val="auto"/>
              </w:rPr>
            </w:pPr>
            <w:r>
              <w:rPr>
                <w:rFonts w:ascii="Arial" w:cs="Arial" w:eastAsia="Arial" w:hAnsi="Arial"/>
                <w:sz w:val="18"/>
                <w:szCs w:val="18"/>
                <w:color w:val="auto"/>
              </w:rPr>
              <w:t>257,441</w:t>
            </w:r>
          </w:p>
        </w:tc>
        <w:tc>
          <w:tcPr>
            <w:tcW w:w="1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(256,429)</w:t>
            </w:r>
          </w:p>
        </w:tc>
        <w:tc>
          <w:tcPr>
            <w:tcW w:w="1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2"/>
                <w:szCs w:val="22"/>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13,276</w:t>
            </w: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116</w:t>
            </w:r>
          </w:p>
        </w:tc>
        <w:tc>
          <w:tcPr>
            <w:tcW w:w="12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8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(68,042)</w:t>
            </w:r>
          </w:p>
        </w:tc>
        <w:tc>
          <w:tcPr>
            <w:tcW w:w="10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EAF9E8"/>
            </w:tcBorders>
            <w:shd w:val="clear" w:color="auto" w:fill="EAF9E8"/>
          </w:tcPr>
          <w:p>
            <w:pPr>
              <w:spacing w:after="0"/>
              <w:rPr>
                <w:sz w:val="22"/>
                <w:szCs w:val="22"/>
                <w:color w:val="auto"/>
              </w:rPr>
            </w:pPr>
          </w:p>
        </w:tc>
        <w:tc>
          <w:tcPr>
            <w:tcW w:w="9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(53,638)</w:t>
            </w:r>
          </w:p>
        </w:tc>
      </w:tr>
      <w:tr>
        <w:trPr>
          <w:trHeight w:val="209"/>
        </w:trPr>
        <w:tc>
          <w:tcPr>
            <w:tcW w:w="2520" w:type="dxa"/>
            <w:vAlign w:val="bottom"/>
            <w:gridSpan w:val="2"/>
          </w:tcPr>
          <w:p>
            <w:pPr>
              <w:ind w:left="40"/>
              <w:spacing w:after="0"/>
              <w:rPr>
                <w:sz w:val="20"/>
                <w:szCs w:val="20"/>
                <w:color w:val="auto"/>
              </w:rPr>
            </w:pPr>
            <w:r>
              <w:rPr>
                <w:rFonts w:ascii="Arial" w:cs="Arial" w:eastAsia="Arial" w:hAnsi="Arial"/>
                <w:sz w:val="18"/>
                <w:szCs w:val="18"/>
                <w:color w:val="auto"/>
              </w:rPr>
              <w:t>Total realized and unrealized</w:t>
            </w:r>
          </w:p>
        </w:tc>
        <w:tc>
          <w:tcPr>
            <w:tcW w:w="1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r>
      <w:tr>
        <w:trPr>
          <w:trHeight w:val="230"/>
        </w:trPr>
        <w:tc>
          <w:tcPr>
            <w:tcW w:w="40" w:type="dxa"/>
            <w:vAlign w:val="bottom"/>
          </w:tcPr>
          <w:p>
            <w:pPr>
              <w:spacing w:after="0"/>
              <w:rPr>
                <w:sz w:val="20"/>
                <w:szCs w:val="20"/>
                <w:color w:val="auto"/>
              </w:rPr>
            </w:pPr>
          </w:p>
        </w:tc>
        <w:tc>
          <w:tcPr>
            <w:tcW w:w="2480" w:type="dxa"/>
            <w:vAlign w:val="bottom"/>
          </w:tcPr>
          <w:p>
            <w:pPr>
              <w:ind w:left="160"/>
              <w:spacing w:after="0"/>
              <w:rPr>
                <w:sz w:val="20"/>
                <w:szCs w:val="20"/>
                <w:color w:val="auto"/>
              </w:rPr>
            </w:pPr>
            <w:r>
              <w:rPr>
                <w:rFonts w:ascii="Arial" w:cs="Arial" w:eastAsia="Arial" w:hAnsi="Arial"/>
                <w:sz w:val="18"/>
                <w:szCs w:val="18"/>
                <w:color w:val="auto"/>
              </w:rPr>
              <w:t>gains and (losses):</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2480" w:type="dxa"/>
            <w:vAlign w:val="bottom"/>
            <w:tcBorders>
              <w:bottom w:val="single" w:sz="8" w:color="EAF9E8"/>
            </w:tcBorders>
            <w:shd w:val="clear" w:color="auto" w:fill="EAF9E8"/>
          </w:tcPr>
          <w:p>
            <w:pPr>
              <w:ind w:left="240"/>
              <w:spacing w:after="0"/>
              <w:rPr>
                <w:sz w:val="20"/>
                <w:szCs w:val="20"/>
                <w:color w:val="auto"/>
              </w:rPr>
            </w:pPr>
            <w:r>
              <w:rPr>
                <w:rFonts w:ascii="Arial" w:cs="Arial" w:eastAsia="Arial" w:hAnsi="Arial"/>
                <w:sz w:val="18"/>
                <w:szCs w:val="18"/>
                <w:color w:val="auto"/>
              </w:rPr>
              <w:t>Included in earnings</w:t>
            </w:r>
          </w:p>
        </w:tc>
        <w:tc>
          <w:tcPr>
            <w:tcW w:w="1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gridSpan w:val="2"/>
            <w:shd w:val="clear" w:color="auto" w:fill="EAF9E8"/>
          </w:tcPr>
          <w:p>
            <w:pPr>
              <w:jc w:val="right"/>
              <w:ind w:right="30"/>
              <w:spacing w:after="0"/>
              <w:rPr>
                <w:sz w:val="20"/>
                <w:szCs w:val="20"/>
                <w:color w:val="auto"/>
              </w:rPr>
            </w:pPr>
            <w:r>
              <w:rPr>
                <w:rFonts w:ascii="Arial" w:cs="Arial" w:eastAsia="Arial" w:hAnsi="Arial"/>
                <w:sz w:val="18"/>
                <w:szCs w:val="18"/>
                <w:color w:val="auto"/>
              </w:rPr>
              <w:t>31,610</w:t>
            </w: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(29,172)</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456</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(164)</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8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(15,305)</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(12,575)</w:t>
            </w:r>
          </w:p>
        </w:tc>
      </w:tr>
      <w:tr>
        <w:trPr>
          <w:trHeight w:val="229"/>
        </w:trPr>
        <w:tc>
          <w:tcPr>
            <w:tcW w:w="40" w:type="dxa"/>
            <w:vAlign w:val="bottom"/>
          </w:tcPr>
          <w:p>
            <w:pPr>
              <w:spacing w:after="0"/>
              <w:rPr>
                <w:sz w:val="19"/>
                <w:szCs w:val="19"/>
                <w:color w:val="auto"/>
              </w:rPr>
            </w:pPr>
          </w:p>
        </w:tc>
        <w:tc>
          <w:tcPr>
            <w:tcW w:w="2480" w:type="dxa"/>
            <w:vAlign w:val="bottom"/>
          </w:tcPr>
          <w:p>
            <w:pPr>
              <w:ind w:left="240"/>
              <w:spacing w:after="0"/>
              <w:rPr>
                <w:sz w:val="20"/>
                <w:szCs w:val="20"/>
                <w:color w:val="auto"/>
              </w:rPr>
            </w:pPr>
            <w:r>
              <w:rPr>
                <w:rFonts w:ascii="Arial" w:cs="Arial" w:eastAsia="Arial" w:hAnsi="Arial"/>
                <w:sz w:val="18"/>
                <w:szCs w:val="18"/>
                <w:color w:val="auto"/>
              </w:rPr>
              <w:t>Included in Other</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2480" w:type="dxa"/>
            <w:vAlign w:val="bottom"/>
          </w:tcPr>
          <w:p>
            <w:pPr>
              <w:ind w:left="400"/>
              <w:spacing w:after="0"/>
              <w:rPr>
                <w:sz w:val="20"/>
                <w:szCs w:val="20"/>
                <w:color w:val="auto"/>
              </w:rPr>
            </w:pPr>
            <w:r>
              <w:rPr>
                <w:rFonts w:ascii="Arial" w:cs="Arial" w:eastAsia="Arial" w:hAnsi="Arial"/>
                <w:sz w:val="18"/>
                <w:szCs w:val="18"/>
                <w:color w:val="auto"/>
              </w:rPr>
              <w:t>comprehensive income</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Borders>
              <w:bottom w:val="single" w:sz="8" w:color="EAF9E8"/>
            </w:tcBorders>
          </w:tcPr>
          <w:p>
            <w:pPr>
              <w:spacing w:after="0"/>
              <w:rPr>
                <w:sz w:val="2"/>
                <w:szCs w:val="2"/>
                <w:color w:val="auto"/>
              </w:rPr>
            </w:pPr>
          </w:p>
        </w:tc>
        <w:tc>
          <w:tcPr>
            <w:tcW w:w="248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EAF9E8"/>
            </w:tcBorders>
            <w:shd w:val="clear" w:color="auto" w:fill="EAF9E8"/>
          </w:tcPr>
          <w:p>
            <w:pPr>
              <w:spacing w:after="0"/>
              <w:rPr>
                <w:sz w:val="22"/>
                <w:szCs w:val="22"/>
                <w:color w:val="auto"/>
              </w:rPr>
            </w:pPr>
          </w:p>
        </w:tc>
        <w:tc>
          <w:tcPr>
            <w:tcW w:w="248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160" w:type="dxa"/>
            <w:vAlign w:val="bottom"/>
            <w:tcBorders>
              <w:bottom w:val="single" w:sz="8" w:color="EAF9E8"/>
            </w:tcBorders>
            <w:gridSpan w:val="2"/>
            <w:shd w:val="clear" w:color="auto" w:fill="EAF9E8"/>
          </w:tcPr>
          <w:p>
            <w:pPr>
              <w:jc w:val="right"/>
              <w:ind w:right="30"/>
              <w:spacing w:after="0"/>
              <w:rPr>
                <w:sz w:val="20"/>
                <w:szCs w:val="20"/>
                <w:color w:val="auto"/>
              </w:rPr>
            </w:pPr>
            <w:r>
              <w:rPr>
                <w:rFonts w:ascii="Arial" w:cs="Arial" w:eastAsia="Arial" w:hAnsi="Arial"/>
                <w:sz w:val="18"/>
                <w:szCs w:val="18"/>
                <w:color w:val="auto"/>
              </w:rPr>
              <w:t>31,610</w:t>
            </w:r>
          </w:p>
        </w:tc>
        <w:tc>
          <w:tcPr>
            <w:tcW w:w="1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(29,172)</w:t>
            </w:r>
          </w:p>
        </w:tc>
        <w:tc>
          <w:tcPr>
            <w:tcW w:w="1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0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456</w:t>
            </w: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spacing w:after="0"/>
              <w:rPr>
                <w:sz w:val="22"/>
                <w:szCs w:val="22"/>
                <w:color w:val="auto"/>
              </w:rPr>
            </w:pPr>
          </w:p>
        </w:tc>
        <w:tc>
          <w:tcPr>
            <w:tcW w:w="10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(164)</w:t>
            </w:r>
          </w:p>
        </w:tc>
        <w:tc>
          <w:tcPr>
            <w:tcW w:w="12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8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(15,305)</w:t>
            </w:r>
          </w:p>
        </w:tc>
        <w:tc>
          <w:tcPr>
            <w:tcW w:w="10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EAF9E8"/>
            </w:tcBorders>
            <w:shd w:val="clear" w:color="auto" w:fill="EAF9E8"/>
          </w:tcPr>
          <w:p>
            <w:pPr>
              <w:spacing w:after="0"/>
              <w:rPr>
                <w:sz w:val="22"/>
                <w:szCs w:val="22"/>
                <w:color w:val="auto"/>
              </w:rPr>
            </w:pPr>
          </w:p>
        </w:tc>
        <w:tc>
          <w:tcPr>
            <w:tcW w:w="9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(12,575)</w:t>
            </w:r>
          </w:p>
        </w:tc>
      </w:tr>
      <w:tr>
        <w:trPr>
          <w:trHeight w:val="209"/>
        </w:trPr>
        <w:tc>
          <w:tcPr>
            <w:tcW w:w="2520" w:type="dxa"/>
            <w:vAlign w:val="bottom"/>
            <w:gridSpan w:val="2"/>
          </w:tcPr>
          <w:p>
            <w:pPr>
              <w:ind w:left="40"/>
              <w:spacing w:after="0"/>
              <w:rPr>
                <w:sz w:val="20"/>
                <w:szCs w:val="20"/>
                <w:color w:val="auto"/>
              </w:rPr>
            </w:pPr>
            <w:r>
              <w:rPr>
                <w:rFonts w:ascii="Arial" w:cs="Arial" w:eastAsia="Arial" w:hAnsi="Arial"/>
                <w:sz w:val="18"/>
                <w:szCs w:val="18"/>
                <w:color w:val="auto"/>
                <w:w w:val="94"/>
              </w:rPr>
              <w:t>Transfers in and / or out of Level</w:t>
            </w:r>
          </w:p>
        </w:tc>
        <w:tc>
          <w:tcPr>
            <w:tcW w:w="1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r>
      <w:tr>
        <w:trPr>
          <w:trHeight w:val="230"/>
        </w:trPr>
        <w:tc>
          <w:tcPr>
            <w:tcW w:w="2520" w:type="dxa"/>
            <w:vAlign w:val="bottom"/>
            <w:gridSpan w:val="2"/>
          </w:tcPr>
          <w:p>
            <w:pPr>
              <w:ind w:left="20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Borders>
              <w:bottom w:val="single" w:sz="8" w:color="EAF9E8"/>
            </w:tcBorders>
          </w:tcPr>
          <w:p>
            <w:pPr>
              <w:spacing w:after="0"/>
              <w:rPr>
                <w:sz w:val="2"/>
                <w:szCs w:val="2"/>
                <w:color w:val="auto"/>
              </w:rPr>
            </w:pPr>
          </w:p>
        </w:tc>
        <w:tc>
          <w:tcPr>
            <w:tcW w:w="248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252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b w:val="1"/>
                <w:bCs w:val="1"/>
                <w:color w:val="auto"/>
              </w:rPr>
              <w:t>Ending balance</w:t>
            </w:r>
          </w:p>
        </w:tc>
        <w:tc>
          <w:tcPr>
            <w:tcW w:w="1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gridSpan w:val="2"/>
            <w:shd w:val="clear" w:color="auto" w:fill="EAF9E8"/>
          </w:tcPr>
          <w:p>
            <w:pPr>
              <w:jc w:val="right"/>
              <w:ind w:right="30"/>
              <w:spacing w:after="0"/>
              <w:rPr>
                <w:sz w:val="20"/>
                <w:szCs w:val="20"/>
                <w:color w:val="auto"/>
              </w:rPr>
            </w:pPr>
            <w:r>
              <w:rPr>
                <w:rFonts w:ascii="Arial" w:cs="Arial" w:eastAsia="Arial" w:hAnsi="Arial"/>
                <w:sz w:val="18"/>
                <w:szCs w:val="18"/>
                <w:color w:val="auto"/>
              </w:rPr>
              <w:t>2,097,192</w:t>
            </w:r>
          </w:p>
        </w:tc>
        <w:tc>
          <w:tcPr>
            <w:tcW w:w="1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(1,987,998)</w:t>
            </w:r>
          </w:p>
        </w:tc>
        <w:tc>
          <w:tcPr>
            <w:tcW w:w="1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8,157</w:t>
            </w: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(581,219)</w:t>
            </w: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155</w:t>
            </w:r>
          </w:p>
        </w:tc>
        <w:tc>
          <w:tcPr>
            <w:tcW w:w="12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814,450</w:t>
            </w:r>
          </w:p>
        </w:tc>
        <w:tc>
          <w:tcPr>
            <w:tcW w:w="10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350,737</w:t>
            </w:r>
          </w:p>
        </w:tc>
      </w:tr>
      <w:tr>
        <w:trPr>
          <w:trHeight w:val="20"/>
        </w:trPr>
        <w:tc>
          <w:tcPr>
            <w:tcW w:w="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446"/>
        </w:trPr>
        <w:tc>
          <w:tcPr>
            <w:tcW w:w="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ind w:right="55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420"/>
          </w:cols>
          <w:pgMar w:left="240" w:top="692" w:right="239"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2"/>
              </w:rPr>
              <w:t>Loans Held for</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Financing</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Investment -</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Mortgage-</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8"/>
              </w:rPr>
              <w:t>Liability -</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Reverse</w:t>
            </w:r>
          </w:p>
        </w:tc>
        <w:tc>
          <w:tcPr>
            <w:tcW w:w="1360" w:type="dxa"/>
            <w:vAlign w:val="bottom"/>
            <w:gridSpan w:val="3"/>
          </w:tcPr>
          <w:p>
            <w:pPr>
              <w:ind w:left="40"/>
              <w:spacing w:after="0"/>
              <w:rPr>
                <w:sz w:val="20"/>
                <w:szCs w:val="20"/>
                <w:color w:val="auto"/>
              </w:rPr>
            </w:pPr>
            <w:r>
              <w:rPr>
                <w:rFonts w:ascii="Arial" w:cs="Arial" w:eastAsia="Arial" w:hAnsi="Arial"/>
                <w:sz w:val="18"/>
                <w:szCs w:val="18"/>
                <w:b w:val="1"/>
                <w:bCs w:val="1"/>
                <w:color w:val="auto"/>
              </w:rPr>
              <w:t>HMBS-Related</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backed</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MSRs</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Mortgages</w:t>
            </w:r>
          </w:p>
        </w:tc>
        <w:tc>
          <w:tcPr>
            <w:tcW w:w="14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Borrowings</w:t>
            </w:r>
          </w:p>
        </w:tc>
        <w:tc>
          <w:tcPr>
            <w:tcW w:w="14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Securities</w:t>
            </w:r>
          </w:p>
        </w:tc>
        <w:tc>
          <w:tcPr>
            <w:tcW w:w="160" w:type="dxa"/>
            <w:vAlign w:val="bottom"/>
          </w:tcPr>
          <w:p>
            <w:pPr>
              <w:spacing w:after="0"/>
              <w:rPr>
                <w:sz w:val="20"/>
                <w:szCs w:val="20"/>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Pledged</w:t>
            </w:r>
          </w:p>
        </w:tc>
        <w:tc>
          <w:tcPr>
            <w:tcW w:w="16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Derivatives</w:t>
            </w:r>
          </w:p>
        </w:tc>
        <w:tc>
          <w:tcPr>
            <w:tcW w:w="18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Arial" w:cs="Arial" w:eastAsia="Arial" w:hAnsi="Arial"/>
                <w:sz w:val="18"/>
                <w:szCs w:val="18"/>
                <w:b w:val="1"/>
                <w:bCs w:val="1"/>
                <w:color w:val="auto"/>
              </w:rPr>
              <w:t>MSRs</w:t>
            </w: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252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w w:val="88"/>
              </w:rPr>
              <w:t>Six months ended June 30, 2016</w:t>
            </w: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52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244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520" w:type="dxa"/>
            <w:vAlign w:val="bottom"/>
            <w:tcBorders>
              <w:bottom w:val="single" w:sz="8" w:color="EAF9E8"/>
            </w:tcBorders>
            <w:gridSpan w:val="3"/>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w:t>
            </w: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2,488,253</w:t>
            </w: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(2,391,362)</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7,985</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(541,704)</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2,042</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761,190</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326,404</w:t>
            </w:r>
          </w:p>
        </w:tc>
        <w:tc>
          <w:tcPr>
            <w:tcW w:w="0" w:type="dxa"/>
            <w:vAlign w:val="bottom"/>
          </w:tcPr>
          <w:p>
            <w:pPr>
              <w:spacing w:after="0"/>
              <w:rPr>
                <w:sz w:val="1"/>
                <w:szCs w:val="1"/>
                <w:color w:val="auto"/>
              </w:rPr>
            </w:pPr>
          </w:p>
        </w:tc>
      </w:tr>
      <w:tr>
        <w:trPr>
          <w:trHeight w:val="229"/>
        </w:trPr>
        <w:tc>
          <w:tcPr>
            <w:tcW w:w="2520" w:type="dxa"/>
            <w:vAlign w:val="bottom"/>
            <w:gridSpan w:val="3"/>
          </w:tcPr>
          <w:p>
            <w:pPr>
              <w:ind w:left="40"/>
              <w:spacing w:after="0"/>
              <w:rPr>
                <w:sz w:val="20"/>
                <w:szCs w:val="20"/>
                <w:color w:val="auto"/>
              </w:rPr>
            </w:pPr>
            <w:r>
              <w:rPr>
                <w:rFonts w:ascii="Arial" w:cs="Arial" w:eastAsia="Arial" w:hAnsi="Arial"/>
                <w:sz w:val="18"/>
                <w:szCs w:val="18"/>
                <w:color w:val="auto"/>
                <w:w w:val="93"/>
              </w:rPr>
              <w:t>Purchases, issuances, sales and</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2480" w:type="dxa"/>
            <w:vAlign w:val="bottom"/>
            <w:gridSpan w:val="2"/>
          </w:tcPr>
          <w:p>
            <w:pPr>
              <w:ind w:left="160"/>
              <w:spacing w:after="0"/>
              <w:rPr>
                <w:sz w:val="20"/>
                <w:szCs w:val="20"/>
                <w:color w:val="auto"/>
              </w:rPr>
            </w:pPr>
            <w:r>
              <w:rPr>
                <w:rFonts w:ascii="Arial" w:cs="Arial" w:eastAsia="Arial" w:hAnsi="Arial"/>
                <w:sz w:val="18"/>
                <w:szCs w:val="18"/>
                <w:color w:val="auto"/>
              </w:rPr>
              <w:t>settlements:</w:t>
            </w: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2480" w:type="dxa"/>
            <w:vAlign w:val="bottom"/>
            <w:tcBorders>
              <w:bottom w:val="single" w:sz="8" w:color="EAF9E8"/>
            </w:tcBorders>
            <w:gridSpan w:val="2"/>
            <w:shd w:val="clear" w:color="auto" w:fill="EAF9E8"/>
          </w:tcPr>
          <w:p>
            <w:pPr>
              <w:ind w:left="240"/>
              <w:spacing w:after="0"/>
              <w:rPr>
                <w:sz w:val="20"/>
                <w:szCs w:val="20"/>
                <w:color w:val="auto"/>
              </w:rPr>
            </w:pPr>
            <w:r>
              <w:rPr>
                <w:rFonts w:ascii="Arial" w:cs="Arial" w:eastAsia="Arial" w:hAnsi="Arial"/>
                <w:sz w:val="18"/>
                <w:szCs w:val="18"/>
                <w:color w:val="auto"/>
              </w:rPr>
              <w:t>Purchases</w:t>
            </w:r>
          </w:p>
        </w:tc>
        <w:tc>
          <w:tcPr>
            <w:tcW w:w="14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144</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9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480" w:type="dxa"/>
            <w:vAlign w:val="bottom"/>
            <w:gridSpan w:val="2"/>
          </w:tcPr>
          <w:p>
            <w:pPr>
              <w:ind w:left="240"/>
              <w:spacing w:after="0"/>
              <w:rPr>
                <w:sz w:val="20"/>
                <w:szCs w:val="20"/>
                <w:color w:val="auto"/>
              </w:rPr>
            </w:pPr>
            <w:r>
              <w:rPr>
                <w:rFonts w:ascii="Arial" w:cs="Arial" w:eastAsia="Arial" w:hAnsi="Arial"/>
                <w:sz w:val="18"/>
                <w:szCs w:val="18"/>
                <w:color w:val="auto"/>
              </w:rPr>
              <w:t>Issuances</w:t>
            </w:r>
          </w:p>
        </w:tc>
        <w:tc>
          <w:tcPr>
            <w:tcW w:w="1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675,665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(522,981)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(1,275)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151,409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2480" w:type="dxa"/>
            <w:vAlign w:val="bottom"/>
            <w:tcBorders>
              <w:bottom w:val="single" w:sz="8" w:color="EAF9E8"/>
            </w:tcBorders>
            <w:gridSpan w:val="2"/>
            <w:shd w:val="clear" w:color="auto" w:fill="EAF9E8"/>
          </w:tcPr>
          <w:p>
            <w:pPr>
              <w:ind w:left="240"/>
              <w:spacing w:after="0"/>
              <w:rPr>
                <w:sz w:val="20"/>
                <w:szCs w:val="20"/>
                <w:color w:val="auto"/>
              </w:rPr>
            </w:pPr>
            <w:r>
              <w:rPr>
                <w:rFonts w:ascii="Arial" w:cs="Arial" w:eastAsia="Arial" w:hAnsi="Arial"/>
                <w:sz w:val="18"/>
                <w:szCs w:val="18"/>
                <w:color w:val="auto"/>
              </w:rPr>
              <w:t>Sales</w:t>
            </w:r>
          </w:p>
        </w:tc>
        <w:tc>
          <w:tcPr>
            <w:tcW w:w="14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8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480" w:type="dxa"/>
            <w:vAlign w:val="bottom"/>
            <w:gridSpan w:val="2"/>
          </w:tcPr>
          <w:p>
            <w:pPr>
              <w:ind w:left="240"/>
              <w:spacing w:after="0"/>
              <w:rPr>
                <w:sz w:val="20"/>
                <w:szCs w:val="20"/>
                <w:color w:val="auto"/>
              </w:rPr>
            </w:pPr>
            <w:r>
              <w:rPr>
                <w:rFonts w:ascii="Arial" w:cs="Arial" w:eastAsia="Arial" w:hAnsi="Arial"/>
                <w:sz w:val="18"/>
                <w:szCs w:val="18"/>
                <w:color w:val="auto"/>
              </w:rPr>
              <w:t>Settlements (1)</w:t>
            </w: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(238,838)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98,876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46,578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(93,465)</w:t>
            </w:r>
          </w:p>
        </w:tc>
        <w:tc>
          <w:tcPr>
            <w:tcW w:w="0" w:type="dxa"/>
            <w:vAlign w:val="bottom"/>
          </w:tcPr>
          <w:p>
            <w:pPr>
              <w:spacing w:after="0"/>
              <w:rPr>
                <w:sz w:val="1"/>
                <w:szCs w:val="1"/>
                <w:color w:val="auto"/>
              </w:rPr>
            </w:pPr>
          </w:p>
        </w:tc>
      </w:tr>
      <w:tr>
        <w:trPr>
          <w:trHeight w:val="27"/>
        </w:trPr>
        <w:tc>
          <w:tcPr>
            <w:tcW w:w="40" w:type="dxa"/>
            <w:vAlign w:val="bottom"/>
            <w:tcBorders>
              <w:bottom w:val="single" w:sz="8" w:color="EAF9E8"/>
            </w:tcBorders>
          </w:tcPr>
          <w:p>
            <w:pPr>
              <w:spacing w:after="0"/>
              <w:rPr>
                <w:sz w:val="2"/>
                <w:szCs w:val="2"/>
                <w:color w:val="auto"/>
              </w:rPr>
            </w:pPr>
          </w:p>
        </w:tc>
        <w:tc>
          <w:tcPr>
            <w:tcW w:w="2440" w:type="dxa"/>
            <w:vAlign w:val="bottom"/>
            <w:tcBorders>
              <w:bottom w:val="single" w:sz="8" w:color="EAF9E8"/>
            </w:tcBorders>
          </w:tcPr>
          <w:p>
            <w:pPr>
              <w:spacing w:after="0"/>
              <w:rPr>
                <w:sz w:val="2"/>
                <w:szCs w:val="2"/>
                <w:color w:val="auto"/>
              </w:rPr>
            </w:pPr>
          </w:p>
        </w:tc>
        <w:tc>
          <w:tcPr>
            <w:tcW w:w="4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EAF9E8"/>
            </w:tcBorders>
            <w:shd w:val="clear" w:color="auto" w:fill="EAF9E8"/>
          </w:tcPr>
          <w:p>
            <w:pPr>
              <w:spacing w:after="0"/>
              <w:rPr>
                <w:sz w:val="22"/>
                <w:szCs w:val="22"/>
                <w:color w:val="auto"/>
              </w:rPr>
            </w:pPr>
          </w:p>
        </w:tc>
        <w:tc>
          <w:tcPr>
            <w:tcW w:w="2440" w:type="dxa"/>
            <w:vAlign w:val="bottom"/>
            <w:tcBorders>
              <w:bottom w:val="single" w:sz="8" w:color="EAF9E8"/>
            </w:tcBorders>
            <w:shd w:val="clear" w:color="auto" w:fill="EAF9E8"/>
          </w:tcPr>
          <w:p>
            <w:pPr>
              <w:spacing w:after="0"/>
              <w:rPr>
                <w:sz w:val="22"/>
                <w:szCs w:val="22"/>
                <w:color w:val="auto"/>
              </w:rPr>
            </w:pPr>
          </w:p>
        </w:tc>
        <w:tc>
          <w:tcPr>
            <w:tcW w:w="4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436,827</w:t>
            </w:r>
          </w:p>
        </w:tc>
        <w:tc>
          <w:tcPr>
            <w:tcW w:w="1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(424,105)</w:t>
            </w:r>
          </w:p>
        </w:tc>
        <w:tc>
          <w:tcPr>
            <w:tcW w:w="1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2"/>
                <w:szCs w:val="22"/>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46,578</w:t>
            </w: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8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(1,418)</w:t>
            </w:r>
          </w:p>
        </w:tc>
        <w:tc>
          <w:tcPr>
            <w:tcW w:w="10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EAF9E8"/>
            </w:tcBorders>
            <w:shd w:val="clear" w:color="auto" w:fill="EAF9E8"/>
          </w:tcPr>
          <w:p>
            <w:pPr>
              <w:spacing w:after="0"/>
              <w:rPr>
                <w:sz w:val="22"/>
                <w:szCs w:val="22"/>
                <w:color w:val="auto"/>
              </w:rPr>
            </w:pP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57,945</w:t>
            </w:r>
          </w:p>
        </w:tc>
        <w:tc>
          <w:tcPr>
            <w:tcW w:w="0" w:type="dxa"/>
            <w:vAlign w:val="bottom"/>
          </w:tcPr>
          <w:p>
            <w:pPr>
              <w:spacing w:after="0"/>
              <w:rPr>
                <w:sz w:val="1"/>
                <w:szCs w:val="1"/>
                <w:color w:val="auto"/>
              </w:rPr>
            </w:pPr>
          </w:p>
        </w:tc>
      </w:tr>
      <w:tr>
        <w:trPr>
          <w:trHeight w:val="209"/>
        </w:trPr>
        <w:tc>
          <w:tcPr>
            <w:tcW w:w="2520" w:type="dxa"/>
            <w:vAlign w:val="bottom"/>
            <w:gridSpan w:val="3"/>
          </w:tcPr>
          <w:p>
            <w:pPr>
              <w:ind w:left="40"/>
              <w:spacing w:after="0"/>
              <w:rPr>
                <w:sz w:val="20"/>
                <w:szCs w:val="20"/>
                <w:color w:val="auto"/>
              </w:rPr>
            </w:pPr>
            <w:r>
              <w:rPr>
                <w:rFonts w:ascii="Arial" w:cs="Arial" w:eastAsia="Arial" w:hAnsi="Arial"/>
                <w:sz w:val="18"/>
                <w:szCs w:val="18"/>
                <w:color w:val="auto"/>
              </w:rPr>
              <w:t>Total realized and unrealized</w:t>
            </w: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2480" w:type="dxa"/>
            <w:vAlign w:val="bottom"/>
            <w:gridSpan w:val="2"/>
          </w:tcPr>
          <w:p>
            <w:pPr>
              <w:ind w:left="160"/>
              <w:spacing w:after="0"/>
              <w:rPr>
                <w:sz w:val="20"/>
                <w:szCs w:val="20"/>
                <w:color w:val="auto"/>
              </w:rPr>
            </w:pPr>
            <w:r>
              <w:rPr>
                <w:rFonts w:ascii="Arial" w:cs="Arial" w:eastAsia="Arial" w:hAnsi="Arial"/>
                <w:sz w:val="18"/>
                <w:szCs w:val="18"/>
                <w:color w:val="auto"/>
              </w:rPr>
              <w:t>gains and (losses): (2)</w:t>
            </w: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2480" w:type="dxa"/>
            <w:vAlign w:val="bottom"/>
            <w:tcBorders>
              <w:bottom w:val="single" w:sz="8" w:color="EAF9E8"/>
            </w:tcBorders>
            <w:gridSpan w:val="2"/>
            <w:shd w:val="clear" w:color="auto" w:fill="EAF9E8"/>
          </w:tcPr>
          <w:p>
            <w:pPr>
              <w:ind w:left="240"/>
              <w:spacing w:after="0"/>
              <w:rPr>
                <w:sz w:val="20"/>
                <w:szCs w:val="20"/>
                <w:color w:val="auto"/>
              </w:rPr>
            </w:pPr>
            <w:r>
              <w:rPr>
                <w:rFonts w:ascii="Arial" w:cs="Arial" w:eastAsia="Arial" w:hAnsi="Arial"/>
                <w:sz w:val="18"/>
                <w:szCs w:val="18"/>
                <w:color w:val="auto"/>
              </w:rPr>
              <w:t>Included in earnings</w:t>
            </w:r>
          </w:p>
        </w:tc>
        <w:tc>
          <w:tcPr>
            <w:tcW w:w="1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132,484</w:t>
            </w: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(120,461)</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1,078</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(1,905)</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8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(59,104)</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(47,908)</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480" w:type="dxa"/>
            <w:vAlign w:val="bottom"/>
            <w:gridSpan w:val="2"/>
          </w:tcPr>
          <w:p>
            <w:pPr>
              <w:ind w:left="240"/>
              <w:spacing w:after="0"/>
              <w:rPr>
                <w:sz w:val="20"/>
                <w:szCs w:val="20"/>
                <w:color w:val="auto"/>
              </w:rPr>
            </w:pPr>
            <w:r>
              <w:rPr>
                <w:rFonts w:ascii="Arial" w:cs="Arial" w:eastAsia="Arial" w:hAnsi="Arial"/>
                <w:sz w:val="18"/>
                <w:szCs w:val="18"/>
                <w:color w:val="auto"/>
              </w:rPr>
              <w:t>Included in Other</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480" w:type="dxa"/>
            <w:vAlign w:val="bottom"/>
            <w:gridSpan w:val="2"/>
          </w:tcPr>
          <w:p>
            <w:pPr>
              <w:ind w:left="400"/>
              <w:spacing w:after="0"/>
              <w:rPr>
                <w:sz w:val="20"/>
                <w:szCs w:val="20"/>
                <w:color w:val="auto"/>
              </w:rPr>
            </w:pPr>
            <w:r>
              <w:rPr>
                <w:rFonts w:ascii="Arial" w:cs="Arial" w:eastAsia="Arial" w:hAnsi="Arial"/>
                <w:sz w:val="18"/>
                <w:szCs w:val="18"/>
                <w:color w:val="auto"/>
              </w:rPr>
              <w:t>comprehensive income</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2480" w:type="dxa"/>
            <w:vAlign w:val="bottom"/>
            <w:gridSpan w:val="2"/>
          </w:tcPr>
          <w:p>
            <w:pPr>
              <w:ind w:left="400"/>
              <w:spacing w:after="0"/>
              <w:rPr>
                <w:sz w:val="20"/>
                <w:szCs w:val="20"/>
                <w:color w:val="auto"/>
              </w:rPr>
            </w:pPr>
            <w:r>
              <w:rPr>
                <w:rFonts w:ascii="Arial" w:cs="Arial" w:eastAsia="Arial" w:hAnsi="Arial"/>
                <w:sz w:val="18"/>
                <w:szCs w:val="18"/>
                <w:color w:val="auto"/>
              </w:rPr>
              <w:t>(loss)</w:t>
            </w:r>
          </w:p>
        </w:tc>
        <w:tc>
          <w:tcPr>
            <w:tcW w:w="14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EAF9E8"/>
            </w:tcBorders>
          </w:tcPr>
          <w:p>
            <w:pPr>
              <w:spacing w:after="0"/>
              <w:rPr>
                <w:sz w:val="2"/>
                <w:szCs w:val="2"/>
                <w:color w:val="auto"/>
              </w:rPr>
            </w:pPr>
          </w:p>
        </w:tc>
        <w:tc>
          <w:tcPr>
            <w:tcW w:w="2440" w:type="dxa"/>
            <w:vAlign w:val="bottom"/>
            <w:tcBorders>
              <w:bottom w:val="single" w:sz="8" w:color="EAF9E8"/>
            </w:tcBorders>
          </w:tcPr>
          <w:p>
            <w:pPr>
              <w:spacing w:after="0"/>
              <w:rPr>
                <w:sz w:val="2"/>
                <w:szCs w:val="2"/>
                <w:color w:val="auto"/>
              </w:rPr>
            </w:pPr>
          </w:p>
        </w:tc>
        <w:tc>
          <w:tcPr>
            <w:tcW w:w="4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EAF9E8"/>
            </w:tcBorders>
            <w:shd w:val="clear" w:color="auto" w:fill="EAF9E8"/>
          </w:tcPr>
          <w:p>
            <w:pPr>
              <w:spacing w:after="0"/>
              <w:rPr>
                <w:sz w:val="22"/>
                <w:szCs w:val="22"/>
                <w:color w:val="auto"/>
              </w:rPr>
            </w:pPr>
          </w:p>
        </w:tc>
        <w:tc>
          <w:tcPr>
            <w:tcW w:w="2440" w:type="dxa"/>
            <w:vAlign w:val="bottom"/>
            <w:tcBorders>
              <w:bottom w:val="single" w:sz="8" w:color="EAF9E8"/>
            </w:tcBorders>
            <w:shd w:val="clear" w:color="auto" w:fill="EAF9E8"/>
          </w:tcPr>
          <w:p>
            <w:pPr>
              <w:spacing w:after="0"/>
              <w:rPr>
                <w:sz w:val="22"/>
                <w:szCs w:val="22"/>
                <w:color w:val="auto"/>
              </w:rPr>
            </w:pPr>
          </w:p>
        </w:tc>
        <w:tc>
          <w:tcPr>
            <w:tcW w:w="4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132,484</w:t>
            </w:r>
          </w:p>
        </w:tc>
        <w:tc>
          <w:tcPr>
            <w:tcW w:w="1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(120,461)</w:t>
            </w:r>
          </w:p>
        </w:tc>
        <w:tc>
          <w:tcPr>
            <w:tcW w:w="1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0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1,078</w:t>
            </w: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spacing w:after="0"/>
              <w:rPr>
                <w:sz w:val="22"/>
                <w:szCs w:val="22"/>
                <w:color w:val="auto"/>
              </w:rPr>
            </w:pPr>
          </w:p>
        </w:tc>
        <w:tc>
          <w:tcPr>
            <w:tcW w:w="10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(1,905)</w:t>
            </w:r>
          </w:p>
        </w:tc>
        <w:tc>
          <w:tcPr>
            <w:tcW w:w="12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8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(59,104)</w:t>
            </w:r>
          </w:p>
        </w:tc>
        <w:tc>
          <w:tcPr>
            <w:tcW w:w="10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EAF9E8"/>
            </w:tcBorders>
            <w:shd w:val="clear" w:color="auto" w:fill="EAF9E8"/>
          </w:tcPr>
          <w:p>
            <w:pPr>
              <w:spacing w:after="0"/>
              <w:rPr>
                <w:sz w:val="22"/>
                <w:szCs w:val="22"/>
                <w:color w:val="auto"/>
              </w:rPr>
            </w:pPr>
          </w:p>
        </w:tc>
        <w:tc>
          <w:tcPr>
            <w:tcW w:w="9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(47,908)</w:t>
            </w:r>
          </w:p>
        </w:tc>
        <w:tc>
          <w:tcPr>
            <w:tcW w:w="0" w:type="dxa"/>
            <w:vAlign w:val="bottom"/>
          </w:tcPr>
          <w:p>
            <w:pPr>
              <w:spacing w:after="0"/>
              <w:rPr>
                <w:sz w:val="1"/>
                <w:szCs w:val="1"/>
                <w:color w:val="auto"/>
              </w:rPr>
            </w:pPr>
          </w:p>
        </w:tc>
      </w:tr>
      <w:tr>
        <w:trPr>
          <w:trHeight w:val="209"/>
        </w:trPr>
        <w:tc>
          <w:tcPr>
            <w:tcW w:w="2520" w:type="dxa"/>
            <w:vAlign w:val="bottom"/>
            <w:gridSpan w:val="3"/>
          </w:tcPr>
          <w:p>
            <w:pPr>
              <w:ind w:left="40"/>
              <w:spacing w:after="0"/>
              <w:rPr>
                <w:sz w:val="20"/>
                <w:szCs w:val="20"/>
                <w:color w:val="auto"/>
              </w:rPr>
            </w:pPr>
            <w:r>
              <w:rPr>
                <w:rFonts w:ascii="Arial" w:cs="Arial" w:eastAsia="Arial" w:hAnsi="Arial"/>
                <w:sz w:val="18"/>
                <w:szCs w:val="18"/>
                <w:color w:val="auto"/>
                <w:w w:val="94"/>
              </w:rPr>
              <w:t>Transfers in and / or out of Level</w:t>
            </w: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80" w:type="dxa"/>
            <w:vAlign w:val="bottom"/>
            <w:gridSpan w:val="2"/>
          </w:tcPr>
          <w:p>
            <w:pPr>
              <w:ind w:left="200"/>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EAF9E8"/>
            </w:tcBorders>
          </w:tcPr>
          <w:p>
            <w:pPr>
              <w:spacing w:after="0"/>
              <w:rPr>
                <w:sz w:val="2"/>
                <w:szCs w:val="2"/>
                <w:color w:val="auto"/>
              </w:rPr>
            </w:pPr>
          </w:p>
        </w:tc>
        <w:tc>
          <w:tcPr>
            <w:tcW w:w="2440" w:type="dxa"/>
            <w:vAlign w:val="bottom"/>
            <w:tcBorders>
              <w:bottom w:val="single" w:sz="8" w:color="EAF9E8"/>
            </w:tcBorders>
          </w:tcPr>
          <w:p>
            <w:pPr>
              <w:spacing w:after="0"/>
              <w:rPr>
                <w:sz w:val="2"/>
                <w:szCs w:val="2"/>
                <w:color w:val="auto"/>
              </w:rPr>
            </w:pPr>
          </w:p>
        </w:tc>
        <w:tc>
          <w:tcPr>
            <w:tcW w:w="4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520" w:type="dxa"/>
            <w:vAlign w:val="bottom"/>
            <w:tcBorders>
              <w:bottom w:val="single" w:sz="8" w:color="EAF9E8"/>
            </w:tcBorders>
            <w:gridSpan w:val="3"/>
            <w:shd w:val="clear" w:color="auto" w:fill="EAF9E8"/>
          </w:tcPr>
          <w:p>
            <w:pPr>
              <w:ind w:left="40"/>
              <w:spacing w:after="0"/>
              <w:rPr>
                <w:sz w:val="20"/>
                <w:szCs w:val="20"/>
                <w:color w:val="auto"/>
              </w:rPr>
            </w:pPr>
            <w:r>
              <w:rPr>
                <w:rFonts w:ascii="Arial" w:cs="Arial" w:eastAsia="Arial" w:hAnsi="Arial"/>
                <w:sz w:val="18"/>
                <w:szCs w:val="18"/>
                <w:b w:val="1"/>
                <w:bCs w:val="1"/>
                <w:color w:val="auto"/>
              </w:rPr>
              <w:t>Ending Balance</w:t>
            </w:r>
          </w:p>
        </w:tc>
        <w:tc>
          <w:tcPr>
            <w:tcW w:w="1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3,057,564</w:t>
            </w:r>
          </w:p>
        </w:tc>
        <w:tc>
          <w:tcPr>
            <w:tcW w:w="1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(2,935,928)</w:t>
            </w:r>
          </w:p>
        </w:tc>
        <w:tc>
          <w:tcPr>
            <w:tcW w:w="1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9,063</w:t>
            </w: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(495,126)</w:t>
            </w: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700,668</w:t>
            </w:r>
          </w:p>
        </w:tc>
        <w:tc>
          <w:tcPr>
            <w:tcW w:w="10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336,441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8"/>
        </w:trPr>
        <w:tc>
          <w:tcPr>
            <w:tcW w:w="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2"/>
              </w:rPr>
              <w:t>Loans Held for</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Financing</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Investment -</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Mortgage-</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8"/>
              </w:rPr>
              <w:t>Liability -</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Reverse</w:t>
            </w:r>
          </w:p>
        </w:tc>
        <w:tc>
          <w:tcPr>
            <w:tcW w:w="1360" w:type="dxa"/>
            <w:vAlign w:val="bottom"/>
            <w:gridSpan w:val="3"/>
          </w:tcPr>
          <w:p>
            <w:pPr>
              <w:ind w:left="40"/>
              <w:spacing w:after="0"/>
              <w:rPr>
                <w:sz w:val="20"/>
                <w:szCs w:val="20"/>
                <w:color w:val="auto"/>
              </w:rPr>
            </w:pPr>
            <w:r>
              <w:rPr>
                <w:rFonts w:ascii="Arial" w:cs="Arial" w:eastAsia="Arial" w:hAnsi="Arial"/>
                <w:sz w:val="18"/>
                <w:szCs w:val="18"/>
                <w:b w:val="1"/>
                <w:bCs w:val="1"/>
                <w:color w:val="auto"/>
              </w:rPr>
              <w:t>HMBS-Related</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backed</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MSRs</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Mortgages</w:t>
            </w:r>
          </w:p>
        </w:tc>
        <w:tc>
          <w:tcPr>
            <w:tcW w:w="14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Borrowings</w:t>
            </w:r>
          </w:p>
        </w:tc>
        <w:tc>
          <w:tcPr>
            <w:tcW w:w="14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Securities</w:t>
            </w:r>
          </w:p>
        </w:tc>
        <w:tc>
          <w:tcPr>
            <w:tcW w:w="160" w:type="dxa"/>
            <w:vAlign w:val="bottom"/>
          </w:tcPr>
          <w:p>
            <w:pPr>
              <w:spacing w:after="0"/>
              <w:rPr>
                <w:sz w:val="20"/>
                <w:szCs w:val="20"/>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Pledged</w:t>
            </w:r>
          </w:p>
        </w:tc>
        <w:tc>
          <w:tcPr>
            <w:tcW w:w="16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Derivatives</w:t>
            </w:r>
          </w:p>
        </w:tc>
        <w:tc>
          <w:tcPr>
            <w:tcW w:w="18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Arial" w:cs="Arial" w:eastAsia="Arial" w:hAnsi="Arial"/>
                <w:sz w:val="18"/>
                <w:szCs w:val="18"/>
                <w:b w:val="1"/>
                <w:bCs w:val="1"/>
                <w:color w:val="auto"/>
              </w:rPr>
              <w:t>MSRs</w:t>
            </w: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252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w w:val="88"/>
              </w:rPr>
              <w:t>Six months ended June 30, 2015</w:t>
            </w: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52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244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520" w:type="dxa"/>
            <w:vAlign w:val="bottom"/>
            <w:tcBorders>
              <w:bottom w:val="single" w:sz="8" w:color="EAF9E8"/>
            </w:tcBorders>
            <w:gridSpan w:val="3"/>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w:t>
            </w: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1,550,141</w:t>
            </w: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(1,444,252)</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7,335</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(614,441)</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567</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93,901</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(406,749)</w:t>
            </w:r>
          </w:p>
        </w:tc>
        <w:tc>
          <w:tcPr>
            <w:tcW w:w="0" w:type="dxa"/>
            <w:vAlign w:val="bottom"/>
          </w:tcPr>
          <w:p>
            <w:pPr>
              <w:spacing w:after="0"/>
              <w:rPr>
                <w:sz w:val="1"/>
                <w:szCs w:val="1"/>
                <w:color w:val="auto"/>
              </w:rPr>
            </w:pPr>
          </w:p>
        </w:tc>
      </w:tr>
      <w:tr>
        <w:trPr>
          <w:trHeight w:val="229"/>
        </w:trPr>
        <w:tc>
          <w:tcPr>
            <w:tcW w:w="2520" w:type="dxa"/>
            <w:vAlign w:val="bottom"/>
            <w:gridSpan w:val="3"/>
          </w:tcPr>
          <w:p>
            <w:pPr>
              <w:ind w:left="40"/>
              <w:spacing w:after="0"/>
              <w:rPr>
                <w:sz w:val="20"/>
                <w:szCs w:val="20"/>
                <w:color w:val="auto"/>
              </w:rPr>
            </w:pPr>
            <w:r>
              <w:rPr>
                <w:rFonts w:ascii="Arial" w:cs="Arial" w:eastAsia="Arial" w:hAnsi="Arial"/>
                <w:sz w:val="18"/>
                <w:szCs w:val="18"/>
                <w:color w:val="auto"/>
                <w:w w:val="93"/>
              </w:rPr>
              <w:t>Purchases, issuances, sales and</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2480" w:type="dxa"/>
            <w:vAlign w:val="bottom"/>
            <w:gridSpan w:val="2"/>
          </w:tcPr>
          <w:p>
            <w:pPr>
              <w:ind w:left="160"/>
              <w:spacing w:after="0"/>
              <w:rPr>
                <w:sz w:val="20"/>
                <w:szCs w:val="20"/>
                <w:color w:val="auto"/>
              </w:rPr>
            </w:pPr>
            <w:r>
              <w:rPr>
                <w:rFonts w:ascii="Arial" w:cs="Arial" w:eastAsia="Arial" w:hAnsi="Arial"/>
                <w:sz w:val="18"/>
                <w:szCs w:val="18"/>
                <w:color w:val="auto"/>
              </w:rPr>
              <w:t>settlements:</w:t>
            </w: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2480" w:type="dxa"/>
            <w:vAlign w:val="bottom"/>
            <w:tcBorders>
              <w:bottom w:val="single" w:sz="8" w:color="EAF9E8"/>
            </w:tcBorders>
            <w:gridSpan w:val="2"/>
            <w:shd w:val="clear" w:color="auto" w:fill="EAF9E8"/>
          </w:tcPr>
          <w:p>
            <w:pPr>
              <w:ind w:left="240"/>
              <w:spacing w:after="0"/>
              <w:rPr>
                <w:sz w:val="20"/>
                <w:szCs w:val="20"/>
                <w:color w:val="auto"/>
              </w:rPr>
            </w:pPr>
            <w:r>
              <w:rPr>
                <w:rFonts w:ascii="Arial" w:cs="Arial" w:eastAsia="Arial" w:hAnsi="Arial"/>
                <w:sz w:val="18"/>
                <w:szCs w:val="18"/>
                <w:color w:val="auto"/>
              </w:rPr>
              <w:t>Purchases</w:t>
            </w:r>
          </w:p>
        </w:tc>
        <w:tc>
          <w:tcPr>
            <w:tcW w:w="14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116</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9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480" w:type="dxa"/>
            <w:vAlign w:val="bottom"/>
            <w:gridSpan w:val="2"/>
          </w:tcPr>
          <w:p>
            <w:pPr>
              <w:ind w:left="240"/>
              <w:spacing w:after="0"/>
              <w:rPr>
                <w:sz w:val="20"/>
                <w:szCs w:val="20"/>
                <w:color w:val="auto"/>
              </w:rPr>
            </w:pPr>
            <w:r>
              <w:rPr>
                <w:rFonts w:ascii="Arial" w:cs="Arial" w:eastAsia="Arial" w:hAnsi="Arial"/>
                <w:sz w:val="18"/>
                <w:szCs w:val="18"/>
                <w:color w:val="auto"/>
              </w:rPr>
              <w:t>Issuances</w:t>
            </w:r>
          </w:p>
        </w:tc>
        <w:tc>
          <w:tcPr>
            <w:tcW w:w="1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530,402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(532,856)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(1,139)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(3,593)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 w:type="dxa"/>
            <w:vAlign w:val="bottom"/>
            <w:shd w:val="clear" w:color="auto" w:fill="EAF9E8"/>
          </w:tcPr>
          <w:p>
            <w:pPr>
              <w:spacing w:after="0"/>
              <w:rPr>
                <w:sz w:val="19"/>
                <w:szCs w:val="19"/>
                <w:color w:val="auto"/>
              </w:rPr>
            </w:pPr>
          </w:p>
        </w:tc>
        <w:tc>
          <w:tcPr>
            <w:tcW w:w="2480" w:type="dxa"/>
            <w:vAlign w:val="bottom"/>
            <w:gridSpan w:val="2"/>
            <w:shd w:val="clear" w:color="auto" w:fill="EAF9E8"/>
          </w:tcPr>
          <w:p>
            <w:pPr>
              <w:ind w:left="240"/>
              <w:spacing w:after="0"/>
              <w:rPr>
                <w:sz w:val="20"/>
                <w:szCs w:val="20"/>
                <w:color w:val="auto"/>
              </w:rPr>
            </w:pPr>
            <w:r>
              <w:rPr>
                <w:rFonts w:ascii="Arial" w:cs="Arial" w:eastAsia="Arial" w:hAnsi="Arial"/>
                <w:sz w:val="18"/>
                <w:szCs w:val="18"/>
                <w:color w:val="auto"/>
              </w:rPr>
              <w:t>Transfer from MSRs, at</w:t>
            </w:r>
          </w:p>
        </w:tc>
        <w:tc>
          <w:tcPr>
            <w:tcW w:w="140" w:type="dxa"/>
            <w:vAlign w:val="bottom"/>
            <w:shd w:val="clear" w:color="auto" w:fill="EAF9E8"/>
          </w:tcPr>
          <w:p>
            <w:pPr>
              <w:spacing w:after="0"/>
              <w:rPr>
                <w:sz w:val="19"/>
                <w:szCs w:val="19"/>
                <w:color w:val="auto"/>
              </w:rPr>
            </w:pPr>
          </w:p>
        </w:tc>
        <w:tc>
          <w:tcPr>
            <w:tcW w:w="11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8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90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EAF9E8"/>
            </w:tcBorders>
            <w:shd w:val="clear" w:color="auto" w:fill="EAF9E8"/>
          </w:tcPr>
          <w:p>
            <w:pPr>
              <w:spacing w:after="0"/>
              <w:rPr>
                <w:sz w:val="20"/>
                <w:szCs w:val="20"/>
                <w:color w:val="auto"/>
              </w:rPr>
            </w:pPr>
          </w:p>
        </w:tc>
        <w:tc>
          <w:tcPr>
            <w:tcW w:w="2480" w:type="dxa"/>
            <w:vAlign w:val="bottom"/>
            <w:tcBorders>
              <w:bottom w:val="single" w:sz="8" w:color="EAF9E8"/>
            </w:tcBorders>
            <w:gridSpan w:val="2"/>
            <w:shd w:val="clear" w:color="auto" w:fill="EAF9E8"/>
          </w:tcPr>
          <w:p>
            <w:pPr>
              <w:ind w:left="400"/>
              <w:spacing w:after="0"/>
              <w:rPr>
                <w:sz w:val="20"/>
                <w:szCs w:val="20"/>
                <w:color w:val="auto"/>
              </w:rPr>
            </w:pPr>
            <w:r>
              <w:rPr>
                <w:rFonts w:ascii="Arial" w:cs="Arial" w:eastAsia="Arial" w:hAnsi="Arial"/>
                <w:sz w:val="18"/>
                <w:szCs w:val="18"/>
                <w:color w:val="auto"/>
              </w:rPr>
              <w:t>amortized cost</w:t>
            </w:r>
          </w:p>
        </w:tc>
        <w:tc>
          <w:tcPr>
            <w:tcW w:w="140" w:type="dxa"/>
            <w:vAlign w:val="bottom"/>
            <w:tcBorders>
              <w:bottom w:val="single" w:sz="8" w:color="EAF9E8"/>
            </w:tcBorders>
            <w:shd w:val="clear" w:color="auto" w:fill="EAF9E8"/>
          </w:tcPr>
          <w:p>
            <w:pPr>
              <w:spacing w:after="0"/>
              <w:rPr>
                <w:sz w:val="20"/>
                <w:szCs w:val="20"/>
                <w:color w:val="auto"/>
              </w:rPr>
            </w:pPr>
          </w:p>
        </w:tc>
        <w:tc>
          <w:tcPr>
            <w:tcW w:w="128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0"/>
                <w:szCs w:val="20"/>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0"/>
                <w:szCs w:val="20"/>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0"/>
                <w:szCs w:val="20"/>
                <w:color w:val="auto"/>
              </w:rPr>
            </w:pPr>
          </w:p>
        </w:tc>
        <w:tc>
          <w:tcPr>
            <w:tcW w:w="10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0"/>
                <w:szCs w:val="20"/>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0"/>
                <w:szCs w:val="20"/>
                <w:color w:val="auto"/>
              </w:rPr>
            </w:pPr>
          </w:p>
        </w:tc>
        <w:tc>
          <w:tcPr>
            <w:tcW w:w="8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839,157</w:t>
            </w:r>
          </w:p>
        </w:tc>
        <w:tc>
          <w:tcPr>
            <w:tcW w:w="100" w:type="dxa"/>
            <w:vAlign w:val="bottom"/>
            <w:tcBorders>
              <w:bottom w:val="single" w:sz="8" w:color="EAF9E8"/>
            </w:tcBorders>
            <w:shd w:val="clear" w:color="auto" w:fill="EAF9E8"/>
          </w:tcPr>
          <w:p>
            <w:pPr>
              <w:spacing w:after="0"/>
              <w:rPr>
                <w:sz w:val="20"/>
                <w:szCs w:val="20"/>
                <w:color w:val="auto"/>
              </w:rPr>
            </w:pPr>
          </w:p>
        </w:tc>
        <w:tc>
          <w:tcPr>
            <w:tcW w:w="240" w:type="dxa"/>
            <w:vAlign w:val="bottom"/>
            <w:tcBorders>
              <w:bottom w:val="single" w:sz="8" w:color="EAF9E8"/>
            </w:tcBorders>
            <w:shd w:val="clear" w:color="auto" w:fill="EAF9E8"/>
          </w:tcPr>
          <w:p>
            <w:pPr>
              <w:spacing w:after="0"/>
              <w:rPr>
                <w:sz w:val="20"/>
                <w:szCs w:val="20"/>
                <w:color w:val="auto"/>
              </w:rPr>
            </w:pP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839,157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480" w:type="dxa"/>
            <w:vAlign w:val="bottom"/>
            <w:gridSpan w:val="2"/>
          </w:tcPr>
          <w:p>
            <w:pPr>
              <w:ind w:left="240"/>
              <w:spacing w:after="0"/>
              <w:rPr>
                <w:sz w:val="20"/>
                <w:szCs w:val="20"/>
                <w:color w:val="auto"/>
              </w:rPr>
            </w:pPr>
            <w:r>
              <w:rPr>
                <w:rFonts w:ascii="Arial" w:cs="Arial" w:eastAsia="Arial" w:hAnsi="Arial"/>
                <w:sz w:val="18"/>
                <w:szCs w:val="18"/>
                <w:color w:val="auto"/>
              </w:rPr>
              <w:t>Sales</w:t>
            </w:r>
          </w:p>
        </w:tc>
        <w:tc>
          <w:tcPr>
            <w:tcW w:w="140" w:type="dxa"/>
            <w:vAlign w:val="bottom"/>
          </w:tcPr>
          <w:p>
            <w:pPr>
              <w:spacing w:after="0"/>
              <w:rPr>
                <w:sz w:val="21"/>
                <w:szCs w:val="21"/>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(68,989)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(68,989)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EAF9E8"/>
            </w:tcBorders>
            <w:shd w:val="clear" w:color="auto" w:fill="EAF9E8"/>
          </w:tcPr>
          <w:p>
            <w:pPr>
              <w:spacing w:after="0"/>
              <w:rPr>
                <w:sz w:val="23"/>
                <w:szCs w:val="23"/>
                <w:color w:val="auto"/>
              </w:rPr>
            </w:pPr>
          </w:p>
        </w:tc>
        <w:tc>
          <w:tcPr>
            <w:tcW w:w="2480" w:type="dxa"/>
            <w:vAlign w:val="bottom"/>
            <w:tcBorders>
              <w:bottom w:val="single" w:sz="8" w:color="EAF9E8"/>
            </w:tcBorders>
            <w:gridSpan w:val="2"/>
            <w:shd w:val="clear" w:color="auto" w:fill="EAF9E8"/>
          </w:tcPr>
          <w:p>
            <w:pPr>
              <w:ind w:left="240"/>
              <w:spacing w:after="0"/>
              <w:rPr>
                <w:sz w:val="20"/>
                <w:szCs w:val="20"/>
                <w:color w:val="auto"/>
              </w:rPr>
            </w:pPr>
            <w:r>
              <w:rPr>
                <w:rFonts w:ascii="Arial" w:cs="Arial" w:eastAsia="Arial" w:hAnsi="Arial"/>
                <w:sz w:val="18"/>
                <w:szCs w:val="18"/>
                <w:color w:val="auto"/>
              </w:rPr>
              <w:t>Settlements (1)</w:t>
            </w:r>
          </w:p>
        </w:tc>
        <w:tc>
          <w:tcPr>
            <w:tcW w:w="1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(63,923)</w:t>
            </w:r>
          </w:p>
        </w:tc>
        <w:tc>
          <w:tcPr>
            <w:tcW w:w="12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63,797</w:t>
            </w:r>
          </w:p>
        </w:tc>
        <w:tc>
          <w:tcPr>
            <w:tcW w:w="10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3"/>
                <w:szCs w:val="23"/>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33,222</w:t>
            </w:r>
          </w:p>
        </w:tc>
        <w:tc>
          <w:tcPr>
            <w:tcW w:w="10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3"/>
                <w:szCs w:val="23"/>
                <w:color w:val="auto"/>
              </w:rPr>
            </w:pPr>
          </w:p>
        </w:tc>
        <w:tc>
          <w:tcPr>
            <w:tcW w:w="9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AF9E8"/>
            </w:tcBorders>
            <w:shd w:val="clear" w:color="auto" w:fill="EAF9E8"/>
          </w:tcPr>
          <w:p>
            <w:pPr>
              <w:spacing w:after="0"/>
              <w:rPr>
                <w:sz w:val="23"/>
                <w:szCs w:val="23"/>
                <w:color w:val="auto"/>
              </w:rPr>
            </w:pP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33,096</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466,479</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(469,059)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33,222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769,029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799,787</w:t>
            </w:r>
          </w:p>
        </w:tc>
        <w:tc>
          <w:tcPr>
            <w:tcW w:w="0" w:type="dxa"/>
            <w:vAlign w:val="bottom"/>
          </w:tcPr>
          <w:p>
            <w:pPr>
              <w:spacing w:after="0"/>
              <w:rPr>
                <w:sz w:val="1"/>
                <w:szCs w:val="1"/>
                <w:color w:val="auto"/>
              </w:rPr>
            </w:pPr>
          </w:p>
        </w:tc>
      </w:tr>
      <w:tr>
        <w:trPr>
          <w:trHeight w:val="27"/>
        </w:trPr>
        <w:tc>
          <w:tcPr>
            <w:tcW w:w="40" w:type="dxa"/>
            <w:vAlign w:val="bottom"/>
            <w:tcBorders>
              <w:bottom w:val="single" w:sz="8" w:color="EAF9E8"/>
            </w:tcBorders>
          </w:tcPr>
          <w:p>
            <w:pPr>
              <w:spacing w:after="0"/>
              <w:rPr>
                <w:sz w:val="2"/>
                <w:szCs w:val="2"/>
                <w:color w:val="auto"/>
              </w:rPr>
            </w:pPr>
          </w:p>
        </w:tc>
        <w:tc>
          <w:tcPr>
            <w:tcW w:w="2440" w:type="dxa"/>
            <w:vAlign w:val="bottom"/>
            <w:tcBorders>
              <w:bottom w:val="single" w:sz="8" w:color="EAF9E8"/>
            </w:tcBorders>
          </w:tcPr>
          <w:p>
            <w:pPr>
              <w:spacing w:after="0"/>
              <w:rPr>
                <w:sz w:val="2"/>
                <w:szCs w:val="2"/>
                <w:color w:val="auto"/>
              </w:rPr>
            </w:pPr>
          </w:p>
        </w:tc>
        <w:tc>
          <w:tcPr>
            <w:tcW w:w="4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520" w:type="dxa"/>
            <w:vAlign w:val="bottom"/>
            <w:gridSpan w:val="3"/>
            <w:shd w:val="clear" w:color="auto" w:fill="EAF9E8"/>
          </w:tcPr>
          <w:p>
            <w:pPr>
              <w:ind w:left="40"/>
              <w:spacing w:after="0"/>
              <w:rPr>
                <w:sz w:val="20"/>
                <w:szCs w:val="20"/>
                <w:color w:val="auto"/>
              </w:rPr>
            </w:pPr>
            <w:r>
              <w:rPr>
                <w:rFonts w:ascii="Arial" w:cs="Arial" w:eastAsia="Arial" w:hAnsi="Arial"/>
                <w:sz w:val="18"/>
                <w:szCs w:val="18"/>
                <w:color w:val="auto"/>
              </w:rPr>
              <w:t>Total realized and unrealized</w:t>
            </w:r>
          </w:p>
        </w:tc>
        <w:tc>
          <w:tcPr>
            <w:tcW w:w="14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EAF9E8"/>
            </w:tcBorders>
            <w:shd w:val="clear" w:color="auto" w:fill="EAF9E8"/>
          </w:tcPr>
          <w:p>
            <w:pPr>
              <w:spacing w:after="0"/>
              <w:rPr>
                <w:sz w:val="20"/>
                <w:szCs w:val="20"/>
                <w:color w:val="auto"/>
              </w:rPr>
            </w:pPr>
          </w:p>
        </w:tc>
        <w:tc>
          <w:tcPr>
            <w:tcW w:w="2480" w:type="dxa"/>
            <w:vAlign w:val="bottom"/>
            <w:tcBorders>
              <w:bottom w:val="single" w:sz="8" w:color="EAF9E8"/>
            </w:tcBorders>
            <w:gridSpan w:val="2"/>
            <w:shd w:val="clear" w:color="auto" w:fill="EAF9E8"/>
          </w:tcPr>
          <w:p>
            <w:pPr>
              <w:ind w:left="160"/>
              <w:spacing w:after="0"/>
              <w:rPr>
                <w:sz w:val="20"/>
                <w:szCs w:val="20"/>
                <w:color w:val="auto"/>
              </w:rPr>
            </w:pPr>
            <w:r>
              <w:rPr>
                <w:rFonts w:ascii="Arial" w:cs="Arial" w:eastAsia="Arial" w:hAnsi="Arial"/>
                <w:sz w:val="18"/>
                <w:szCs w:val="18"/>
                <w:color w:val="auto"/>
              </w:rPr>
              <w:t>gains and (losses) (2):</w:t>
            </w:r>
          </w:p>
        </w:tc>
        <w:tc>
          <w:tcPr>
            <w:tcW w:w="140" w:type="dxa"/>
            <w:vAlign w:val="bottom"/>
            <w:tcBorders>
              <w:bottom w:val="single" w:sz="8" w:color="EAF9E8"/>
            </w:tcBorders>
            <w:shd w:val="clear" w:color="auto" w:fill="EAF9E8"/>
          </w:tcPr>
          <w:p>
            <w:pPr>
              <w:spacing w:after="0"/>
              <w:rPr>
                <w:sz w:val="20"/>
                <w:szCs w:val="20"/>
                <w:color w:val="auto"/>
              </w:rPr>
            </w:pPr>
          </w:p>
        </w:tc>
        <w:tc>
          <w:tcPr>
            <w:tcW w:w="116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140" w:type="dxa"/>
            <w:vAlign w:val="bottom"/>
            <w:tcBorders>
              <w:bottom w:val="single" w:sz="8" w:color="EAF9E8"/>
            </w:tcBorders>
            <w:shd w:val="clear" w:color="auto" w:fill="EAF9E8"/>
          </w:tcPr>
          <w:p>
            <w:pPr>
              <w:spacing w:after="0"/>
              <w:rPr>
                <w:sz w:val="20"/>
                <w:szCs w:val="20"/>
                <w:color w:val="auto"/>
              </w:rPr>
            </w:pPr>
          </w:p>
        </w:tc>
        <w:tc>
          <w:tcPr>
            <w:tcW w:w="112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140" w:type="dxa"/>
            <w:vAlign w:val="bottom"/>
            <w:tcBorders>
              <w:bottom w:val="single" w:sz="8" w:color="EAF9E8"/>
            </w:tcBorders>
            <w:shd w:val="clear" w:color="auto" w:fill="EAF9E8"/>
          </w:tcPr>
          <w:p>
            <w:pPr>
              <w:spacing w:after="0"/>
              <w:rPr>
                <w:sz w:val="20"/>
                <w:szCs w:val="20"/>
                <w:color w:val="auto"/>
              </w:rPr>
            </w:pPr>
          </w:p>
        </w:tc>
        <w:tc>
          <w:tcPr>
            <w:tcW w:w="100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160" w:type="dxa"/>
            <w:vAlign w:val="bottom"/>
            <w:tcBorders>
              <w:bottom w:val="single" w:sz="8" w:color="EAF9E8"/>
            </w:tcBorders>
            <w:shd w:val="clear" w:color="auto" w:fill="EAF9E8"/>
          </w:tcPr>
          <w:p>
            <w:pPr>
              <w:spacing w:after="0"/>
              <w:rPr>
                <w:sz w:val="20"/>
                <w:szCs w:val="20"/>
                <w:color w:val="auto"/>
              </w:rPr>
            </w:pPr>
          </w:p>
        </w:tc>
        <w:tc>
          <w:tcPr>
            <w:tcW w:w="98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160" w:type="dxa"/>
            <w:vAlign w:val="bottom"/>
            <w:tcBorders>
              <w:bottom w:val="single" w:sz="8" w:color="EAF9E8"/>
            </w:tcBorders>
            <w:shd w:val="clear" w:color="auto" w:fill="EAF9E8"/>
          </w:tcPr>
          <w:p>
            <w:pPr>
              <w:spacing w:after="0"/>
              <w:rPr>
                <w:sz w:val="20"/>
                <w:szCs w:val="20"/>
                <w:color w:val="auto"/>
              </w:rPr>
            </w:pPr>
          </w:p>
        </w:tc>
        <w:tc>
          <w:tcPr>
            <w:tcW w:w="110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180" w:type="dxa"/>
            <w:vAlign w:val="bottom"/>
            <w:tcBorders>
              <w:bottom w:val="single" w:sz="8" w:color="EAF9E8"/>
            </w:tcBorders>
            <w:shd w:val="clear" w:color="auto" w:fill="EAF9E8"/>
          </w:tcPr>
          <w:p>
            <w:pPr>
              <w:spacing w:after="0"/>
              <w:rPr>
                <w:sz w:val="20"/>
                <w:szCs w:val="20"/>
                <w:color w:val="auto"/>
              </w:rPr>
            </w:pPr>
          </w:p>
        </w:tc>
        <w:tc>
          <w:tcPr>
            <w:tcW w:w="84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240" w:type="dxa"/>
            <w:vAlign w:val="bottom"/>
            <w:tcBorders>
              <w:bottom w:val="single" w:sz="8" w:color="EAF9E8"/>
            </w:tcBorders>
            <w:shd w:val="clear" w:color="auto" w:fill="EAF9E8"/>
          </w:tcPr>
          <w:p>
            <w:pPr>
              <w:spacing w:after="0"/>
              <w:rPr>
                <w:sz w:val="20"/>
                <w:szCs w:val="20"/>
                <w:color w:val="auto"/>
              </w:rPr>
            </w:pPr>
          </w:p>
        </w:tc>
        <w:tc>
          <w:tcPr>
            <w:tcW w:w="900" w:type="dxa"/>
            <w:vAlign w:val="bottom"/>
            <w:tcBorders>
              <w:bottom w:val="single" w:sz="8" w:color="EAF9E8"/>
            </w:tcBorders>
            <w:shd w:val="clear" w:color="auto" w:fill="EAF9E8"/>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480" w:type="dxa"/>
            <w:vAlign w:val="bottom"/>
            <w:gridSpan w:val="2"/>
          </w:tcPr>
          <w:p>
            <w:pPr>
              <w:ind w:left="240"/>
              <w:spacing w:after="0"/>
              <w:rPr>
                <w:sz w:val="20"/>
                <w:szCs w:val="20"/>
                <w:color w:val="auto"/>
              </w:rPr>
            </w:pPr>
            <w:r>
              <w:rPr>
                <w:rFonts w:ascii="Arial" w:cs="Arial" w:eastAsia="Arial" w:hAnsi="Arial"/>
                <w:sz w:val="18"/>
                <w:szCs w:val="18"/>
                <w:color w:val="auto"/>
              </w:rPr>
              <w:t>Included in earnings</w:t>
            </w:r>
          </w:p>
        </w:tc>
        <w:tc>
          <w:tcPr>
            <w:tcW w:w="1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80,572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(74,687)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822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(48,480)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(42,301)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 w:type="dxa"/>
            <w:vAlign w:val="bottom"/>
            <w:shd w:val="clear" w:color="auto" w:fill="EAF9E8"/>
          </w:tcPr>
          <w:p>
            <w:pPr>
              <w:spacing w:after="0"/>
              <w:rPr>
                <w:sz w:val="19"/>
                <w:szCs w:val="19"/>
                <w:color w:val="auto"/>
              </w:rPr>
            </w:pPr>
          </w:p>
        </w:tc>
        <w:tc>
          <w:tcPr>
            <w:tcW w:w="2480" w:type="dxa"/>
            <w:vAlign w:val="bottom"/>
            <w:gridSpan w:val="2"/>
            <w:shd w:val="clear" w:color="auto" w:fill="EAF9E8"/>
          </w:tcPr>
          <w:p>
            <w:pPr>
              <w:ind w:left="240"/>
              <w:spacing w:after="0"/>
              <w:rPr>
                <w:sz w:val="20"/>
                <w:szCs w:val="20"/>
                <w:color w:val="auto"/>
              </w:rPr>
            </w:pPr>
            <w:r>
              <w:rPr>
                <w:rFonts w:ascii="Arial" w:cs="Arial" w:eastAsia="Arial" w:hAnsi="Arial"/>
                <w:sz w:val="18"/>
                <w:szCs w:val="18"/>
                <w:color w:val="auto"/>
              </w:rPr>
              <w:t>Included in Other</w:t>
            </w:r>
          </w:p>
        </w:tc>
        <w:tc>
          <w:tcPr>
            <w:tcW w:w="140" w:type="dxa"/>
            <w:vAlign w:val="bottom"/>
            <w:shd w:val="clear" w:color="auto" w:fill="EAF9E8"/>
          </w:tcPr>
          <w:p>
            <w:pPr>
              <w:spacing w:after="0"/>
              <w:rPr>
                <w:sz w:val="19"/>
                <w:szCs w:val="19"/>
                <w:color w:val="auto"/>
              </w:rPr>
            </w:pPr>
          </w:p>
        </w:tc>
        <w:tc>
          <w:tcPr>
            <w:tcW w:w="11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8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90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shd w:val="clear" w:color="auto" w:fill="EAF9E8"/>
          </w:tcPr>
          <w:p>
            <w:pPr>
              <w:spacing w:after="0"/>
              <w:rPr>
                <w:sz w:val="18"/>
                <w:szCs w:val="18"/>
                <w:color w:val="auto"/>
              </w:rPr>
            </w:pPr>
          </w:p>
        </w:tc>
        <w:tc>
          <w:tcPr>
            <w:tcW w:w="2480" w:type="dxa"/>
            <w:vAlign w:val="bottom"/>
            <w:gridSpan w:val="2"/>
            <w:shd w:val="clear" w:color="auto" w:fill="EAF9E8"/>
          </w:tcPr>
          <w:p>
            <w:pPr>
              <w:ind w:left="400"/>
              <w:spacing w:after="0"/>
              <w:rPr>
                <w:sz w:val="20"/>
                <w:szCs w:val="20"/>
                <w:color w:val="auto"/>
              </w:rPr>
            </w:pPr>
            <w:r>
              <w:rPr>
                <w:rFonts w:ascii="Arial" w:cs="Arial" w:eastAsia="Arial" w:hAnsi="Arial"/>
                <w:sz w:val="18"/>
                <w:szCs w:val="18"/>
                <w:color w:val="auto"/>
              </w:rPr>
              <w:t>comprehensive income</w:t>
            </w:r>
          </w:p>
        </w:tc>
        <w:tc>
          <w:tcPr>
            <w:tcW w:w="14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EAF9E8"/>
            </w:tcBorders>
            <w:shd w:val="clear" w:color="auto" w:fill="EAF9E8"/>
          </w:tcPr>
          <w:p>
            <w:pPr>
              <w:spacing w:after="0"/>
              <w:rPr>
                <w:sz w:val="22"/>
                <w:szCs w:val="22"/>
                <w:color w:val="auto"/>
              </w:rPr>
            </w:pPr>
          </w:p>
        </w:tc>
        <w:tc>
          <w:tcPr>
            <w:tcW w:w="2480" w:type="dxa"/>
            <w:vAlign w:val="bottom"/>
            <w:tcBorders>
              <w:bottom w:val="single" w:sz="8" w:color="EAF9E8"/>
            </w:tcBorders>
            <w:gridSpan w:val="2"/>
            <w:shd w:val="clear" w:color="auto" w:fill="EAF9E8"/>
          </w:tcPr>
          <w:p>
            <w:pPr>
              <w:ind w:left="400"/>
              <w:spacing w:after="0"/>
              <w:rPr>
                <w:sz w:val="20"/>
                <w:szCs w:val="20"/>
                <w:color w:val="auto"/>
              </w:rPr>
            </w:pPr>
            <w:r>
              <w:rPr>
                <w:rFonts w:ascii="Arial" w:cs="Arial" w:eastAsia="Arial" w:hAnsi="Arial"/>
                <w:sz w:val="18"/>
                <w:szCs w:val="18"/>
                <w:color w:val="auto"/>
              </w:rPr>
              <w:t>(loss)</w:t>
            </w:r>
          </w:p>
        </w:tc>
        <w:tc>
          <w:tcPr>
            <w:tcW w:w="140" w:type="dxa"/>
            <w:vAlign w:val="bottom"/>
            <w:tcBorders>
              <w:bottom w:val="single" w:sz="8" w:color="EAF9E8"/>
            </w:tcBorders>
            <w:shd w:val="clear" w:color="auto" w:fill="EAF9E8"/>
          </w:tcPr>
          <w:p>
            <w:pPr>
              <w:spacing w:after="0"/>
              <w:rPr>
                <w:sz w:val="22"/>
                <w:szCs w:val="22"/>
                <w:color w:val="auto"/>
              </w:rPr>
            </w:pPr>
          </w:p>
        </w:tc>
        <w:tc>
          <w:tcPr>
            <w:tcW w:w="128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2"/>
                <w:szCs w:val="22"/>
                <w:color w:val="auto"/>
              </w:rPr>
            </w:pPr>
          </w:p>
        </w:tc>
        <w:tc>
          <w:tcPr>
            <w:tcW w:w="10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2"/>
                <w:szCs w:val="22"/>
                <w:color w:val="auto"/>
              </w:rPr>
            </w:pPr>
          </w:p>
        </w:tc>
        <w:tc>
          <w:tcPr>
            <w:tcW w:w="9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AF9E8"/>
            </w:tcBorders>
            <w:shd w:val="clear" w:color="auto" w:fill="EAF9E8"/>
          </w:tcPr>
          <w:p>
            <w:pPr>
              <w:spacing w:after="0"/>
              <w:rPr>
                <w:sz w:val="22"/>
                <w:szCs w:val="22"/>
                <w:color w:val="auto"/>
              </w:rPr>
            </w:pP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80,572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(74,687)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822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(48,480)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(42,301)</w:t>
            </w:r>
          </w:p>
        </w:tc>
        <w:tc>
          <w:tcPr>
            <w:tcW w:w="0" w:type="dxa"/>
            <w:vAlign w:val="bottom"/>
          </w:tcPr>
          <w:p>
            <w:pPr>
              <w:spacing w:after="0"/>
              <w:rPr>
                <w:sz w:val="1"/>
                <w:szCs w:val="1"/>
                <w:color w:val="auto"/>
              </w:rPr>
            </w:pPr>
          </w:p>
        </w:tc>
      </w:tr>
      <w:tr>
        <w:trPr>
          <w:trHeight w:val="27"/>
        </w:trPr>
        <w:tc>
          <w:tcPr>
            <w:tcW w:w="40" w:type="dxa"/>
            <w:vAlign w:val="bottom"/>
            <w:tcBorders>
              <w:bottom w:val="single" w:sz="8" w:color="EAF9E8"/>
            </w:tcBorders>
          </w:tcPr>
          <w:p>
            <w:pPr>
              <w:spacing w:after="0"/>
              <w:rPr>
                <w:sz w:val="2"/>
                <w:szCs w:val="2"/>
                <w:color w:val="auto"/>
              </w:rPr>
            </w:pPr>
          </w:p>
        </w:tc>
        <w:tc>
          <w:tcPr>
            <w:tcW w:w="2440" w:type="dxa"/>
            <w:vAlign w:val="bottom"/>
            <w:tcBorders>
              <w:bottom w:val="single" w:sz="8" w:color="EAF9E8"/>
            </w:tcBorders>
          </w:tcPr>
          <w:p>
            <w:pPr>
              <w:spacing w:after="0"/>
              <w:rPr>
                <w:sz w:val="2"/>
                <w:szCs w:val="2"/>
                <w:color w:val="auto"/>
              </w:rPr>
            </w:pPr>
          </w:p>
        </w:tc>
        <w:tc>
          <w:tcPr>
            <w:tcW w:w="4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520" w:type="dxa"/>
            <w:vAlign w:val="bottom"/>
            <w:gridSpan w:val="3"/>
            <w:shd w:val="clear" w:color="auto" w:fill="EAF9E8"/>
          </w:tcPr>
          <w:p>
            <w:pPr>
              <w:ind w:left="40"/>
              <w:spacing w:after="0"/>
              <w:rPr>
                <w:sz w:val="20"/>
                <w:szCs w:val="20"/>
                <w:color w:val="auto"/>
              </w:rPr>
            </w:pPr>
            <w:r>
              <w:rPr>
                <w:rFonts w:ascii="Arial" w:cs="Arial" w:eastAsia="Arial" w:hAnsi="Arial"/>
                <w:sz w:val="18"/>
                <w:szCs w:val="18"/>
                <w:color w:val="auto"/>
                <w:w w:val="94"/>
              </w:rPr>
              <w:t>Transfers in and / or out of Level</w:t>
            </w:r>
          </w:p>
        </w:tc>
        <w:tc>
          <w:tcPr>
            <w:tcW w:w="14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48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color w:val="auto"/>
              </w:rPr>
              <w:t>3</w:t>
            </w:r>
          </w:p>
        </w:tc>
        <w:tc>
          <w:tcPr>
            <w:tcW w:w="4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28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2"/>
                <w:szCs w:val="22"/>
                <w:color w:val="auto"/>
              </w:rPr>
            </w:pPr>
          </w:p>
        </w:tc>
        <w:tc>
          <w:tcPr>
            <w:tcW w:w="10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2"/>
                <w:szCs w:val="22"/>
                <w:color w:val="auto"/>
              </w:rPr>
            </w:pPr>
          </w:p>
        </w:tc>
        <w:tc>
          <w:tcPr>
            <w:tcW w:w="9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AF9E8"/>
            </w:tcBorders>
            <w:shd w:val="clear" w:color="auto" w:fill="EAF9E8"/>
          </w:tcPr>
          <w:p>
            <w:pPr>
              <w:spacing w:after="0"/>
              <w:rPr>
                <w:sz w:val="22"/>
                <w:szCs w:val="22"/>
                <w:color w:val="auto"/>
              </w:rPr>
            </w:pP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520" w:type="dxa"/>
            <w:vAlign w:val="bottom"/>
            <w:gridSpan w:val="3"/>
          </w:tcPr>
          <w:p>
            <w:pPr>
              <w:ind w:left="40"/>
              <w:spacing w:after="0"/>
              <w:rPr>
                <w:sz w:val="20"/>
                <w:szCs w:val="20"/>
                <w:color w:val="auto"/>
              </w:rPr>
            </w:pPr>
            <w:r>
              <w:rPr>
                <w:rFonts w:ascii="Arial" w:cs="Arial" w:eastAsia="Arial" w:hAnsi="Arial"/>
                <w:sz w:val="18"/>
                <w:szCs w:val="18"/>
                <w:b w:val="1"/>
                <w:bCs w:val="1"/>
                <w:color w:val="auto"/>
              </w:rPr>
              <w:t>Ending balance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2,097,192</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(1,987,998)</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8,157</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(581,219)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814,450</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350,737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jc w:val="both"/>
        <w:ind w:left="500" w:right="260" w:hanging="492"/>
        <w:spacing w:after="0" w:line="261" w:lineRule="auto"/>
        <w:tabs>
          <w:tab w:leader="none" w:pos="50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 the event of a transfer to another party of servicing related to Rights to MSRs, we are required to reimburse NRZ at predetermined contractual rates for the loss of servicing revenues. Settlements for Financing liability - MSRs pledged for the six months ended June 30, 2015 includes $2.2 million of such reimbursements. There have been no such payments in 2016.</w:t>
      </w:r>
    </w:p>
    <w:p>
      <w:pPr>
        <w:sectPr>
          <w:pgSz w:w="11900" w:h="16838" w:orient="portrait"/>
          <w:cols w:equalWidth="0" w:num="1">
            <w:col w:w="11420"/>
          </w:cols>
          <w:pgMar w:left="240" w:top="864" w:right="239" w:bottom="1440" w:gutter="0" w:footer="0" w:header="0"/>
        </w:sect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864" w:right="239" w:bottom="1440" w:gutter="0" w:footer="0" w:header="0"/>
          <w:type w:val="continuous"/>
        </w:sectPr>
      </w:pPr>
    </w:p>
    <w:bookmarkStart w:id="19" w:name="page20"/>
    <w:bookmarkEnd w:id="19"/>
    <w:p>
      <w:pPr>
        <w:jc w:val="both"/>
        <w:ind w:left="500" w:right="220" w:hanging="492"/>
        <w:spacing w:after="0" w:line="261" w:lineRule="auto"/>
        <w:tabs>
          <w:tab w:leader="none" w:pos="5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Total losses attributable to derivative financial instruments still held at June 30, 2016 and June 30, 2015 were $1.9 million and $0.5 million for the six months ended June 30, 2016 and 2015, respectively. Total losses attributable to MSRs still held at June 30, 2016 and June 30, 2015 were $58.5 million and $40.9 million for the six months ended June 30, 2016 and 2015, respectively.</w:t>
      </w:r>
    </w:p>
    <w:p>
      <w:pPr>
        <w:spacing w:after="0" w:line="71" w:lineRule="exact"/>
        <w:rPr>
          <w:sz w:val="20"/>
          <w:szCs w:val="20"/>
          <w:color w:val="auto"/>
        </w:rPr>
      </w:pPr>
    </w:p>
    <w:p>
      <w:pPr>
        <w:ind w:right="520" w:firstLine="324"/>
        <w:spacing w:after="0" w:line="308" w:lineRule="auto"/>
        <w:rPr>
          <w:sz w:val="20"/>
          <w:szCs w:val="20"/>
          <w:color w:val="auto"/>
        </w:rPr>
      </w:pPr>
      <w:r>
        <w:rPr>
          <w:rFonts w:ascii="Arial" w:cs="Arial" w:eastAsia="Arial" w:hAnsi="Arial"/>
          <w:sz w:val="17"/>
          <w:szCs w:val="17"/>
          <w:color w:val="auto"/>
        </w:rPr>
        <w:t>The methodologies that we use and key assumptions that we make to estimate the fair value of financial instruments and other assets and liabilities measured at fair value on a recurring or non-recurring basis and those disclosed, but not carried, at fair value are described below.</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Held for Sale</w:t>
      </w:r>
    </w:p>
    <w:p>
      <w:pPr>
        <w:spacing w:after="0" w:line="121"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We originate and purchase residential mortgage loans that we intend to sell to the GSEs. We also own residential mortgage loans that are not eligible to be sold to the GSEs due to delinquency or other factors. Residential forward and reverse mortgage loans that we intend to sell to the GSEs are carried at fair value as a result of a fair value election. Such loans are subject to changes in fair value due to fluctuations in interest rates from the closing date through the date of the sale of the loan into the secondary market. These loans are classified within Level 2 of the valuation hierarchy because the primary component of the price is obtained from observable values of mortgage forwards for loans of similar terms and characteristics. We have the ability to access this market, and it is the market into which conventional and government-insured mortgage loans are typically sold.</w:t>
      </w:r>
    </w:p>
    <w:p>
      <w:pPr>
        <w:spacing w:after="0" w:line="70"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We repurchase certain loans from Ginnie Mae guaranteed securitizations in connection with loan modifications and loan resolution activity as part of our contractual obligations as the servicer of the loans. These loans are classified as loans held for sale at the lower of cost or fair value, in the case of modified loans, as we expect to redeliver (sell) the loans to new Ginnie Mae guaranteed securitizations. The fair value of these loans is estimated using published forward Ginnie Mae prices. Loans repurchased in connection with loan resolution activities are modified or otherwise remediated through loss mitigation activities or are reclassified to receivables. Because these loans are insured or guaranteed by the FHA or VA, the fair value of these loans represents the net recovery value taking into consideration the insured or guaranteed claim.</w:t>
      </w:r>
    </w:p>
    <w:p>
      <w:pPr>
        <w:spacing w:after="0" w:line="70"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For all other loans held for sale, which we report at the lower of cost or fair value, market illiquidity has reduced the availability of observable pricing data. When we enter into an agreement to sell a loan or pool of loans to an investor at a set price, we value the loan or loans at the commitment price. We base the fair value of uncommitted loans on the expected future cash flows discounted at a rate commensurate with the risk of the estimated cash flows.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Held for Investment – Reverse Mortgages</w:t>
      </w:r>
    </w:p>
    <w:p>
      <w:pPr>
        <w:spacing w:after="0" w:line="121" w:lineRule="exact"/>
        <w:rPr>
          <w:sz w:val="20"/>
          <w:szCs w:val="20"/>
          <w:color w:val="auto"/>
        </w:rPr>
      </w:pPr>
    </w:p>
    <w:p>
      <w:pPr>
        <w:jc w:val="both"/>
        <w:ind w:right="80" w:firstLine="324"/>
        <w:spacing w:after="0" w:line="302" w:lineRule="auto"/>
        <w:rPr>
          <w:sz w:val="20"/>
          <w:szCs w:val="20"/>
          <w:color w:val="auto"/>
        </w:rPr>
      </w:pPr>
      <w:r>
        <w:rPr>
          <w:rFonts w:ascii="Arial" w:cs="Arial" w:eastAsia="Arial" w:hAnsi="Arial"/>
          <w:sz w:val="16"/>
          <w:szCs w:val="16"/>
          <w:color w:val="auto"/>
        </w:rPr>
        <w:t>We measure these loans at fair value. For transferred reverse mortgage loans that do not qualify as sales for accounting purposes, we base the fair value on the expected future cash flows discounted over the expected life of the loans at a rate commensurate with the risk of the estimated cash flows. Significant assumptions include expected prepayment and delinquency rates and cumulative loss curves. The discount rate assumption for these assets is primarily based on an assessment of current market yields on newly originated reverse mortgage loans, expected duration of the asset and current market interest rates.</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more significant assumptions used in the June 30, 2016 valuation include:</w:t>
      </w:r>
    </w:p>
    <w:p>
      <w:pPr>
        <w:spacing w:after="0" w:line="117"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Life in years ranging from 5.82 to 9.25 (weighted average of 6.48);</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Conditional repayment rate ranging from 4.94% to 53.75% (weighted average of 19.74%);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Discount rate of 2.49%.</w:t>
      </w:r>
    </w:p>
    <w:p>
      <w:pPr>
        <w:spacing w:after="0" w:line="103"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Significant increases or decreases in any of these assumptions in isolation could result in a significantly lower or higher fair value, respectively. The effects of changes in the assumptions used to value the loans held for investment are largely offset by the effects of changes in the assumptions used to value the HMBS-related borrowings that are associated with these loans.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Servicing Rights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significant components of the estimated future cash inflows for MSRs include servicing fees, late fees, float earnings and other ancillary fees.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Significant cash outflows include the cost of servicing, the cost of financing servicing advances and compensating interest payments.</w:t>
      </w:r>
    </w:p>
    <w:p>
      <w:pPr>
        <w:spacing w:after="0" w:line="103"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Third-party valuation experts generally utilize: (a) transactions involving instruments with similar collateral and risk profiles, adjusted as necessary based on specific characteristics of the asset or liability being valued; and/or (b) industry-standard modeling, such as a discounted cash flow model, in arriving at their estimate of fair value. The prices provided by the valuation experts reflect their observations and assumptions related to market activity, including risk premiums and liquidity adjustments. The models and related assumptions used by the valuation experts are owned and managed by them and, in many cases, the significant inputs used in the valuation techniques are not reasonably available to us. However, we have an internal understanding of the processes and assumptions used to develop the prices based on our ongoing due diligence, which includes regular discussions with the valuation experts. We believe that the procedures executed by the valuation experts, supported by our internal verification and analytical procedures, provide reasonable assurance that the prices used in our Unaudited</w:t>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9" w:right="239" w:bottom="1440" w:gutter="0" w:footer="0" w:header="0"/>
        </w:sectPr>
      </w:pPr>
    </w:p>
    <w:bookmarkStart w:id="20" w:name="page21"/>
    <w:bookmarkEnd w:id="20"/>
    <w:p>
      <w:pPr>
        <w:ind w:right="500"/>
        <w:spacing w:after="0" w:line="277" w:lineRule="auto"/>
        <w:rPr>
          <w:sz w:val="20"/>
          <w:szCs w:val="20"/>
          <w:color w:val="auto"/>
        </w:rPr>
      </w:pPr>
      <w:r>
        <w:rPr>
          <w:rFonts w:ascii="Arial" w:cs="Arial" w:eastAsia="Arial" w:hAnsi="Arial"/>
          <w:sz w:val="18"/>
          <w:szCs w:val="18"/>
          <w:color w:val="auto"/>
        </w:rPr>
        <w:t>Consolidated Financial Statements comply with the accounting guidance for fair value measurements and disclosures and reflect the assumptions that a market participant would use.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evaluate the reasonableness of our third-party experts’ assumptions using historical experience adjusted for prevailing market conditions.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Assumptions used in the valuation of MSRs include:</w:t>
      </w:r>
    </w:p>
    <w:p>
      <w:pPr>
        <w:spacing w:after="0" w:line="386"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3900" w:type="dxa"/>
            <w:vAlign w:val="bottom"/>
          </w:tcPr>
          <w:p>
            <w:pPr>
              <w:ind w:left="160"/>
              <w:spacing w:after="0"/>
              <w:rPr>
                <w:sz w:val="20"/>
                <w:szCs w:val="20"/>
                <w:color w:val="auto"/>
              </w:rPr>
            </w:pPr>
            <w:r>
              <w:rPr>
                <w:rFonts w:ascii="Arial" w:cs="Arial" w:eastAsia="Arial" w:hAnsi="Arial"/>
                <w:sz w:val="18"/>
                <w:szCs w:val="18"/>
                <w:color w:val="auto"/>
              </w:rPr>
              <w:t>Mortgage prepayment speeds</w:t>
            </w:r>
          </w:p>
        </w:tc>
        <w:tc>
          <w:tcPr>
            <w:tcW w:w="1820" w:type="dxa"/>
            <w:vAlign w:val="bottom"/>
          </w:tcPr>
          <w:p>
            <w:pPr>
              <w:ind w:left="1600"/>
              <w:spacing w:after="0"/>
              <w:rPr>
                <w:sz w:val="20"/>
                <w:szCs w:val="20"/>
                <w:color w:val="auto"/>
              </w:rPr>
            </w:pPr>
            <w:r>
              <w:rPr>
                <w:rFonts w:ascii="Arial" w:cs="Arial" w:eastAsia="Arial" w:hAnsi="Arial"/>
                <w:sz w:val="18"/>
                <w:szCs w:val="18"/>
                <w:color w:val="auto"/>
              </w:rPr>
              <w:t>•</w:t>
            </w:r>
          </w:p>
        </w:tc>
        <w:tc>
          <w:tcPr>
            <w:tcW w:w="3980" w:type="dxa"/>
            <w:vAlign w:val="bottom"/>
          </w:tcPr>
          <w:p>
            <w:pPr>
              <w:ind w:left="160"/>
              <w:spacing w:after="0"/>
              <w:rPr>
                <w:sz w:val="20"/>
                <w:szCs w:val="20"/>
                <w:color w:val="auto"/>
              </w:rPr>
            </w:pPr>
            <w:r>
              <w:rPr>
                <w:rFonts w:ascii="Arial" w:cs="Arial" w:eastAsia="Arial" w:hAnsi="Arial"/>
                <w:sz w:val="18"/>
                <w:szCs w:val="18"/>
                <w:color w:val="auto"/>
                <w:w w:val="90"/>
              </w:rPr>
              <w:t>Interest rate used for computing the cost of financing</w:t>
            </w:r>
          </w:p>
        </w:tc>
      </w:tr>
      <w:tr>
        <w:trPr>
          <w:trHeight w:val="230"/>
        </w:trPr>
        <w:tc>
          <w:tcPr>
            <w:tcW w:w="22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servicing advances</w:t>
            </w:r>
          </w:p>
        </w:tc>
      </w:tr>
      <w:tr>
        <w:trPr>
          <w:trHeight w:val="270"/>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3900" w:type="dxa"/>
            <w:vAlign w:val="bottom"/>
          </w:tcPr>
          <w:p>
            <w:pPr>
              <w:ind w:left="160"/>
              <w:spacing w:after="0"/>
              <w:rPr>
                <w:sz w:val="20"/>
                <w:szCs w:val="20"/>
                <w:color w:val="auto"/>
              </w:rPr>
            </w:pPr>
            <w:r>
              <w:rPr>
                <w:rFonts w:ascii="Arial" w:cs="Arial" w:eastAsia="Arial" w:hAnsi="Arial"/>
                <w:sz w:val="18"/>
                <w:szCs w:val="18"/>
                <w:color w:val="auto"/>
              </w:rPr>
              <w:t>Cost of servicing</w:t>
            </w:r>
          </w:p>
        </w:tc>
        <w:tc>
          <w:tcPr>
            <w:tcW w:w="1820" w:type="dxa"/>
            <w:vAlign w:val="bottom"/>
          </w:tcPr>
          <w:p>
            <w:pPr>
              <w:ind w:left="1600"/>
              <w:spacing w:after="0"/>
              <w:rPr>
                <w:sz w:val="20"/>
                <w:szCs w:val="20"/>
                <w:color w:val="auto"/>
              </w:rPr>
            </w:pPr>
            <w:r>
              <w:rPr>
                <w:rFonts w:ascii="Arial" w:cs="Arial" w:eastAsia="Arial" w:hAnsi="Arial"/>
                <w:sz w:val="18"/>
                <w:szCs w:val="18"/>
                <w:color w:val="auto"/>
              </w:rPr>
              <w:t>•</w:t>
            </w:r>
          </w:p>
        </w:tc>
        <w:tc>
          <w:tcPr>
            <w:tcW w:w="3980" w:type="dxa"/>
            <w:vAlign w:val="bottom"/>
          </w:tcPr>
          <w:p>
            <w:pPr>
              <w:ind w:left="160"/>
              <w:spacing w:after="0"/>
              <w:rPr>
                <w:sz w:val="20"/>
                <w:szCs w:val="20"/>
                <w:color w:val="auto"/>
              </w:rPr>
            </w:pPr>
            <w:r>
              <w:rPr>
                <w:rFonts w:ascii="Arial" w:cs="Arial" w:eastAsia="Arial" w:hAnsi="Arial"/>
                <w:sz w:val="18"/>
                <w:szCs w:val="18"/>
                <w:color w:val="auto"/>
              </w:rPr>
              <w:t>Interest rate used for computing float earnings</w:t>
            </w:r>
          </w:p>
        </w:tc>
      </w:tr>
      <w:tr>
        <w:trPr>
          <w:trHeight w:val="270"/>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3900" w:type="dxa"/>
            <w:vAlign w:val="bottom"/>
          </w:tcPr>
          <w:p>
            <w:pPr>
              <w:ind w:left="160"/>
              <w:spacing w:after="0"/>
              <w:rPr>
                <w:sz w:val="20"/>
                <w:szCs w:val="20"/>
                <w:color w:val="auto"/>
              </w:rPr>
            </w:pPr>
            <w:r>
              <w:rPr>
                <w:rFonts w:ascii="Arial" w:cs="Arial" w:eastAsia="Arial" w:hAnsi="Arial"/>
                <w:sz w:val="18"/>
                <w:szCs w:val="18"/>
                <w:color w:val="auto"/>
              </w:rPr>
              <w:t>Discount rate</w:t>
            </w:r>
          </w:p>
        </w:tc>
        <w:tc>
          <w:tcPr>
            <w:tcW w:w="1820" w:type="dxa"/>
            <w:vAlign w:val="bottom"/>
          </w:tcPr>
          <w:p>
            <w:pPr>
              <w:ind w:left="1600"/>
              <w:spacing w:after="0"/>
              <w:rPr>
                <w:sz w:val="20"/>
                <w:szCs w:val="20"/>
                <w:color w:val="auto"/>
              </w:rPr>
            </w:pPr>
            <w:r>
              <w:rPr>
                <w:rFonts w:ascii="Arial" w:cs="Arial" w:eastAsia="Arial" w:hAnsi="Arial"/>
                <w:sz w:val="18"/>
                <w:szCs w:val="18"/>
                <w:color w:val="auto"/>
              </w:rPr>
              <w:t>•</w:t>
            </w:r>
          </w:p>
        </w:tc>
        <w:tc>
          <w:tcPr>
            <w:tcW w:w="3980" w:type="dxa"/>
            <w:vAlign w:val="bottom"/>
          </w:tcPr>
          <w:p>
            <w:pPr>
              <w:ind w:left="160"/>
              <w:spacing w:after="0"/>
              <w:rPr>
                <w:sz w:val="20"/>
                <w:szCs w:val="20"/>
                <w:color w:val="auto"/>
              </w:rPr>
            </w:pPr>
            <w:r>
              <w:rPr>
                <w:rFonts w:ascii="Arial" w:cs="Arial" w:eastAsia="Arial" w:hAnsi="Arial"/>
                <w:sz w:val="18"/>
                <w:szCs w:val="18"/>
                <w:color w:val="auto"/>
              </w:rPr>
              <w:t>Compensating interest expense</w:t>
            </w:r>
          </w:p>
        </w:tc>
      </w:tr>
      <w:tr>
        <w:trPr>
          <w:trHeight w:val="270"/>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3900" w:type="dxa"/>
            <w:vAlign w:val="bottom"/>
          </w:tcPr>
          <w:p>
            <w:pPr>
              <w:ind w:left="160"/>
              <w:spacing w:after="0"/>
              <w:rPr>
                <w:sz w:val="20"/>
                <w:szCs w:val="20"/>
                <w:color w:val="auto"/>
              </w:rPr>
            </w:pPr>
            <w:r>
              <w:rPr>
                <w:rFonts w:ascii="Arial" w:cs="Arial" w:eastAsia="Arial" w:hAnsi="Arial"/>
                <w:sz w:val="18"/>
                <w:szCs w:val="18"/>
                <w:color w:val="auto"/>
              </w:rPr>
              <w:t>Delinquency rates</w:t>
            </w:r>
          </w:p>
        </w:tc>
        <w:tc>
          <w:tcPr>
            <w:tcW w:w="1820" w:type="dxa"/>
            <w:vAlign w:val="bottom"/>
          </w:tcPr>
          <w:p>
            <w:pPr>
              <w:ind w:left="1600"/>
              <w:spacing w:after="0"/>
              <w:rPr>
                <w:sz w:val="20"/>
                <w:szCs w:val="20"/>
                <w:color w:val="auto"/>
              </w:rPr>
            </w:pPr>
            <w:r>
              <w:rPr>
                <w:rFonts w:ascii="Arial" w:cs="Arial" w:eastAsia="Arial" w:hAnsi="Arial"/>
                <w:sz w:val="18"/>
                <w:szCs w:val="18"/>
                <w:color w:val="auto"/>
              </w:rPr>
              <w:t>•</w:t>
            </w:r>
          </w:p>
        </w:tc>
        <w:tc>
          <w:tcPr>
            <w:tcW w:w="3980" w:type="dxa"/>
            <w:vAlign w:val="bottom"/>
          </w:tcPr>
          <w:p>
            <w:pPr>
              <w:ind w:left="160"/>
              <w:spacing w:after="0"/>
              <w:rPr>
                <w:sz w:val="20"/>
                <w:szCs w:val="20"/>
                <w:color w:val="auto"/>
              </w:rPr>
            </w:pPr>
            <w:r>
              <w:rPr>
                <w:rFonts w:ascii="Arial" w:cs="Arial" w:eastAsia="Arial" w:hAnsi="Arial"/>
                <w:sz w:val="18"/>
                <w:szCs w:val="18"/>
                <w:color w:val="auto"/>
              </w:rPr>
              <w:t>Collection rate of other ancillary fees</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Amortized Cost MSRs</w:t>
      </w:r>
    </w:p>
    <w:p>
      <w:pPr>
        <w:spacing w:after="0" w:line="117" w:lineRule="exact"/>
        <w:rPr>
          <w:sz w:val="20"/>
          <w:szCs w:val="20"/>
          <w:color w:val="auto"/>
        </w:rPr>
      </w:pPr>
    </w:p>
    <w:p>
      <w:pPr>
        <w:ind w:right="80" w:firstLine="324"/>
        <w:spacing w:after="0" w:line="312" w:lineRule="auto"/>
        <w:rPr>
          <w:sz w:val="20"/>
          <w:szCs w:val="20"/>
          <w:color w:val="auto"/>
        </w:rPr>
      </w:pPr>
      <w:r>
        <w:rPr>
          <w:rFonts w:ascii="Arial" w:cs="Arial" w:eastAsia="Arial" w:hAnsi="Arial"/>
          <w:sz w:val="16"/>
          <w:szCs w:val="16"/>
          <w:color w:val="auto"/>
        </w:rPr>
        <w:t>We estimate the fair value of MSRs carried at amortized cost using a process that involves either actual sale prices obtained or the use of independent third-party valuation experts, supported by commercially available discounted cash flow models and analysis of current market data. To provide greater price transparency to investors, we disclose actual Ocwen sale prices for orderly transactions where available in lieu of third-party valuations.</w:t>
      </w:r>
    </w:p>
    <w:p>
      <w:pPr>
        <w:spacing w:after="0" w:line="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more significant assumptions used in the June 30, 2016 valuation include:</w:t>
      </w:r>
    </w:p>
    <w:p>
      <w:pPr>
        <w:spacing w:after="0" w:line="375" w:lineRule="exact"/>
        <w:rPr>
          <w:sz w:val="20"/>
          <w:szCs w:val="20"/>
          <w:color w:val="auto"/>
        </w:rPr>
      </w:pPr>
    </w:p>
    <w:tbl>
      <w:tblPr>
        <w:tblLayout w:type="fixed"/>
        <w:tblInd w:w="60" w:type="dxa"/>
        <w:tblCellMar>
          <w:top w:w="0" w:type="dxa"/>
          <w:left w:w="0" w:type="dxa"/>
          <w:bottom w:w="0" w:type="dxa"/>
          <w:right w:w="0" w:type="dxa"/>
        </w:tblCellMar>
      </w:tblPr>
      <w:tr>
        <w:trPr>
          <w:trHeight w:val="270"/>
        </w:trPr>
        <w:tc>
          <w:tcPr>
            <w:tcW w:w="6460" w:type="dxa"/>
            <w:vAlign w:val="bottom"/>
            <w:shd w:val="clear" w:color="auto" w:fill="EAF9E8"/>
          </w:tcPr>
          <w:p>
            <w:pPr>
              <w:ind w:left="20"/>
              <w:spacing w:after="0"/>
              <w:rPr>
                <w:sz w:val="20"/>
                <w:szCs w:val="20"/>
                <w:color w:val="auto"/>
              </w:rPr>
            </w:pPr>
            <w:r>
              <w:rPr>
                <w:rFonts w:ascii="Arial" w:cs="Arial" w:eastAsia="Arial" w:hAnsi="Arial"/>
                <w:sz w:val="18"/>
                <w:szCs w:val="18"/>
                <w:color w:val="auto"/>
              </w:rPr>
              <w:t>Weighted average prepayment speed</w:t>
            </w:r>
          </w:p>
        </w:tc>
        <w:tc>
          <w:tcPr>
            <w:tcW w:w="3540" w:type="dxa"/>
            <w:vAlign w:val="bottom"/>
            <w:shd w:val="clear" w:color="auto" w:fill="EAF9E8"/>
          </w:tcPr>
          <w:p>
            <w:pPr>
              <w:spacing w:after="0"/>
              <w:rPr>
                <w:sz w:val="23"/>
                <w:szCs w:val="23"/>
                <w:color w:val="auto"/>
              </w:rPr>
            </w:pPr>
          </w:p>
        </w:tc>
        <w:tc>
          <w:tcPr>
            <w:tcW w:w="13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13.17%</w:t>
            </w:r>
          </w:p>
        </w:tc>
      </w:tr>
      <w:tr>
        <w:trPr>
          <w:trHeight w:val="243"/>
        </w:trPr>
        <w:tc>
          <w:tcPr>
            <w:tcW w:w="6460" w:type="dxa"/>
            <w:vAlign w:val="bottom"/>
          </w:tcPr>
          <w:p>
            <w:pPr>
              <w:ind w:left="20"/>
              <w:spacing w:after="0"/>
              <w:rPr>
                <w:sz w:val="20"/>
                <w:szCs w:val="20"/>
                <w:color w:val="auto"/>
              </w:rPr>
            </w:pPr>
            <w:r>
              <w:rPr>
                <w:rFonts w:ascii="Arial" w:cs="Arial" w:eastAsia="Arial" w:hAnsi="Arial"/>
                <w:sz w:val="18"/>
                <w:szCs w:val="18"/>
                <w:color w:val="auto"/>
              </w:rPr>
              <w:t>Weighted average delinquency rate</w:t>
            </w:r>
          </w:p>
        </w:tc>
        <w:tc>
          <w:tcPr>
            <w:tcW w:w="35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11.57%</w:t>
            </w:r>
          </w:p>
        </w:tc>
      </w:tr>
      <w:tr>
        <w:trPr>
          <w:trHeight w:val="27"/>
        </w:trPr>
        <w:tc>
          <w:tcPr>
            <w:tcW w:w="646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46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Advance financing cost</w:t>
            </w:r>
          </w:p>
        </w:tc>
        <w:tc>
          <w:tcPr>
            <w:tcW w:w="354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5-year swap</w:t>
            </w:r>
          </w:p>
        </w:tc>
      </w:tr>
      <w:tr>
        <w:trPr>
          <w:trHeight w:val="243"/>
        </w:trPr>
        <w:tc>
          <w:tcPr>
            <w:tcW w:w="6460" w:type="dxa"/>
            <w:vAlign w:val="bottom"/>
          </w:tcPr>
          <w:p>
            <w:pPr>
              <w:ind w:left="20"/>
              <w:spacing w:after="0"/>
              <w:rPr>
                <w:sz w:val="20"/>
                <w:szCs w:val="20"/>
                <w:color w:val="auto"/>
              </w:rPr>
            </w:pPr>
            <w:r>
              <w:rPr>
                <w:rFonts w:ascii="Arial" w:cs="Arial" w:eastAsia="Arial" w:hAnsi="Arial"/>
                <w:sz w:val="18"/>
                <w:szCs w:val="18"/>
                <w:color w:val="auto"/>
              </w:rPr>
              <w:t>Interest rate for computing float earnings</w:t>
            </w:r>
          </w:p>
        </w:tc>
        <w:tc>
          <w:tcPr>
            <w:tcW w:w="3540" w:type="dxa"/>
            <w:vAlign w:val="bottom"/>
          </w:tcPr>
          <w:p>
            <w:pPr>
              <w:spacing w:after="0"/>
              <w:rPr>
                <w:sz w:val="21"/>
                <w:szCs w:val="21"/>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5-year swap</w:t>
            </w:r>
          </w:p>
        </w:tc>
      </w:tr>
      <w:tr>
        <w:trPr>
          <w:trHeight w:val="27"/>
        </w:trPr>
        <w:tc>
          <w:tcPr>
            <w:tcW w:w="646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46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Weighted average discount rate</w:t>
            </w:r>
          </w:p>
        </w:tc>
        <w:tc>
          <w:tcPr>
            <w:tcW w:w="354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9.06%</w:t>
            </w:r>
          </w:p>
        </w:tc>
      </w:tr>
      <w:tr>
        <w:trPr>
          <w:trHeight w:val="243"/>
        </w:trPr>
        <w:tc>
          <w:tcPr>
            <w:tcW w:w="6460" w:type="dxa"/>
            <w:vAlign w:val="bottom"/>
          </w:tcPr>
          <w:p>
            <w:pPr>
              <w:ind w:left="20"/>
              <w:spacing w:after="0"/>
              <w:rPr>
                <w:sz w:val="20"/>
                <w:szCs w:val="20"/>
                <w:color w:val="auto"/>
              </w:rPr>
            </w:pPr>
            <w:r>
              <w:rPr>
                <w:rFonts w:ascii="Arial" w:cs="Arial" w:eastAsia="Arial" w:hAnsi="Arial"/>
                <w:sz w:val="18"/>
                <w:szCs w:val="18"/>
                <w:color w:val="auto"/>
              </w:rPr>
              <w:t>Weighted average cost to service (in dollars)</w:t>
            </w:r>
          </w:p>
        </w:tc>
        <w:tc>
          <w:tcPr>
            <w:tcW w:w="35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107</w:t>
            </w:r>
          </w:p>
        </w:tc>
      </w:tr>
    </w:tbl>
    <w:p>
      <w:pPr>
        <w:spacing w:after="0" w:line="121"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We perform an impairment analysis based on the difference between the carrying amount and fair value after grouping the underlying loans into the applicable strata. Our strata are defined as conventional and government-insured.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MSRs</w:t>
      </w:r>
    </w:p>
    <w:p>
      <w:pPr>
        <w:spacing w:after="0" w:line="171"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MSRs carried at fair value are classified within Level 3 of the valuation hierarchy. The fair value is equal to the mid-point of the range of prices provided by third-party valuation experts, without adjustment, except in the event we have a potential or completed Ocwen sale, including transactions where we have executed letters of intent, in which case the fair value of the MSRs is carried at the estimated sale price. Fair value reflects actual Ocwen sale prices for orderly transactions where available in lieu of independent third-party valuations. Our valuation process includes discussions of bid pricing with the third-party valuation experts and presumably are contemplated along with other market-based transactions in their model validation.</w:t>
      </w:r>
    </w:p>
    <w:p>
      <w:pPr>
        <w:spacing w:after="0" w:line="240"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A change in the valuation inputs utilized by the valuation experts might result in a significantly higher or lower fair value measurement. Changes in market interest rates tend to impact the fair value for Agency MSRs via prepayment speeds by altering the borrower refinance incentive and the Non-Agency MSRs via a market rate indexed cost of advance funding. Other key assumptions used in the valuation of these MSRs include delinquency rates and discount rates.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primary assumptions used in the June 30, 2016 valuation include:</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4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40" w:type="dxa"/>
            <w:vAlign w:val="bottom"/>
            <w:gridSpan w:val="2"/>
          </w:tcPr>
          <w:p>
            <w:pPr>
              <w:ind w:left="220"/>
              <w:spacing w:after="0"/>
              <w:rPr>
                <w:sz w:val="20"/>
                <w:szCs w:val="20"/>
                <w:color w:val="auto"/>
              </w:rPr>
            </w:pPr>
            <w:r>
              <w:rPr>
                <w:rFonts w:ascii="Arial" w:cs="Arial" w:eastAsia="Arial" w:hAnsi="Arial"/>
                <w:sz w:val="18"/>
                <w:szCs w:val="18"/>
                <w:b w:val="1"/>
                <w:bCs w:val="1"/>
                <w:color w:val="auto"/>
              </w:rPr>
              <w:t>Agency</w:t>
            </w:r>
          </w:p>
        </w:tc>
        <w:tc>
          <w:tcPr>
            <w:tcW w:w="240" w:type="dxa"/>
            <w:vAlign w:val="bottom"/>
          </w:tcPr>
          <w:p>
            <w:pPr>
              <w:spacing w:after="0"/>
              <w:rPr>
                <w:sz w:val="20"/>
                <w:szCs w:val="20"/>
                <w:color w:val="auto"/>
              </w:rPr>
            </w:pPr>
          </w:p>
        </w:tc>
        <w:tc>
          <w:tcPr>
            <w:tcW w:w="1420" w:type="dxa"/>
            <w:vAlign w:val="bottom"/>
          </w:tcPr>
          <w:p>
            <w:pPr>
              <w:jc w:val="right"/>
              <w:ind w:right="270"/>
              <w:spacing w:after="0"/>
              <w:rPr>
                <w:sz w:val="20"/>
                <w:szCs w:val="20"/>
                <w:color w:val="auto"/>
              </w:rPr>
            </w:pPr>
            <w:r>
              <w:rPr>
                <w:rFonts w:ascii="Arial" w:cs="Arial" w:eastAsia="Arial" w:hAnsi="Arial"/>
                <w:sz w:val="18"/>
                <w:szCs w:val="18"/>
                <w:b w:val="1"/>
                <w:bCs w:val="1"/>
                <w:color w:val="auto"/>
                <w:w w:val="98"/>
              </w:rPr>
              <w:t>Non Agency</w:t>
            </w:r>
          </w:p>
        </w:tc>
      </w:tr>
      <w:tr>
        <w:trPr>
          <w:trHeight w:val="27"/>
        </w:trPr>
        <w:tc>
          <w:tcPr>
            <w:tcW w:w="4440" w:type="dxa"/>
            <w:vAlign w:val="bottom"/>
            <w:tcBorders>
              <w:bottom w:val="single" w:sz="8" w:color="EAF9E8"/>
            </w:tcBorders>
          </w:tcPr>
          <w:p>
            <w:pPr>
              <w:spacing w:after="0"/>
              <w:rPr>
                <w:sz w:val="2"/>
                <w:szCs w:val="2"/>
                <w:color w:val="auto"/>
              </w:rPr>
            </w:pPr>
          </w:p>
        </w:tc>
        <w:tc>
          <w:tcPr>
            <w:tcW w:w="35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44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Weighted average prepayment speed</w:t>
            </w:r>
          </w:p>
        </w:tc>
        <w:tc>
          <w:tcPr>
            <w:tcW w:w="354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17.89%</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4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16.93%</w:t>
            </w: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Weighted average delinquency rate</w:t>
            </w:r>
          </w:p>
        </w:tc>
        <w:tc>
          <w:tcPr>
            <w:tcW w:w="3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0.51%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27.94%</w:t>
            </w:r>
          </w:p>
        </w:tc>
      </w:tr>
      <w:tr>
        <w:trPr>
          <w:trHeight w:val="27"/>
        </w:trPr>
        <w:tc>
          <w:tcPr>
            <w:tcW w:w="4440" w:type="dxa"/>
            <w:vAlign w:val="bottom"/>
          </w:tcPr>
          <w:p>
            <w:pPr>
              <w:spacing w:after="0"/>
              <w:rPr>
                <w:sz w:val="2"/>
                <w:szCs w:val="2"/>
                <w:color w:val="auto"/>
              </w:rPr>
            </w:pPr>
          </w:p>
        </w:tc>
        <w:tc>
          <w:tcPr>
            <w:tcW w:w="3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4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Advance financing cost</w:t>
            </w:r>
          </w:p>
        </w:tc>
        <w:tc>
          <w:tcPr>
            <w:tcW w:w="354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440" w:type="dxa"/>
            <w:vAlign w:val="bottom"/>
            <w:tcBorders>
              <w:bottom w:val="single" w:sz="8" w:color="EAF9E8"/>
            </w:tcBorders>
            <w:gridSpan w:val="2"/>
            <w:shd w:val="clear" w:color="auto" w:fill="EAF9E8"/>
          </w:tcPr>
          <w:p>
            <w:pPr>
              <w:ind w:left="260"/>
              <w:spacing w:after="0"/>
              <w:rPr>
                <w:sz w:val="20"/>
                <w:szCs w:val="20"/>
                <w:color w:val="auto"/>
              </w:rPr>
            </w:pPr>
            <w:r>
              <w:rPr>
                <w:rFonts w:ascii="Arial" w:cs="Arial" w:eastAsia="Arial" w:hAnsi="Arial"/>
                <w:sz w:val="18"/>
                <w:szCs w:val="18"/>
                <w:color w:val="auto"/>
              </w:rPr>
              <w:t>5-year swap</w:t>
            </w:r>
          </w:p>
        </w:tc>
        <w:tc>
          <w:tcPr>
            <w:tcW w:w="240" w:type="dxa"/>
            <w:vAlign w:val="bottom"/>
            <w:tcBorders>
              <w:bottom w:val="single" w:sz="8" w:color="EAF9E8"/>
            </w:tcBorders>
            <w:shd w:val="clear" w:color="auto" w:fill="EAF9E8"/>
          </w:tcPr>
          <w:p>
            <w:pPr>
              <w:spacing w:after="0"/>
              <w:rPr>
                <w:sz w:val="21"/>
                <w:szCs w:val="21"/>
                <w:color w:val="auto"/>
              </w:rPr>
            </w:pPr>
          </w:p>
        </w:tc>
        <w:tc>
          <w:tcPr>
            <w:tcW w:w="142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1ML plus 3.5%</w:t>
            </w: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Interest rate for computing float earnings</w:t>
            </w:r>
          </w:p>
        </w:tc>
        <w:tc>
          <w:tcPr>
            <w:tcW w:w="3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40" w:type="dxa"/>
            <w:vAlign w:val="bottom"/>
            <w:gridSpan w:val="2"/>
          </w:tcPr>
          <w:p>
            <w:pPr>
              <w:ind w:left="260"/>
              <w:spacing w:after="0"/>
              <w:rPr>
                <w:sz w:val="20"/>
                <w:szCs w:val="20"/>
                <w:color w:val="auto"/>
              </w:rPr>
            </w:pPr>
            <w:r>
              <w:rPr>
                <w:rFonts w:ascii="Arial" w:cs="Arial" w:eastAsia="Arial" w:hAnsi="Arial"/>
                <w:sz w:val="18"/>
                <w:szCs w:val="18"/>
                <w:color w:val="auto"/>
              </w:rPr>
              <w:t>5-year swap</w:t>
            </w:r>
          </w:p>
        </w:tc>
        <w:tc>
          <w:tcPr>
            <w:tcW w:w="240" w:type="dxa"/>
            <w:vAlign w:val="bottom"/>
          </w:tcPr>
          <w:p>
            <w:pPr>
              <w:spacing w:after="0"/>
              <w:rPr>
                <w:sz w:val="21"/>
                <w:szCs w:val="21"/>
                <w:color w:val="auto"/>
              </w:rPr>
            </w:pPr>
          </w:p>
        </w:tc>
        <w:tc>
          <w:tcPr>
            <w:tcW w:w="1420" w:type="dxa"/>
            <w:vAlign w:val="bottom"/>
          </w:tcPr>
          <w:p>
            <w:pPr>
              <w:jc w:val="right"/>
              <w:ind w:right="90"/>
              <w:spacing w:after="0"/>
              <w:rPr>
                <w:sz w:val="20"/>
                <w:szCs w:val="20"/>
                <w:color w:val="auto"/>
              </w:rPr>
            </w:pPr>
            <w:r>
              <w:rPr>
                <w:rFonts w:ascii="Arial" w:cs="Arial" w:eastAsia="Arial" w:hAnsi="Arial"/>
                <w:sz w:val="18"/>
                <w:szCs w:val="18"/>
                <w:color w:val="auto"/>
              </w:rPr>
              <w:t>1ML</w:t>
            </w:r>
          </w:p>
        </w:tc>
      </w:tr>
      <w:tr>
        <w:trPr>
          <w:trHeight w:val="27"/>
        </w:trPr>
        <w:tc>
          <w:tcPr>
            <w:tcW w:w="4440" w:type="dxa"/>
            <w:vAlign w:val="bottom"/>
          </w:tcPr>
          <w:p>
            <w:pPr>
              <w:spacing w:after="0"/>
              <w:rPr>
                <w:sz w:val="2"/>
                <w:szCs w:val="2"/>
                <w:color w:val="auto"/>
              </w:rPr>
            </w:pPr>
          </w:p>
        </w:tc>
        <w:tc>
          <w:tcPr>
            <w:tcW w:w="3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4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Weighted average discount rate</w:t>
            </w:r>
          </w:p>
        </w:tc>
        <w:tc>
          <w:tcPr>
            <w:tcW w:w="354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9.00%</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4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14.98%</w:t>
            </w: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Weighted average cost to service (in dollars)</w:t>
            </w:r>
          </w:p>
        </w:tc>
        <w:tc>
          <w:tcPr>
            <w:tcW w:w="3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1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90"/>
              <w:spacing w:after="0"/>
              <w:rPr>
                <w:sz w:val="20"/>
                <w:szCs w:val="20"/>
                <w:color w:val="auto"/>
              </w:rPr>
            </w:pPr>
            <w:r>
              <w:rPr>
                <w:rFonts w:ascii="Arial" w:cs="Arial" w:eastAsia="Arial" w:hAnsi="Arial"/>
                <w:sz w:val="18"/>
                <w:szCs w:val="18"/>
                <w:color w:val="auto"/>
              </w:rPr>
              <w:t>287</w:t>
            </w:r>
          </w:p>
        </w:tc>
      </w:tr>
      <w:tr>
        <w:trPr>
          <w:trHeight w:val="486"/>
        </w:trPr>
        <w:tc>
          <w:tcPr>
            <w:tcW w:w="4440" w:type="dxa"/>
            <w:vAlign w:val="bottom"/>
          </w:tcPr>
          <w:p>
            <w:pPr>
              <w:spacing w:after="0"/>
              <w:rPr>
                <w:sz w:val="24"/>
                <w:szCs w:val="24"/>
                <w:color w:val="auto"/>
              </w:rPr>
            </w:pPr>
          </w:p>
        </w:tc>
        <w:tc>
          <w:tcPr>
            <w:tcW w:w="3540" w:type="dxa"/>
            <w:vAlign w:val="bottom"/>
          </w:tcPr>
          <w:p>
            <w:pPr>
              <w:jc w:val="right"/>
              <w:ind w:right="2090"/>
              <w:spacing w:after="0"/>
              <w:rPr>
                <w:sz w:val="20"/>
                <w:szCs w:val="20"/>
                <w:color w:val="auto"/>
              </w:rPr>
            </w:pPr>
            <w:r>
              <w:rPr>
                <w:rFonts w:ascii="Arial" w:cs="Arial" w:eastAsia="Arial" w:hAnsi="Arial"/>
                <w:sz w:val="18"/>
                <w:szCs w:val="18"/>
                <w:color w:val="auto"/>
              </w:rPr>
              <w:t>19</w:t>
            </w: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ectPr>
          <w:pgSz w:w="11900" w:h="16838" w:orient="portrait"/>
          <w:cols w:equalWidth="0" w:num="1">
            <w:col w:w="11420"/>
          </w:cols>
          <w:pgMar w:left="240" w:top="692"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Advances</w:t>
      </w:r>
    </w:p>
    <w:p>
      <w:pPr>
        <w:spacing w:after="0" w:line="12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We value advances at their net realizable value, which generally approximates fair value, because advances have no stated maturity, are generally realized within a relatively short period of time and do not bear interest.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Receivables</w:t>
      </w:r>
    </w:p>
    <w:p>
      <w:pPr>
        <w:spacing w:after="0" w:line="121" w:lineRule="exact"/>
        <w:rPr>
          <w:sz w:val="20"/>
          <w:szCs w:val="20"/>
          <w:color w:val="auto"/>
        </w:rPr>
      </w:pPr>
    </w:p>
    <w:p>
      <w:pPr>
        <w:ind w:right="800" w:firstLine="324"/>
        <w:spacing w:after="0" w:line="277" w:lineRule="auto"/>
        <w:rPr>
          <w:sz w:val="20"/>
          <w:szCs w:val="20"/>
          <w:color w:val="auto"/>
        </w:rPr>
      </w:pPr>
      <w:r>
        <w:rPr>
          <w:rFonts w:ascii="Arial" w:cs="Arial" w:eastAsia="Arial" w:hAnsi="Arial"/>
          <w:sz w:val="18"/>
          <w:szCs w:val="18"/>
          <w:color w:val="auto"/>
        </w:rPr>
        <w:t>The carrying value of receivables generally approximates fair value because of the relatively short period of time between their origination and realization.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Mortgage-Backed Securities (MBS)</w:t>
      </w:r>
    </w:p>
    <w:p>
      <w:pPr>
        <w:spacing w:after="0" w:line="162"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Our subordinate and residual securities are not actively traded, and therefore, we estimate the fair value of these securities based on the present value of expected future cash flows from the underlying mortgage pools. We use our best estimate of the key assumptions we believe are used by market participants. We calibrate our internally developed discounted cash flow models for trading activity when appropriate to do so in light of market liquidity levels. Key inputs include expected prepayment rates, delinquency and cumulative loss curves and discount rates commensurate with the risks. Where possible, we use observable inputs in the valuation of our securities. However, the subordinate and residual securities in which we have invested trade infrequently and therefore have few or no observable inputs and little price transparency. Additionally, during periods of market dislocation, the observability of inputs is further reduced. Changes in the fair value of our investment in subordinate and residual securities are recognized in Other, net in the Unaudited Consolidated Statements of Operations.</w:t>
      </w:r>
    </w:p>
    <w:p>
      <w:pPr>
        <w:spacing w:after="0" w:line="192"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Discount rates for the subordinate and residual securities are determined based upon an assessment of prevailing market conditions and prices for similar assets. We project the delinquency, loss and prepayment assumptions based on a comparison to actual historical performance curves adjusted for prevailing market conditions.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Match Funded Liabilities</w:t>
      </w:r>
    </w:p>
    <w:p>
      <w:pPr>
        <w:spacing w:after="0" w:line="121"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For match funded liabilities that bear interest at a rate that is adjusted regularly based on a market index, the carrying value approximates fair value. For match funded liabilities that bear interest at a fixed rate, we determine fair value by discounting the future principal and interest repayments at a market rate commensurate with the risk of the estimated cash flows. We estimate principal repayments of match funded liabilities during the amortization period based on our historical advance collection rates and taking into consideration any plans to refinance the notes.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HMBS-Related Borrowings</w:t>
      </w:r>
    </w:p>
    <w:p>
      <w:pPr>
        <w:spacing w:after="0" w:line="117"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We have elected to measure these borrowings at fair value. We recognize the proceeds from the transfer of reverse mortgages as a secured borrowing that we account for at fair value. These borrowings are not actively traded, and therefore, quoted market prices are not available. We determine fair value by discounting the future principal and interest repayments over the estimated life of the borrowing at a market rate commensurate with the risk of the estimated cash flows. Significant assumptions include prepayments, discount rate and borrower mortality rates for reverse mortgages. The discount rate assumption for these liabilities is based on an assessment of current market yields for newly issued HMBS, expected duration and current market interest rates.</w:t>
      </w:r>
    </w:p>
    <w:p>
      <w:pPr>
        <w:spacing w:after="0" w:line="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more significant assumptions used in the June 30, 2016 valuation include:</w:t>
      </w:r>
    </w:p>
    <w:p>
      <w:pPr>
        <w:spacing w:after="0" w:line="117"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Life in years ranging from 4.71 to 9.25 (weighted average of 5.36);</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Conditional repayment rate ranging from 4.94% to 53.75% (weighted average of 19.74%);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Discount rate of 1.89%.</w:t>
      </w:r>
    </w:p>
    <w:p>
      <w:pPr>
        <w:spacing w:after="0" w:line="103" w:lineRule="exact"/>
        <w:rPr>
          <w:sz w:val="20"/>
          <w:szCs w:val="20"/>
          <w:color w:val="auto"/>
        </w:rPr>
      </w:pPr>
    </w:p>
    <w:p>
      <w:pPr>
        <w:ind w:right="1660" w:firstLine="324"/>
        <w:spacing w:after="0" w:line="375" w:lineRule="auto"/>
        <w:rPr>
          <w:sz w:val="20"/>
          <w:szCs w:val="20"/>
          <w:color w:val="auto"/>
        </w:rPr>
      </w:pPr>
      <w:r>
        <w:rPr>
          <w:rFonts w:ascii="Arial" w:cs="Arial" w:eastAsia="Arial" w:hAnsi="Arial"/>
          <w:sz w:val="18"/>
          <w:szCs w:val="18"/>
          <w:color w:val="auto"/>
        </w:rPr>
        <w:t xml:space="preserve">Significant increases or decreases in any of these assumptions in isolation would result in a significantly higher or lower fair value. </w:t>
      </w:r>
      <w:r>
        <w:rPr>
          <w:rFonts w:ascii="Arial" w:cs="Arial" w:eastAsia="Arial" w:hAnsi="Arial"/>
          <w:sz w:val="18"/>
          <w:szCs w:val="18"/>
          <w:i w:val="1"/>
          <w:iCs w:val="1"/>
          <w:color w:val="auto"/>
        </w:rPr>
        <w:t>MSRs Pledged</w:t>
      </w:r>
    </w:p>
    <w:p>
      <w:pPr>
        <w:spacing w:after="0" w:line="1"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We periodically sell Rights to MSRs and the related servicing advances. Because we have retained legal title to the MSRs, the sales of Rights to MSRs are accounted for as financings. We initially establish the value of the Financing Liability - MSRs Pledged based on the price at which the Rights to MSRs are sold. Thereafter, the carrying value of the Financing Liability - MSRs pledged is adjusted to fair value at each reporting date. We determine fair value by applying the price of the underlying MSRs to the remaining principal balance related to the underlying MSRs. Since we have elected fair value for our portfolio of non-Agency MSRs, future fair value changes in the Financing Liability - MSRs Pledged will be largely offset by changes in the fair value of the related MSRs.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688"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0"/>
        </w:trPr>
        <w:tc>
          <w:tcPr>
            <w:tcW w:w="9340" w:type="dxa"/>
            <w:vAlign w:val="bottom"/>
          </w:tcPr>
          <w:p>
            <w:pPr>
              <w:ind w:left="340"/>
              <w:spacing w:after="0"/>
              <w:rPr>
                <w:sz w:val="20"/>
                <w:szCs w:val="20"/>
                <w:color w:val="auto"/>
              </w:rPr>
            </w:pPr>
            <w:r>
              <w:rPr>
                <w:rFonts w:ascii="Arial" w:cs="Arial" w:eastAsia="Arial" w:hAnsi="Arial"/>
                <w:sz w:val="18"/>
                <w:szCs w:val="18"/>
                <w:color w:val="auto"/>
                <w:w w:val="95"/>
              </w:rPr>
              <w:t>The more significant assumptions used in determination of the price of the underlying MSRs at June 30, 2016 include:</w:t>
            </w:r>
          </w:p>
        </w:tc>
        <w:tc>
          <w:tcPr>
            <w:tcW w:w="26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43"/>
        </w:trPr>
        <w:tc>
          <w:tcPr>
            <w:tcW w:w="9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50"/>
        </w:trPr>
        <w:tc>
          <w:tcPr>
            <w:tcW w:w="9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Weighted average prepayment speed</w:t>
            </w:r>
          </w:p>
        </w:tc>
        <w:tc>
          <w:tcPr>
            <w:tcW w:w="260" w:type="dxa"/>
            <w:vAlign w:val="bottom"/>
            <w:tcBorders>
              <w:bottom w:val="single" w:sz="8" w:color="EAF9E8"/>
            </w:tcBorders>
            <w:shd w:val="clear" w:color="auto" w:fill="EAF9E8"/>
          </w:tcPr>
          <w:p>
            <w:pPr>
              <w:spacing w:after="0"/>
              <w:rPr>
                <w:sz w:val="21"/>
                <w:szCs w:val="21"/>
                <w:color w:val="auto"/>
              </w:rPr>
            </w:pPr>
          </w:p>
        </w:tc>
        <w:tc>
          <w:tcPr>
            <w:tcW w:w="14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17.45%</w:t>
            </w:r>
          </w:p>
        </w:tc>
      </w:tr>
      <w:tr>
        <w:trPr>
          <w:trHeight w:val="243"/>
        </w:trPr>
        <w:tc>
          <w:tcPr>
            <w:tcW w:w="9340" w:type="dxa"/>
            <w:vAlign w:val="bottom"/>
          </w:tcPr>
          <w:p>
            <w:pPr>
              <w:ind w:left="40"/>
              <w:spacing w:after="0"/>
              <w:rPr>
                <w:sz w:val="20"/>
                <w:szCs w:val="20"/>
                <w:color w:val="auto"/>
              </w:rPr>
            </w:pPr>
            <w:r>
              <w:rPr>
                <w:rFonts w:ascii="Arial" w:cs="Arial" w:eastAsia="Arial" w:hAnsi="Arial"/>
                <w:sz w:val="18"/>
                <w:szCs w:val="18"/>
                <w:color w:val="auto"/>
              </w:rPr>
              <w:t>Weighted average delinquency rate</w:t>
            </w:r>
          </w:p>
        </w:tc>
        <w:tc>
          <w:tcPr>
            <w:tcW w:w="2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29.73%</w:t>
            </w:r>
          </w:p>
        </w:tc>
      </w:tr>
      <w:tr>
        <w:trPr>
          <w:trHeight w:val="27"/>
        </w:trPr>
        <w:tc>
          <w:tcPr>
            <w:tcW w:w="9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9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Advance financing cost</w:t>
            </w:r>
          </w:p>
        </w:tc>
        <w:tc>
          <w:tcPr>
            <w:tcW w:w="260" w:type="dxa"/>
            <w:vAlign w:val="bottom"/>
            <w:tcBorders>
              <w:bottom w:val="single" w:sz="8" w:color="EAF9E8"/>
            </w:tcBorders>
            <w:shd w:val="clear" w:color="auto" w:fill="EAF9E8"/>
          </w:tcPr>
          <w:p>
            <w:pPr>
              <w:spacing w:after="0"/>
              <w:rPr>
                <w:sz w:val="21"/>
                <w:szCs w:val="21"/>
                <w:color w:val="auto"/>
              </w:rPr>
            </w:pPr>
          </w:p>
        </w:tc>
        <w:tc>
          <w:tcPr>
            <w:tcW w:w="14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1ML plus 3.5%</w:t>
            </w:r>
          </w:p>
        </w:tc>
      </w:tr>
      <w:tr>
        <w:trPr>
          <w:trHeight w:val="243"/>
        </w:trPr>
        <w:tc>
          <w:tcPr>
            <w:tcW w:w="9340" w:type="dxa"/>
            <w:vAlign w:val="bottom"/>
          </w:tcPr>
          <w:p>
            <w:pPr>
              <w:ind w:left="40"/>
              <w:spacing w:after="0"/>
              <w:rPr>
                <w:sz w:val="20"/>
                <w:szCs w:val="20"/>
                <w:color w:val="auto"/>
              </w:rPr>
            </w:pPr>
            <w:r>
              <w:rPr>
                <w:rFonts w:ascii="Arial" w:cs="Arial" w:eastAsia="Arial" w:hAnsi="Arial"/>
                <w:sz w:val="18"/>
                <w:szCs w:val="18"/>
                <w:color w:val="auto"/>
              </w:rPr>
              <w:t>Interest rate for computing float earnings</w:t>
            </w:r>
          </w:p>
        </w:tc>
        <w:tc>
          <w:tcPr>
            <w:tcW w:w="260" w:type="dxa"/>
            <w:vAlign w:val="bottom"/>
          </w:tcPr>
          <w:p>
            <w:pPr>
              <w:spacing w:after="0"/>
              <w:rPr>
                <w:sz w:val="21"/>
                <w:szCs w:val="21"/>
                <w:color w:val="auto"/>
              </w:rPr>
            </w:pP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1ML</w:t>
            </w:r>
          </w:p>
        </w:tc>
      </w:tr>
      <w:tr>
        <w:trPr>
          <w:trHeight w:val="27"/>
        </w:trPr>
        <w:tc>
          <w:tcPr>
            <w:tcW w:w="9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9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Weighted average discount rate</w:t>
            </w:r>
          </w:p>
        </w:tc>
        <w:tc>
          <w:tcPr>
            <w:tcW w:w="260" w:type="dxa"/>
            <w:vAlign w:val="bottom"/>
            <w:tcBorders>
              <w:bottom w:val="single" w:sz="8" w:color="EAF9E8"/>
            </w:tcBorders>
            <w:shd w:val="clear" w:color="auto" w:fill="EAF9E8"/>
          </w:tcPr>
          <w:p>
            <w:pPr>
              <w:spacing w:after="0"/>
              <w:rPr>
                <w:sz w:val="21"/>
                <w:szCs w:val="21"/>
                <w:color w:val="auto"/>
              </w:rPr>
            </w:pPr>
          </w:p>
        </w:tc>
        <w:tc>
          <w:tcPr>
            <w:tcW w:w="14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15.04%</w:t>
            </w:r>
          </w:p>
        </w:tc>
      </w:tr>
      <w:tr>
        <w:trPr>
          <w:trHeight w:val="243"/>
        </w:trPr>
        <w:tc>
          <w:tcPr>
            <w:tcW w:w="9340" w:type="dxa"/>
            <w:vAlign w:val="bottom"/>
          </w:tcPr>
          <w:p>
            <w:pPr>
              <w:ind w:left="40"/>
              <w:spacing w:after="0"/>
              <w:rPr>
                <w:sz w:val="20"/>
                <w:szCs w:val="20"/>
                <w:color w:val="auto"/>
              </w:rPr>
            </w:pPr>
            <w:r>
              <w:rPr>
                <w:rFonts w:ascii="Arial" w:cs="Arial" w:eastAsia="Arial" w:hAnsi="Arial"/>
                <w:sz w:val="18"/>
                <w:szCs w:val="18"/>
                <w:color w:val="auto"/>
              </w:rPr>
              <w:t>Weighted average cost to service (in dollars)</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321</w:t>
            </w:r>
          </w:p>
        </w:tc>
      </w:tr>
      <w:tr>
        <w:trPr>
          <w:trHeight w:val="351"/>
        </w:trPr>
        <w:tc>
          <w:tcPr>
            <w:tcW w:w="9340" w:type="dxa"/>
            <w:vAlign w:val="bottom"/>
          </w:tcPr>
          <w:p>
            <w:pPr>
              <w:ind w:left="340"/>
              <w:spacing w:after="0"/>
              <w:rPr>
                <w:sz w:val="20"/>
                <w:szCs w:val="20"/>
                <w:color w:val="auto"/>
              </w:rPr>
            </w:pPr>
            <w:r>
              <w:rPr>
                <w:rFonts w:ascii="Arial" w:cs="Arial" w:eastAsia="Arial" w:hAnsi="Arial"/>
                <w:sz w:val="18"/>
                <w:szCs w:val="18"/>
                <w:color w:val="auto"/>
                <w:w w:val="91"/>
              </w:rPr>
              <w:t>Significant increases or decreases in these assumptions in isolation would result in a significantly higher or lower fair value.</w:t>
            </w: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Secured Notes</w:t>
      </w:r>
    </w:p>
    <w:p>
      <w:pPr>
        <w:spacing w:after="0" w:line="117" w:lineRule="exact"/>
        <w:rPr>
          <w:sz w:val="20"/>
          <w:szCs w:val="20"/>
          <w:color w:val="auto"/>
        </w:rPr>
      </w:pPr>
    </w:p>
    <w:p>
      <w:pPr>
        <w:jc w:val="both"/>
        <w:ind w:right="40" w:firstLine="324"/>
        <w:spacing w:after="0" w:line="264" w:lineRule="auto"/>
        <w:rPr>
          <w:sz w:val="20"/>
          <w:szCs w:val="20"/>
          <w:color w:val="auto"/>
        </w:rPr>
      </w:pPr>
      <w:r>
        <w:rPr>
          <w:rFonts w:ascii="Arial" w:cs="Arial" w:eastAsia="Arial" w:hAnsi="Arial"/>
          <w:sz w:val="18"/>
          <w:szCs w:val="18"/>
          <w:color w:val="auto"/>
        </w:rPr>
        <w:t>We issued Ocwen Asset Servicing Income Series (OASIS), Series 2014-1 Notes secured by Ocwen-owned MSRs relating to Freddie Mac mortgages. We accounted for this transaction as a financing. We determine the fair value based on bid prices provided by third parties involved in the issuance and placement of the notes.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Secured Borrowings</w:t>
      </w:r>
    </w:p>
    <w:p>
      <w:pPr>
        <w:spacing w:after="0" w:line="121" w:lineRule="exact"/>
        <w:rPr>
          <w:sz w:val="20"/>
          <w:szCs w:val="20"/>
          <w:color w:val="auto"/>
        </w:rPr>
      </w:pPr>
    </w:p>
    <w:p>
      <w:pPr>
        <w:ind w:right="100" w:firstLine="324"/>
        <w:spacing w:after="0" w:line="312" w:lineRule="auto"/>
        <w:rPr>
          <w:sz w:val="20"/>
          <w:szCs w:val="20"/>
          <w:color w:val="auto"/>
        </w:rPr>
      </w:pPr>
      <w:r>
        <w:rPr>
          <w:rFonts w:ascii="Arial" w:cs="Arial" w:eastAsia="Arial" w:hAnsi="Arial"/>
          <w:sz w:val="16"/>
          <w:szCs w:val="16"/>
          <w:color w:val="auto"/>
        </w:rPr>
        <w:t>The carrying value of secured borrowings that bear interest at a rate that is adjusted regularly based on a market index approximates fair value. For other secured borrowings that bear interest at a fixed rate, we determine fair value by discounting the future principal and interest repayments at a market rate commensurate with the risk of the estimated cash flows. For the SSTL, we based the fair value on quoted prices in a market with limited trading activity.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Unsecured Notes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base the fair value on quoted prices in a market with limited trading activity.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12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Interest rate lock commitments (IRLCs) represent an agreement to purchase loans from a third-party originator or an agreement to extend credit to a mortgage applicant (locked pipeline), whereby the interest rate is set prior to funding. IRLCs are classified within Level 2 of the valuation hierarchy as the primary component of the price is obtained from observable values of mortgage forwards for loans of similar terms and characteristics. Fair value amounts of IRLCs are adjusted for expected “fallout” (locked pipeline loans not expected to close) using models that consider cumulative historical fallout rates and other factors.</w:t>
      </w:r>
    </w:p>
    <w:p>
      <w:pPr>
        <w:spacing w:after="0" w:line="80"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We enter into forward MBS trades to provide an economic hedge against changes in the fair value of residential forward and reverse mortgage loans held for sale that we carry at fair value. Forward MBS trades are primarily used to fix the forward sales price that will be realized upon the sale of mortgage loans into the secondary market. Forward contracts are actively traded in the market and we obtain unadjusted market quotes for these derivatives, thus they are classified within Level 1 of the valuation hierarchy.</w:t>
      </w:r>
    </w:p>
    <w:p>
      <w:pPr>
        <w:spacing w:after="0" w:line="79" w:lineRule="exact"/>
        <w:rPr>
          <w:sz w:val="20"/>
          <w:szCs w:val="20"/>
          <w:color w:val="auto"/>
        </w:rPr>
      </w:pPr>
    </w:p>
    <w:p>
      <w:pPr>
        <w:jc w:val="both"/>
        <w:ind w:right="180" w:firstLine="324"/>
        <w:spacing w:after="0" w:line="264" w:lineRule="auto"/>
        <w:rPr>
          <w:sz w:val="20"/>
          <w:szCs w:val="20"/>
          <w:color w:val="auto"/>
        </w:rPr>
      </w:pPr>
      <w:r>
        <w:rPr>
          <w:rFonts w:ascii="Arial" w:cs="Arial" w:eastAsia="Arial" w:hAnsi="Arial"/>
          <w:sz w:val="18"/>
          <w:szCs w:val="18"/>
          <w:color w:val="auto"/>
        </w:rPr>
        <w:t>In addition, we may use interest rate caps to minimize future interest rate exposure on variable rate debt issued on servicing advance financing facilities from increases in one-month LIBOR interest rates. The fair value for interest rate caps is based on counterparty market prices and adjusted for counterparty credit risk.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Sales of Advances and MSRs</w:t>
      </w:r>
    </w:p>
    <w:p>
      <w:pPr>
        <w:spacing w:after="0" w:line="121" w:lineRule="exact"/>
        <w:rPr>
          <w:sz w:val="20"/>
          <w:szCs w:val="20"/>
          <w:color w:val="auto"/>
        </w:rPr>
      </w:pPr>
    </w:p>
    <w:p>
      <w:pPr>
        <w:ind w:right="180" w:firstLine="324"/>
        <w:spacing w:after="0" w:line="312" w:lineRule="auto"/>
        <w:rPr>
          <w:sz w:val="20"/>
          <w:szCs w:val="20"/>
          <w:color w:val="auto"/>
        </w:rPr>
      </w:pPr>
      <w:r>
        <w:rPr>
          <w:rFonts w:ascii="Arial" w:cs="Arial" w:eastAsia="Arial" w:hAnsi="Arial"/>
          <w:sz w:val="16"/>
          <w:szCs w:val="16"/>
          <w:color w:val="auto"/>
        </w:rPr>
        <w:t>In order to efficiently finance our assets, streamline our operations and generate liquidity, we sell MSRs, Rights to MSRs and servicing advances to market participants. We may retain the right to subservice loans when we sell MSRs. In connection with sales of Rights to MSRs, we retain legal ownership of the MSRs and continue to service the related mortgage loans until such time as all necessary consents to a transfer of the MSRs are received.</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692" w:right="239" w:bottom="1440" w:gutter="0" w:footer="0" w:header="0"/>
        </w:sectPr>
      </w:pPr>
    </w:p>
    <w:bookmarkStart w:id="23" w:name="page24"/>
    <w:bookmarkEnd w:id="23"/>
    <w:p>
      <w:pPr>
        <w:ind w:left="340"/>
        <w:spacing w:after="0"/>
        <w:rPr>
          <w:sz w:val="20"/>
          <w:szCs w:val="20"/>
          <w:color w:val="auto"/>
        </w:rPr>
      </w:pPr>
      <w:r>
        <w:rPr>
          <w:rFonts w:ascii="Arial" w:cs="Arial" w:eastAsia="Arial" w:hAnsi="Arial"/>
          <w:sz w:val="18"/>
          <w:szCs w:val="18"/>
          <w:color w:val="auto"/>
        </w:rPr>
        <w:t>The following table provides a summary of the MSRs and advances sold during the six months ended June 30:</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80" w:type="dxa"/>
            <w:vAlign w:val="bottom"/>
            <w:gridSpan w:val="4"/>
          </w:tcPr>
          <w:p>
            <w:pPr>
              <w:jc w:val="right"/>
              <w:ind w:right="109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80" w:type="dxa"/>
            <w:vAlign w:val="bottom"/>
            <w:gridSpan w:val="4"/>
          </w:tcPr>
          <w:p>
            <w:pPr>
              <w:jc w:val="right"/>
              <w:ind w:right="1090"/>
              <w:spacing w:after="0"/>
              <w:rPr>
                <w:sz w:val="20"/>
                <w:szCs w:val="20"/>
                <w:color w:val="auto"/>
              </w:rPr>
            </w:pPr>
            <w:r>
              <w:rPr>
                <w:rFonts w:ascii="Arial" w:cs="Arial" w:eastAsia="Arial" w:hAnsi="Arial"/>
                <w:sz w:val="18"/>
                <w:szCs w:val="18"/>
                <w:b w:val="1"/>
                <w:bCs w:val="1"/>
                <w:color w:val="auto"/>
              </w:rPr>
              <w:t>2015</w:t>
            </w:r>
          </w:p>
        </w:tc>
      </w:tr>
      <w:tr>
        <w:trPr>
          <w:trHeight w:val="27"/>
        </w:trPr>
        <w:tc>
          <w:tcPr>
            <w:tcW w:w="53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8"/>
        </w:trPr>
        <w:tc>
          <w:tcPr>
            <w:tcW w:w="5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Advances and</w:t>
            </w: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Advances and</w:t>
            </w:r>
          </w:p>
        </w:tc>
      </w:tr>
      <w:tr>
        <w:trPr>
          <w:trHeight w:val="216"/>
        </w:trPr>
        <w:tc>
          <w:tcPr>
            <w:tcW w:w="5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3"/>
              </w:rPr>
              <w:t>Match Funded</w:t>
            </w: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Match Funded</w:t>
            </w:r>
          </w:p>
        </w:tc>
      </w:tr>
      <w:tr>
        <w:trPr>
          <w:trHeight w:val="234"/>
        </w:trPr>
        <w:tc>
          <w:tcPr>
            <w:tcW w:w="5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gridSpan w:val="2"/>
          </w:tcPr>
          <w:p>
            <w:pPr>
              <w:ind w:left="160"/>
              <w:spacing w:after="0"/>
              <w:rPr>
                <w:sz w:val="20"/>
                <w:szCs w:val="20"/>
                <w:color w:val="auto"/>
              </w:rPr>
            </w:pPr>
            <w:r>
              <w:rPr>
                <w:rFonts w:ascii="Arial" w:cs="Arial" w:eastAsia="Arial" w:hAnsi="Arial"/>
                <w:sz w:val="18"/>
                <w:szCs w:val="18"/>
                <w:b w:val="1"/>
                <w:bCs w:val="1"/>
                <w:color w:val="auto"/>
              </w:rPr>
              <w:t>MSRs</w:t>
            </w:r>
          </w:p>
        </w:tc>
        <w:tc>
          <w:tcPr>
            <w:tcW w:w="120" w:type="dxa"/>
            <w:vAlign w:val="bottom"/>
          </w:tcPr>
          <w:p>
            <w:pPr>
              <w:spacing w:after="0"/>
              <w:rPr>
                <w:sz w:val="20"/>
                <w:szCs w:val="20"/>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Advances</w:t>
            </w:r>
          </w:p>
        </w:tc>
        <w:tc>
          <w:tcPr>
            <w:tcW w:w="260" w:type="dxa"/>
            <w:vAlign w:val="bottom"/>
          </w:tcPr>
          <w:p>
            <w:pPr>
              <w:spacing w:after="0"/>
              <w:rPr>
                <w:sz w:val="20"/>
                <w:szCs w:val="20"/>
                <w:color w:val="auto"/>
              </w:rPr>
            </w:pPr>
          </w:p>
        </w:tc>
        <w:tc>
          <w:tcPr>
            <w:tcW w:w="1160" w:type="dxa"/>
            <w:vAlign w:val="bottom"/>
            <w:gridSpan w:val="2"/>
          </w:tcPr>
          <w:p>
            <w:pPr>
              <w:ind w:left="160"/>
              <w:spacing w:after="0"/>
              <w:rPr>
                <w:sz w:val="20"/>
                <w:szCs w:val="20"/>
                <w:color w:val="auto"/>
              </w:rPr>
            </w:pPr>
            <w:r>
              <w:rPr>
                <w:rFonts w:ascii="Arial" w:cs="Arial" w:eastAsia="Arial" w:hAnsi="Arial"/>
                <w:sz w:val="18"/>
                <w:szCs w:val="18"/>
                <w:b w:val="1"/>
                <w:bCs w:val="1"/>
                <w:color w:val="auto"/>
              </w:rPr>
              <w:t>MSRs</w:t>
            </w:r>
          </w:p>
        </w:tc>
        <w:tc>
          <w:tcPr>
            <w:tcW w:w="120" w:type="dxa"/>
            <w:vAlign w:val="bottom"/>
          </w:tcPr>
          <w:p>
            <w:pPr>
              <w:spacing w:after="0"/>
              <w:rPr>
                <w:sz w:val="20"/>
                <w:szCs w:val="20"/>
                <w:color w:val="auto"/>
              </w:rPr>
            </w:pPr>
          </w:p>
        </w:tc>
        <w:tc>
          <w:tcPr>
            <w:tcW w:w="1200" w:type="dxa"/>
            <w:vAlign w:val="bottom"/>
          </w:tcPr>
          <w:p>
            <w:pPr>
              <w:jc w:val="center"/>
              <w:ind w:right="10"/>
              <w:spacing w:after="0"/>
              <w:rPr>
                <w:sz w:val="20"/>
                <w:szCs w:val="20"/>
                <w:color w:val="auto"/>
              </w:rPr>
            </w:pPr>
            <w:r>
              <w:rPr>
                <w:rFonts w:ascii="Arial" w:cs="Arial" w:eastAsia="Arial" w:hAnsi="Arial"/>
                <w:sz w:val="18"/>
                <w:szCs w:val="18"/>
                <w:b w:val="1"/>
                <w:bCs w:val="1"/>
                <w:color w:val="auto"/>
                <w:w w:val="86"/>
              </w:rPr>
              <w:t>Advances</w:t>
            </w:r>
          </w:p>
        </w:tc>
      </w:tr>
      <w:tr>
        <w:trPr>
          <w:trHeight w:val="27"/>
        </w:trPr>
        <w:tc>
          <w:tcPr>
            <w:tcW w:w="536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Sales price of assets sold and adjustments:</w:t>
            </w:r>
          </w:p>
        </w:tc>
        <w:tc>
          <w:tcPr>
            <w:tcW w:w="28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r>
      <w:tr>
        <w:trPr>
          <w:trHeight w:val="243"/>
        </w:trPr>
        <w:tc>
          <w:tcPr>
            <w:tcW w:w="5360" w:type="dxa"/>
            <w:vAlign w:val="bottom"/>
          </w:tcPr>
          <w:p>
            <w:pPr>
              <w:ind w:left="180"/>
              <w:spacing w:after="0"/>
              <w:rPr>
                <w:sz w:val="20"/>
                <w:szCs w:val="20"/>
                <w:color w:val="auto"/>
              </w:rPr>
            </w:pPr>
            <w:r>
              <w:rPr>
                <w:rFonts w:ascii="Arial" w:cs="Arial" w:eastAsia="Arial" w:hAnsi="Arial"/>
                <w:sz w:val="18"/>
                <w:szCs w:val="18"/>
                <w:color w:val="auto"/>
              </w:rPr>
              <w:t>Accounted for as a sale (1)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24,053</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608,158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149,298</w:t>
            </w:r>
          </w:p>
        </w:tc>
      </w:tr>
      <w:tr>
        <w:trPr>
          <w:trHeight w:val="27"/>
        </w:trPr>
        <w:tc>
          <w:tcPr>
            <w:tcW w:w="5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3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Amount due from purchaser at June 30 (2)</w:t>
            </w:r>
          </w:p>
        </w:tc>
        <w:tc>
          <w:tcPr>
            <w:tcW w:w="28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(1,062)</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(135,414)</w:t>
            </w:r>
          </w:p>
        </w:tc>
        <w:tc>
          <w:tcPr>
            <w:tcW w:w="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(20,477)</w:t>
            </w:r>
          </w:p>
        </w:tc>
      </w:tr>
      <w:tr>
        <w:trPr>
          <w:trHeight w:val="229"/>
        </w:trPr>
        <w:tc>
          <w:tcPr>
            <w:tcW w:w="5360" w:type="dxa"/>
            <w:vAlign w:val="bottom"/>
          </w:tcPr>
          <w:p>
            <w:pPr>
              <w:ind w:left="180"/>
              <w:spacing w:after="0"/>
              <w:rPr>
                <w:sz w:val="20"/>
                <w:szCs w:val="20"/>
                <w:color w:val="auto"/>
              </w:rPr>
            </w:pPr>
            <w:r>
              <w:rPr>
                <w:rFonts w:ascii="Arial" w:cs="Arial" w:eastAsia="Arial" w:hAnsi="Arial"/>
                <w:sz w:val="18"/>
                <w:szCs w:val="18"/>
                <w:color w:val="auto"/>
                <w:w w:val="93"/>
              </w:rPr>
              <w:t>Amounts paid to purchaser for estimated representation and warranty</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16"/>
        </w:trPr>
        <w:tc>
          <w:tcPr>
            <w:tcW w:w="5360" w:type="dxa"/>
            <w:vAlign w:val="bottom"/>
          </w:tcPr>
          <w:p>
            <w:pPr>
              <w:ind w:left="340"/>
              <w:spacing w:after="0"/>
              <w:rPr>
                <w:sz w:val="20"/>
                <w:szCs w:val="20"/>
                <w:color w:val="auto"/>
              </w:rPr>
            </w:pPr>
            <w:r>
              <w:rPr>
                <w:rFonts w:ascii="Arial" w:cs="Arial" w:eastAsia="Arial" w:hAnsi="Arial"/>
                <w:sz w:val="18"/>
                <w:szCs w:val="18"/>
                <w:color w:val="auto"/>
              </w:rPr>
              <w:t>obligations, compensatory fees and related indemnification</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0"/>
        </w:trPr>
        <w:tc>
          <w:tcPr>
            <w:tcW w:w="5360" w:type="dxa"/>
            <w:vAlign w:val="bottom"/>
          </w:tcPr>
          <w:p>
            <w:pPr>
              <w:ind w:left="340"/>
              <w:spacing w:after="0"/>
              <w:rPr>
                <w:sz w:val="20"/>
                <w:szCs w:val="20"/>
                <w:color w:val="auto"/>
              </w:rPr>
            </w:pPr>
            <w:r>
              <w:rPr>
                <w:rFonts w:ascii="Arial" w:cs="Arial" w:eastAsia="Arial" w:hAnsi="Arial"/>
                <w:sz w:val="18"/>
                <w:szCs w:val="18"/>
                <w:color w:val="auto"/>
              </w:rPr>
              <w:t>obligations</w:t>
            </w:r>
          </w:p>
        </w:tc>
        <w:tc>
          <w:tcPr>
            <w:tcW w:w="2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(83,806)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5360" w:type="dxa"/>
            <w:vAlign w:val="bottom"/>
            <w:shd w:val="clear" w:color="auto" w:fill="EAF9E8"/>
          </w:tcPr>
          <w:p>
            <w:pPr>
              <w:ind w:left="180"/>
              <w:spacing w:after="0"/>
              <w:rPr>
                <w:sz w:val="20"/>
                <w:szCs w:val="20"/>
                <w:color w:val="auto"/>
              </w:rPr>
            </w:pPr>
            <w:r>
              <w:rPr>
                <w:rFonts w:ascii="Arial" w:cs="Arial" w:eastAsia="Arial" w:hAnsi="Arial"/>
                <w:sz w:val="18"/>
                <w:szCs w:val="18"/>
                <w:color w:val="auto"/>
                <w:w w:val="94"/>
              </w:rPr>
              <w:t>Amounts received from purchaser for items outstanding at the end of</w:t>
            </w:r>
          </w:p>
        </w:tc>
        <w:tc>
          <w:tcPr>
            <w:tcW w:w="28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00" w:type="dxa"/>
            <w:vAlign w:val="bottom"/>
            <w:shd w:val="clear" w:color="auto" w:fill="EAF9E8"/>
          </w:tcPr>
          <w:p>
            <w:pPr>
              <w:spacing w:after="0"/>
              <w:rPr>
                <w:sz w:val="19"/>
                <w:szCs w:val="19"/>
                <w:color w:val="auto"/>
              </w:rPr>
            </w:pPr>
          </w:p>
        </w:tc>
      </w:tr>
      <w:tr>
        <w:trPr>
          <w:trHeight w:val="257"/>
        </w:trPr>
        <w:tc>
          <w:tcPr>
            <w:tcW w:w="5360" w:type="dxa"/>
            <w:vAlign w:val="bottom"/>
            <w:tcBorders>
              <w:bottom w:val="single" w:sz="8" w:color="EAF9E8"/>
            </w:tcBorders>
            <w:shd w:val="clear" w:color="auto" w:fill="EAF9E8"/>
          </w:tcPr>
          <w:p>
            <w:pPr>
              <w:ind w:left="340"/>
              <w:spacing w:after="0"/>
              <w:rPr>
                <w:sz w:val="20"/>
                <w:szCs w:val="20"/>
                <w:color w:val="auto"/>
              </w:rPr>
            </w:pPr>
            <w:r>
              <w:rPr>
                <w:rFonts w:ascii="Arial" w:cs="Arial" w:eastAsia="Arial" w:hAnsi="Arial"/>
                <w:sz w:val="18"/>
                <w:szCs w:val="18"/>
                <w:color w:val="auto"/>
              </w:rPr>
              <w:t>the previous year</w:t>
            </w:r>
          </w:p>
        </w:tc>
        <w:tc>
          <w:tcPr>
            <w:tcW w:w="280" w:type="dxa"/>
            <w:vAlign w:val="bottom"/>
            <w:tcBorders>
              <w:bottom w:val="single" w:sz="8" w:color="EAF9E8"/>
            </w:tcBorders>
            <w:shd w:val="clear" w:color="auto" w:fill="EAF9E8"/>
          </w:tcPr>
          <w:p>
            <w:pPr>
              <w:spacing w:after="0"/>
              <w:rPr>
                <w:sz w:val="22"/>
                <w:szCs w:val="22"/>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15,351</w:t>
            </w:r>
          </w:p>
        </w:tc>
        <w:tc>
          <w:tcPr>
            <w:tcW w:w="10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43,660</w:t>
            </w:r>
          </w:p>
        </w:tc>
        <w:tc>
          <w:tcPr>
            <w:tcW w:w="12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EAF9E8"/>
            </w:tcBorders>
            <w:shd w:val="clear" w:color="auto" w:fill="EAF9E8"/>
          </w:tcPr>
          <w:p>
            <w:pPr>
              <w:spacing w:after="0"/>
              <w:rPr>
                <w:sz w:val="22"/>
                <w:szCs w:val="22"/>
                <w:color w:val="auto"/>
              </w:rPr>
            </w:pPr>
          </w:p>
        </w:tc>
        <w:tc>
          <w:tcPr>
            <w:tcW w:w="11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EAF9E8"/>
            </w:tcBorders>
            <w:shd w:val="clear" w:color="auto" w:fill="EAF9E8"/>
          </w:tcPr>
          <w:p>
            <w:pPr>
              <w:spacing w:after="0"/>
              <w:rPr>
                <w:sz w:val="22"/>
                <w:szCs w:val="22"/>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5360" w:type="dxa"/>
            <w:vAlign w:val="bottom"/>
          </w:tcPr>
          <w:p>
            <w:pPr>
              <w:ind w:left="280"/>
              <w:spacing w:after="0"/>
              <w:rPr>
                <w:sz w:val="20"/>
                <w:szCs w:val="20"/>
                <w:color w:val="auto"/>
              </w:rPr>
            </w:pPr>
            <w:r>
              <w:rPr>
                <w:rFonts w:ascii="Arial" w:cs="Arial" w:eastAsia="Arial" w:hAnsi="Arial"/>
                <w:sz w:val="18"/>
                <w:szCs w:val="18"/>
                <w:color w:val="auto"/>
              </w:rPr>
              <w:t>Total net cash received</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15,122</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66,651</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388,938</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128,821</w:t>
            </w:r>
          </w:p>
        </w:tc>
      </w:tr>
      <w:tr>
        <w:trPr>
          <w:trHeight w:val="20"/>
        </w:trPr>
        <w:tc>
          <w:tcPr>
            <w:tcW w:w="5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500" w:right="460" w:hanging="492"/>
        <w:spacing w:after="0" w:line="255" w:lineRule="auto"/>
        <w:tabs>
          <w:tab w:leader="none" w:pos="5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During the six months ended June 30, 2016 and 2015, we sold MSRs relating to loans with a UPB of $214.4 million (Agency and non-Agency) and $64.3 billion (Agency), respectively.</w:t>
      </w:r>
    </w:p>
    <w:p>
      <w:pPr>
        <w:spacing w:after="0" w:line="1" w:lineRule="exact"/>
        <w:rPr>
          <w:rFonts w:ascii="Arial" w:cs="Arial" w:eastAsia="Arial" w:hAnsi="Arial"/>
          <w:sz w:val="16"/>
          <w:szCs w:val="16"/>
          <w:color w:val="auto"/>
        </w:rPr>
      </w:pPr>
    </w:p>
    <w:p>
      <w:pPr>
        <w:ind w:left="500" w:hanging="492"/>
        <w:spacing w:after="0"/>
        <w:tabs>
          <w:tab w:leader="none" w:pos="5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The total amount due at June 30, 2016 on sales of MSRs and advances, which consists primarily of amounts due on sales completed in 2015, is $36.7 million.</w:t>
      </w:r>
    </w:p>
    <w:p>
      <w:pPr>
        <w:spacing w:after="0" w:line="214"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In 2012 and 2013, we sold Rights to MSRs and the related servicing advances to Home Loan Servicing Solutions, Ltd. (HLSS). On April 6, 2015, HLSS closed on the sale of substantially all of its assets to NRZ. References to NRZ in these unaudited consolidated financial statements include HLSS for periods prior to April 6, 2015 because, following HLSS’ sale of substantially all of its assets on April 6, 2015, NRZ, through its subsidiaries, is the owner of the Rights to MSRs and has assumed all rights and obligations under the associated agreements. We refer to the sale of Rights to MSRs and the related servicing advances as the NRZ/HLSS Transactions.</w:t>
      </w:r>
    </w:p>
    <w:p>
      <w:pPr>
        <w:spacing w:after="0" w:line="80"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Pursuant to our agreements with NRZ, NRZ has assumed the obligation to fund new servicing advances with respect to the Rights to MSRs. We continue to service the loans for which the Rights to MSRs have been sold to NRZ. Accordingly, in the event NRZ were unable to fulfill its advance funding obligations, as the servicer under our servicing agreements with the residential mortgage backed securitization trusts, we would be contractually obligated to fund such advances under those servicing agreements. At June 30, 2016, NRZ had outstanding advances of approximately $4.6 billion in connection with the Rights to MSRs.</w:t>
      </w:r>
    </w:p>
    <w:p>
      <w:pPr>
        <w:spacing w:after="0" w:line="80" w:lineRule="exact"/>
        <w:rPr>
          <w:sz w:val="20"/>
          <w:szCs w:val="20"/>
          <w:color w:val="auto"/>
        </w:rPr>
      </w:pPr>
    </w:p>
    <w:p>
      <w:pPr>
        <w:ind w:right="60" w:firstLine="324"/>
        <w:spacing w:after="0" w:line="288" w:lineRule="auto"/>
        <w:rPr>
          <w:sz w:val="20"/>
          <w:szCs w:val="20"/>
          <w:color w:val="auto"/>
        </w:rPr>
      </w:pPr>
      <w:r>
        <w:rPr>
          <w:rFonts w:ascii="Arial" w:cs="Arial" w:eastAsia="Arial" w:hAnsi="Arial"/>
          <w:sz w:val="16"/>
          <w:szCs w:val="16"/>
          <w:color w:val="auto"/>
        </w:rPr>
        <w:t>The servicing fees payable under the servicing agreements underlying the Rights to MSRs are apportioned between NRZ and us as provided in our agreements with NRZ. NRZ retains a fee based on the UPB of the loans serviced, and OLS receives certain fees, including a performance fee based on servicing fees actually paid less an amount calculated based on the amount of servicing advances and cost of financing those advances. The apportionment of these fees with respect to each tranche of Rights to MSRs sold to NRZ is subject to negotiations required to be commenced by NRZ no later than six months prior to the servicing fee reset date. The servicing fee reset date is the earlier of April 30, 2020 or eight years after the closing date of the sale of each tranche of Rights to MSRs to NRZ, unless OLS’ S&amp;P or Fitch servicer ratings are below “Average” or “SQ4” or lower, respectively, on the sixth anniversary of the closing date of the particular tranche, in which case such six year anniversary shall be the fee reset date. If the parties are not able to agree on servicing fees prior to the fee reset date, NRZ is required to continue paying under the existing fee structure and the agreements between the parties will continue in effect with respect to each underlying servicing agreement unless and until NRZ directs the transfer of servicing under such servicing agreement to a third-party servicer with respect to which all required third-party consents and licenses have been obtained.</w:t>
      </w:r>
    </w:p>
    <w:p>
      <w:pPr>
        <w:spacing w:after="0" w:line="61"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Beginning April 7, 2017, we are obligated to transfer legal ownership of the MSRs to NRZ if and when NRZ obtains all required third-party consents and licenses. If and when such transfer of legal ownership occurs, OLS will subservice the loans pursuant to a subservicing agreement, as amended, with NRZ and the subservicing agreement will have a subservicing fee reset date comparable to the servicing fee reset date described above. NRZ has agreed not to direct our replacement as servicer before April 6, 2017 except under certain limited circumstances.</w:t>
      </w:r>
    </w:p>
    <w:p>
      <w:pPr>
        <w:spacing w:after="0" w:line="171" w:lineRule="exact"/>
        <w:rPr>
          <w:sz w:val="20"/>
          <w:szCs w:val="20"/>
          <w:color w:val="auto"/>
        </w:rPr>
      </w:pPr>
    </w:p>
    <w:p>
      <w:pPr>
        <w:ind w:right="240" w:firstLine="324"/>
        <w:spacing w:after="0" w:line="297" w:lineRule="auto"/>
        <w:rPr>
          <w:sz w:val="20"/>
          <w:szCs w:val="20"/>
          <w:color w:val="auto"/>
        </w:rPr>
      </w:pPr>
      <w:r>
        <w:rPr>
          <w:rFonts w:ascii="Arial" w:cs="Arial" w:eastAsia="Arial" w:hAnsi="Arial"/>
          <w:sz w:val="16"/>
          <w:szCs w:val="16"/>
          <w:color w:val="auto"/>
        </w:rPr>
        <w:t>Beginning April 7, 2017, under the Master Servicing Rights Purchase Agreement and Sale Supplements with NRZ, if a termination event related to a servicer rating downgrade exists with respect to any servicing agreement, NRZ will have the right to direct the transfer of servicing with respect to any affected servicing agreement to a replacement servicer that obtains all required third-party consents and licenses. As of June 30, 2016, a termination event relating to a servicer rating downgrade exists because our servicer rating from S&amp;P is below “Average.” If our servicer rating from S&amp;P is not upgraded to “Average” or better prior to April 7, 2017, NRZ will have the right to direct the transfer of any affected servicing agreements to a</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692" w:right="259" w:bottom="1440" w:gutter="0" w:footer="0" w:header="0"/>
        </w:sectPr>
      </w:pPr>
    </w:p>
    <w:bookmarkStart w:id="24" w:name="page25"/>
    <w:bookmarkEnd w:id="24"/>
    <w:p>
      <w:pPr>
        <w:ind w:right="300"/>
        <w:spacing w:after="0" w:line="277" w:lineRule="auto"/>
        <w:rPr>
          <w:sz w:val="20"/>
          <w:szCs w:val="20"/>
          <w:color w:val="auto"/>
        </w:rPr>
      </w:pPr>
      <w:r>
        <w:rPr>
          <w:rFonts w:ascii="Arial" w:cs="Arial" w:eastAsia="Arial" w:hAnsi="Arial"/>
          <w:sz w:val="18"/>
          <w:szCs w:val="18"/>
          <w:color w:val="auto"/>
        </w:rPr>
        <w:t>successor servicer that obtains all required third-party consents and licenses. Following any such transfer of an affected servicing agreement, we would no longer be entitled to receive future servicing fee revenue with respect to the transferred servicing agreement.</w:t>
      </w:r>
    </w:p>
    <w:p>
      <w:pPr>
        <w:spacing w:after="0" w:line="62"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To the extent servicing agreements underlying Rights to MSRs are terminated as a result of a termination event, NRZ is entitled to payment of an amount equal to an amortized percentage of NRZ’s purchase price for the related Rights to MSRs. We paid NRZ $2.2 million during the six months ended June 30, 2015 in connection with the termination of four servicing agreements underlying the Rights to MSRs.</w:t>
      </w:r>
    </w:p>
    <w:p>
      <w:pPr>
        <w:spacing w:after="0" w:line="73"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Our agreements with NRZ provide that, if S&amp;P downgrades our servicer rating to below “Average” (which it has), we will compensate NRZ for certain increased costs associated with its servicing advance financing facilities, including increased costs of funding, to the extent such costs are the direct result of such downgrade. This compensation requirement continued for a period of 12 months (through June 2016), not to exceed $3.0 million for any calendar month or $36.0 million in the aggregate. In such circumstances, NRZ was required to use commercially reasonable efforts to assist us in curing any potential cost increases by obtaining amendments to the relevant financing agreements. We incurred $10.5 million and $0.3 million during the six months ended June 30, 2016 and 2015, respectively, in connection with this agreement.</w:t>
      </w:r>
    </w:p>
    <w:p>
      <w:pPr>
        <w:spacing w:after="0" w:line="193" w:lineRule="exact"/>
        <w:rPr>
          <w:sz w:val="20"/>
          <w:szCs w:val="20"/>
          <w:color w:val="auto"/>
        </w:rPr>
      </w:pPr>
    </w:p>
    <w:p>
      <w:pPr>
        <w:ind w:right="80" w:firstLine="324"/>
        <w:spacing w:after="0" w:line="312" w:lineRule="auto"/>
        <w:rPr>
          <w:sz w:val="20"/>
          <w:szCs w:val="20"/>
          <w:color w:val="auto"/>
        </w:rPr>
      </w:pPr>
      <w:r>
        <w:rPr>
          <w:rFonts w:ascii="Arial" w:cs="Arial" w:eastAsia="Arial" w:hAnsi="Arial"/>
          <w:sz w:val="16"/>
          <w:szCs w:val="16"/>
          <w:color w:val="auto"/>
        </w:rPr>
        <w:t>The NRZ/HLSS Transactions are accounted for as financings. If and when transfer of legal ownership of the underlying MSRs occurs upon receipt of third-party consents, we would derecognize the related MSRs. Upon derecognition, any resulting gain or loss is deferred and amortized over the expected life of the related subservicing agreement. Until derecognition, we continue to recognize the full amount of servicing revenue and amortization of the MSRs.</w:t>
      </w:r>
    </w:p>
    <w:p>
      <w:pPr>
        <w:spacing w:after="0" w:line="39" w:lineRule="exact"/>
        <w:rPr>
          <w:sz w:val="20"/>
          <w:szCs w:val="20"/>
          <w:color w:val="auto"/>
        </w:rPr>
      </w:pPr>
    </w:p>
    <w:p>
      <w:pPr>
        <w:ind w:right="300" w:firstLine="324"/>
        <w:spacing w:after="0" w:line="264" w:lineRule="auto"/>
        <w:rPr>
          <w:sz w:val="20"/>
          <w:szCs w:val="20"/>
          <w:color w:val="auto"/>
        </w:rPr>
      </w:pPr>
      <w:r>
        <w:rPr>
          <w:rFonts w:ascii="Arial" w:cs="Arial" w:eastAsia="Arial" w:hAnsi="Arial"/>
          <w:sz w:val="18"/>
          <w:szCs w:val="18"/>
          <w:color w:val="auto"/>
        </w:rPr>
        <w:t>The sales of advances in connection with MSR sales, including the NRZ/HLSS Transactions, meet the requirements for sale accounting, and the advances are derecognized from our consolidated financial statements at the servicing transfer date, or, in the case of advances sold in connection with the sale of Rights to MSRs, at the time of the sale.</w:t>
      </w:r>
    </w:p>
    <w:p>
      <w:pPr>
        <w:spacing w:after="0" w:line="73"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In 2014, Ocwen sold advances related to certain FHA-insured mortgage loans to subsidiaries of NRZ. These advance sales did not qualify for sales treatment and were accounted for as financings (Financing liability - Advances pledged).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Loans Held for Sale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 Held for Sale - Fair Value</w:t>
      </w:r>
    </w:p>
    <w:p>
      <w:pPr>
        <w:spacing w:after="0" w:line="117"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Loans held for sale, at fair value, represent residential mortgage loans originated or purchased and held until sold to secondary market investors, such as the GSEs or other third parties. The following table summarizes the activity in the balance during the six months ended June 30:</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309,054</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401,120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Originations and purchases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1,924,514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2,002,503</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Proceeds from sales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(1,910,019)</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(2,137,272)</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Principal collections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(8,877)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(5,185)</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Gain on sale of loans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16,009</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26,772</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Other (1)</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9,006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(11,357)</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Ending balance</w:t>
            </w: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339,687</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276,581</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500" w:hanging="492"/>
        <w:spacing w:after="0"/>
        <w:tabs>
          <w:tab w:leader="none" w:pos="5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Other includes the increase (decrease) in fair value of $4.3 million and $(11.7) million for the six months ended June 30, 2016 and 2015, respectively.</w:t>
      </w:r>
    </w:p>
    <w:p>
      <w:pPr>
        <w:spacing w:after="0" w:line="109" w:lineRule="exact"/>
        <w:rPr>
          <w:sz w:val="20"/>
          <w:szCs w:val="20"/>
          <w:color w:val="auto"/>
        </w:rPr>
      </w:pPr>
    </w:p>
    <w:p>
      <w:pPr>
        <w:ind w:right="660" w:firstLine="324"/>
        <w:spacing w:after="0" w:line="277" w:lineRule="auto"/>
        <w:rPr>
          <w:sz w:val="20"/>
          <w:szCs w:val="20"/>
          <w:color w:val="auto"/>
        </w:rPr>
      </w:pPr>
      <w:r>
        <w:rPr>
          <w:rFonts w:ascii="Arial" w:cs="Arial" w:eastAsia="Arial" w:hAnsi="Arial"/>
          <w:sz w:val="18"/>
          <w:szCs w:val="18"/>
          <w:color w:val="auto"/>
        </w:rPr>
        <w:t>At June 30, 2016, loans held for sale, at fair value with a UPB of $310.6 million were pledged to secure warehouse lines of credit in our Lending segment.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692"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Loans Held for Sale - Lower of Cost or Fair Value</w:t>
      </w:r>
    </w:p>
    <w:p>
      <w:pPr>
        <w:spacing w:after="0" w:line="117"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Loans held for sale, at lower of cost or fair value, include residential loans that we do not intend to hold to maturity. The following table summarizes the activity in the net balance during the six months ended June 30:</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104,992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87,492</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Purchases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958,610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311,985</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Proceeds from sales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(856,426)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(346,681)</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Principal collections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(14,109)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(27,957)</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Transfers to accounts receivable</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(137,605)</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(20,962)</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Transfers to real estate owned</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(5,958)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(1,583)</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Gain on sale of loans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12,962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33,068</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Decrease (increase) in valuation allowance</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(1,275)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38,399</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912</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2,056</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 xml:space="preserve">Ending balance </w:t>
            </w:r>
            <w:r>
              <w:rPr>
                <w:rFonts w:ascii="Arial" w:cs="Arial" w:eastAsia="Arial" w:hAnsi="Arial"/>
                <w:sz w:val="18"/>
                <w:szCs w:val="18"/>
                <w:color w:val="auto"/>
              </w:rPr>
              <w:t>(1)</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62,103</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75,817</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500" w:right="120" w:hanging="492"/>
        <w:spacing w:after="0" w:line="261" w:lineRule="auto"/>
        <w:tabs>
          <w:tab w:leader="none" w:pos="5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At June 30, 2016 and June 30, 2015, the balances include $45.5 million and $65.6 million, respectively, of loans that we were required to repurchase from Ginnie Mae guaranteed securitizations as part of our servicing obligations. Repurchased loans are modified or otherwise remediated through loss mitigation activities or are reclassified to receivables.</w:t>
      </w:r>
    </w:p>
    <w:p>
      <w:pPr>
        <w:spacing w:after="0" w:line="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 in the valuation allowance during the six months ended June 30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14,658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49,676</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Provision</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2,163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386</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Transfer from liability for indemnification obligations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1,705</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974</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Sales of loans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(2,249)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(37,777)</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1,383</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Ending balance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15,933</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14,642</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At June 30, 2016, Loans held for sale, at lower of cost or fair value with a UPB of $30.7 million were pledged to secure a warehouse line of credit in our Servicing segment.</w:t>
      </w:r>
    </w:p>
    <w:p>
      <w:pPr>
        <w:spacing w:after="0" w:line="62" w:lineRule="exact"/>
        <w:rPr>
          <w:sz w:val="20"/>
          <w:szCs w:val="20"/>
          <w:color w:val="auto"/>
        </w:rPr>
      </w:pPr>
    </w:p>
    <w:p>
      <w:pPr>
        <w:ind w:right="140" w:firstLine="324"/>
        <w:spacing w:after="0" w:line="286" w:lineRule="auto"/>
        <w:rPr>
          <w:sz w:val="20"/>
          <w:szCs w:val="20"/>
          <w:color w:val="auto"/>
        </w:rPr>
      </w:pPr>
      <w:r>
        <w:rPr>
          <w:rFonts w:ascii="Arial" w:cs="Arial" w:eastAsia="Arial" w:hAnsi="Arial"/>
          <w:sz w:val="17"/>
          <w:szCs w:val="17"/>
          <w:color w:val="auto"/>
        </w:rPr>
        <w:t>In March 2015, we recognized a gain of $12.9 million on sales of loans with a total UPB of $42.7 million to an unrelated third party. In May 2015, we recognized a gain of $7.2 million on sales of a second group of loans with a total UPB of $33.0 million to an unrelated third party. We had repurchased these loans under the representation and warranty provisions of our contractual obligations to the GSEs as primary servicer of the loans.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Loans Held for Sale, Net</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activity in Gain on loans held for sale, net, during the periods ended June 30:</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0" w:type="dxa"/>
            <w:vAlign w:val="bottom"/>
            <w:gridSpan w:val="3"/>
          </w:tcPr>
          <w:p>
            <w:pPr>
              <w:jc w:val="right"/>
              <w:spacing w:after="0"/>
              <w:rPr>
                <w:sz w:val="20"/>
                <w:szCs w:val="20"/>
                <w:color w:val="auto"/>
              </w:rPr>
            </w:pPr>
            <w:r>
              <w:rPr>
                <w:rFonts w:ascii="Arial" w:cs="Arial" w:eastAsia="Arial" w:hAnsi="Arial"/>
                <w:sz w:val="18"/>
                <w:szCs w:val="18"/>
                <w:b w:val="1"/>
                <w:bCs w:val="1"/>
                <w:color w:val="auto"/>
              </w:rPr>
              <w:t>Three Months</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b w:val="1"/>
                <w:bCs w:val="1"/>
                <w:color w:val="auto"/>
              </w:rPr>
              <w:t>Six Months</w:t>
            </w:r>
          </w:p>
        </w:tc>
        <w:tc>
          <w:tcPr>
            <w:tcW w:w="100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516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Gain on sales of loans</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19,086</w:t>
            </w:r>
          </w:p>
        </w:tc>
        <w:tc>
          <w:tcPr>
            <w:tcW w:w="12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47,816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37,025</w:t>
            </w:r>
          </w:p>
        </w:tc>
        <w:tc>
          <w:tcPr>
            <w:tcW w:w="100" w:type="dxa"/>
            <w:vAlign w:val="bottom"/>
            <w:tcBorders>
              <w:bottom w:val="single" w:sz="8" w:color="EAF9E8"/>
            </w:tcBorders>
            <w:shd w:val="clear" w:color="auto" w:fill="EAF9E8"/>
          </w:tcPr>
          <w:p>
            <w:pPr>
              <w:spacing w:after="0"/>
              <w:rPr>
                <w:sz w:val="21"/>
                <w:szCs w:val="21"/>
                <w:color w:val="auto"/>
              </w:rPr>
            </w:pPr>
          </w:p>
        </w:tc>
        <w:tc>
          <w:tcPr>
            <w:tcW w:w="480" w:type="dxa"/>
            <w:vAlign w:val="bottom"/>
            <w:tcBorders>
              <w:bottom w:val="single" w:sz="8" w:color="EAF9E8"/>
            </w:tcBorders>
            <w:shd w:val="clear" w:color="auto" w:fill="EAF9E8"/>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100,126</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Change in fair value of IRLCs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(794)</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(4,461)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6,672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(1,011)</w:t>
            </w: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Change in fair value of loans held for sale</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18,191</w:t>
            </w:r>
          </w:p>
        </w:tc>
        <w:tc>
          <w:tcPr>
            <w:tcW w:w="12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(5,630)</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21,713</w:t>
            </w:r>
          </w:p>
        </w:tc>
        <w:tc>
          <w:tcPr>
            <w:tcW w:w="100" w:type="dxa"/>
            <w:vAlign w:val="bottom"/>
            <w:tcBorders>
              <w:bottom w:val="single" w:sz="8" w:color="EAF9E8"/>
            </w:tcBorders>
            <w:shd w:val="clear" w:color="auto" w:fill="EAF9E8"/>
          </w:tcPr>
          <w:p>
            <w:pPr>
              <w:spacing w:after="0"/>
              <w:rPr>
                <w:sz w:val="21"/>
                <w:szCs w:val="21"/>
                <w:color w:val="auto"/>
              </w:rPr>
            </w:pPr>
          </w:p>
        </w:tc>
        <w:tc>
          <w:tcPr>
            <w:tcW w:w="48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(10,548)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Gain (loss) on economic hedge instruments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(8,425)</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7,648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(21,626)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1,539</w:t>
            </w: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(201)</w:t>
            </w:r>
          </w:p>
        </w:tc>
        <w:tc>
          <w:tcPr>
            <w:tcW w:w="120" w:type="dxa"/>
            <w:vAlign w:val="bottom"/>
            <w:tcBorders>
              <w:bottom w:val="single" w:sz="8" w:color="EAF9E8"/>
            </w:tcBorders>
            <w:shd w:val="clear" w:color="auto" w:fill="EAF9E8"/>
          </w:tcPr>
          <w:p>
            <w:pPr>
              <w:spacing w:after="0"/>
              <w:rPr>
                <w:sz w:val="23"/>
                <w:szCs w:val="23"/>
                <w:color w:val="auto"/>
              </w:rPr>
            </w:pPr>
          </w:p>
        </w:tc>
        <w:tc>
          <w:tcPr>
            <w:tcW w:w="520" w:type="dxa"/>
            <w:vAlign w:val="bottom"/>
            <w:tcBorders>
              <w:bottom w:val="single" w:sz="8" w:color="EAF9E8"/>
            </w:tcBorders>
            <w:shd w:val="clear" w:color="auto" w:fill="EAF9E8"/>
          </w:tcPr>
          <w:p>
            <w:pPr>
              <w:spacing w:after="0"/>
              <w:rPr>
                <w:sz w:val="23"/>
                <w:szCs w:val="23"/>
                <w:color w:val="auto"/>
              </w:rPr>
            </w:pPr>
          </w:p>
        </w:tc>
        <w:tc>
          <w:tcPr>
            <w:tcW w:w="9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(355)</w:t>
            </w:r>
          </w:p>
        </w:tc>
        <w:tc>
          <w:tcPr>
            <w:tcW w:w="100" w:type="dxa"/>
            <w:vAlign w:val="bottom"/>
            <w:tcBorders>
              <w:bottom w:val="single" w:sz="8" w:color="EAF9E8"/>
            </w:tcBorders>
            <w:shd w:val="clear" w:color="auto" w:fill="EAF9E8"/>
          </w:tcPr>
          <w:p>
            <w:pPr>
              <w:spacing w:after="0"/>
              <w:rPr>
                <w:sz w:val="23"/>
                <w:szCs w:val="23"/>
                <w:color w:val="auto"/>
              </w:rPr>
            </w:pPr>
          </w:p>
        </w:tc>
        <w:tc>
          <w:tcPr>
            <w:tcW w:w="480" w:type="dxa"/>
            <w:vAlign w:val="bottom"/>
            <w:tcBorders>
              <w:bottom w:val="single" w:sz="8" w:color="EAF9E8"/>
            </w:tcBorders>
            <w:shd w:val="clear" w:color="auto" w:fill="EAF9E8"/>
          </w:tcPr>
          <w:p>
            <w:pPr>
              <w:spacing w:after="0"/>
              <w:rPr>
                <w:sz w:val="23"/>
                <w:szCs w:val="23"/>
                <w:color w:val="auto"/>
              </w:rPr>
            </w:pPr>
          </w:p>
        </w:tc>
        <w:tc>
          <w:tcPr>
            <w:tcW w:w="10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(470)</w:t>
            </w:r>
          </w:p>
        </w:tc>
      </w:tr>
      <w:tr>
        <w:trPr>
          <w:trHeight w:val="237"/>
        </w:trPr>
        <w:tc>
          <w:tcPr>
            <w:tcW w:w="516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27,857</w:t>
            </w:r>
          </w:p>
        </w:tc>
        <w:tc>
          <w:tcPr>
            <w:tcW w:w="12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45,132</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43,429</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89,636</w:t>
            </w:r>
          </w:p>
        </w:tc>
      </w:tr>
      <w:tr>
        <w:trPr>
          <w:trHeight w:val="27"/>
        </w:trPr>
        <w:tc>
          <w:tcPr>
            <w:tcW w:w="5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180" w:firstLine="324"/>
        <w:spacing w:after="0" w:line="264" w:lineRule="auto"/>
        <w:rPr>
          <w:sz w:val="20"/>
          <w:szCs w:val="20"/>
          <w:color w:val="auto"/>
        </w:rPr>
      </w:pPr>
      <w:r>
        <w:rPr>
          <w:rFonts w:ascii="Arial" w:cs="Arial" w:eastAsia="Arial" w:hAnsi="Arial"/>
          <w:sz w:val="18"/>
          <w:szCs w:val="18"/>
          <w:color w:val="auto"/>
        </w:rPr>
        <w:t>Gains on loans held for sale, net include $9.0 million and $15.5 million for the three and six months ended June 30, 2016, respectively, representing the value assigned to MSRs retained on transfers of forward loans. For the three and six months ended June 30, 2015, gains attributable to retained MSRs were $9.8 million and $18.3 million, respectively.</w:t>
      </w:r>
    </w:p>
    <w:p>
      <w:pPr>
        <w:spacing w:after="0" w:line="73"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Also included in Gains on loans held for sale, net are gains of $8.0 million and $13.0 million recorded during the three and six months ended June 30, 2016, respectively, on sales of repurchased Ginnie Mae loans, which are carried at the lower of cost</w:t>
      </w:r>
    </w:p>
    <w:p>
      <w:pPr>
        <w:sectPr>
          <w:pgSz w:w="11900" w:h="16838" w:orient="portrait"/>
          <w:cols w:equalWidth="0" w:num="1">
            <w:col w:w="11420"/>
          </w:cols>
          <w:pgMar w:left="240" w:top="692"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692" w:right="239" w:bottom="1440" w:gutter="0" w:footer="0" w:header="0"/>
          <w:type w:val="continuous"/>
        </w:sectPr>
      </w:pPr>
    </w:p>
    <w:bookmarkStart w:id="26" w:name="page27"/>
    <w:bookmarkEnd w:id="26"/>
    <w:p>
      <w:pPr>
        <w:ind w:right="660"/>
        <w:spacing w:after="0" w:line="277" w:lineRule="auto"/>
        <w:rPr>
          <w:sz w:val="20"/>
          <w:szCs w:val="20"/>
          <w:color w:val="auto"/>
        </w:rPr>
      </w:pPr>
      <w:r>
        <w:rPr>
          <w:rFonts w:ascii="Arial" w:cs="Arial" w:eastAsia="Arial" w:hAnsi="Arial"/>
          <w:sz w:val="18"/>
          <w:szCs w:val="18"/>
          <w:color w:val="auto"/>
        </w:rPr>
        <w:t>or fair value. For the three and six months ended June 30, 2015, gains on sales of repurchased Ginnie Mae loans were $8.7 million and $13.0 million, respectively.</w:t>
      </w:r>
    </w:p>
    <w:p>
      <w:pPr>
        <w:spacing w:after="0" w:line="62" w:lineRule="exact"/>
        <w:rPr>
          <w:sz w:val="20"/>
          <w:szCs w:val="20"/>
          <w:color w:val="auto"/>
        </w:rPr>
      </w:pPr>
    </w:p>
    <w:p>
      <w:pPr>
        <w:jc w:val="both"/>
        <w:ind w:right="180" w:firstLine="324"/>
        <w:spacing w:after="0" w:line="264" w:lineRule="auto"/>
        <w:rPr>
          <w:sz w:val="20"/>
          <w:szCs w:val="20"/>
          <w:color w:val="auto"/>
        </w:rPr>
      </w:pPr>
      <w:r>
        <w:rPr>
          <w:rFonts w:ascii="Arial" w:cs="Arial" w:eastAsia="Arial" w:hAnsi="Arial"/>
          <w:sz w:val="18"/>
          <w:szCs w:val="18"/>
          <w:color w:val="auto"/>
        </w:rPr>
        <w:t>Fair value gains recognized in connection with transfers of reverse mortgages into Ginnie Mae guaranteed securitizations are also included in Gains on loans held for sale, net and amounted to $21.7 million and $29.7 million for the three and six months ended June 30, 2016, respectively. Fair value gains for the three and six months ended June 30, 2015 were $35.4 million and $61.0 million,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Advances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Advances, net, which represent payments made on behalf of borrowers or on foreclosed properties, consisted of the following at the dates indicated: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8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June 30, 2016</w:t>
            </w: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834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Principal and interest</w:t>
            </w: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59,868</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81,681</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Taxes and insurance</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198,829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278,487</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Foreclosures, bankruptcy and other</w:t>
            </w:r>
          </w:p>
        </w:tc>
        <w:tc>
          <w:tcPr>
            <w:tcW w:w="18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109,972</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126,031</w:t>
            </w:r>
          </w:p>
        </w:tc>
      </w:tr>
      <w:tr>
        <w:trPr>
          <w:trHeight w:val="237"/>
        </w:trPr>
        <w:tc>
          <w:tcPr>
            <w:tcW w:w="83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368,669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486,199</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Allowance for losses</w:t>
            </w:r>
          </w:p>
        </w:tc>
        <w:tc>
          <w:tcPr>
            <w:tcW w:w="18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(39,441)</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(41,901)</w:t>
            </w:r>
          </w:p>
        </w:tc>
      </w:tr>
      <w:tr>
        <w:trPr>
          <w:trHeight w:val="237"/>
        </w:trPr>
        <w:tc>
          <w:tcPr>
            <w:tcW w:w="834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329,228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444,298</w:t>
            </w:r>
          </w:p>
        </w:tc>
      </w:tr>
      <w:tr>
        <w:trPr>
          <w:trHeight w:val="27"/>
        </w:trPr>
        <w:tc>
          <w:tcPr>
            <w:tcW w:w="8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Advances at June 30, 2016 include $62.6 million of previously sold advances that did not qualify for sales accounting.</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340" w:type="dxa"/>
            <w:vAlign w:val="bottom"/>
            <w:gridSpan w:val="2"/>
          </w:tcPr>
          <w:p>
            <w:pPr>
              <w:ind w:left="320"/>
              <w:spacing w:after="0"/>
              <w:rPr>
                <w:sz w:val="20"/>
                <w:szCs w:val="20"/>
                <w:color w:val="auto"/>
              </w:rPr>
            </w:pPr>
            <w:r>
              <w:rPr>
                <w:rFonts w:ascii="Arial" w:cs="Arial" w:eastAsia="Arial" w:hAnsi="Arial"/>
                <w:sz w:val="18"/>
                <w:szCs w:val="18"/>
                <w:color w:val="auto"/>
              </w:rPr>
              <w:t>The following table summarizes the activity in net advances for the six months ended June 30:</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8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20" w:type="dxa"/>
            <w:vAlign w:val="bottom"/>
            <w:tcBorders>
              <w:bottom w:val="single" w:sz="8" w:color="EAF9E8"/>
            </w:tcBorders>
          </w:tcPr>
          <w:p>
            <w:pPr>
              <w:spacing w:after="0"/>
              <w:rPr>
                <w:sz w:val="2"/>
                <w:szCs w:val="2"/>
                <w:color w:val="auto"/>
              </w:rPr>
            </w:pPr>
          </w:p>
        </w:tc>
        <w:tc>
          <w:tcPr>
            <w:tcW w:w="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340" w:type="dxa"/>
            <w:vAlign w:val="bottom"/>
            <w:tcBorders>
              <w:bottom w:val="single" w:sz="8" w:color="EAF9E8"/>
            </w:tcBorders>
            <w:gridSpan w:val="2"/>
            <w:shd w:val="clear" w:color="auto" w:fill="EAF9E8"/>
          </w:tcPr>
          <w:p>
            <w:pPr>
              <w:ind w:left="20"/>
              <w:spacing w:after="0"/>
              <w:rPr>
                <w:sz w:val="20"/>
                <w:szCs w:val="20"/>
                <w:color w:val="auto"/>
              </w:rPr>
            </w:pPr>
            <w:r>
              <w:rPr>
                <w:rFonts w:ascii="Arial" w:cs="Arial" w:eastAsia="Arial" w:hAnsi="Arial"/>
                <w:sz w:val="18"/>
                <w:szCs w:val="18"/>
                <w:b w:val="1"/>
                <w:bCs w:val="1"/>
                <w:color w:val="auto"/>
              </w:rPr>
              <w:t>Beginning balance</w:t>
            </w:r>
          </w:p>
        </w:tc>
        <w:tc>
          <w:tcPr>
            <w:tcW w:w="32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444,298</w:t>
            </w:r>
          </w:p>
        </w:tc>
        <w:tc>
          <w:tcPr>
            <w:tcW w:w="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893,914</w:t>
            </w:r>
          </w:p>
        </w:tc>
        <w:tc>
          <w:tcPr>
            <w:tcW w:w="2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40" w:type="dxa"/>
            <w:vAlign w:val="bottom"/>
            <w:gridSpan w:val="2"/>
          </w:tcPr>
          <w:p>
            <w:pPr>
              <w:ind w:left="160"/>
              <w:spacing w:after="0"/>
              <w:rPr>
                <w:sz w:val="20"/>
                <w:szCs w:val="20"/>
                <w:color w:val="auto"/>
              </w:rPr>
            </w:pPr>
            <w:r>
              <w:rPr>
                <w:rFonts w:ascii="Arial" w:cs="Arial" w:eastAsia="Arial" w:hAnsi="Arial"/>
                <w:sz w:val="18"/>
                <w:szCs w:val="18"/>
                <w:color w:val="auto"/>
              </w:rPr>
              <w:t>Sales of advances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(24,053)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(132,859)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340" w:type="dxa"/>
            <w:vAlign w:val="bottom"/>
            <w:tcBorders>
              <w:bottom w:val="single" w:sz="8" w:color="EAF9E8"/>
            </w:tcBorders>
            <w:gridSpan w:val="2"/>
            <w:shd w:val="clear" w:color="auto" w:fill="EAF9E8"/>
          </w:tcPr>
          <w:p>
            <w:pPr>
              <w:ind w:left="160"/>
              <w:spacing w:after="0"/>
              <w:rPr>
                <w:sz w:val="20"/>
                <w:szCs w:val="20"/>
                <w:color w:val="auto"/>
              </w:rPr>
            </w:pPr>
            <w:r>
              <w:rPr>
                <w:rFonts w:ascii="Arial" w:cs="Arial" w:eastAsia="Arial" w:hAnsi="Arial"/>
                <w:sz w:val="18"/>
                <w:szCs w:val="18"/>
                <w:color w:val="auto"/>
              </w:rPr>
              <w:t>Collections of advances, charge-offs and other, net</w:t>
            </w: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(93,477)</w:t>
            </w:r>
          </w:p>
        </w:tc>
        <w:tc>
          <w:tcPr>
            <w:tcW w:w="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(198,602)</w:t>
            </w:r>
          </w:p>
        </w:tc>
        <w:tc>
          <w:tcPr>
            <w:tcW w:w="2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40" w:type="dxa"/>
            <w:vAlign w:val="bottom"/>
            <w:gridSpan w:val="2"/>
          </w:tcPr>
          <w:p>
            <w:pPr>
              <w:ind w:left="160"/>
              <w:spacing w:after="0"/>
              <w:rPr>
                <w:sz w:val="20"/>
                <w:szCs w:val="20"/>
                <w:color w:val="auto"/>
              </w:rPr>
            </w:pPr>
            <w:r>
              <w:rPr>
                <w:rFonts w:ascii="Arial" w:cs="Arial" w:eastAsia="Arial" w:hAnsi="Arial"/>
                <w:sz w:val="18"/>
                <w:szCs w:val="18"/>
                <w:color w:val="auto"/>
              </w:rPr>
              <w:t>Decrease in allowance for losses</w:t>
            </w: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2,460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10,489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20" w:type="dxa"/>
            <w:vAlign w:val="bottom"/>
            <w:tcBorders>
              <w:bottom w:val="single" w:sz="8" w:color="EAF9E8"/>
            </w:tcBorders>
          </w:tcPr>
          <w:p>
            <w:pPr>
              <w:spacing w:after="0"/>
              <w:rPr>
                <w:sz w:val="2"/>
                <w:szCs w:val="2"/>
                <w:color w:val="auto"/>
              </w:rPr>
            </w:pPr>
          </w:p>
        </w:tc>
        <w:tc>
          <w:tcPr>
            <w:tcW w:w="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340" w:type="dxa"/>
            <w:vAlign w:val="bottom"/>
            <w:tcBorders>
              <w:bottom w:val="single" w:sz="8" w:color="EAF9E8"/>
            </w:tcBorders>
            <w:gridSpan w:val="2"/>
            <w:shd w:val="clear" w:color="auto" w:fill="EAF9E8"/>
          </w:tcPr>
          <w:p>
            <w:pPr>
              <w:ind w:left="20"/>
              <w:spacing w:after="0"/>
              <w:rPr>
                <w:sz w:val="20"/>
                <w:szCs w:val="20"/>
                <w:color w:val="auto"/>
              </w:rPr>
            </w:pPr>
            <w:r>
              <w:rPr>
                <w:rFonts w:ascii="Arial" w:cs="Arial" w:eastAsia="Arial" w:hAnsi="Arial"/>
                <w:sz w:val="18"/>
                <w:szCs w:val="18"/>
                <w:b w:val="1"/>
                <w:bCs w:val="1"/>
                <w:color w:val="auto"/>
              </w:rPr>
              <w:t>Ending balance</w:t>
            </w:r>
          </w:p>
        </w:tc>
        <w:tc>
          <w:tcPr>
            <w:tcW w:w="32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329,228</w:t>
            </w:r>
          </w:p>
        </w:tc>
        <w:tc>
          <w:tcPr>
            <w:tcW w:w="20" w:type="dxa"/>
            <w:vAlign w:val="bottom"/>
            <w:tcBorders>
              <w:bottom w:val="single" w:sz="8" w:color="auto"/>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572,942</w:t>
            </w:r>
          </w:p>
        </w:tc>
        <w:tc>
          <w:tcPr>
            <w:tcW w:w="20" w:type="dxa"/>
            <w:vAlign w:val="bottom"/>
            <w:tcBorders>
              <w:bottom w:val="single" w:sz="8" w:color="auto"/>
            </w:tcBorders>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gridSpan w:val="2"/>
            <w:vMerge w:val="restart"/>
          </w:tcPr>
          <w:p>
            <w:pPr>
              <w:ind w:left="320"/>
              <w:spacing w:after="0"/>
              <w:rPr>
                <w:sz w:val="20"/>
                <w:szCs w:val="20"/>
                <w:color w:val="auto"/>
              </w:rPr>
            </w:pPr>
            <w:r>
              <w:rPr>
                <w:rFonts w:ascii="Arial" w:cs="Arial" w:eastAsia="Arial" w:hAnsi="Arial"/>
                <w:sz w:val="18"/>
                <w:szCs w:val="18"/>
                <w:color w:val="auto"/>
              </w:rPr>
              <w:t>The change in the allowance for losses during the six months ended June 30 is as follows:</w:t>
            </w: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20" w:type="dxa"/>
            <w:vAlign w:val="bottom"/>
          </w:tcPr>
          <w:p>
            <w:pPr>
              <w:spacing w:after="0"/>
              <w:rPr>
                <w:sz w:val="24"/>
                <w:szCs w:val="24"/>
                <w:color w:val="auto"/>
              </w:rPr>
            </w:pPr>
          </w:p>
        </w:tc>
        <w:tc>
          <w:tcPr>
            <w:tcW w:w="834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8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EAF9E8"/>
            </w:tcBorders>
          </w:tcPr>
          <w:p>
            <w:pPr>
              <w:spacing w:after="0"/>
              <w:rPr>
                <w:sz w:val="2"/>
                <w:szCs w:val="2"/>
                <w:color w:val="auto"/>
              </w:rPr>
            </w:pPr>
          </w:p>
        </w:tc>
        <w:tc>
          <w:tcPr>
            <w:tcW w:w="8320" w:type="dxa"/>
            <w:vAlign w:val="bottom"/>
            <w:tcBorders>
              <w:bottom w:val="single" w:sz="8" w:color="EAF9E8"/>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EAF9E8"/>
            </w:tcBorders>
            <w:shd w:val="clear" w:color="auto" w:fill="EAF9E8"/>
          </w:tcPr>
          <w:p>
            <w:pPr>
              <w:spacing w:after="0"/>
              <w:rPr>
                <w:sz w:val="21"/>
                <w:szCs w:val="21"/>
                <w:color w:val="auto"/>
              </w:rPr>
            </w:pPr>
          </w:p>
        </w:tc>
        <w:tc>
          <w:tcPr>
            <w:tcW w:w="8340" w:type="dxa"/>
            <w:vAlign w:val="bottom"/>
            <w:tcBorders>
              <w:bottom w:val="single" w:sz="8" w:color="EAF9E8"/>
            </w:tcBorders>
            <w:gridSpan w:val="2"/>
            <w:shd w:val="clear" w:color="auto" w:fill="EAF9E8"/>
          </w:tcPr>
          <w:p>
            <w:pPr>
              <w:ind w:left="20"/>
              <w:spacing w:after="0"/>
              <w:rPr>
                <w:sz w:val="20"/>
                <w:szCs w:val="20"/>
                <w:color w:val="auto"/>
              </w:rPr>
            </w:pPr>
            <w:r>
              <w:rPr>
                <w:rFonts w:ascii="Arial" w:cs="Arial" w:eastAsia="Arial" w:hAnsi="Arial"/>
                <w:sz w:val="18"/>
                <w:szCs w:val="18"/>
                <w:b w:val="1"/>
                <w:bCs w:val="1"/>
                <w:color w:val="auto"/>
              </w:rPr>
              <w:t>Beginning balance</w:t>
            </w:r>
          </w:p>
        </w:tc>
        <w:tc>
          <w:tcPr>
            <w:tcW w:w="32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41,901</w:t>
            </w:r>
          </w:p>
        </w:tc>
        <w:tc>
          <w:tcPr>
            <w:tcW w:w="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70,034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40" w:type="dxa"/>
            <w:vAlign w:val="bottom"/>
            <w:gridSpan w:val="2"/>
          </w:tcPr>
          <w:p>
            <w:pPr>
              <w:ind w:left="160"/>
              <w:spacing w:after="0"/>
              <w:rPr>
                <w:sz w:val="20"/>
                <w:szCs w:val="20"/>
                <w:color w:val="auto"/>
              </w:rPr>
            </w:pPr>
            <w:r>
              <w:rPr>
                <w:rFonts w:ascii="Arial" w:cs="Arial" w:eastAsia="Arial" w:hAnsi="Arial"/>
                <w:sz w:val="18"/>
                <w:szCs w:val="18"/>
                <w:color w:val="auto"/>
              </w:rPr>
              <w:t>Provision</w:t>
            </w: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7,446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20,502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EAF9E8"/>
            </w:tcBorders>
            <w:shd w:val="clear" w:color="auto" w:fill="EAF9E8"/>
          </w:tcPr>
          <w:p>
            <w:pPr>
              <w:spacing w:after="0"/>
              <w:rPr>
                <w:sz w:val="23"/>
                <w:szCs w:val="23"/>
                <w:color w:val="auto"/>
              </w:rPr>
            </w:pPr>
          </w:p>
        </w:tc>
        <w:tc>
          <w:tcPr>
            <w:tcW w:w="8320" w:type="dxa"/>
            <w:vAlign w:val="bottom"/>
            <w:tcBorders>
              <w:bottom w:val="single" w:sz="8" w:color="EAF9E8"/>
            </w:tcBorders>
            <w:shd w:val="clear" w:color="auto" w:fill="EAF9E8"/>
          </w:tcPr>
          <w:p>
            <w:pPr>
              <w:ind w:left="160"/>
              <w:spacing w:after="0"/>
              <w:rPr>
                <w:sz w:val="20"/>
                <w:szCs w:val="20"/>
                <w:color w:val="auto"/>
              </w:rPr>
            </w:pPr>
            <w:r>
              <w:rPr>
                <w:rFonts w:ascii="Arial" w:cs="Arial" w:eastAsia="Arial" w:hAnsi="Arial"/>
                <w:sz w:val="18"/>
                <w:szCs w:val="18"/>
                <w:color w:val="auto"/>
              </w:rPr>
              <w:t>Charge-offs, net of recoveries, and other</w:t>
            </w:r>
          </w:p>
        </w:tc>
        <w:tc>
          <w:tcPr>
            <w:tcW w:w="20" w:type="dxa"/>
            <w:vAlign w:val="bottom"/>
            <w:tcBorders>
              <w:bottom w:val="single" w:sz="8" w:color="EAF9E8"/>
            </w:tcBorders>
            <w:shd w:val="clear" w:color="auto" w:fill="EAF9E8"/>
          </w:tcPr>
          <w:p>
            <w:pPr>
              <w:spacing w:after="0"/>
              <w:rPr>
                <w:sz w:val="23"/>
                <w:szCs w:val="23"/>
                <w:color w:val="auto"/>
              </w:rPr>
            </w:pPr>
          </w:p>
        </w:tc>
        <w:tc>
          <w:tcPr>
            <w:tcW w:w="32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(9,906)</w:t>
            </w:r>
          </w:p>
        </w:tc>
        <w:tc>
          <w:tcPr>
            <w:tcW w:w="20" w:type="dxa"/>
            <w:vAlign w:val="bottom"/>
            <w:tcBorders>
              <w:bottom w:val="single" w:sz="8" w:color="EAF9E8"/>
            </w:tcBorders>
            <w:shd w:val="clear" w:color="auto" w:fill="EAF9E8"/>
          </w:tcPr>
          <w:p>
            <w:pPr>
              <w:spacing w:after="0"/>
              <w:rPr>
                <w:sz w:val="23"/>
                <w:szCs w:val="23"/>
                <w:color w:val="auto"/>
              </w:rPr>
            </w:pP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(30,991)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320" w:type="dxa"/>
            <w:vAlign w:val="bottom"/>
          </w:tcPr>
          <w:p>
            <w:pPr>
              <w:ind w:left="20"/>
              <w:spacing w:after="0"/>
              <w:rPr>
                <w:sz w:val="20"/>
                <w:szCs w:val="20"/>
                <w:color w:val="auto"/>
              </w:rPr>
            </w:pPr>
            <w:r>
              <w:rPr>
                <w:rFonts w:ascii="Arial" w:cs="Arial" w:eastAsia="Arial" w:hAnsi="Arial"/>
                <w:sz w:val="18"/>
                <w:szCs w:val="18"/>
                <w:b w:val="1"/>
                <w:bCs w:val="1"/>
                <w:color w:val="auto"/>
              </w:rPr>
              <w:t>Ending balance</w:t>
            </w:r>
          </w:p>
        </w:tc>
        <w:tc>
          <w:tcPr>
            <w:tcW w:w="20" w:type="dxa"/>
            <w:vAlign w:val="bottom"/>
            <w:tcBorders>
              <w:top w:val="single" w:sz="8" w:color="auto"/>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39,441</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59,545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Match Funded Advances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Match funded advances on residential loans we service for others are comprised of the following at the dates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450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June 30, 2016</w:t>
            </w: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7"/>
        </w:trPr>
        <w:tc>
          <w:tcPr>
            <w:tcW w:w="4500" w:type="dxa"/>
            <w:vAlign w:val="bottom"/>
            <w:tcBorders>
              <w:bottom w:val="single" w:sz="8" w:color="EAF9E8"/>
            </w:tcBorders>
          </w:tcPr>
          <w:p>
            <w:pPr>
              <w:spacing w:after="0"/>
              <w:rPr>
                <w:sz w:val="2"/>
                <w:szCs w:val="2"/>
                <w:color w:val="auto"/>
              </w:rPr>
            </w:pPr>
          </w:p>
        </w:tc>
        <w:tc>
          <w:tcPr>
            <w:tcW w:w="384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Principal and interest</w:t>
            </w:r>
          </w:p>
        </w:tc>
        <w:tc>
          <w:tcPr>
            <w:tcW w:w="402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816,107</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948,376</w:t>
            </w:r>
          </w:p>
        </w:tc>
        <w:tc>
          <w:tcPr>
            <w:tcW w:w="0" w:type="dxa"/>
            <w:vAlign w:val="bottom"/>
          </w:tcPr>
          <w:p>
            <w:pPr>
              <w:spacing w:after="0"/>
              <w:rPr>
                <w:sz w:val="1"/>
                <w:szCs w:val="1"/>
                <w:color w:val="auto"/>
              </w:rPr>
            </w:pP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Taxes and insurance</w:t>
            </w:r>
          </w:p>
        </w:tc>
        <w:tc>
          <w:tcPr>
            <w:tcW w:w="3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579,692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608,404</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Foreclosures, bankruptcy, real estate and other</w:t>
            </w:r>
          </w:p>
        </w:tc>
        <w:tc>
          <w:tcPr>
            <w:tcW w:w="384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218,648</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149,988</w:t>
            </w:r>
          </w:p>
        </w:tc>
        <w:tc>
          <w:tcPr>
            <w:tcW w:w="0" w:type="dxa"/>
            <w:vAlign w:val="bottom"/>
          </w:tcPr>
          <w:p>
            <w:pPr>
              <w:spacing w:after="0"/>
              <w:rPr>
                <w:sz w:val="1"/>
                <w:szCs w:val="1"/>
                <w:color w:val="auto"/>
              </w:rPr>
            </w:pPr>
          </w:p>
        </w:tc>
      </w:tr>
      <w:tr>
        <w:trPr>
          <w:trHeight w:val="237"/>
        </w:trPr>
        <w:tc>
          <w:tcPr>
            <w:tcW w:w="450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1,614,447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1,706,768</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3840" w:type="dxa"/>
            <w:vAlign w:val="bottom"/>
            <w:vMerge w:val="restart"/>
          </w:tcPr>
          <w:p>
            <w:pPr>
              <w:jc w:val="right"/>
              <w:ind w:right="2450"/>
              <w:spacing w:after="0"/>
              <w:rPr>
                <w:sz w:val="20"/>
                <w:szCs w:val="20"/>
                <w:color w:val="auto"/>
              </w:rPr>
            </w:pPr>
            <w:r>
              <w:rPr>
                <w:rFonts w:ascii="Arial" w:cs="Arial" w:eastAsia="Arial" w:hAnsi="Arial"/>
                <w:sz w:val="18"/>
                <w:szCs w:val="18"/>
                <w:color w:val="auto"/>
              </w:rPr>
              <w:t>25</w:t>
            </w: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3840" w:type="dxa"/>
            <w:vAlign w:val="bottom"/>
            <w:vMerge w:val="continue"/>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500" w:type="dxa"/>
            <w:vAlign w:val="bottom"/>
          </w:tcPr>
          <w:p>
            <w:pPr>
              <w:spacing w:after="0"/>
              <w:rPr>
                <w:sz w:val="24"/>
                <w:szCs w:val="24"/>
                <w:color w:val="auto"/>
              </w:rPr>
            </w:pPr>
          </w:p>
        </w:tc>
        <w:tc>
          <w:tcPr>
            <w:tcW w:w="38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2" w:right="239" w:bottom="1440" w:gutter="0" w:footer="0" w:header="0"/>
        </w:sectPr>
      </w:pPr>
    </w:p>
    <w:bookmarkStart w:id="27" w:name="page28"/>
    <w:bookmarkEnd w:id="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40" w:type="dxa"/>
            <w:vAlign w:val="bottom"/>
          </w:tcPr>
          <w:p>
            <w:pPr>
              <w:ind w:left="340"/>
              <w:spacing w:after="0"/>
              <w:rPr>
                <w:sz w:val="20"/>
                <w:szCs w:val="20"/>
                <w:color w:val="auto"/>
              </w:rPr>
            </w:pPr>
            <w:r>
              <w:rPr>
                <w:rFonts w:ascii="Arial" w:cs="Arial" w:eastAsia="Arial" w:hAnsi="Arial"/>
                <w:sz w:val="18"/>
                <w:szCs w:val="18"/>
                <w:color w:val="auto"/>
                <w:w w:val="95"/>
              </w:rPr>
              <w:t>The following table summarizes the activity in match funded advances for the six months ended June 30:</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78"/>
        </w:trPr>
        <w:tc>
          <w:tcPr>
            <w:tcW w:w="8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1,706,768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2,409,442</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Sales of advances</w:t>
            </w:r>
          </w:p>
        </w:tc>
        <w:tc>
          <w:tcPr>
            <w:tcW w:w="34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(16,439)</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Collections of pledged advances, net</w:t>
            </w: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(92,321)</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(211,510)</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Ending balance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1,614,447</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2,181,493</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Mortgage Servicing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Servicing Rights – Amortization Method</w:t>
      </w:r>
    </w:p>
    <w:p>
      <w:pPr>
        <w:spacing w:after="0" w:line="121"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The following table summarizes changes in the net carrying value of servicing assets that we account for using the amortization method for the six months ended June 30:</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8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826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26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b w:val="1"/>
                <w:bCs w:val="1"/>
                <w:color w:val="auto"/>
              </w:rPr>
              <w:t>Beginning balance</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377,379</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1,820,091</w:t>
            </w:r>
          </w:p>
        </w:tc>
      </w:tr>
      <w:tr>
        <w:trPr>
          <w:trHeight w:val="243"/>
        </w:trPr>
        <w:tc>
          <w:tcPr>
            <w:tcW w:w="8260" w:type="dxa"/>
            <w:vAlign w:val="bottom"/>
          </w:tcPr>
          <w:p>
            <w:pPr>
              <w:ind w:left="160"/>
              <w:spacing w:after="0"/>
              <w:rPr>
                <w:sz w:val="20"/>
                <w:szCs w:val="20"/>
                <w:color w:val="auto"/>
              </w:rPr>
            </w:pPr>
            <w:r>
              <w:rPr>
                <w:rFonts w:ascii="Arial" w:cs="Arial" w:eastAsia="Arial" w:hAnsi="Arial"/>
                <w:sz w:val="18"/>
                <w:szCs w:val="18"/>
                <w:color w:val="auto"/>
              </w:rPr>
              <w:t>Fair value election - transfer of MSRs carried at fair value (1)</w:t>
            </w:r>
          </w:p>
        </w:tc>
        <w:tc>
          <w:tcPr>
            <w:tcW w:w="3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(787,142)</w:t>
            </w:r>
          </w:p>
        </w:tc>
      </w:tr>
      <w:tr>
        <w:trPr>
          <w:trHeight w:val="27"/>
        </w:trPr>
        <w:tc>
          <w:tcPr>
            <w:tcW w:w="8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260" w:type="dxa"/>
            <w:vAlign w:val="bottom"/>
            <w:tcBorders>
              <w:bottom w:val="single" w:sz="8" w:color="EAF9E8"/>
            </w:tcBorders>
            <w:shd w:val="clear" w:color="auto" w:fill="EAF9E8"/>
          </w:tcPr>
          <w:p>
            <w:pPr>
              <w:ind w:left="160"/>
              <w:spacing w:after="0"/>
              <w:rPr>
                <w:sz w:val="20"/>
                <w:szCs w:val="20"/>
                <w:color w:val="auto"/>
              </w:rPr>
            </w:pPr>
            <w:r>
              <w:rPr>
                <w:rFonts w:ascii="Arial" w:cs="Arial" w:eastAsia="Arial" w:hAnsi="Arial"/>
                <w:sz w:val="18"/>
                <w:szCs w:val="18"/>
                <w:color w:val="auto"/>
              </w:rPr>
              <w:t>Additions recognized in connection with asset acquisitions</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12,432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6,252</w:t>
            </w:r>
          </w:p>
        </w:tc>
      </w:tr>
      <w:tr>
        <w:trPr>
          <w:trHeight w:val="243"/>
        </w:trPr>
        <w:tc>
          <w:tcPr>
            <w:tcW w:w="8260" w:type="dxa"/>
            <w:vAlign w:val="bottom"/>
          </w:tcPr>
          <w:p>
            <w:pPr>
              <w:ind w:left="160"/>
              <w:spacing w:after="0"/>
              <w:rPr>
                <w:sz w:val="20"/>
                <w:szCs w:val="20"/>
                <w:color w:val="auto"/>
              </w:rPr>
            </w:pPr>
            <w:r>
              <w:rPr>
                <w:rFonts w:ascii="Arial" w:cs="Arial" w:eastAsia="Arial" w:hAnsi="Arial"/>
                <w:sz w:val="18"/>
                <w:szCs w:val="18"/>
                <w:color w:val="auto"/>
              </w:rPr>
              <w:t>Additions recognized on the sale of mortgage loans</w:t>
            </w: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16,668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18,305</w:t>
            </w:r>
          </w:p>
        </w:tc>
      </w:tr>
      <w:tr>
        <w:trPr>
          <w:trHeight w:val="27"/>
        </w:trPr>
        <w:tc>
          <w:tcPr>
            <w:tcW w:w="8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260" w:type="dxa"/>
            <w:vAlign w:val="bottom"/>
            <w:tcBorders>
              <w:bottom w:val="single" w:sz="8" w:color="EAF9E8"/>
            </w:tcBorders>
            <w:shd w:val="clear" w:color="auto" w:fill="EAF9E8"/>
          </w:tcPr>
          <w:p>
            <w:pPr>
              <w:ind w:left="160"/>
              <w:spacing w:after="0"/>
              <w:rPr>
                <w:sz w:val="20"/>
                <w:szCs w:val="20"/>
                <w:color w:val="auto"/>
              </w:rPr>
            </w:pPr>
            <w:r>
              <w:rPr>
                <w:rFonts w:ascii="Arial" w:cs="Arial" w:eastAsia="Arial" w:hAnsi="Arial"/>
                <w:sz w:val="18"/>
                <w:szCs w:val="18"/>
                <w:color w:val="auto"/>
              </w:rPr>
              <w:t>Sales</w:t>
            </w: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(459,201)</w:t>
            </w:r>
          </w:p>
        </w:tc>
      </w:tr>
      <w:tr>
        <w:trPr>
          <w:trHeight w:val="237"/>
        </w:trPr>
        <w:tc>
          <w:tcPr>
            <w:tcW w:w="826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406,657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598,305</w:t>
            </w:r>
          </w:p>
        </w:tc>
      </w:tr>
      <w:tr>
        <w:trPr>
          <w:trHeight w:val="27"/>
        </w:trPr>
        <w:tc>
          <w:tcPr>
            <w:tcW w:w="8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260" w:type="dxa"/>
            <w:vAlign w:val="bottom"/>
            <w:tcBorders>
              <w:bottom w:val="single" w:sz="8" w:color="EAF9E8"/>
            </w:tcBorders>
            <w:shd w:val="clear" w:color="auto" w:fill="EAF9E8"/>
          </w:tcPr>
          <w:p>
            <w:pPr>
              <w:ind w:left="160"/>
              <w:spacing w:after="0"/>
              <w:rPr>
                <w:sz w:val="20"/>
                <w:szCs w:val="20"/>
                <w:color w:val="auto"/>
              </w:rPr>
            </w:pPr>
            <w:r>
              <w:rPr>
                <w:rFonts w:ascii="Arial" w:cs="Arial" w:eastAsia="Arial" w:hAnsi="Arial"/>
                <w:sz w:val="18"/>
                <w:szCs w:val="18"/>
                <w:color w:val="auto"/>
              </w:rPr>
              <w:t>Amortization</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(21,153)</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(70,080)</w:t>
            </w:r>
          </w:p>
        </w:tc>
      </w:tr>
      <w:tr>
        <w:trPr>
          <w:trHeight w:val="243"/>
        </w:trPr>
        <w:tc>
          <w:tcPr>
            <w:tcW w:w="8260" w:type="dxa"/>
            <w:vAlign w:val="bottom"/>
          </w:tcPr>
          <w:p>
            <w:pPr>
              <w:ind w:left="160"/>
              <w:spacing w:after="0"/>
              <w:rPr>
                <w:sz w:val="20"/>
                <w:szCs w:val="20"/>
                <w:color w:val="auto"/>
              </w:rPr>
            </w:pPr>
            <w:r>
              <w:rPr>
                <w:rFonts w:ascii="Arial" w:cs="Arial" w:eastAsia="Arial" w:hAnsi="Arial"/>
                <w:sz w:val="18"/>
                <w:szCs w:val="18"/>
                <w:color w:val="auto"/>
              </w:rPr>
              <w:t>Increase in impairment valuation allowance (2)</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(39,030)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(1,608)</w:t>
            </w:r>
          </w:p>
        </w:tc>
      </w:tr>
      <w:tr>
        <w:trPr>
          <w:trHeight w:val="27"/>
        </w:trPr>
        <w:tc>
          <w:tcPr>
            <w:tcW w:w="826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826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b w:val="1"/>
                <w:bCs w:val="1"/>
                <w:color w:val="auto"/>
              </w:rPr>
              <w:t>Ending balance</w:t>
            </w: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346,474</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526,617</w:t>
            </w:r>
          </w:p>
        </w:tc>
      </w:tr>
      <w:tr>
        <w:trPr>
          <w:trHeight w:val="20"/>
        </w:trPr>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84"/>
        </w:trPr>
        <w:tc>
          <w:tcPr>
            <w:tcW w:w="8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64"/>
        </w:trPr>
        <w:tc>
          <w:tcPr>
            <w:tcW w:w="826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b w:val="1"/>
                <w:bCs w:val="1"/>
                <w:color w:val="auto"/>
              </w:rPr>
              <w:t>Estimated fair value at end of period</w:t>
            </w: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367,951</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648,840</w:t>
            </w:r>
          </w:p>
        </w:tc>
      </w:tr>
      <w:tr>
        <w:trPr>
          <w:trHeight w:val="20"/>
        </w:trPr>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500" w:hanging="492"/>
        <w:spacing w:after="0" w:line="249" w:lineRule="auto"/>
        <w:tabs>
          <w:tab w:leader="none" w:pos="5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Effective January 1, 2015, we elected fair value accounting for a newly-created class of non-Agency MSRs, which were previously accounted for using the amortization method, based on a different strategy for managing the risks of the underlying portfolio compared to our other MSR classes. This irrevocable election applies to all subsequently acquired or originated servicing assets and liabilities that have characteristics consistent with this class. We recorded a cumulative-effect adjustment of $52.0 million (before deferred income taxes of $9.2 million) to retained earnings as of January 1, 2015 to reflect the excess of the fair value of these MSRs over their carrying amount. At December 31, 2014, the UPB of the loans related to the non-Agency MSRs for which the fair value election was made was $195.3 billion.</w:t>
      </w:r>
    </w:p>
    <w:p>
      <w:pPr>
        <w:spacing w:after="0" w:line="3" w:lineRule="exact"/>
        <w:rPr>
          <w:rFonts w:ascii="Arial" w:cs="Arial" w:eastAsia="Arial" w:hAnsi="Arial"/>
          <w:sz w:val="16"/>
          <w:szCs w:val="16"/>
          <w:color w:val="auto"/>
        </w:rPr>
      </w:pPr>
    </w:p>
    <w:p>
      <w:pPr>
        <w:ind w:left="500" w:right="680" w:hanging="492"/>
        <w:spacing w:after="0" w:line="257" w:lineRule="auto"/>
        <w:tabs>
          <w:tab w:leader="none" w:pos="5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Impairment of MSRs is recognized in Servicing and origination expense in the Unaudited Consolidated Statements of Operations. See Note 3 – Fair Value for additional information regarding impairment and the valuation allowance.</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692"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Mortgage Servicing Rights – Fair Value Measurement Method</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changes in the fair value of servicing assets that we account for at fair value on a recurring basis for the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26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2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gridSpan w:val="2"/>
          </w:tcPr>
          <w:p>
            <w:pPr>
              <w:ind w:left="160"/>
              <w:spacing w:after="0"/>
              <w:rPr>
                <w:sz w:val="20"/>
                <w:szCs w:val="20"/>
                <w:color w:val="auto"/>
              </w:rPr>
            </w:pPr>
            <w:r>
              <w:rPr>
                <w:rFonts w:ascii="Arial" w:cs="Arial" w:eastAsia="Arial" w:hAnsi="Arial"/>
                <w:sz w:val="18"/>
                <w:szCs w:val="18"/>
                <w:b w:val="1"/>
                <w:bCs w:val="1"/>
                <w:color w:val="auto"/>
              </w:rPr>
              <w:t>Agency</w:t>
            </w:r>
          </w:p>
        </w:tc>
        <w:tc>
          <w:tcPr>
            <w:tcW w:w="160" w:type="dxa"/>
            <w:vAlign w:val="bottom"/>
          </w:tcPr>
          <w:p>
            <w:pPr>
              <w:spacing w:after="0"/>
              <w:rPr>
                <w:sz w:val="20"/>
                <w:szCs w:val="20"/>
                <w:color w:val="auto"/>
              </w:rPr>
            </w:pPr>
          </w:p>
        </w:tc>
        <w:tc>
          <w:tcPr>
            <w:tcW w:w="1320" w:type="dxa"/>
            <w:vAlign w:val="bottom"/>
            <w:gridSpan w:val="2"/>
          </w:tcPr>
          <w:p>
            <w:pPr>
              <w:ind w:left="60"/>
              <w:spacing w:after="0"/>
              <w:rPr>
                <w:sz w:val="20"/>
                <w:szCs w:val="20"/>
                <w:color w:val="auto"/>
              </w:rPr>
            </w:pPr>
            <w:r>
              <w:rPr>
                <w:rFonts w:ascii="Arial" w:cs="Arial" w:eastAsia="Arial" w:hAnsi="Arial"/>
                <w:sz w:val="18"/>
                <w:szCs w:val="18"/>
                <w:b w:val="1"/>
                <w:bCs w:val="1"/>
                <w:color w:val="auto"/>
              </w:rPr>
              <w:t>Non-Agency</w:t>
            </w:r>
          </w:p>
        </w:tc>
        <w:tc>
          <w:tcPr>
            <w:tcW w:w="300" w:type="dxa"/>
            <w:vAlign w:val="bottom"/>
          </w:tcPr>
          <w:p>
            <w:pPr>
              <w:spacing w:after="0"/>
              <w:rPr>
                <w:sz w:val="20"/>
                <w:szCs w:val="20"/>
                <w:color w:val="auto"/>
              </w:rPr>
            </w:pPr>
          </w:p>
        </w:tc>
        <w:tc>
          <w:tcPr>
            <w:tcW w:w="118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w:t>
            </w:r>
          </w:p>
        </w:tc>
        <w:tc>
          <w:tcPr>
            <w:tcW w:w="240" w:type="dxa"/>
            <w:vAlign w:val="bottom"/>
          </w:tcPr>
          <w:p>
            <w:pPr>
              <w:spacing w:after="0"/>
              <w:rPr>
                <w:sz w:val="20"/>
                <w:szCs w:val="20"/>
                <w:color w:val="auto"/>
              </w:rPr>
            </w:pPr>
          </w:p>
        </w:tc>
        <w:tc>
          <w:tcPr>
            <w:tcW w:w="1220" w:type="dxa"/>
            <w:vAlign w:val="bottom"/>
            <w:gridSpan w:val="2"/>
          </w:tcPr>
          <w:p>
            <w:pPr>
              <w:ind w:left="140"/>
              <w:spacing w:after="0"/>
              <w:rPr>
                <w:sz w:val="20"/>
                <w:szCs w:val="20"/>
                <w:color w:val="auto"/>
              </w:rPr>
            </w:pPr>
            <w:r>
              <w:rPr>
                <w:rFonts w:ascii="Arial" w:cs="Arial" w:eastAsia="Arial" w:hAnsi="Arial"/>
                <w:sz w:val="18"/>
                <w:szCs w:val="18"/>
                <w:b w:val="1"/>
                <w:bCs w:val="1"/>
                <w:color w:val="auto"/>
              </w:rPr>
              <w:t>Agency</w:t>
            </w:r>
          </w:p>
        </w:tc>
        <w:tc>
          <w:tcPr>
            <w:tcW w:w="160" w:type="dxa"/>
            <w:vAlign w:val="bottom"/>
          </w:tcPr>
          <w:p>
            <w:pPr>
              <w:spacing w:after="0"/>
              <w:rPr>
                <w:sz w:val="20"/>
                <w:szCs w:val="20"/>
                <w:color w:val="auto"/>
              </w:rPr>
            </w:pPr>
          </w:p>
        </w:tc>
        <w:tc>
          <w:tcPr>
            <w:tcW w:w="1320" w:type="dxa"/>
            <w:vAlign w:val="bottom"/>
            <w:gridSpan w:val="2"/>
          </w:tcPr>
          <w:p>
            <w:pPr>
              <w:ind w:left="60"/>
              <w:spacing w:after="0"/>
              <w:rPr>
                <w:sz w:val="20"/>
                <w:szCs w:val="20"/>
                <w:color w:val="auto"/>
              </w:rPr>
            </w:pPr>
            <w:r>
              <w:rPr>
                <w:rFonts w:ascii="Arial" w:cs="Arial" w:eastAsia="Arial" w:hAnsi="Arial"/>
                <w:sz w:val="18"/>
                <w:szCs w:val="18"/>
                <w:b w:val="1"/>
                <w:bCs w:val="1"/>
                <w:color w:val="auto"/>
              </w:rPr>
              <w:t>Non-Agency</w:t>
            </w:r>
          </w:p>
        </w:tc>
        <w:tc>
          <w:tcPr>
            <w:tcW w:w="30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264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26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w:t>
            </w:r>
          </w:p>
        </w:tc>
        <w:tc>
          <w:tcPr>
            <w:tcW w:w="26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15,071</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746,119</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761,190</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93,901</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93,901</w:t>
            </w:r>
          </w:p>
        </w:tc>
      </w:tr>
      <w:tr>
        <w:trPr>
          <w:trHeight w:val="229"/>
        </w:trPr>
        <w:tc>
          <w:tcPr>
            <w:tcW w:w="2640" w:type="dxa"/>
            <w:vAlign w:val="bottom"/>
          </w:tcPr>
          <w:p>
            <w:pPr>
              <w:ind w:left="180"/>
              <w:spacing w:after="0"/>
              <w:rPr>
                <w:sz w:val="20"/>
                <w:szCs w:val="20"/>
                <w:color w:val="auto"/>
              </w:rPr>
            </w:pPr>
            <w:r>
              <w:rPr>
                <w:rFonts w:ascii="Arial" w:cs="Arial" w:eastAsia="Arial" w:hAnsi="Arial"/>
                <w:sz w:val="18"/>
                <w:szCs w:val="18"/>
                <w:color w:val="auto"/>
              </w:rPr>
              <w:t>Fair value election - transfer of</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2640" w:type="dxa"/>
            <w:vAlign w:val="bottom"/>
          </w:tcPr>
          <w:p>
            <w:pPr>
              <w:ind w:left="340"/>
              <w:spacing w:after="0"/>
              <w:rPr>
                <w:sz w:val="20"/>
                <w:szCs w:val="20"/>
                <w:color w:val="auto"/>
              </w:rPr>
            </w:pPr>
            <w:r>
              <w:rPr>
                <w:rFonts w:ascii="Arial" w:cs="Arial" w:eastAsia="Arial" w:hAnsi="Arial"/>
                <w:sz w:val="18"/>
                <w:szCs w:val="18"/>
                <w:color w:val="auto"/>
                <w:w w:val="90"/>
              </w:rPr>
              <w:t>MSRs carried at amortized cost</w:t>
            </w:r>
          </w:p>
        </w:tc>
        <w:tc>
          <w:tcPr>
            <w:tcW w:w="26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787,142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787,142</w:t>
            </w:r>
          </w:p>
        </w:tc>
      </w:tr>
      <w:tr>
        <w:trPr>
          <w:trHeight w:val="27"/>
        </w:trPr>
        <w:tc>
          <w:tcPr>
            <w:tcW w:w="2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2640" w:type="dxa"/>
            <w:vAlign w:val="bottom"/>
            <w:shd w:val="clear" w:color="auto" w:fill="EAF9E8"/>
          </w:tcPr>
          <w:p>
            <w:pPr>
              <w:ind w:left="180"/>
              <w:spacing w:after="0"/>
              <w:rPr>
                <w:sz w:val="20"/>
                <w:szCs w:val="20"/>
                <w:color w:val="auto"/>
              </w:rPr>
            </w:pPr>
            <w:r>
              <w:rPr>
                <w:rFonts w:ascii="Arial" w:cs="Arial" w:eastAsia="Arial" w:hAnsi="Arial"/>
                <w:sz w:val="18"/>
                <w:szCs w:val="18"/>
                <w:color w:val="auto"/>
              </w:rPr>
              <w:t>Cumulative effect of fair value</w:t>
            </w:r>
          </w:p>
        </w:tc>
        <w:tc>
          <w:tcPr>
            <w:tcW w:w="26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2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r>
      <w:tr>
        <w:trPr>
          <w:trHeight w:val="237"/>
        </w:trPr>
        <w:tc>
          <w:tcPr>
            <w:tcW w:w="2640" w:type="dxa"/>
            <w:vAlign w:val="bottom"/>
            <w:tcBorders>
              <w:bottom w:val="single" w:sz="8" w:color="EAF9E8"/>
            </w:tcBorders>
            <w:shd w:val="clear" w:color="auto" w:fill="EAF9E8"/>
          </w:tcPr>
          <w:p>
            <w:pPr>
              <w:ind w:left="340"/>
              <w:spacing w:after="0"/>
              <w:rPr>
                <w:sz w:val="20"/>
                <w:szCs w:val="20"/>
                <w:color w:val="auto"/>
              </w:rPr>
            </w:pPr>
            <w:r>
              <w:rPr>
                <w:rFonts w:ascii="Arial" w:cs="Arial" w:eastAsia="Arial" w:hAnsi="Arial"/>
                <w:sz w:val="18"/>
                <w:szCs w:val="18"/>
                <w:color w:val="auto"/>
              </w:rPr>
              <w:t>election</w:t>
            </w:r>
          </w:p>
        </w:tc>
        <w:tc>
          <w:tcPr>
            <w:tcW w:w="260" w:type="dxa"/>
            <w:vAlign w:val="bottom"/>
            <w:tcBorders>
              <w:bottom w:val="single" w:sz="8" w:color="EAF9E8"/>
            </w:tcBorders>
            <w:shd w:val="clear" w:color="auto" w:fill="EAF9E8"/>
          </w:tcPr>
          <w:p>
            <w:pPr>
              <w:spacing w:after="0"/>
              <w:rPr>
                <w:sz w:val="20"/>
                <w:szCs w:val="20"/>
                <w:color w:val="auto"/>
              </w:rPr>
            </w:pPr>
          </w:p>
        </w:tc>
        <w:tc>
          <w:tcPr>
            <w:tcW w:w="126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0"/>
                <w:szCs w:val="20"/>
                <w:color w:val="auto"/>
              </w:rPr>
            </w:pPr>
          </w:p>
        </w:tc>
        <w:tc>
          <w:tcPr>
            <w:tcW w:w="13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0"/>
                <w:szCs w:val="20"/>
                <w:color w:val="auto"/>
              </w:rPr>
            </w:pPr>
          </w:p>
        </w:tc>
        <w:tc>
          <w:tcPr>
            <w:tcW w:w="11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AF9E8"/>
            </w:tcBorders>
            <w:shd w:val="clear" w:color="auto" w:fill="EAF9E8"/>
          </w:tcPr>
          <w:p>
            <w:pPr>
              <w:spacing w:after="0"/>
              <w:rPr>
                <w:sz w:val="20"/>
                <w:szCs w:val="20"/>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0"/>
                <w:szCs w:val="20"/>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52,015</w:t>
            </w:r>
          </w:p>
        </w:tc>
        <w:tc>
          <w:tcPr>
            <w:tcW w:w="12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spacing w:after="0"/>
              <w:rPr>
                <w:sz w:val="20"/>
                <w:szCs w:val="20"/>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52,015</w:t>
            </w:r>
          </w:p>
        </w:tc>
      </w:tr>
      <w:tr>
        <w:trPr>
          <w:trHeight w:val="243"/>
        </w:trPr>
        <w:tc>
          <w:tcPr>
            <w:tcW w:w="2640" w:type="dxa"/>
            <w:vAlign w:val="bottom"/>
          </w:tcPr>
          <w:p>
            <w:pPr>
              <w:ind w:left="180"/>
              <w:spacing w:after="0"/>
              <w:rPr>
                <w:sz w:val="20"/>
                <w:szCs w:val="20"/>
                <w:color w:val="auto"/>
              </w:rPr>
            </w:pPr>
            <w:r>
              <w:rPr>
                <w:rFonts w:ascii="Arial" w:cs="Arial" w:eastAsia="Arial" w:hAnsi="Arial"/>
                <w:sz w:val="18"/>
                <w:szCs w:val="18"/>
                <w:color w:val="auto"/>
              </w:rPr>
              <w:t>Sales</w:t>
            </w:r>
          </w:p>
        </w:tc>
        <w:tc>
          <w:tcPr>
            <w:tcW w:w="260" w:type="dxa"/>
            <w:vAlign w:val="bottom"/>
          </w:tcPr>
          <w:p>
            <w:pPr>
              <w:spacing w:after="0"/>
              <w:rPr>
                <w:sz w:val="21"/>
                <w:szCs w:val="21"/>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(68,144)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(845)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(68,989)</w:t>
            </w:r>
          </w:p>
        </w:tc>
      </w:tr>
      <w:tr>
        <w:trPr>
          <w:trHeight w:val="27"/>
        </w:trPr>
        <w:tc>
          <w:tcPr>
            <w:tcW w:w="2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2640" w:type="dxa"/>
            <w:vAlign w:val="bottom"/>
            <w:shd w:val="clear" w:color="auto" w:fill="EAF9E8"/>
          </w:tcPr>
          <w:p>
            <w:pPr>
              <w:ind w:left="180"/>
              <w:spacing w:after="0"/>
              <w:rPr>
                <w:sz w:val="20"/>
                <w:szCs w:val="20"/>
                <w:color w:val="auto"/>
              </w:rPr>
            </w:pPr>
            <w:r>
              <w:rPr>
                <w:rFonts w:ascii="Arial" w:cs="Arial" w:eastAsia="Arial" w:hAnsi="Arial"/>
                <w:sz w:val="18"/>
                <w:szCs w:val="18"/>
                <w:color w:val="auto"/>
              </w:rPr>
              <w:t>Servicing transfers and</w:t>
            </w:r>
          </w:p>
        </w:tc>
        <w:tc>
          <w:tcPr>
            <w:tcW w:w="26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2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r>
      <w:tr>
        <w:trPr>
          <w:trHeight w:val="237"/>
        </w:trPr>
        <w:tc>
          <w:tcPr>
            <w:tcW w:w="2640" w:type="dxa"/>
            <w:vAlign w:val="bottom"/>
            <w:tcBorders>
              <w:bottom w:val="single" w:sz="8" w:color="EAF9E8"/>
            </w:tcBorders>
            <w:shd w:val="clear" w:color="auto" w:fill="EAF9E8"/>
          </w:tcPr>
          <w:p>
            <w:pPr>
              <w:ind w:left="340"/>
              <w:spacing w:after="0"/>
              <w:rPr>
                <w:sz w:val="20"/>
                <w:szCs w:val="20"/>
                <w:color w:val="auto"/>
              </w:rPr>
            </w:pPr>
            <w:r>
              <w:rPr>
                <w:rFonts w:ascii="Arial" w:cs="Arial" w:eastAsia="Arial" w:hAnsi="Arial"/>
                <w:sz w:val="18"/>
                <w:szCs w:val="18"/>
                <w:color w:val="auto"/>
              </w:rPr>
              <w:t>adjustments</w:t>
            </w:r>
          </w:p>
        </w:tc>
        <w:tc>
          <w:tcPr>
            <w:tcW w:w="260" w:type="dxa"/>
            <w:vAlign w:val="bottom"/>
            <w:tcBorders>
              <w:bottom w:val="single" w:sz="8" w:color="EAF9E8"/>
            </w:tcBorders>
            <w:shd w:val="clear" w:color="auto" w:fill="EAF9E8"/>
          </w:tcPr>
          <w:p>
            <w:pPr>
              <w:spacing w:after="0"/>
              <w:rPr>
                <w:sz w:val="20"/>
                <w:szCs w:val="20"/>
                <w:color w:val="auto"/>
              </w:rPr>
            </w:pPr>
          </w:p>
        </w:tc>
        <w:tc>
          <w:tcPr>
            <w:tcW w:w="126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0"/>
                <w:szCs w:val="20"/>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(1,275)</w:t>
            </w:r>
          </w:p>
        </w:tc>
        <w:tc>
          <w:tcPr>
            <w:tcW w:w="10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spacing w:after="0"/>
              <w:rPr>
                <w:sz w:val="20"/>
                <w:szCs w:val="20"/>
                <w:color w:val="auto"/>
              </w:rPr>
            </w:pPr>
          </w:p>
        </w:tc>
        <w:tc>
          <w:tcPr>
            <w:tcW w:w="10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(1,275)</w:t>
            </w:r>
          </w:p>
        </w:tc>
        <w:tc>
          <w:tcPr>
            <w:tcW w:w="120" w:type="dxa"/>
            <w:vAlign w:val="bottom"/>
            <w:tcBorders>
              <w:bottom w:val="single" w:sz="8" w:color="EAF9E8"/>
            </w:tcBorders>
            <w:shd w:val="clear" w:color="auto" w:fill="EAF9E8"/>
          </w:tcPr>
          <w:p>
            <w:pPr>
              <w:spacing w:after="0"/>
              <w:rPr>
                <w:sz w:val="20"/>
                <w:szCs w:val="20"/>
                <w:color w:val="auto"/>
              </w:rPr>
            </w:pPr>
          </w:p>
        </w:tc>
        <w:tc>
          <w:tcPr>
            <w:tcW w:w="240" w:type="dxa"/>
            <w:vAlign w:val="bottom"/>
            <w:tcBorders>
              <w:bottom w:val="single" w:sz="8" w:color="EAF9E8"/>
            </w:tcBorders>
            <w:shd w:val="clear" w:color="auto" w:fill="EAF9E8"/>
          </w:tcPr>
          <w:p>
            <w:pPr>
              <w:spacing w:after="0"/>
              <w:rPr>
                <w:sz w:val="20"/>
                <w:szCs w:val="20"/>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0"/>
                <w:szCs w:val="20"/>
                <w:color w:val="auto"/>
              </w:rPr>
            </w:pP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(1,139)</w:t>
            </w:r>
          </w:p>
        </w:tc>
        <w:tc>
          <w:tcPr>
            <w:tcW w:w="12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spacing w:after="0"/>
              <w:rPr>
                <w:sz w:val="20"/>
                <w:szCs w:val="20"/>
                <w:color w:val="auto"/>
              </w:rPr>
            </w:pPr>
          </w:p>
        </w:tc>
        <w:tc>
          <w:tcPr>
            <w:tcW w:w="10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(1,139)</w:t>
            </w:r>
          </w:p>
        </w:tc>
      </w:tr>
      <w:tr>
        <w:trPr>
          <w:trHeight w:val="243"/>
        </w:trPr>
        <w:tc>
          <w:tcPr>
            <w:tcW w:w="2640" w:type="dxa"/>
            <w:vAlign w:val="bottom"/>
          </w:tcPr>
          <w:p>
            <w:pPr>
              <w:ind w:left="180"/>
              <w:spacing w:after="0"/>
              <w:rPr>
                <w:sz w:val="20"/>
                <w:szCs w:val="20"/>
                <w:color w:val="auto"/>
              </w:rPr>
            </w:pPr>
            <w:r>
              <w:rPr>
                <w:rFonts w:ascii="Arial" w:cs="Arial" w:eastAsia="Arial" w:hAnsi="Arial"/>
                <w:sz w:val="18"/>
                <w:szCs w:val="18"/>
                <w:color w:val="auto"/>
              </w:rPr>
              <w:t>Changes in fair value (1):</w:t>
            </w: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2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2640" w:type="dxa"/>
            <w:vAlign w:val="bottom"/>
            <w:shd w:val="clear" w:color="auto" w:fill="EAF9E8"/>
          </w:tcPr>
          <w:p>
            <w:pPr>
              <w:ind w:left="280"/>
              <w:spacing w:after="0"/>
              <w:rPr>
                <w:sz w:val="20"/>
                <w:szCs w:val="20"/>
                <w:color w:val="auto"/>
              </w:rPr>
            </w:pPr>
            <w:r>
              <w:rPr>
                <w:rFonts w:ascii="Arial" w:cs="Arial" w:eastAsia="Arial" w:hAnsi="Arial"/>
                <w:sz w:val="18"/>
                <w:szCs w:val="18"/>
                <w:color w:val="auto"/>
                <w:w w:val="96"/>
              </w:rPr>
              <w:t>Changes in valuation inputs or</w:t>
            </w:r>
          </w:p>
        </w:tc>
        <w:tc>
          <w:tcPr>
            <w:tcW w:w="26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2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r>
      <w:tr>
        <w:trPr>
          <w:trHeight w:val="237"/>
        </w:trPr>
        <w:tc>
          <w:tcPr>
            <w:tcW w:w="2640" w:type="dxa"/>
            <w:vAlign w:val="bottom"/>
            <w:tcBorders>
              <w:bottom w:val="single" w:sz="8" w:color="EAF9E8"/>
            </w:tcBorders>
            <w:shd w:val="clear" w:color="auto" w:fill="EAF9E8"/>
          </w:tcPr>
          <w:p>
            <w:pPr>
              <w:ind w:left="440"/>
              <w:spacing w:after="0"/>
              <w:rPr>
                <w:sz w:val="20"/>
                <w:szCs w:val="20"/>
                <w:color w:val="auto"/>
              </w:rPr>
            </w:pPr>
            <w:r>
              <w:rPr>
                <w:rFonts w:ascii="Arial" w:cs="Arial" w:eastAsia="Arial" w:hAnsi="Arial"/>
                <w:sz w:val="18"/>
                <w:szCs w:val="18"/>
                <w:color w:val="auto"/>
              </w:rPr>
              <w:t>other assumptions</w:t>
            </w:r>
          </w:p>
        </w:tc>
        <w:tc>
          <w:tcPr>
            <w:tcW w:w="260" w:type="dxa"/>
            <w:vAlign w:val="bottom"/>
            <w:tcBorders>
              <w:bottom w:val="single" w:sz="8" w:color="EAF9E8"/>
            </w:tcBorders>
            <w:shd w:val="clear" w:color="auto" w:fill="EAF9E8"/>
          </w:tcPr>
          <w:p>
            <w:pPr>
              <w:spacing w:after="0"/>
              <w:rPr>
                <w:sz w:val="20"/>
                <w:szCs w:val="20"/>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(5,033)</w:t>
            </w:r>
          </w:p>
        </w:tc>
        <w:tc>
          <w:tcPr>
            <w:tcW w:w="120" w:type="dxa"/>
            <w:vAlign w:val="bottom"/>
            <w:tcBorders>
              <w:bottom w:val="single" w:sz="8" w:color="EAF9E8"/>
            </w:tcBorders>
            <w:shd w:val="clear" w:color="auto" w:fill="EAF9E8"/>
          </w:tcPr>
          <w:p>
            <w:pPr>
              <w:spacing w:after="0"/>
              <w:rPr>
                <w:sz w:val="20"/>
                <w:szCs w:val="20"/>
                <w:color w:val="auto"/>
              </w:rPr>
            </w:pPr>
          </w:p>
        </w:tc>
        <w:tc>
          <w:tcPr>
            <w:tcW w:w="160" w:type="dxa"/>
            <w:vAlign w:val="bottom"/>
            <w:tcBorders>
              <w:bottom w:val="single" w:sz="8" w:color="EAF9E8"/>
            </w:tcBorders>
            <w:shd w:val="clear" w:color="auto" w:fill="EAF9E8"/>
          </w:tcPr>
          <w:p>
            <w:pPr>
              <w:spacing w:after="0"/>
              <w:rPr>
                <w:sz w:val="20"/>
                <w:szCs w:val="20"/>
                <w:color w:val="auto"/>
              </w:rPr>
            </w:pPr>
          </w:p>
        </w:tc>
        <w:tc>
          <w:tcPr>
            <w:tcW w:w="13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0"/>
                <w:szCs w:val="20"/>
                <w:color w:val="auto"/>
              </w:rPr>
            </w:pPr>
          </w:p>
        </w:tc>
        <w:tc>
          <w:tcPr>
            <w:tcW w:w="10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(5,033)</w:t>
            </w:r>
          </w:p>
        </w:tc>
        <w:tc>
          <w:tcPr>
            <w:tcW w:w="120" w:type="dxa"/>
            <w:vAlign w:val="bottom"/>
            <w:tcBorders>
              <w:bottom w:val="single" w:sz="8" w:color="EAF9E8"/>
            </w:tcBorders>
            <w:shd w:val="clear" w:color="auto" w:fill="EAF9E8"/>
          </w:tcPr>
          <w:p>
            <w:pPr>
              <w:spacing w:after="0"/>
              <w:rPr>
                <w:sz w:val="20"/>
                <w:szCs w:val="20"/>
                <w:color w:val="auto"/>
              </w:rPr>
            </w:pPr>
          </w:p>
        </w:tc>
        <w:tc>
          <w:tcPr>
            <w:tcW w:w="240" w:type="dxa"/>
            <w:vAlign w:val="bottom"/>
            <w:tcBorders>
              <w:bottom w:val="single" w:sz="8" w:color="EAF9E8"/>
            </w:tcBorders>
            <w:shd w:val="clear" w:color="auto" w:fill="EAF9E8"/>
          </w:tcPr>
          <w:p>
            <w:pPr>
              <w:spacing w:after="0"/>
              <w:rPr>
                <w:sz w:val="20"/>
                <w:szCs w:val="20"/>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(580)</w:t>
            </w:r>
          </w:p>
        </w:tc>
        <w:tc>
          <w:tcPr>
            <w:tcW w:w="100" w:type="dxa"/>
            <w:vAlign w:val="bottom"/>
            <w:tcBorders>
              <w:bottom w:val="single" w:sz="8" w:color="EAF9E8"/>
            </w:tcBorders>
            <w:shd w:val="clear" w:color="auto" w:fill="EAF9E8"/>
          </w:tcPr>
          <w:p>
            <w:pPr>
              <w:spacing w:after="0"/>
              <w:rPr>
                <w:sz w:val="20"/>
                <w:szCs w:val="20"/>
                <w:color w:val="auto"/>
              </w:rPr>
            </w:pPr>
          </w:p>
        </w:tc>
        <w:tc>
          <w:tcPr>
            <w:tcW w:w="160" w:type="dxa"/>
            <w:vAlign w:val="bottom"/>
            <w:tcBorders>
              <w:bottom w:val="single" w:sz="8" w:color="EAF9E8"/>
            </w:tcBorders>
            <w:shd w:val="clear" w:color="auto" w:fill="EAF9E8"/>
          </w:tcPr>
          <w:p>
            <w:pPr>
              <w:spacing w:after="0"/>
              <w:rPr>
                <w:sz w:val="20"/>
                <w:szCs w:val="20"/>
                <w:color w:val="auto"/>
              </w:rPr>
            </w:pPr>
          </w:p>
        </w:tc>
        <w:tc>
          <w:tcPr>
            <w:tcW w:w="13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0"/>
                <w:szCs w:val="20"/>
                <w:color w:val="auto"/>
              </w:rPr>
            </w:pPr>
          </w:p>
        </w:tc>
        <w:tc>
          <w:tcPr>
            <w:tcW w:w="10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(580)</w:t>
            </w:r>
          </w:p>
        </w:tc>
      </w:tr>
      <w:tr>
        <w:trPr>
          <w:trHeight w:val="229"/>
        </w:trPr>
        <w:tc>
          <w:tcPr>
            <w:tcW w:w="2640" w:type="dxa"/>
            <w:vAlign w:val="bottom"/>
          </w:tcPr>
          <w:p>
            <w:pPr>
              <w:ind w:left="280"/>
              <w:spacing w:after="0"/>
              <w:rPr>
                <w:sz w:val="20"/>
                <w:szCs w:val="20"/>
                <w:color w:val="auto"/>
              </w:rPr>
            </w:pPr>
            <w:r>
              <w:rPr>
                <w:rFonts w:ascii="Arial" w:cs="Arial" w:eastAsia="Arial" w:hAnsi="Arial"/>
                <w:sz w:val="18"/>
                <w:szCs w:val="18"/>
                <w:color w:val="auto"/>
                <w:w w:val="98"/>
              </w:rPr>
              <w:t>Realization of expected future</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2640" w:type="dxa"/>
            <w:vAlign w:val="bottom"/>
          </w:tcPr>
          <w:p>
            <w:pPr>
              <w:ind w:left="440"/>
              <w:spacing w:after="0"/>
              <w:rPr>
                <w:sz w:val="20"/>
                <w:szCs w:val="20"/>
                <w:color w:val="auto"/>
              </w:rPr>
            </w:pPr>
            <w:r>
              <w:rPr>
                <w:rFonts w:ascii="Arial" w:cs="Arial" w:eastAsia="Arial" w:hAnsi="Arial"/>
                <w:sz w:val="18"/>
                <w:szCs w:val="18"/>
                <w:color w:val="auto"/>
                <w:w w:val="91"/>
              </w:rPr>
              <w:t>cash flows and other changes</w:t>
            </w: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(855)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(53,216)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(54,071)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(6,256)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(41,644)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(47,900)</w:t>
            </w:r>
          </w:p>
        </w:tc>
      </w:tr>
      <w:tr>
        <w:trPr>
          <w:trHeight w:val="27"/>
        </w:trPr>
        <w:tc>
          <w:tcPr>
            <w:tcW w:w="264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26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Ending balance</w:t>
            </w:r>
          </w:p>
        </w:tc>
        <w:tc>
          <w:tcPr>
            <w:tcW w:w="260" w:type="dxa"/>
            <w:vAlign w:val="bottom"/>
            <w:tcBorders>
              <w:bottom w:val="single" w:sz="8" w:color="auto"/>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9,183</w:t>
            </w:r>
          </w:p>
        </w:tc>
        <w:tc>
          <w:tcPr>
            <w:tcW w:w="12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691,485</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700,668</w:t>
            </w:r>
          </w:p>
        </w:tc>
        <w:tc>
          <w:tcPr>
            <w:tcW w:w="12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auto"/>
            </w:tcBorders>
            <w:shd w:val="clear" w:color="auto" w:fill="EAF9E8"/>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18,921</w:t>
            </w: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795,529</w:t>
            </w:r>
          </w:p>
        </w:tc>
        <w:tc>
          <w:tcPr>
            <w:tcW w:w="12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814,450</w:t>
            </w:r>
          </w:p>
        </w:tc>
      </w:tr>
      <w:tr>
        <w:trPr>
          <w:trHeight w:val="20"/>
        </w:trPr>
        <w:tc>
          <w:tcPr>
            <w:tcW w:w="2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500" w:hanging="492"/>
        <w:spacing w:after="0"/>
        <w:tabs>
          <w:tab w:leader="none" w:pos="5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Changes in fair value are recognized in Servicing and origination expense in the Unaudited Consolidated Statements of Operations.</w:t>
      </w:r>
    </w:p>
    <w:p>
      <w:pPr>
        <w:spacing w:after="0" w:line="109" w:lineRule="exact"/>
        <w:rPr>
          <w:sz w:val="20"/>
          <w:szCs w:val="20"/>
          <w:color w:val="auto"/>
        </w:rPr>
      </w:pPr>
    </w:p>
    <w:p>
      <w:pPr>
        <w:ind w:right="80" w:firstLine="324"/>
        <w:spacing w:after="0" w:line="302" w:lineRule="auto"/>
        <w:rPr>
          <w:sz w:val="20"/>
          <w:szCs w:val="20"/>
          <w:color w:val="auto"/>
        </w:rPr>
      </w:pPr>
      <w:r>
        <w:rPr>
          <w:rFonts w:ascii="Arial" w:cs="Arial" w:eastAsia="Arial" w:hAnsi="Arial"/>
          <w:sz w:val="16"/>
          <w:szCs w:val="16"/>
          <w:color w:val="auto"/>
        </w:rPr>
        <w:t>Because the mortgages underlying these MSRs permit the borrowers to prepay the loans, the value of the MSRs generally tends to diminish in periods of declining interest rates, an improving housing market or expanded product availability (as prepayments increase) and increase in periods of rising interest rates, a deteriorating housing market or reduced product availability (as prepayments decrease). The following table summarizes the estimated change in the value of the MSRs that we carry at fair value as of June 30, 2016 given hypothetical shifts in lifetime prepayments and yield assumptions: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w w:val="95"/>
              </w:rPr>
              <w:t>Adverse change in fair value</w:t>
            </w:r>
          </w:p>
        </w:tc>
      </w:tr>
      <w:tr>
        <w:trPr>
          <w:trHeight w:val="27"/>
        </w:trPr>
        <w:tc>
          <w:tcPr>
            <w:tcW w:w="8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ind w:right="49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0"/>
              <w:spacing w:after="0"/>
              <w:rPr>
                <w:sz w:val="20"/>
                <w:szCs w:val="20"/>
                <w:color w:val="auto"/>
              </w:rPr>
            </w:pPr>
            <w:r>
              <w:rPr>
                <w:rFonts w:ascii="Arial" w:cs="Arial" w:eastAsia="Arial" w:hAnsi="Arial"/>
                <w:sz w:val="18"/>
                <w:szCs w:val="18"/>
                <w:color w:val="auto"/>
              </w:rPr>
              <w:t>20%</w:t>
            </w:r>
          </w:p>
        </w:tc>
      </w:tr>
      <w:tr>
        <w:trPr>
          <w:trHeight w:val="27"/>
        </w:trPr>
        <w:tc>
          <w:tcPr>
            <w:tcW w:w="834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Weighted average prepayment speeds</w:t>
            </w: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(68,131)</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(138,502)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Discount rate (option-adjusted spread)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(18,605)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(33,629)</w:t>
            </w:r>
          </w:p>
        </w:tc>
      </w:tr>
    </w:tbl>
    <w:p>
      <w:pPr>
        <w:spacing w:after="0" w:line="337"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The sensitivity analysis measures the potential impact on fair values based on hypothetical changes, which in the case of our portfolio at June 30, 2016 are increased prepayment speeds and a decrease in the yield assumption.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72"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Portfolio of Assets Serviced</w:t>
      </w:r>
    </w:p>
    <w:p>
      <w:pPr>
        <w:spacing w:after="0" w:line="121" w:lineRule="exact"/>
        <w:rPr>
          <w:sz w:val="20"/>
          <w:szCs w:val="20"/>
          <w:color w:val="auto"/>
        </w:rPr>
      </w:pPr>
    </w:p>
    <w:p>
      <w:pPr>
        <w:jc w:val="both"/>
        <w:ind w:right="40" w:firstLine="324"/>
        <w:spacing w:after="0" w:line="264" w:lineRule="auto"/>
        <w:rPr>
          <w:sz w:val="20"/>
          <w:szCs w:val="20"/>
          <w:color w:val="auto"/>
        </w:rPr>
      </w:pPr>
      <w:r>
        <w:rPr>
          <w:rFonts w:ascii="Arial" w:cs="Arial" w:eastAsia="Arial" w:hAnsi="Arial"/>
          <w:sz w:val="18"/>
          <w:szCs w:val="18"/>
          <w:color w:val="auto"/>
        </w:rPr>
        <w:t>The following table presents the composition of our primary servicing and subservicing portfolios by type of property serviced as measured by UPB. The servicing portfolio represents loans for which we own the servicing rights while subservicing represents all other loans. The UPB of assets serviced for others are not included on our Unaudited Consolidated Balance Sheets.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ind w:left="120"/>
              <w:spacing w:after="0"/>
              <w:rPr>
                <w:sz w:val="20"/>
                <w:szCs w:val="20"/>
                <w:color w:val="auto"/>
              </w:rPr>
            </w:pPr>
            <w:r>
              <w:rPr>
                <w:rFonts w:ascii="Arial" w:cs="Arial" w:eastAsia="Arial" w:hAnsi="Arial"/>
                <w:sz w:val="18"/>
                <w:szCs w:val="18"/>
                <w:b w:val="1"/>
                <w:bCs w:val="1"/>
                <w:color w:val="auto"/>
              </w:rPr>
              <w:t>Residential</w:t>
            </w:r>
          </w:p>
        </w:tc>
        <w:tc>
          <w:tcPr>
            <w:tcW w:w="200" w:type="dxa"/>
            <w:vAlign w:val="bottom"/>
          </w:tcPr>
          <w:p>
            <w:pPr>
              <w:spacing w:after="0"/>
              <w:rPr>
                <w:sz w:val="20"/>
                <w:szCs w:val="20"/>
                <w:color w:val="auto"/>
              </w:rPr>
            </w:pPr>
          </w:p>
        </w:tc>
        <w:tc>
          <w:tcPr>
            <w:tcW w:w="1380" w:type="dxa"/>
            <w:vAlign w:val="bottom"/>
            <w:gridSpan w:val="2"/>
          </w:tcPr>
          <w:p>
            <w:pPr>
              <w:ind w:left="80"/>
              <w:spacing w:after="0"/>
              <w:rPr>
                <w:sz w:val="20"/>
                <w:szCs w:val="20"/>
                <w:color w:val="auto"/>
              </w:rPr>
            </w:pPr>
            <w:r>
              <w:rPr>
                <w:rFonts w:ascii="Arial" w:cs="Arial" w:eastAsia="Arial" w:hAnsi="Arial"/>
                <w:sz w:val="18"/>
                <w:szCs w:val="18"/>
                <w:b w:val="1"/>
                <w:bCs w:val="1"/>
                <w:color w:val="auto"/>
              </w:rPr>
              <w:t>Commercial</w:t>
            </w:r>
          </w:p>
        </w:tc>
        <w:tc>
          <w:tcPr>
            <w:tcW w:w="300" w:type="dxa"/>
            <w:vAlign w:val="bottom"/>
          </w:tcPr>
          <w:p>
            <w:pPr>
              <w:spacing w:after="0"/>
              <w:rPr>
                <w:sz w:val="20"/>
                <w:szCs w:val="20"/>
                <w:color w:val="auto"/>
              </w:rPr>
            </w:pPr>
          </w:p>
        </w:tc>
        <w:tc>
          <w:tcPr>
            <w:tcW w:w="118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674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UPB at June 30, 2016</w:t>
            </w:r>
          </w:p>
        </w:tc>
        <w:tc>
          <w:tcPr>
            <w:tcW w:w="22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Servicing</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216,555,948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216,555,948</w:t>
            </w: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Subservicing</w:t>
            </w:r>
          </w:p>
        </w:tc>
        <w:tc>
          <w:tcPr>
            <w:tcW w:w="22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12,720,053</w:t>
            </w:r>
          </w:p>
        </w:tc>
        <w:tc>
          <w:tcPr>
            <w:tcW w:w="100" w:type="dxa"/>
            <w:vAlign w:val="bottom"/>
            <w:tcBorders>
              <w:bottom w:val="single" w:sz="8" w:color="EAF9E8"/>
            </w:tcBorders>
            <w:shd w:val="clear" w:color="auto" w:fill="EAF9E8"/>
          </w:tcPr>
          <w:p>
            <w:pPr>
              <w:spacing w:after="0"/>
              <w:rPr>
                <w:sz w:val="23"/>
                <w:szCs w:val="23"/>
                <w:color w:val="auto"/>
              </w:rPr>
            </w:pPr>
          </w:p>
        </w:tc>
        <w:tc>
          <w:tcPr>
            <w:tcW w:w="200" w:type="dxa"/>
            <w:vAlign w:val="bottom"/>
            <w:tcBorders>
              <w:bottom w:val="single" w:sz="8" w:color="EAF9E8"/>
            </w:tcBorders>
            <w:shd w:val="clear" w:color="auto" w:fill="EAF9E8"/>
          </w:tcPr>
          <w:p>
            <w:pPr>
              <w:spacing w:after="0"/>
              <w:rPr>
                <w:sz w:val="23"/>
                <w:szCs w:val="23"/>
                <w:color w:val="auto"/>
              </w:rPr>
            </w:pPr>
          </w:p>
        </w:tc>
        <w:tc>
          <w:tcPr>
            <w:tcW w:w="12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144,639</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12,864,692</w:t>
            </w:r>
          </w:p>
        </w:tc>
      </w:tr>
      <w:tr>
        <w:trPr>
          <w:trHeight w:val="237"/>
        </w:trPr>
        <w:tc>
          <w:tcPr>
            <w:tcW w:w="674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229,276,001</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144,639</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229,420,640</w:t>
            </w:r>
          </w:p>
        </w:tc>
      </w:tr>
      <w:tr>
        <w:trPr>
          <w:trHeight w:val="67"/>
        </w:trPr>
        <w:tc>
          <w:tcPr>
            <w:tcW w:w="6740" w:type="dxa"/>
            <w:vAlign w:val="bottom"/>
            <w:tcBorders>
              <w:bottom w:val="single" w:sz="8" w:color="EAF9E8"/>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EAF9E8"/>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EAF9E8"/>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r>
      <w:tr>
        <w:trPr>
          <w:trHeight w:val="231"/>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UPB at December 31, 2015</w:t>
            </w:r>
          </w:p>
        </w:tc>
        <w:tc>
          <w:tcPr>
            <w:tcW w:w="220" w:type="dxa"/>
            <w:vAlign w:val="bottom"/>
            <w:tcBorders>
              <w:bottom w:val="single" w:sz="8" w:color="EAF9E8"/>
            </w:tcBorders>
            <w:shd w:val="clear" w:color="auto" w:fill="EAF9E8"/>
          </w:tcPr>
          <w:p>
            <w:pPr>
              <w:spacing w:after="0"/>
              <w:rPr>
                <w:sz w:val="20"/>
                <w:szCs w:val="20"/>
                <w:color w:val="auto"/>
              </w:rPr>
            </w:pPr>
          </w:p>
        </w:tc>
        <w:tc>
          <w:tcPr>
            <w:tcW w:w="130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200" w:type="dxa"/>
            <w:vAlign w:val="bottom"/>
            <w:tcBorders>
              <w:bottom w:val="single" w:sz="8" w:color="EAF9E8"/>
            </w:tcBorders>
            <w:shd w:val="clear" w:color="auto" w:fill="EAF9E8"/>
          </w:tcPr>
          <w:p>
            <w:pPr>
              <w:spacing w:after="0"/>
              <w:rPr>
                <w:sz w:val="20"/>
                <w:szCs w:val="20"/>
                <w:color w:val="auto"/>
              </w:rPr>
            </w:pPr>
          </w:p>
        </w:tc>
        <w:tc>
          <w:tcPr>
            <w:tcW w:w="128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spacing w:after="0"/>
              <w:rPr>
                <w:sz w:val="20"/>
                <w:szCs w:val="20"/>
                <w:color w:val="auto"/>
              </w:rPr>
            </w:pPr>
          </w:p>
        </w:tc>
        <w:tc>
          <w:tcPr>
            <w:tcW w:w="1180" w:type="dxa"/>
            <w:vAlign w:val="bottom"/>
            <w:tcBorders>
              <w:bottom w:val="single" w:sz="8" w:color="EAF9E8"/>
            </w:tcBorders>
            <w:shd w:val="clear" w:color="auto" w:fill="EAF9E8"/>
          </w:tcPr>
          <w:p>
            <w:pPr>
              <w:spacing w:after="0"/>
              <w:rPr>
                <w:sz w:val="20"/>
                <w:szCs w:val="20"/>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Servicing</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230,132,729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230,132,729</w:t>
            </w: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Subservicing</w:t>
            </w:r>
          </w:p>
        </w:tc>
        <w:tc>
          <w:tcPr>
            <w:tcW w:w="22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20,833,383</w:t>
            </w:r>
          </w:p>
        </w:tc>
        <w:tc>
          <w:tcPr>
            <w:tcW w:w="100" w:type="dxa"/>
            <w:vAlign w:val="bottom"/>
            <w:tcBorders>
              <w:bottom w:val="single" w:sz="8" w:color="EAF9E8"/>
            </w:tcBorders>
            <w:shd w:val="clear" w:color="auto" w:fill="EAF9E8"/>
          </w:tcPr>
          <w:p>
            <w:pPr>
              <w:spacing w:after="0"/>
              <w:rPr>
                <w:sz w:val="23"/>
                <w:szCs w:val="23"/>
                <w:color w:val="auto"/>
              </w:rPr>
            </w:pPr>
          </w:p>
        </w:tc>
        <w:tc>
          <w:tcPr>
            <w:tcW w:w="200" w:type="dxa"/>
            <w:vAlign w:val="bottom"/>
            <w:tcBorders>
              <w:bottom w:val="single" w:sz="8" w:color="EAF9E8"/>
            </w:tcBorders>
            <w:shd w:val="clear" w:color="auto" w:fill="EAF9E8"/>
          </w:tcPr>
          <w:p>
            <w:pPr>
              <w:spacing w:after="0"/>
              <w:rPr>
                <w:sz w:val="23"/>
                <w:szCs w:val="23"/>
                <w:color w:val="auto"/>
              </w:rPr>
            </w:pPr>
          </w:p>
        </w:tc>
        <w:tc>
          <w:tcPr>
            <w:tcW w:w="12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105,268</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20,938,651</w:t>
            </w:r>
          </w:p>
        </w:tc>
      </w:tr>
      <w:tr>
        <w:trPr>
          <w:trHeight w:val="237"/>
        </w:trPr>
        <w:tc>
          <w:tcPr>
            <w:tcW w:w="674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250,966,112</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105,268</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251,071,380</w:t>
            </w:r>
          </w:p>
        </w:tc>
      </w:tr>
      <w:tr>
        <w:trPr>
          <w:trHeight w:val="67"/>
        </w:trPr>
        <w:tc>
          <w:tcPr>
            <w:tcW w:w="6740" w:type="dxa"/>
            <w:vAlign w:val="bottom"/>
            <w:tcBorders>
              <w:bottom w:val="single" w:sz="8" w:color="EAF9E8"/>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EAF9E8"/>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EAF9E8"/>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r>
      <w:tr>
        <w:trPr>
          <w:trHeight w:val="231"/>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UPB at June 30, 2015</w:t>
            </w:r>
          </w:p>
        </w:tc>
        <w:tc>
          <w:tcPr>
            <w:tcW w:w="220" w:type="dxa"/>
            <w:vAlign w:val="bottom"/>
            <w:tcBorders>
              <w:bottom w:val="single" w:sz="8" w:color="EAF9E8"/>
            </w:tcBorders>
            <w:shd w:val="clear" w:color="auto" w:fill="EAF9E8"/>
          </w:tcPr>
          <w:p>
            <w:pPr>
              <w:spacing w:after="0"/>
              <w:rPr>
                <w:sz w:val="20"/>
                <w:szCs w:val="20"/>
                <w:color w:val="auto"/>
              </w:rPr>
            </w:pPr>
          </w:p>
        </w:tc>
        <w:tc>
          <w:tcPr>
            <w:tcW w:w="130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200" w:type="dxa"/>
            <w:vAlign w:val="bottom"/>
            <w:tcBorders>
              <w:bottom w:val="single" w:sz="8" w:color="EAF9E8"/>
            </w:tcBorders>
            <w:shd w:val="clear" w:color="auto" w:fill="EAF9E8"/>
          </w:tcPr>
          <w:p>
            <w:pPr>
              <w:spacing w:after="0"/>
              <w:rPr>
                <w:sz w:val="20"/>
                <w:szCs w:val="20"/>
                <w:color w:val="auto"/>
              </w:rPr>
            </w:pPr>
          </w:p>
        </w:tc>
        <w:tc>
          <w:tcPr>
            <w:tcW w:w="128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spacing w:after="0"/>
              <w:rPr>
                <w:sz w:val="20"/>
                <w:szCs w:val="20"/>
                <w:color w:val="auto"/>
              </w:rPr>
            </w:pPr>
          </w:p>
        </w:tc>
        <w:tc>
          <w:tcPr>
            <w:tcW w:w="1180" w:type="dxa"/>
            <w:vAlign w:val="bottom"/>
            <w:tcBorders>
              <w:bottom w:val="single" w:sz="8" w:color="EAF9E8"/>
            </w:tcBorders>
            <w:shd w:val="clear" w:color="auto" w:fill="EAF9E8"/>
          </w:tcPr>
          <w:p>
            <w:pPr>
              <w:spacing w:after="0"/>
              <w:rPr>
                <w:sz w:val="20"/>
                <w:szCs w:val="20"/>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Servicing</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267,996,046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267,996,046</w:t>
            </w: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Subservicing</w:t>
            </w:r>
          </w:p>
        </w:tc>
        <w:tc>
          <w:tcPr>
            <w:tcW w:w="22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53,674,533</w:t>
            </w:r>
          </w:p>
        </w:tc>
        <w:tc>
          <w:tcPr>
            <w:tcW w:w="100" w:type="dxa"/>
            <w:vAlign w:val="bottom"/>
            <w:tcBorders>
              <w:bottom w:val="single" w:sz="8" w:color="EAF9E8"/>
            </w:tcBorders>
            <w:shd w:val="clear" w:color="auto" w:fill="EAF9E8"/>
          </w:tcPr>
          <w:p>
            <w:pPr>
              <w:spacing w:after="0"/>
              <w:rPr>
                <w:sz w:val="23"/>
                <w:szCs w:val="23"/>
                <w:color w:val="auto"/>
              </w:rPr>
            </w:pPr>
          </w:p>
        </w:tc>
        <w:tc>
          <w:tcPr>
            <w:tcW w:w="200" w:type="dxa"/>
            <w:vAlign w:val="bottom"/>
            <w:tcBorders>
              <w:bottom w:val="single" w:sz="8" w:color="EAF9E8"/>
            </w:tcBorders>
            <w:shd w:val="clear" w:color="auto" w:fill="EAF9E8"/>
          </w:tcPr>
          <w:p>
            <w:pPr>
              <w:spacing w:after="0"/>
              <w:rPr>
                <w:sz w:val="23"/>
                <w:szCs w:val="23"/>
                <w:color w:val="auto"/>
              </w:rPr>
            </w:pPr>
          </w:p>
        </w:tc>
        <w:tc>
          <w:tcPr>
            <w:tcW w:w="12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181,329</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53,855,862</w:t>
            </w:r>
          </w:p>
        </w:tc>
      </w:tr>
      <w:tr>
        <w:trPr>
          <w:trHeight w:val="237"/>
        </w:trPr>
        <w:tc>
          <w:tcPr>
            <w:tcW w:w="674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321,670,579</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181,329</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321,851,908</w:t>
            </w:r>
          </w:p>
        </w:tc>
      </w:tr>
      <w:tr>
        <w:trPr>
          <w:trHeight w:val="27"/>
        </w:trPr>
        <w:tc>
          <w:tcPr>
            <w:tcW w:w="67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0" w:right="60" w:firstLine="324"/>
        <w:spacing w:after="0" w:line="277" w:lineRule="auto"/>
        <w:rPr>
          <w:sz w:val="20"/>
          <w:szCs w:val="20"/>
          <w:color w:val="auto"/>
        </w:rPr>
      </w:pPr>
      <w:r>
        <w:rPr>
          <w:rFonts w:ascii="Arial" w:cs="Arial" w:eastAsia="Arial" w:hAnsi="Arial"/>
          <w:sz w:val="18"/>
          <w:szCs w:val="18"/>
          <w:color w:val="auto"/>
        </w:rPr>
        <w:t>UPB serviced at June 30, 2016, December 31, 2015 and June 30, 2015 includes $128.1 billion, $137.1 billion and $151.2 billion, respectively, for which the Rights to MSRs have been sold to NRZ.</w:t>
      </w:r>
    </w:p>
    <w:p>
      <w:pPr>
        <w:spacing w:after="0" w:line="62"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Residential assets serviced includes foreclosed real estate. Residential assets serviced also includes small-balance commercial assets with a UPB of $1.6 billion, $1.8 billion and $2.0 billion at June 30, 2016, December 31, 2015 and June 30, 2015, respectively. Commercial assets consist of large-balance foreclosed real estate.</w:t>
      </w:r>
    </w:p>
    <w:p>
      <w:pPr>
        <w:spacing w:after="0" w:line="73" w:lineRule="exact"/>
        <w:rPr>
          <w:sz w:val="20"/>
          <w:szCs w:val="20"/>
          <w:color w:val="auto"/>
        </w:rPr>
      </w:pPr>
    </w:p>
    <w:p>
      <w:pPr>
        <w:ind w:right="180" w:firstLine="324"/>
        <w:spacing w:after="0" w:line="302" w:lineRule="auto"/>
        <w:rPr>
          <w:sz w:val="20"/>
          <w:szCs w:val="20"/>
          <w:color w:val="auto"/>
        </w:rPr>
      </w:pPr>
      <w:r>
        <w:rPr>
          <w:rFonts w:ascii="Arial" w:cs="Arial" w:eastAsia="Arial" w:hAnsi="Arial"/>
          <w:sz w:val="16"/>
          <w:szCs w:val="16"/>
          <w:color w:val="auto"/>
        </w:rPr>
        <w:t>A significant portion of the servicing agreements for our non-Agency servicing portfolio contain provisions where we could be terminated as servicer without compensation upon the failure of the serviced loans to meet certain portfolio delinquency or cumulative loss thresholds. As a result of the economic downturn beginning in 2007-2008, the portfolio delinquency and/or cumulative loss threshold provisions have been breached by many private-label securitizations in our non-Agency servicing portfolio. To date, terminations as servicer as a result of a breach of any of these provisions have been minimal.</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Certain of our servicing agreements require that we maintain specified servicer ratings from rating agencies such as Moody’s Investors Service, Inc.</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(Moody’s) and S&amp;P. Out of approximately 3,905 non-Agency servicing agreements, approximately 734 with approximately $37.1 billion of UPB as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June 30, 2016 have minimum servicer ratings criteria. As a result of downgrades in our servicer ratings, termination rights have been triggered in 649 of these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non-Agency servicing agreements. This represents approximately $31.5 billion in UPB as of June 30, 2016, or approximately 18% of our total non-Agency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servicing portfolio.</w:t>
      </w:r>
    </w:p>
    <w:p>
      <w:pPr>
        <w:spacing w:after="0" w:line="211"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As described below, with respect to approximately $18.8 billion in UPB as of June 30, 2016, or approximately 59.7% of the UPB of the non-Agency servicing agreements with triggered termination rights relating to servicer rating downgrades, Ocwen has received notices or solicitation results from trustees or master servicers indicating no current intended action or direction to terminate Ocwen as servicer. Specifically, under 272 of the 649 triggered agreements, trustees and master servicers have sent notices to investors indicating that they did not currently intend to take action relating to the termination rights. In addition, in connection with 69 of the triggered agreements, the trustee or master servicer sent solicitation notices to investors asking whether or not the investor wanted to direct the trustee or master servicer to terminate Ocwen as servicer. The trustee or master servicer has announced results for 49 of the solicitations: 45 resulted in no direction to terminate and four resulted in the termination of Ocwen as servicer in early 2015 due to rating downgrades.</w:t>
      </w:r>
    </w:p>
    <w:p>
      <w:pPr>
        <w:spacing w:after="0" w:line="167"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As noted above, in early 2015, we received notices terminating us as the servicer under four of our non-Agency servicing agreements due to rating downgrades. Pursuant to our servicing agreements, generally we are entitled to payment of accrued and unpaid servicing fees through termination as well as all advances and certain other previously unreimbursed amounts, although we lose the future servicing fee revenue. While the financial impact of the termination of servicing under these four servicing agreements was immaterial to our overall financial condition, as it represented only 0.17% of our overall servicing portfolio as of the time of transfer of servicing, we could be subject to further terminations either as a result of recent servicer ratings downgrades or future adverse actions by ratings agencies, which could have an adverse effect on our business, financing activities, financial condition and results of operations.</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72" w:right="239" w:bottom="1440" w:gutter="0" w:footer="0" w:header="0"/>
        </w:sectPr>
      </w:pPr>
    </w:p>
    <w:bookmarkStart w:id="30" w:name="page31"/>
    <w:bookmarkEnd w:id="30"/>
    <w:p>
      <w:pPr>
        <w:ind w:right="40" w:firstLine="324"/>
        <w:spacing w:after="0" w:line="259" w:lineRule="auto"/>
        <w:rPr>
          <w:sz w:val="20"/>
          <w:szCs w:val="20"/>
          <w:color w:val="auto"/>
        </w:rPr>
      </w:pPr>
      <w:r>
        <w:rPr>
          <w:rFonts w:ascii="Arial" w:cs="Arial" w:eastAsia="Arial" w:hAnsi="Arial"/>
          <w:sz w:val="18"/>
          <w:szCs w:val="18"/>
          <w:color w:val="auto"/>
        </w:rPr>
        <w:t>Downgrades in servicer ratings could adversely affect our ability to finance servicing advances and maintain our status as an approved servicer by Fannie Mae and Freddie Mac. The servicer rating requirements of Fannie Mae do not necessarily require or imply immediate action, as Fannie Mae has discretion with respect to whether we are in compliance with their requirements and what actions it deems appropriate under the circumstances in the event that we fall below their desired servicer ratings.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Servicing Revenue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components of servicing and subservicing fees for the periods ended June 30:</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0" w:type="dxa"/>
            <w:vAlign w:val="bottom"/>
            <w:gridSpan w:val="3"/>
          </w:tcPr>
          <w:p>
            <w:pPr>
              <w:jc w:val="right"/>
              <w:spacing w:after="0"/>
              <w:rPr>
                <w:sz w:val="20"/>
                <w:szCs w:val="20"/>
                <w:color w:val="auto"/>
              </w:rPr>
            </w:pPr>
            <w:r>
              <w:rPr>
                <w:rFonts w:ascii="Arial" w:cs="Arial" w:eastAsia="Arial" w:hAnsi="Arial"/>
                <w:sz w:val="18"/>
                <w:szCs w:val="18"/>
                <w:b w:val="1"/>
                <w:bCs w:val="1"/>
                <w:color w:val="auto"/>
              </w:rPr>
              <w:t>Three Months</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b w:val="1"/>
                <w:bCs w:val="1"/>
                <w:color w:val="auto"/>
              </w:rPr>
              <w:t>Six Months</w:t>
            </w:r>
          </w:p>
        </w:tc>
        <w:tc>
          <w:tcPr>
            <w:tcW w:w="100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516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Loan servicing and subservicing fees: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48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Servicing</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235,542</w:t>
            </w:r>
          </w:p>
        </w:tc>
        <w:tc>
          <w:tcPr>
            <w:tcW w:w="12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297,773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474,180</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629,973</w:t>
            </w: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51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Subservicing</w:t>
            </w: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5,256</w:t>
            </w:r>
          </w:p>
        </w:tc>
        <w:tc>
          <w:tcPr>
            <w:tcW w:w="120" w:type="dxa"/>
            <w:vAlign w:val="bottom"/>
            <w:tcBorders>
              <w:bottom w:val="single" w:sz="8" w:color="EAF9E8"/>
            </w:tcBorders>
            <w:shd w:val="clear" w:color="auto" w:fill="EAF9E8"/>
          </w:tcPr>
          <w:p>
            <w:pPr>
              <w:spacing w:after="0"/>
              <w:rPr>
                <w:sz w:val="23"/>
                <w:szCs w:val="23"/>
                <w:color w:val="auto"/>
              </w:rPr>
            </w:pPr>
          </w:p>
        </w:tc>
        <w:tc>
          <w:tcPr>
            <w:tcW w:w="520" w:type="dxa"/>
            <w:vAlign w:val="bottom"/>
            <w:tcBorders>
              <w:bottom w:val="single" w:sz="8" w:color="EAF9E8"/>
            </w:tcBorders>
            <w:shd w:val="clear" w:color="auto" w:fill="EAF9E8"/>
          </w:tcPr>
          <w:p>
            <w:pPr>
              <w:spacing w:after="0"/>
              <w:rPr>
                <w:sz w:val="23"/>
                <w:szCs w:val="23"/>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15,309</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12,495</w:t>
            </w:r>
          </w:p>
        </w:tc>
        <w:tc>
          <w:tcPr>
            <w:tcW w:w="100" w:type="dxa"/>
            <w:vAlign w:val="bottom"/>
            <w:tcBorders>
              <w:bottom w:val="single" w:sz="8" w:color="EAF9E8"/>
            </w:tcBorders>
            <w:shd w:val="clear" w:color="auto" w:fill="EAF9E8"/>
          </w:tcPr>
          <w:p>
            <w:pPr>
              <w:spacing w:after="0"/>
              <w:rPr>
                <w:sz w:val="23"/>
                <w:szCs w:val="23"/>
                <w:color w:val="auto"/>
              </w:rPr>
            </w:pPr>
          </w:p>
        </w:tc>
        <w:tc>
          <w:tcPr>
            <w:tcW w:w="480" w:type="dxa"/>
            <w:vAlign w:val="bottom"/>
            <w:tcBorders>
              <w:bottom w:val="single" w:sz="8" w:color="EAF9E8"/>
            </w:tcBorders>
            <w:shd w:val="clear" w:color="auto" w:fill="EAF9E8"/>
          </w:tcPr>
          <w:p>
            <w:pPr>
              <w:spacing w:after="0"/>
              <w:rPr>
                <w:sz w:val="23"/>
                <w:szCs w:val="23"/>
                <w:color w:val="auto"/>
              </w:rPr>
            </w:pPr>
          </w:p>
        </w:tc>
        <w:tc>
          <w:tcPr>
            <w:tcW w:w="10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33,650</w:t>
            </w:r>
          </w:p>
        </w:tc>
      </w:tr>
      <w:tr>
        <w:trPr>
          <w:trHeight w:val="237"/>
        </w:trPr>
        <w:tc>
          <w:tcPr>
            <w:tcW w:w="516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240,798</w:t>
            </w: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313,082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486,675</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663,623</w:t>
            </w: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Home Affordable Modification Program (HAMP) fees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33,493</w:t>
            </w:r>
          </w:p>
        </w:tc>
        <w:tc>
          <w:tcPr>
            <w:tcW w:w="12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41,204</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56,111</w:t>
            </w:r>
          </w:p>
        </w:tc>
        <w:tc>
          <w:tcPr>
            <w:tcW w:w="100" w:type="dxa"/>
            <w:vAlign w:val="bottom"/>
            <w:tcBorders>
              <w:bottom w:val="single" w:sz="8" w:color="EAF9E8"/>
            </w:tcBorders>
            <w:shd w:val="clear" w:color="auto" w:fill="EAF9E8"/>
          </w:tcPr>
          <w:p>
            <w:pPr>
              <w:spacing w:after="0"/>
              <w:rPr>
                <w:sz w:val="21"/>
                <w:szCs w:val="21"/>
                <w:color w:val="auto"/>
              </w:rPr>
            </w:pPr>
          </w:p>
        </w:tc>
        <w:tc>
          <w:tcPr>
            <w:tcW w:w="48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76,380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Late charges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17,474</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20,273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36,076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44,395</w:t>
            </w: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Loan collection fees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6,985</w:t>
            </w:r>
          </w:p>
        </w:tc>
        <w:tc>
          <w:tcPr>
            <w:tcW w:w="12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8,930</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14,114</w:t>
            </w:r>
          </w:p>
        </w:tc>
        <w:tc>
          <w:tcPr>
            <w:tcW w:w="100" w:type="dxa"/>
            <w:vAlign w:val="bottom"/>
            <w:tcBorders>
              <w:bottom w:val="single" w:sz="8" w:color="EAF9E8"/>
            </w:tcBorders>
            <w:shd w:val="clear" w:color="auto" w:fill="EAF9E8"/>
          </w:tcPr>
          <w:p>
            <w:pPr>
              <w:spacing w:after="0"/>
              <w:rPr>
                <w:sz w:val="21"/>
                <w:szCs w:val="21"/>
                <w:color w:val="auto"/>
              </w:rPr>
            </w:pPr>
          </w:p>
        </w:tc>
        <w:tc>
          <w:tcPr>
            <w:tcW w:w="48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18,494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8,512</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13,494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11,782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40,632</w:t>
            </w:r>
          </w:p>
        </w:tc>
      </w:tr>
      <w:tr>
        <w:trPr>
          <w:trHeight w:val="27"/>
        </w:trPr>
        <w:tc>
          <w:tcPr>
            <w:tcW w:w="516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307,262</w:t>
            </w:r>
          </w:p>
        </w:tc>
        <w:tc>
          <w:tcPr>
            <w:tcW w:w="120" w:type="dxa"/>
            <w:vAlign w:val="bottom"/>
            <w:tcBorders>
              <w:bottom w:val="single" w:sz="8" w:color="EAF9E8"/>
            </w:tcBorders>
            <w:shd w:val="clear" w:color="auto" w:fill="EAF9E8"/>
          </w:tcPr>
          <w:p>
            <w:pPr>
              <w:spacing w:after="0"/>
              <w:rPr>
                <w:sz w:val="22"/>
                <w:szCs w:val="22"/>
                <w:color w:val="auto"/>
              </w:rPr>
            </w:pPr>
          </w:p>
        </w:tc>
        <w:tc>
          <w:tcPr>
            <w:tcW w:w="520" w:type="dxa"/>
            <w:vAlign w:val="bottom"/>
            <w:tcBorders>
              <w:bottom w:val="single" w:sz="8" w:color="EAF9E8"/>
            </w:tcBorders>
            <w:shd w:val="clear" w:color="auto" w:fill="EAF9E8"/>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396,983</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604,758</w:t>
            </w:r>
          </w:p>
        </w:tc>
        <w:tc>
          <w:tcPr>
            <w:tcW w:w="100" w:type="dxa"/>
            <w:vAlign w:val="bottom"/>
            <w:tcBorders>
              <w:bottom w:val="single" w:sz="8" w:color="EAF9E8"/>
            </w:tcBorders>
            <w:shd w:val="clear" w:color="auto" w:fill="EAF9E8"/>
          </w:tcPr>
          <w:p>
            <w:pPr>
              <w:spacing w:after="0"/>
              <w:rPr>
                <w:sz w:val="22"/>
                <w:szCs w:val="22"/>
                <w:color w:val="auto"/>
              </w:rPr>
            </w:pPr>
          </w:p>
        </w:tc>
        <w:tc>
          <w:tcPr>
            <w:tcW w:w="480" w:type="dxa"/>
            <w:vAlign w:val="bottom"/>
            <w:tcBorders>
              <w:bottom w:val="single" w:sz="8" w:color="EAF9E8"/>
            </w:tcBorders>
            <w:shd w:val="clear" w:color="auto" w:fill="EAF9E8"/>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843,524</w:t>
            </w:r>
          </w:p>
        </w:tc>
      </w:tr>
      <w:tr>
        <w:trPr>
          <w:trHeight w:val="20"/>
        </w:trPr>
        <w:tc>
          <w:tcPr>
            <w:tcW w:w="516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Float balances (balances in custodial accounts, which represent collections of principal and interest that we receive from borrowers), are held in escrow by an unaffiliated bank and are excluded from our Unaudited Consolidated Balance Sheets. Float balances amounted to $2.7 billion and $3.4 billion at June 30, 2016 and June 30, 2015, respectively.</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r>
              <w:rPr>
                <w:rFonts w:ascii="Arial" w:cs="Arial" w:eastAsia="Arial" w:hAnsi="Arial"/>
                <w:sz w:val="18"/>
                <w:szCs w:val="18"/>
                <w:b w:val="1"/>
                <w:bCs w:val="1"/>
                <w:color w:val="auto"/>
              </w:rPr>
              <w:t>Note 9 – Receivables</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24"/>
        </w:trPr>
        <w:tc>
          <w:tcPr>
            <w:tcW w:w="8340" w:type="dxa"/>
            <w:vAlign w:val="bottom"/>
          </w:tcPr>
          <w:p>
            <w:pPr>
              <w:ind w:left="340"/>
              <w:spacing w:after="0"/>
              <w:rPr>
                <w:sz w:val="20"/>
                <w:szCs w:val="20"/>
                <w:color w:val="auto"/>
              </w:rPr>
            </w:pPr>
            <w:r>
              <w:rPr>
                <w:rFonts w:ascii="Arial" w:cs="Arial" w:eastAsia="Arial" w:hAnsi="Arial"/>
                <w:sz w:val="18"/>
                <w:szCs w:val="18"/>
                <w:color w:val="auto"/>
              </w:rPr>
              <w:t>Receivables, net consisted of the following at the dates indicated:</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60"/>
        </w:trPr>
        <w:tc>
          <w:tcPr>
            <w:tcW w:w="8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8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June 30, 2016</w:t>
            </w: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834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Servicing:</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Government-insured loan claims (1)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101,614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71,405</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Due from custodial accounts</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43,781</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13,800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Amount due on sales of mortgage servicing rights and advances</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36,680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94,629</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Reimbursable expenses</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33,935</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29,856</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Other servicing receivables</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53,635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32,879</w:t>
            </w:r>
          </w:p>
        </w:tc>
      </w:tr>
      <w:tr>
        <w:trPr>
          <w:trHeight w:val="27"/>
        </w:trPr>
        <w:tc>
          <w:tcPr>
            <w:tcW w:w="834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269,645</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242,569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Income taxes receivable</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60,679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53,519</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Other receivables</w:t>
            </w:r>
          </w:p>
        </w:tc>
        <w:tc>
          <w:tcPr>
            <w:tcW w:w="18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25,924</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29,818</w:t>
            </w:r>
          </w:p>
        </w:tc>
      </w:tr>
      <w:tr>
        <w:trPr>
          <w:trHeight w:val="237"/>
        </w:trPr>
        <w:tc>
          <w:tcPr>
            <w:tcW w:w="83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356,248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325,906</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Allowance for losses (1)</w:t>
            </w:r>
          </w:p>
        </w:tc>
        <w:tc>
          <w:tcPr>
            <w:tcW w:w="18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(48,876)</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(38,925)</w:t>
            </w:r>
          </w:p>
        </w:tc>
      </w:tr>
      <w:tr>
        <w:trPr>
          <w:trHeight w:val="237"/>
        </w:trPr>
        <w:tc>
          <w:tcPr>
            <w:tcW w:w="834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307,372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286,981</w:t>
            </w:r>
          </w:p>
        </w:tc>
      </w:tr>
      <w:tr>
        <w:trPr>
          <w:trHeight w:val="27"/>
        </w:trPr>
        <w:tc>
          <w:tcPr>
            <w:tcW w:w="8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jc w:val="both"/>
        <w:ind w:left="500" w:right="220" w:hanging="492"/>
        <w:spacing w:after="0" w:line="261" w:lineRule="auto"/>
        <w:tabs>
          <w:tab w:leader="none" w:pos="5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At June 30, 2016 and December 31, 2015, the allowance for losses related entirely to receivables of our Servicing business. Allowance for losses related to defaulted FHA or VA insured loans repurchased from Ginnie Mae guaranteed securitizations (government-insured loan claims) at June 30, 2016 and December 31, 2015 were $37.2 million and $20.6 million, respectively.</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76" w:right="2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r>
              <w:rPr>
                <w:rFonts w:ascii="Arial" w:cs="Arial" w:eastAsia="Arial" w:hAnsi="Arial"/>
                <w:sz w:val="18"/>
                <w:szCs w:val="18"/>
                <w:b w:val="1"/>
                <w:bCs w:val="1"/>
                <w:color w:val="auto"/>
              </w:rPr>
              <w:t>Note 10 – Other Assets</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24"/>
        </w:trPr>
        <w:tc>
          <w:tcPr>
            <w:tcW w:w="8340" w:type="dxa"/>
            <w:vAlign w:val="bottom"/>
          </w:tcPr>
          <w:p>
            <w:pPr>
              <w:ind w:left="340"/>
              <w:spacing w:after="0"/>
              <w:rPr>
                <w:sz w:val="20"/>
                <w:szCs w:val="20"/>
                <w:color w:val="auto"/>
              </w:rPr>
            </w:pPr>
            <w:r>
              <w:rPr>
                <w:rFonts w:ascii="Arial" w:cs="Arial" w:eastAsia="Arial" w:hAnsi="Arial"/>
                <w:sz w:val="18"/>
                <w:szCs w:val="18"/>
                <w:color w:val="auto"/>
              </w:rPr>
              <w:t>Other assets consisted of the following at the dates indicated:</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60"/>
        </w:trPr>
        <w:tc>
          <w:tcPr>
            <w:tcW w:w="8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8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June 30, 2016</w:t>
            </w: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834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Contingent loan repurchase asset (1)</w:t>
            </w: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253,793</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346,984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Debt service accounts (2)</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59,155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87,328</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Prepaid expenses (3)</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56,414</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69,805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Derivatives, at fair value</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14,776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6,367</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Prepaid income taxes</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10,071</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11,749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Prepaid lender fees and debt issuance costs, net</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10,265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19,496</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Mortgage backed securities, at fair value</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9,063</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7,985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Real estate</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7,359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20,489</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27,841</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16,292</w:t>
            </w:r>
          </w:p>
        </w:tc>
      </w:tr>
      <w:tr>
        <w:trPr>
          <w:trHeight w:val="237"/>
        </w:trPr>
        <w:tc>
          <w:tcPr>
            <w:tcW w:w="834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448,737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586,495</w:t>
            </w:r>
          </w:p>
        </w:tc>
      </w:tr>
      <w:tr>
        <w:trPr>
          <w:trHeight w:val="27"/>
        </w:trPr>
        <w:tc>
          <w:tcPr>
            <w:tcW w:w="8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500" w:right="60" w:hanging="492"/>
        <w:spacing w:after="0" w:line="249" w:lineRule="auto"/>
        <w:tabs>
          <w:tab w:leader="none" w:pos="5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 connection with the Ginnie Mae early buy-out (EBO) program, our agreements provide either that: (a) we have the right, but not the obligation, to repurchase previously transferred mortgage loans under certain conditions, including the mortgage loans becoming eligible for pooling under a program sponsored by Ginnie Mae; or (b) we have the obligation to repurchase previously transferred mortgage loans that have been subject to a successful trial modification before any permanent modification is made. Once these conditions are met, we have effectively regained control over the mortgage loan(s), and under GAAP, must re-recognize the loans on our consolidated balance sheets and establish a corresponding repurchase liability. With respect to those loans that we have the right, but not the obligation, to repurchase under the applicable agreement, this requirement applies regardless of whether we have any intention to repurchase the loan. We re-recognize mortgage loans in Other assets and a corresponding liability in Other liabilities.</w:t>
      </w:r>
    </w:p>
    <w:p>
      <w:pPr>
        <w:spacing w:after="0" w:line="1" w:lineRule="exact"/>
        <w:rPr>
          <w:rFonts w:ascii="Arial" w:cs="Arial" w:eastAsia="Arial" w:hAnsi="Arial"/>
          <w:sz w:val="16"/>
          <w:szCs w:val="16"/>
          <w:color w:val="auto"/>
        </w:rPr>
      </w:pPr>
    </w:p>
    <w:p>
      <w:pPr>
        <w:ind w:left="500" w:right="120" w:hanging="492"/>
        <w:spacing w:after="0" w:line="263" w:lineRule="auto"/>
        <w:tabs>
          <w:tab w:leader="none" w:pos="500" w:val="left"/>
        </w:tabs>
        <w:numPr>
          <w:ilvl w:val="0"/>
          <w:numId w:val="17"/>
        </w:numPr>
        <w:rPr>
          <w:rFonts w:ascii="Arial" w:cs="Arial" w:eastAsia="Arial" w:hAnsi="Arial"/>
          <w:sz w:val="15"/>
          <w:szCs w:val="15"/>
          <w:color w:val="auto"/>
        </w:rPr>
      </w:pPr>
      <w:r>
        <w:rPr>
          <w:rFonts w:ascii="Arial" w:cs="Arial" w:eastAsia="Arial" w:hAnsi="Arial"/>
          <w:sz w:val="15"/>
          <w:szCs w:val="15"/>
          <w:color w:val="auto"/>
        </w:rPr>
        <w:t>Under our advance funding financing facilities, we are contractually required to remit collections on pledged advances to the trustee within two days of receipt. The collected funds are not applied to reduce the related match funded debt until the payment dates specified in the indenture. The balances also include amounts that have been set aside from the proceeds of our match funded advance facilities to provide for possible shortfalls in the funds available to pay certain expenses and interest, as well as amounts set aside as required by our warehouse facilities as security for our obligations under the related agreements. The funds are held in interest earning accounts and those amounts related to match funded facilities are held in the name of the SPE created in connection with the facility.</w:t>
      </w:r>
    </w:p>
    <w:p>
      <w:pPr>
        <w:ind w:left="500" w:right="300" w:hanging="492"/>
        <w:spacing w:after="0" w:line="252" w:lineRule="auto"/>
        <w:tabs>
          <w:tab w:leader="none" w:pos="5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 connection with the sale of Agency MSRs in 2015, we placed $52.9 million in escrow for the payment of representation, warranty and indemnification claims associated with the underlying loans. Prepaid expenses at June 30, 2016 and December 31, 2015 includes the remaining balance of $37.1 million and $41.3 million,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Borrowings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Match Funded Liabilities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Match funded liabilities are comprised of the following at the dates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Available</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Amortization</w:t>
            </w: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Borrowing</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2760" w:type="dxa"/>
            <w:vAlign w:val="bottom"/>
            <w:gridSpan w:val="2"/>
          </w:tcPr>
          <w:p>
            <w:pPr>
              <w:ind w:left="700"/>
              <w:spacing w:after="0"/>
              <w:rPr>
                <w:sz w:val="20"/>
                <w:szCs w:val="20"/>
                <w:color w:val="auto"/>
              </w:rPr>
            </w:pPr>
            <w:r>
              <w:rPr>
                <w:rFonts w:ascii="Arial" w:cs="Arial" w:eastAsia="Arial" w:hAnsi="Arial"/>
                <w:sz w:val="18"/>
                <w:szCs w:val="18"/>
                <w:b w:val="1"/>
                <w:bCs w:val="1"/>
                <w:color w:val="auto"/>
              </w:rPr>
              <w:t>Borrowing Type</w:t>
            </w:r>
          </w:p>
        </w:tc>
        <w:tc>
          <w:tcPr>
            <w:tcW w:w="13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Interest Rate</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8"/>
              </w:rPr>
              <w:t>Maturity (1)</w:t>
            </w: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Date (1)</w:t>
            </w:r>
          </w:p>
        </w:tc>
        <w:tc>
          <w:tcPr>
            <w:tcW w:w="140" w:type="dxa"/>
            <w:vAlign w:val="bottom"/>
          </w:tcPr>
          <w:p>
            <w:pPr>
              <w:spacing w:after="0"/>
              <w:rPr>
                <w:sz w:val="20"/>
                <w:szCs w:val="20"/>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Capacity (2)</w:t>
            </w:r>
          </w:p>
        </w:tc>
        <w:tc>
          <w:tcPr>
            <w:tcW w:w="180" w:type="dxa"/>
            <w:vAlign w:val="bottom"/>
          </w:tcPr>
          <w:p>
            <w:pPr>
              <w:spacing w:after="0"/>
              <w:rPr>
                <w:sz w:val="20"/>
                <w:szCs w:val="20"/>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June 30, 2016</w:t>
            </w: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26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EAF9E8"/>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2"/>
        </w:trPr>
        <w:tc>
          <w:tcPr>
            <w:tcW w:w="276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Advance Receivables Backed</w:t>
            </w:r>
          </w:p>
        </w:tc>
        <w:tc>
          <w:tcPr>
            <w:tcW w:w="1380" w:type="dxa"/>
            <w:vAlign w:val="bottom"/>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3"/>
              </w:rPr>
              <w:t>1-Month</w:t>
            </w:r>
          </w:p>
        </w:tc>
        <w:tc>
          <w:tcPr>
            <w:tcW w:w="114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4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3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300" w:type="dxa"/>
            <w:vAlign w:val="bottom"/>
            <w:shd w:val="clear" w:color="auto" w:fill="EAF9E8"/>
          </w:tcPr>
          <w:p>
            <w:pPr>
              <w:spacing w:after="0"/>
              <w:rPr>
                <w:sz w:val="19"/>
                <w:szCs w:val="19"/>
                <w:color w:val="auto"/>
              </w:rPr>
            </w:pPr>
          </w:p>
        </w:tc>
      </w:tr>
      <w:tr>
        <w:trPr>
          <w:trHeight w:val="216"/>
        </w:trPr>
        <w:tc>
          <w:tcPr>
            <w:tcW w:w="2760" w:type="dxa"/>
            <w:vAlign w:val="bottom"/>
            <w:gridSpan w:val="2"/>
            <w:shd w:val="clear" w:color="auto" w:fill="EAF9E8"/>
          </w:tcPr>
          <w:p>
            <w:pPr>
              <w:ind w:left="200"/>
              <w:spacing w:after="0"/>
              <w:rPr>
                <w:sz w:val="20"/>
                <w:szCs w:val="20"/>
                <w:color w:val="auto"/>
              </w:rPr>
            </w:pPr>
            <w:r>
              <w:rPr>
                <w:rFonts w:ascii="Arial" w:cs="Arial" w:eastAsia="Arial" w:hAnsi="Arial"/>
                <w:sz w:val="18"/>
                <w:szCs w:val="18"/>
                <w:color w:val="auto"/>
              </w:rPr>
              <w:t>Notes - Series 2014-VF3,</w:t>
            </w:r>
          </w:p>
        </w:tc>
        <w:tc>
          <w:tcPr>
            <w:tcW w:w="1380" w:type="dxa"/>
            <w:vAlign w:val="bottom"/>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9"/>
              </w:rPr>
              <w:t>LIBOR (1ML)</w:t>
            </w:r>
          </w:p>
        </w:tc>
        <w:tc>
          <w:tcPr>
            <w:tcW w:w="11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4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3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300" w:type="dxa"/>
            <w:vAlign w:val="bottom"/>
            <w:shd w:val="clear" w:color="auto" w:fill="EAF9E8"/>
          </w:tcPr>
          <w:p>
            <w:pPr>
              <w:spacing w:after="0"/>
              <w:rPr>
                <w:sz w:val="18"/>
                <w:szCs w:val="18"/>
                <w:color w:val="auto"/>
              </w:rPr>
            </w:pPr>
          </w:p>
        </w:tc>
      </w:tr>
      <w:tr>
        <w:trPr>
          <w:trHeight w:val="237"/>
        </w:trPr>
        <w:tc>
          <w:tcPr>
            <w:tcW w:w="276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color w:val="auto"/>
              </w:rPr>
              <w:t>Class A (4)</w:t>
            </w:r>
          </w:p>
        </w:tc>
        <w:tc>
          <w:tcPr>
            <w:tcW w:w="13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1"/>
              </w:rPr>
              <w:t>(3) + 235 bps</w:t>
            </w:r>
          </w:p>
        </w:tc>
        <w:tc>
          <w:tcPr>
            <w:tcW w:w="12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87"/>
              </w:rPr>
              <w:t>Sep. 2046</w:t>
            </w:r>
          </w:p>
        </w:tc>
        <w:tc>
          <w:tcPr>
            <w:tcW w:w="158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87"/>
              </w:rPr>
              <w:t>Sep. 2016</w:t>
            </w: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70,692</w:t>
            </w:r>
          </w:p>
        </w:tc>
        <w:tc>
          <w:tcPr>
            <w:tcW w:w="100" w:type="dxa"/>
            <w:vAlign w:val="bottom"/>
            <w:tcBorders>
              <w:bottom w:val="single" w:sz="8" w:color="EAF9E8"/>
            </w:tcBorders>
            <w:shd w:val="clear" w:color="auto" w:fill="EAF9E8"/>
          </w:tcPr>
          <w:p>
            <w:pPr>
              <w:spacing w:after="0"/>
              <w:rPr>
                <w:sz w:val="20"/>
                <w:szCs w:val="20"/>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90,993</w:t>
            </w:r>
          </w:p>
        </w:tc>
        <w:tc>
          <w:tcPr>
            <w:tcW w:w="100" w:type="dxa"/>
            <w:vAlign w:val="bottom"/>
            <w:tcBorders>
              <w:bottom w:val="single" w:sz="8" w:color="EAF9E8"/>
            </w:tcBorders>
            <w:shd w:val="clear" w:color="auto" w:fill="EAF9E8"/>
          </w:tcPr>
          <w:p>
            <w:pPr>
              <w:spacing w:after="0"/>
              <w:rPr>
                <w:sz w:val="20"/>
                <w:szCs w:val="20"/>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132,651</w:t>
            </w:r>
          </w:p>
        </w:tc>
      </w:tr>
      <w:tr>
        <w:trPr>
          <w:trHeight w:val="229"/>
        </w:trPr>
        <w:tc>
          <w:tcPr>
            <w:tcW w:w="2760" w:type="dxa"/>
            <w:vAlign w:val="bottom"/>
            <w:gridSpan w:val="2"/>
          </w:tcPr>
          <w:p>
            <w:pPr>
              <w:ind w:left="40"/>
              <w:spacing w:after="0"/>
              <w:rPr>
                <w:sz w:val="20"/>
                <w:szCs w:val="20"/>
                <w:color w:val="auto"/>
              </w:rPr>
            </w:pPr>
            <w:r>
              <w:rPr>
                <w:rFonts w:ascii="Arial" w:cs="Arial" w:eastAsia="Arial" w:hAnsi="Arial"/>
                <w:sz w:val="18"/>
                <w:szCs w:val="18"/>
                <w:color w:val="auto"/>
              </w:rPr>
              <w:t>Advance Receivables Backed</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16"/>
        </w:trPr>
        <w:tc>
          <w:tcPr>
            <w:tcW w:w="2760" w:type="dxa"/>
            <w:vAlign w:val="bottom"/>
            <w:gridSpan w:val="2"/>
          </w:tcPr>
          <w:p>
            <w:pPr>
              <w:ind w:left="200"/>
              <w:spacing w:after="0"/>
              <w:rPr>
                <w:sz w:val="20"/>
                <w:szCs w:val="20"/>
                <w:color w:val="auto"/>
              </w:rPr>
            </w:pPr>
            <w:r>
              <w:rPr>
                <w:rFonts w:ascii="Arial" w:cs="Arial" w:eastAsia="Arial" w:hAnsi="Arial"/>
                <w:sz w:val="18"/>
                <w:szCs w:val="18"/>
                <w:color w:val="auto"/>
              </w:rPr>
              <w:t>Notes - Series 2014-VF3,</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0"/>
        </w:trPr>
        <w:tc>
          <w:tcPr>
            <w:tcW w:w="2760" w:type="dxa"/>
            <w:vAlign w:val="bottom"/>
            <w:gridSpan w:val="2"/>
          </w:tcPr>
          <w:p>
            <w:pPr>
              <w:ind w:left="200"/>
              <w:spacing w:after="0"/>
              <w:rPr>
                <w:sz w:val="20"/>
                <w:szCs w:val="20"/>
                <w:color w:val="auto"/>
              </w:rPr>
            </w:pPr>
            <w:r>
              <w:rPr>
                <w:rFonts w:ascii="Arial" w:cs="Arial" w:eastAsia="Arial" w:hAnsi="Arial"/>
                <w:sz w:val="18"/>
                <w:szCs w:val="18"/>
                <w:color w:val="auto"/>
              </w:rPr>
              <w:t>Class B (4)</w:t>
            </w: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1ML + 300 bps</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Sep. 2046</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Sep. 2016</w:t>
            </w:r>
          </w:p>
        </w:tc>
        <w:tc>
          <w:tcPr>
            <w:tcW w:w="1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3,249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4,375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6,330</w:t>
            </w: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276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Advance Receivables Backed</w:t>
            </w: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4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3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300" w:type="dxa"/>
            <w:vAlign w:val="bottom"/>
            <w:shd w:val="clear" w:color="auto" w:fill="EAF9E8"/>
          </w:tcPr>
          <w:p>
            <w:pPr>
              <w:spacing w:after="0"/>
              <w:rPr>
                <w:sz w:val="19"/>
                <w:szCs w:val="19"/>
                <w:color w:val="auto"/>
              </w:rPr>
            </w:pPr>
          </w:p>
        </w:tc>
      </w:tr>
      <w:tr>
        <w:trPr>
          <w:trHeight w:val="216"/>
        </w:trPr>
        <w:tc>
          <w:tcPr>
            <w:tcW w:w="2760" w:type="dxa"/>
            <w:vAlign w:val="bottom"/>
            <w:gridSpan w:val="2"/>
            <w:shd w:val="clear" w:color="auto" w:fill="EAF9E8"/>
          </w:tcPr>
          <w:p>
            <w:pPr>
              <w:ind w:left="200"/>
              <w:spacing w:after="0"/>
              <w:rPr>
                <w:sz w:val="20"/>
                <w:szCs w:val="20"/>
                <w:color w:val="auto"/>
              </w:rPr>
            </w:pPr>
            <w:r>
              <w:rPr>
                <w:rFonts w:ascii="Arial" w:cs="Arial" w:eastAsia="Arial" w:hAnsi="Arial"/>
                <w:sz w:val="18"/>
                <w:szCs w:val="18"/>
                <w:color w:val="auto"/>
              </w:rPr>
              <w:t>Notes - Series 2014-VF3,</w:t>
            </w:r>
          </w:p>
        </w:tc>
        <w:tc>
          <w:tcPr>
            <w:tcW w:w="1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4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3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300" w:type="dxa"/>
            <w:vAlign w:val="bottom"/>
            <w:shd w:val="clear" w:color="auto" w:fill="EAF9E8"/>
          </w:tcPr>
          <w:p>
            <w:pPr>
              <w:spacing w:after="0"/>
              <w:rPr>
                <w:sz w:val="18"/>
                <w:szCs w:val="18"/>
                <w:color w:val="auto"/>
              </w:rPr>
            </w:pPr>
          </w:p>
        </w:tc>
      </w:tr>
      <w:tr>
        <w:trPr>
          <w:trHeight w:val="237"/>
        </w:trPr>
        <w:tc>
          <w:tcPr>
            <w:tcW w:w="276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color w:val="auto"/>
              </w:rPr>
              <w:t>Class C (4)</w:t>
            </w:r>
          </w:p>
        </w:tc>
        <w:tc>
          <w:tcPr>
            <w:tcW w:w="13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1"/>
              </w:rPr>
              <w:t>1ML + 425 bps</w:t>
            </w:r>
          </w:p>
        </w:tc>
        <w:tc>
          <w:tcPr>
            <w:tcW w:w="12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87"/>
              </w:rPr>
              <w:t>Sep. 2046</w:t>
            </w:r>
          </w:p>
        </w:tc>
        <w:tc>
          <w:tcPr>
            <w:tcW w:w="158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87"/>
              </w:rPr>
              <w:t>Sep. 2016</w:t>
            </w:r>
          </w:p>
        </w:tc>
        <w:tc>
          <w:tcPr>
            <w:tcW w:w="140" w:type="dxa"/>
            <w:vAlign w:val="bottom"/>
            <w:tcBorders>
              <w:bottom w:val="single" w:sz="8" w:color="EAF9E8"/>
            </w:tcBorders>
            <w:shd w:val="clear" w:color="auto" w:fill="EAF9E8"/>
          </w:tcPr>
          <w:p>
            <w:pPr>
              <w:spacing w:after="0"/>
              <w:rPr>
                <w:sz w:val="20"/>
                <w:szCs w:val="20"/>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3,599</w:t>
            </w:r>
          </w:p>
        </w:tc>
        <w:tc>
          <w:tcPr>
            <w:tcW w:w="100" w:type="dxa"/>
            <w:vAlign w:val="bottom"/>
            <w:tcBorders>
              <w:bottom w:val="single" w:sz="8" w:color="EAF9E8"/>
            </w:tcBorders>
            <w:shd w:val="clear" w:color="auto" w:fill="EAF9E8"/>
          </w:tcPr>
          <w:p>
            <w:pPr>
              <w:spacing w:after="0"/>
              <w:rPr>
                <w:sz w:val="20"/>
                <w:szCs w:val="20"/>
                <w:color w:val="auto"/>
              </w:rPr>
            </w:pPr>
          </w:p>
        </w:tc>
        <w:tc>
          <w:tcPr>
            <w:tcW w:w="180" w:type="dxa"/>
            <w:vAlign w:val="bottom"/>
            <w:tcBorders>
              <w:bottom w:val="single" w:sz="8" w:color="EAF9E8"/>
            </w:tcBorders>
            <w:shd w:val="clear" w:color="auto" w:fill="EAF9E8"/>
          </w:tcPr>
          <w:p>
            <w:pPr>
              <w:spacing w:after="0"/>
              <w:rPr>
                <w:sz w:val="20"/>
                <w:szCs w:val="20"/>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4,836</w:t>
            </w:r>
          </w:p>
        </w:tc>
        <w:tc>
          <w:tcPr>
            <w:tcW w:w="100" w:type="dxa"/>
            <w:vAlign w:val="bottom"/>
            <w:tcBorders>
              <w:bottom w:val="single" w:sz="8" w:color="EAF9E8"/>
            </w:tcBorders>
            <w:shd w:val="clear" w:color="auto" w:fill="EAF9E8"/>
          </w:tcPr>
          <w:p>
            <w:pPr>
              <w:spacing w:after="0"/>
              <w:rPr>
                <w:sz w:val="20"/>
                <w:szCs w:val="20"/>
                <w:color w:val="auto"/>
              </w:rPr>
            </w:pPr>
          </w:p>
        </w:tc>
        <w:tc>
          <w:tcPr>
            <w:tcW w:w="180" w:type="dxa"/>
            <w:vAlign w:val="bottom"/>
            <w:tcBorders>
              <w:bottom w:val="single" w:sz="8" w:color="EAF9E8"/>
            </w:tcBorders>
            <w:shd w:val="clear" w:color="auto" w:fill="EAF9E8"/>
          </w:tcPr>
          <w:p>
            <w:pPr>
              <w:spacing w:after="0"/>
              <w:rPr>
                <w:sz w:val="20"/>
                <w:szCs w:val="20"/>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6,977</w:t>
            </w:r>
          </w:p>
        </w:tc>
      </w:tr>
      <w:tr>
        <w:trPr>
          <w:trHeight w:val="229"/>
        </w:trPr>
        <w:tc>
          <w:tcPr>
            <w:tcW w:w="2760" w:type="dxa"/>
            <w:vAlign w:val="bottom"/>
            <w:gridSpan w:val="2"/>
          </w:tcPr>
          <w:p>
            <w:pPr>
              <w:ind w:left="40"/>
              <w:spacing w:after="0"/>
              <w:rPr>
                <w:sz w:val="20"/>
                <w:szCs w:val="20"/>
                <w:color w:val="auto"/>
              </w:rPr>
            </w:pPr>
            <w:r>
              <w:rPr>
                <w:rFonts w:ascii="Arial" w:cs="Arial" w:eastAsia="Arial" w:hAnsi="Arial"/>
                <w:sz w:val="18"/>
                <w:szCs w:val="18"/>
                <w:color w:val="auto"/>
              </w:rPr>
              <w:t>Advance Receivables Backed</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16"/>
        </w:trPr>
        <w:tc>
          <w:tcPr>
            <w:tcW w:w="2760" w:type="dxa"/>
            <w:vAlign w:val="bottom"/>
            <w:gridSpan w:val="2"/>
          </w:tcPr>
          <w:p>
            <w:pPr>
              <w:ind w:left="200"/>
              <w:spacing w:after="0"/>
              <w:rPr>
                <w:sz w:val="20"/>
                <w:szCs w:val="20"/>
                <w:color w:val="auto"/>
              </w:rPr>
            </w:pPr>
            <w:r>
              <w:rPr>
                <w:rFonts w:ascii="Arial" w:cs="Arial" w:eastAsia="Arial" w:hAnsi="Arial"/>
                <w:sz w:val="18"/>
                <w:szCs w:val="18"/>
                <w:color w:val="auto"/>
              </w:rPr>
              <w:t>Notes - Series 2014-VF3,</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0"/>
        </w:trPr>
        <w:tc>
          <w:tcPr>
            <w:tcW w:w="2760" w:type="dxa"/>
            <w:vAlign w:val="bottom"/>
            <w:gridSpan w:val="2"/>
          </w:tcPr>
          <w:p>
            <w:pPr>
              <w:ind w:left="200"/>
              <w:spacing w:after="0"/>
              <w:rPr>
                <w:sz w:val="20"/>
                <w:szCs w:val="20"/>
                <w:color w:val="auto"/>
              </w:rPr>
            </w:pPr>
            <w:r>
              <w:rPr>
                <w:rFonts w:ascii="Arial" w:cs="Arial" w:eastAsia="Arial" w:hAnsi="Arial"/>
                <w:sz w:val="18"/>
                <w:szCs w:val="18"/>
                <w:color w:val="auto"/>
              </w:rPr>
              <w:t>Class D (4)</w:t>
            </w: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1ML + 575 bps</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Sep. 2046</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Sep. 2016</w:t>
            </w:r>
          </w:p>
        </w:tc>
        <w:tc>
          <w:tcPr>
            <w:tcW w:w="1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9,478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12,778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18,427</w:t>
            </w: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276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Advance Receivables Backed</w:t>
            </w: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4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3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300" w:type="dxa"/>
            <w:vAlign w:val="bottom"/>
            <w:shd w:val="clear" w:color="auto" w:fill="EAF9E8"/>
          </w:tcPr>
          <w:p>
            <w:pPr>
              <w:spacing w:after="0"/>
              <w:rPr>
                <w:sz w:val="19"/>
                <w:szCs w:val="19"/>
                <w:color w:val="auto"/>
              </w:rPr>
            </w:pPr>
          </w:p>
        </w:tc>
      </w:tr>
      <w:tr>
        <w:trPr>
          <w:trHeight w:val="216"/>
        </w:trPr>
        <w:tc>
          <w:tcPr>
            <w:tcW w:w="2760" w:type="dxa"/>
            <w:vAlign w:val="bottom"/>
            <w:gridSpan w:val="2"/>
            <w:shd w:val="clear" w:color="auto" w:fill="EAF9E8"/>
          </w:tcPr>
          <w:p>
            <w:pPr>
              <w:ind w:left="200"/>
              <w:spacing w:after="0"/>
              <w:rPr>
                <w:sz w:val="20"/>
                <w:szCs w:val="20"/>
                <w:color w:val="auto"/>
              </w:rPr>
            </w:pPr>
            <w:r>
              <w:rPr>
                <w:rFonts w:ascii="Arial" w:cs="Arial" w:eastAsia="Arial" w:hAnsi="Arial"/>
                <w:sz w:val="18"/>
                <w:szCs w:val="18"/>
                <w:color w:val="auto"/>
              </w:rPr>
              <w:t>Notes - Series 2014-VF4,</w:t>
            </w:r>
          </w:p>
        </w:tc>
        <w:tc>
          <w:tcPr>
            <w:tcW w:w="1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4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3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300" w:type="dxa"/>
            <w:vAlign w:val="bottom"/>
            <w:shd w:val="clear" w:color="auto" w:fill="EAF9E8"/>
          </w:tcPr>
          <w:p>
            <w:pPr>
              <w:spacing w:after="0"/>
              <w:rPr>
                <w:sz w:val="18"/>
                <w:szCs w:val="18"/>
                <w:color w:val="auto"/>
              </w:rPr>
            </w:pPr>
          </w:p>
        </w:tc>
      </w:tr>
      <w:tr>
        <w:trPr>
          <w:trHeight w:val="230"/>
        </w:trPr>
        <w:tc>
          <w:tcPr>
            <w:tcW w:w="2760" w:type="dxa"/>
            <w:vAlign w:val="bottom"/>
            <w:gridSpan w:val="2"/>
            <w:shd w:val="clear" w:color="auto" w:fill="EAF9E8"/>
          </w:tcPr>
          <w:p>
            <w:pPr>
              <w:ind w:left="200"/>
              <w:spacing w:after="0"/>
              <w:rPr>
                <w:sz w:val="20"/>
                <w:szCs w:val="20"/>
                <w:color w:val="auto"/>
              </w:rPr>
            </w:pPr>
            <w:r>
              <w:rPr>
                <w:rFonts w:ascii="Arial" w:cs="Arial" w:eastAsia="Arial" w:hAnsi="Arial"/>
                <w:sz w:val="18"/>
                <w:szCs w:val="18"/>
                <w:color w:val="auto"/>
              </w:rPr>
              <w:t>Class A (4)</w:t>
            </w:r>
          </w:p>
        </w:tc>
        <w:tc>
          <w:tcPr>
            <w:tcW w:w="1380" w:type="dxa"/>
            <w:vAlign w:val="bottom"/>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1"/>
              </w:rPr>
              <w:t>1ML + 235 bps</w:t>
            </w:r>
          </w:p>
        </w:tc>
        <w:tc>
          <w:tcPr>
            <w:tcW w:w="1280" w:type="dxa"/>
            <w:vAlign w:val="bottom"/>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87"/>
              </w:rPr>
              <w:t>Sep. 2046</w:t>
            </w:r>
          </w:p>
        </w:tc>
        <w:tc>
          <w:tcPr>
            <w:tcW w:w="1580" w:type="dxa"/>
            <w:vAlign w:val="bottom"/>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87"/>
              </w:rPr>
              <w:t>Sep. 2016</w:t>
            </w:r>
          </w:p>
        </w:tc>
        <w:tc>
          <w:tcPr>
            <w:tcW w:w="140" w:type="dxa"/>
            <w:vAlign w:val="bottom"/>
            <w:shd w:val="clear" w:color="auto" w:fill="EAF9E8"/>
          </w:tcPr>
          <w:p>
            <w:pPr>
              <w:spacing w:after="0"/>
              <w:rPr>
                <w:sz w:val="20"/>
                <w:szCs w:val="20"/>
                <w:color w:val="auto"/>
              </w:rPr>
            </w:pPr>
          </w:p>
        </w:tc>
        <w:tc>
          <w:tcPr>
            <w:tcW w:w="112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70,692</w:t>
            </w:r>
          </w:p>
        </w:tc>
        <w:tc>
          <w:tcPr>
            <w:tcW w:w="100" w:type="dxa"/>
            <w:vAlign w:val="bottom"/>
            <w:shd w:val="clear" w:color="auto" w:fill="EAF9E8"/>
          </w:tcPr>
          <w:p>
            <w:pPr>
              <w:spacing w:after="0"/>
              <w:rPr>
                <w:sz w:val="20"/>
                <w:szCs w:val="20"/>
                <w:color w:val="auto"/>
              </w:rPr>
            </w:pPr>
          </w:p>
        </w:tc>
        <w:tc>
          <w:tcPr>
            <w:tcW w:w="180" w:type="dxa"/>
            <w:vAlign w:val="bottom"/>
            <w:shd w:val="clear" w:color="auto" w:fill="EAF9E8"/>
          </w:tcPr>
          <w:p>
            <w:pPr>
              <w:spacing w:after="0"/>
              <w:rPr>
                <w:sz w:val="20"/>
                <w:szCs w:val="20"/>
                <w:color w:val="auto"/>
              </w:rPr>
            </w:pPr>
          </w:p>
        </w:tc>
        <w:tc>
          <w:tcPr>
            <w:tcW w:w="130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90,993</w:t>
            </w:r>
          </w:p>
        </w:tc>
        <w:tc>
          <w:tcPr>
            <w:tcW w:w="100" w:type="dxa"/>
            <w:vAlign w:val="bottom"/>
            <w:shd w:val="clear" w:color="auto" w:fill="EAF9E8"/>
          </w:tcPr>
          <w:p>
            <w:pPr>
              <w:spacing w:after="0"/>
              <w:rPr>
                <w:sz w:val="20"/>
                <w:szCs w:val="20"/>
                <w:color w:val="auto"/>
              </w:rPr>
            </w:pPr>
          </w:p>
        </w:tc>
        <w:tc>
          <w:tcPr>
            <w:tcW w:w="180" w:type="dxa"/>
            <w:vAlign w:val="bottom"/>
            <w:shd w:val="clear" w:color="auto" w:fill="EAF9E8"/>
          </w:tcPr>
          <w:p>
            <w:pPr>
              <w:spacing w:after="0"/>
              <w:rPr>
                <w:sz w:val="20"/>
                <w:szCs w:val="20"/>
                <w:color w:val="auto"/>
              </w:rPr>
            </w:pPr>
          </w:p>
        </w:tc>
        <w:tc>
          <w:tcPr>
            <w:tcW w:w="130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132,651</w:t>
            </w:r>
          </w:p>
        </w:tc>
      </w:tr>
      <w:tr>
        <w:trPr>
          <w:trHeight w:val="27"/>
        </w:trPr>
        <w:tc>
          <w:tcPr>
            <w:tcW w:w="264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126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1140" w:type="dxa"/>
            <w:vAlign w:val="bottom"/>
            <w:shd w:val="clear" w:color="auto" w:fill="EAF9E8"/>
          </w:tcPr>
          <w:p>
            <w:pPr>
              <w:spacing w:after="0"/>
              <w:rPr>
                <w:sz w:val="2"/>
                <w:szCs w:val="2"/>
                <w:color w:val="auto"/>
              </w:rPr>
            </w:pPr>
          </w:p>
        </w:tc>
        <w:tc>
          <w:tcPr>
            <w:tcW w:w="140" w:type="dxa"/>
            <w:vAlign w:val="bottom"/>
            <w:shd w:val="clear" w:color="auto" w:fill="EAF9E8"/>
          </w:tcPr>
          <w:p>
            <w:pPr>
              <w:spacing w:after="0"/>
              <w:rPr>
                <w:sz w:val="2"/>
                <w:szCs w:val="2"/>
                <w:color w:val="auto"/>
              </w:rPr>
            </w:pPr>
          </w:p>
        </w:tc>
        <w:tc>
          <w:tcPr>
            <w:tcW w:w="148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140" w:type="dxa"/>
            <w:vAlign w:val="bottom"/>
            <w:shd w:val="clear" w:color="auto" w:fill="EAF9E8"/>
          </w:tcPr>
          <w:p>
            <w:pPr>
              <w:spacing w:after="0"/>
              <w:rPr>
                <w:sz w:val="2"/>
                <w:szCs w:val="2"/>
                <w:color w:val="auto"/>
              </w:rPr>
            </w:pPr>
          </w:p>
        </w:tc>
        <w:tc>
          <w:tcPr>
            <w:tcW w:w="112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180" w:type="dxa"/>
            <w:vAlign w:val="bottom"/>
            <w:shd w:val="clear" w:color="auto" w:fill="EAF9E8"/>
          </w:tcPr>
          <w:p>
            <w:pPr>
              <w:spacing w:after="0"/>
              <w:rPr>
                <w:sz w:val="2"/>
                <w:szCs w:val="2"/>
                <w:color w:val="auto"/>
              </w:rPr>
            </w:pPr>
          </w:p>
        </w:tc>
        <w:tc>
          <w:tcPr>
            <w:tcW w:w="130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180" w:type="dxa"/>
            <w:vAlign w:val="bottom"/>
            <w:shd w:val="clear" w:color="auto" w:fill="EAF9E8"/>
          </w:tcPr>
          <w:p>
            <w:pPr>
              <w:spacing w:after="0"/>
              <w:rPr>
                <w:sz w:val="2"/>
                <w:szCs w:val="2"/>
                <w:color w:val="auto"/>
              </w:rPr>
            </w:pPr>
          </w:p>
        </w:tc>
        <w:tc>
          <w:tcPr>
            <w:tcW w:w="1300" w:type="dxa"/>
            <w:vAlign w:val="bottom"/>
            <w:shd w:val="clear" w:color="auto" w:fill="EAF9E8"/>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796"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796" w:right="239" w:bottom="1440" w:gutter="0" w:footer="0" w:header="0"/>
          <w:type w:val="continuous"/>
        </w:sectPr>
      </w:pPr>
    </w:p>
    <w:bookmarkStart w:id="32" w:name="page33"/>
    <w:bookmarkEnd w:id="32"/>
    <w:tbl>
      <w:tblPr>
        <w:tblLayout w:type="fixed"/>
        <w:tblInd w:w="0" w:type="dxa"/>
        <w:tblCellMar>
          <w:top w:w="0" w:type="dxa"/>
          <w:left w:w="0" w:type="dxa"/>
          <w:bottom w:w="0" w:type="dxa"/>
          <w:right w:w="0" w:type="dxa"/>
        </w:tblCellMar>
      </w:tblPr>
      <w:tr>
        <w:trPr>
          <w:trHeight w:val="216"/>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Available</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Amortization</w:t>
            </w: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Borrowing</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11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2640" w:type="dxa"/>
            <w:vAlign w:val="bottom"/>
          </w:tcPr>
          <w:p>
            <w:pPr>
              <w:ind w:left="700"/>
              <w:spacing w:after="0"/>
              <w:rPr>
                <w:sz w:val="20"/>
                <w:szCs w:val="20"/>
                <w:color w:val="auto"/>
              </w:rPr>
            </w:pPr>
            <w:r>
              <w:rPr>
                <w:rFonts w:ascii="Arial" w:cs="Arial" w:eastAsia="Arial" w:hAnsi="Arial"/>
                <w:sz w:val="18"/>
                <w:szCs w:val="18"/>
                <w:b w:val="1"/>
                <w:bCs w:val="1"/>
                <w:color w:val="auto"/>
              </w:rPr>
              <w:t>Borrowing Type</w:t>
            </w:r>
          </w:p>
        </w:tc>
        <w:tc>
          <w:tcPr>
            <w:tcW w:w="120" w:type="dxa"/>
            <w:vAlign w:val="bottom"/>
          </w:tcPr>
          <w:p>
            <w:pPr>
              <w:spacing w:after="0"/>
              <w:rPr>
                <w:sz w:val="20"/>
                <w:szCs w:val="20"/>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Interest Rate</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8"/>
              </w:rPr>
              <w:t>Maturity (1)</w:t>
            </w:r>
          </w:p>
        </w:tc>
        <w:tc>
          <w:tcPr>
            <w:tcW w:w="16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Date (1)</w:t>
            </w: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Capacity (2)</w:t>
            </w:r>
          </w:p>
        </w:tc>
        <w:tc>
          <w:tcPr>
            <w:tcW w:w="1560" w:type="dxa"/>
            <w:vAlign w:val="bottom"/>
            <w:gridSpan w:val="2"/>
          </w:tcPr>
          <w:p>
            <w:pPr>
              <w:ind w:left="200"/>
              <w:spacing w:after="0"/>
              <w:rPr>
                <w:sz w:val="20"/>
                <w:szCs w:val="20"/>
                <w:color w:val="auto"/>
              </w:rPr>
            </w:pPr>
            <w:r>
              <w:rPr>
                <w:rFonts w:ascii="Arial" w:cs="Arial" w:eastAsia="Arial" w:hAnsi="Arial"/>
                <w:sz w:val="18"/>
                <w:szCs w:val="18"/>
                <w:b w:val="1"/>
                <w:bCs w:val="1"/>
                <w:color w:val="auto"/>
              </w:rPr>
              <w:t>June 30, 2016</w:t>
            </w:r>
          </w:p>
        </w:tc>
        <w:tc>
          <w:tcPr>
            <w:tcW w:w="1460" w:type="dxa"/>
            <w:vAlign w:val="bottom"/>
          </w:tcPr>
          <w:p>
            <w:pPr>
              <w:jc w:val="right"/>
              <w:ind w:right="450"/>
              <w:spacing w:after="0"/>
              <w:rPr>
                <w:sz w:val="20"/>
                <w:szCs w:val="20"/>
                <w:color w:val="auto"/>
              </w:rPr>
            </w:pPr>
            <w:r>
              <w:rPr>
                <w:rFonts w:ascii="Arial" w:cs="Arial" w:eastAsia="Arial" w:hAnsi="Arial"/>
                <w:sz w:val="18"/>
                <w:szCs w:val="18"/>
                <w:b w:val="1"/>
                <w:bCs w:val="1"/>
                <w:color w:val="auto"/>
              </w:rPr>
              <w:t>2015</w:t>
            </w:r>
          </w:p>
        </w:tc>
      </w:tr>
      <w:tr>
        <w:trPr>
          <w:trHeight w:val="27"/>
        </w:trPr>
        <w:tc>
          <w:tcPr>
            <w:tcW w:w="2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2"/>
        </w:trPr>
        <w:tc>
          <w:tcPr>
            <w:tcW w:w="2640" w:type="dxa"/>
            <w:vAlign w:val="bottom"/>
          </w:tcPr>
          <w:p>
            <w:pPr>
              <w:ind w:left="40"/>
              <w:spacing w:after="0"/>
              <w:rPr>
                <w:sz w:val="20"/>
                <w:szCs w:val="20"/>
                <w:color w:val="auto"/>
              </w:rPr>
            </w:pPr>
            <w:r>
              <w:rPr>
                <w:rFonts w:ascii="Arial" w:cs="Arial" w:eastAsia="Arial" w:hAnsi="Arial"/>
                <w:sz w:val="18"/>
                <w:szCs w:val="18"/>
                <w:color w:val="auto"/>
              </w:rPr>
              <w:t>Advance Receivables Backed</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16"/>
        </w:trPr>
        <w:tc>
          <w:tcPr>
            <w:tcW w:w="2640" w:type="dxa"/>
            <w:vAlign w:val="bottom"/>
          </w:tcPr>
          <w:p>
            <w:pPr>
              <w:ind w:left="200"/>
              <w:spacing w:after="0"/>
              <w:rPr>
                <w:sz w:val="20"/>
                <w:szCs w:val="20"/>
                <w:color w:val="auto"/>
              </w:rPr>
            </w:pPr>
            <w:r>
              <w:rPr>
                <w:rFonts w:ascii="Arial" w:cs="Arial" w:eastAsia="Arial" w:hAnsi="Arial"/>
                <w:sz w:val="18"/>
                <w:szCs w:val="18"/>
                <w:color w:val="auto"/>
              </w:rPr>
              <w:t>Notes - Series 2014-VF4,</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0"/>
        </w:trPr>
        <w:tc>
          <w:tcPr>
            <w:tcW w:w="2640" w:type="dxa"/>
            <w:vAlign w:val="bottom"/>
          </w:tcPr>
          <w:p>
            <w:pPr>
              <w:ind w:left="200"/>
              <w:spacing w:after="0"/>
              <w:rPr>
                <w:sz w:val="20"/>
                <w:szCs w:val="20"/>
                <w:color w:val="auto"/>
              </w:rPr>
            </w:pPr>
            <w:r>
              <w:rPr>
                <w:rFonts w:ascii="Arial" w:cs="Arial" w:eastAsia="Arial" w:hAnsi="Arial"/>
                <w:sz w:val="18"/>
                <w:szCs w:val="18"/>
                <w:color w:val="auto"/>
              </w:rPr>
              <w:t>Class B (4)</w:t>
            </w:r>
          </w:p>
        </w:tc>
        <w:tc>
          <w:tcPr>
            <w:tcW w:w="120" w:type="dxa"/>
            <w:vAlign w:val="bottom"/>
          </w:tcPr>
          <w:p>
            <w:pPr>
              <w:spacing w:after="0"/>
              <w:rPr>
                <w:sz w:val="20"/>
                <w:szCs w:val="20"/>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1ML + 300 bps</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Sep. 2046</w:t>
            </w: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Sep. 2016</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3,249</w:t>
            </w:r>
          </w:p>
        </w:tc>
        <w:tc>
          <w:tcPr>
            <w:tcW w:w="120" w:type="dxa"/>
            <w:vAlign w:val="bottom"/>
          </w:tcPr>
          <w:p>
            <w:pPr>
              <w:spacing w:after="0"/>
              <w:rPr>
                <w:sz w:val="20"/>
                <w:szCs w:val="20"/>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4,375</w:t>
            </w:r>
          </w:p>
        </w:tc>
        <w:tc>
          <w:tcPr>
            <w:tcW w:w="100" w:type="dxa"/>
            <w:vAlign w:val="bottom"/>
          </w:tcPr>
          <w:p>
            <w:pPr>
              <w:spacing w:after="0"/>
              <w:rPr>
                <w:sz w:val="20"/>
                <w:szCs w:val="20"/>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6,330</w:t>
            </w: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29"/>
        </w:trPr>
        <w:tc>
          <w:tcPr>
            <w:tcW w:w="2640" w:type="dxa"/>
            <w:vAlign w:val="bottom"/>
            <w:shd w:val="clear" w:color="auto" w:fill="EAF9E8"/>
          </w:tcPr>
          <w:p>
            <w:pPr>
              <w:ind w:left="40"/>
              <w:spacing w:after="0"/>
              <w:rPr>
                <w:sz w:val="20"/>
                <w:szCs w:val="20"/>
                <w:color w:val="auto"/>
              </w:rPr>
            </w:pPr>
            <w:r>
              <w:rPr>
                <w:rFonts w:ascii="Arial" w:cs="Arial" w:eastAsia="Arial" w:hAnsi="Arial"/>
                <w:sz w:val="18"/>
                <w:szCs w:val="18"/>
                <w:color w:val="auto"/>
              </w:rPr>
              <w:t>Advance Receivables Backed</w:t>
            </w:r>
          </w:p>
        </w:tc>
        <w:tc>
          <w:tcPr>
            <w:tcW w:w="12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4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60" w:type="dxa"/>
            <w:vAlign w:val="bottom"/>
            <w:shd w:val="clear" w:color="auto" w:fill="EAF9E8"/>
          </w:tcPr>
          <w:p>
            <w:pPr>
              <w:spacing w:after="0"/>
              <w:rPr>
                <w:sz w:val="19"/>
                <w:szCs w:val="19"/>
                <w:color w:val="auto"/>
              </w:rPr>
            </w:pPr>
          </w:p>
        </w:tc>
      </w:tr>
      <w:tr>
        <w:trPr>
          <w:trHeight w:val="216"/>
        </w:trPr>
        <w:tc>
          <w:tcPr>
            <w:tcW w:w="2640" w:type="dxa"/>
            <w:vAlign w:val="bottom"/>
            <w:shd w:val="clear" w:color="auto" w:fill="EAF9E8"/>
          </w:tcPr>
          <w:p>
            <w:pPr>
              <w:ind w:left="200"/>
              <w:spacing w:after="0"/>
              <w:rPr>
                <w:sz w:val="20"/>
                <w:szCs w:val="20"/>
                <w:color w:val="auto"/>
              </w:rPr>
            </w:pPr>
            <w:r>
              <w:rPr>
                <w:rFonts w:ascii="Arial" w:cs="Arial" w:eastAsia="Arial" w:hAnsi="Arial"/>
                <w:sz w:val="18"/>
                <w:szCs w:val="18"/>
                <w:color w:val="auto"/>
              </w:rPr>
              <w:t>Notes - Series 2014-VF4,</w:t>
            </w:r>
          </w:p>
        </w:tc>
        <w:tc>
          <w:tcPr>
            <w:tcW w:w="12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4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60" w:type="dxa"/>
            <w:vAlign w:val="bottom"/>
            <w:shd w:val="clear" w:color="auto" w:fill="EAF9E8"/>
          </w:tcPr>
          <w:p>
            <w:pPr>
              <w:spacing w:after="0"/>
              <w:rPr>
                <w:sz w:val="18"/>
                <w:szCs w:val="18"/>
                <w:color w:val="auto"/>
              </w:rPr>
            </w:pPr>
          </w:p>
        </w:tc>
      </w:tr>
      <w:tr>
        <w:trPr>
          <w:trHeight w:val="237"/>
        </w:trPr>
        <w:tc>
          <w:tcPr>
            <w:tcW w:w="2640" w:type="dxa"/>
            <w:vAlign w:val="bottom"/>
            <w:tcBorders>
              <w:bottom w:val="single" w:sz="8" w:color="EAF9E8"/>
            </w:tcBorders>
            <w:shd w:val="clear" w:color="auto" w:fill="EAF9E8"/>
          </w:tcPr>
          <w:p>
            <w:pPr>
              <w:ind w:left="200"/>
              <w:spacing w:after="0"/>
              <w:rPr>
                <w:sz w:val="20"/>
                <w:szCs w:val="20"/>
                <w:color w:val="auto"/>
              </w:rPr>
            </w:pPr>
            <w:r>
              <w:rPr>
                <w:rFonts w:ascii="Arial" w:cs="Arial" w:eastAsia="Arial" w:hAnsi="Arial"/>
                <w:sz w:val="18"/>
                <w:szCs w:val="18"/>
                <w:color w:val="auto"/>
              </w:rPr>
              <w:t>Class C (4)</w:t>
            </w:r>
          </w:p>
        </w:tc>
        <w:tc>
          <w:tcPr>
            <w:tcW w:w="120" w:type="dxa"/>
            <w:vAlign w:val="bottom"/>
            <w:tcBorders>
              <w:bottom w:val="single" w:sz="8" w:color="EAF9E8"/>
            </w:tcBorders>
            <w:shd w:val="clear" w:color="auto" w:fill="EAF9E8"/>
          </w:tcPr>
          <w:p>
            <w:pPr>
              <w:spacing w:after="0"/>
              <w:rPr>
                <w:sz w:val="20"/>
                <w:szCs w:val="20"/>
                <w:color w:val="auto"/>
              </w:rPr>
            </w:pPr>
          </w:p>
        </w:tc>
        <w:tc>
          <w:tcPr>
            <w:tcW w:w="13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1"/>
              </w:rPr>
              <w:t>1ML + 425 bps</w:t>
            </w:r>
          </w:p>
        </w:tc>
        <w:tc>
          <w:tcPr>
            <w:tcW w:w="12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87"/>
              </w:rPr>
              <w:t>Sep. 2046</w:t>
            </w:r>
          </w:p>
        </w:tc>
        <w:tc>
          <w:tcPr>
            <w:tcW w:w="160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87"/>
              </w:rPr>
              <w:t>Sep. 2016</w:t>
            </w:r>
          </w:p>
        </w:tc>
        <w:tc>
          <w:tcPr>
            <w:tcW w:w="12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3,599</w:t>
            </w:r>
          </w:p>
        </w:tc>
        <w:tc>
          <w:tcPr>
            <w:tcW w:w="120" w:type="dxa"/>
            <w:vAlign w:val="bottom"/>
            <w:tcBorders>
              <w:bottom w:val="single" w:sz="8" w:color="EAF9E8"/>
            </w:tcBorders>
            <w:shd w:val="clear" w:color="auto" w:fill="EAF9E8"/>
          </w:tcPr>
          <w:p>
            <w:pPr>
              <w:spacing w:after="0"/>
              <w:rPr>
                <w:sz w:val="20"/>
                <w:szCs w:val="20"/>
                <w:color w:val="auto"/>
              </w:rPr>
            </w:pPr>
          </w:p>
        </w:tc>
        <w:tc>
          <w:tcPr>
            <w:tcW w:w="14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4,836</w:t>
            </w:r>
          </w:p>
        </w:tc>
        <w:tc>
          <w:tcPr>
            <w:tcW w:w="100" w:type="dxa"/>
            <w:vAlign w:val="bottom"/>
            <w:tcBorders>
              <w:bottom w:val="single" w:sz="8" w:color="EAF9E8"/>
            </w:tcBorders>
            <w:shd w:val="clear" w:color="auto" w:fill="EAF9E8"/>
          </w:tcPr>
          <w:p>
            <w:pPr>
              <w:spacing w:after="0"/>
              <w:rPr>
                <w:sz w:val="20"/>
                <w:szCs w:val="20"/>
                <w:color w:val="auto"/>
              </w:rPr>
            </w:pPr>
          </w:p>
        </w:tc>
        <w:tc>
          <w:tcPr>
            <w:tcW w:w="14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6,977</w:t>
            </w:r>
          </w:p>
        </w:tc>
      </w:tr>
      <w:tr>
        <w:trPr>
          <w:trHeight w:val="229"/>
        </w:trPr>
        <w:tc>
          <w:tcPr>
            <w:tcW w:w="2640" w:type="dxa"/>
            <w:vAlign w:val="bottom"/>
          </w:tcPr>
          <w:p>
            <w:pPr>
              <w:ind w:left="40"/>
              <w:spacing w:after="0"/>
              <w:rPr>
                <w:sz w:val="20"/>
                <w:szCs w:val="20"/>
                <w:color w:val="auto"/>
              </w:rPr>
            </w:pPr>
            <w:r>
              <w:rPr>
                <w:rFonts w:ascii="Arial" w:cs="Arial" w:eastAsia="Arial" w:hAnsi="Arial"/>
                <w:sz w:val="18"/>
                <w:szCs w:val="18"/>
                <w:color w:val="auto"/>
              </w:rPr>
              <w:t>Advance Receivables Backed</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16"/>
        </w:trPr>
        <w:tc>
          <w:tcPr>
            <w:tcW w:w="2640" w:type="dxa"/>
            <w:vAlign w:val="bottom"/>
          </w:tcPr>
          <w:p>
            <w:pPr>
              <w:ind w:left="200"/>
              <w:spacing w:after="0"/>
              <w:rPr>
                <w:sz w:val="20"/>
                <w:szCs w:val="20"/>
                <w:color w:val="auto"/>
              </w:rPr>
            </w:pPr>
            <w:r>
              <w:rPr>
                <w:rFonts w:ascii="Arial" w:cs="Arial" w:eastAsia="Arial" w:hAnsi="Arial"/>
                <w:sz w:val="18"/>
                <w:szCs w:val="18"/>
                <w:color w:val="auto"/>
              </w:rPr>
              <w:t>Notes - Series 2014-VF4,</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0"/>
        </w:trPr>
        <w:tc>
          <w:tcPr>
            <w:tcW w:w="2640" w:type="dxa"/>
            <w:vAlign w:val="bottom"/>
          </w:tcPr>
          <w:p>
            <w:pPr>
              <w:ind w:left="200"/>
              <w:spacing w:after="0"/>
              <w:rPr>
                <w:sz w:val="20"/>
                <w:szCs w:val="20"/>
                <w:color w:val="auto"/>
              </w:rPr>
            </w:pPr>
            <w:r>
              <w:rPr>
                <w:rFonts w:ascii="Arial" w:cs="Arial" w:eastAsia="Arial" w:hAnsi="Arial"/>
                <w:sz w:val="18"/>
                <w:szCs w:val="18"/>
                <w:color w:val="auto"/>
              </w:rPr>
              <w:t>Class D (4)</w:t>
            </w:r>
          </w:p>
        </w:tc>
        <w:tc>
          <w:tcPr>
            <w:tcW w:w="120" w:type="dxa"/>
            <w:vAlign w:val="bottom"/>
          </w:tcPr>
          <w:p>
            <w:pPr>
              <w:spacing w:after="0"/>
              <w:rPr>
                <w:sz w:val="20"/>
                <w:szCs w:val="20"/>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1ML + 575 bps</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Sep. 2046</w:t>
            </w: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Sep. 2016</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9,478</w:t>
            </w:r>
          </w:p>
        </w:tc>
        <w:tc>
          <w:tcPr>
            <w:tcW w:w="120" w:type="dxa"/>
            <w:vAlign w:val="bottom"/>
          </w:tcPr>
          <w:p>
            <w:pPr>
              <w:spacing w:after="0"/>
              <w:rPr>
                <w:sz w:val="20"/>
                <w:szCs w:val="20"/>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12,778</w:t>
            </w:r>
          </w:p>
        </w:tc>
        <w:tc>
          <w:tcPr>
            <w:tcW w:w="100" w:type="dxa"/>
            <w:vAlign w:val="bottom"/>
          </w:tcPr>
          <w:p>
            <w:pPr>
              <w:spacing w:after="0"/>
              <w:rPr>
                <w:sz w:val="20"/>
                <w:szCs w:val="20"/>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18,427</w:t>
            </w: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29"/>
        </w:trPr>
        <w:tc>
          <w:tcPr>
            <w:tcW w:w="2640" w:type="dxa"/>
            <w:vAlign w:val="bottom"/>
            <w:shd w:val="clear" w:color="auto" w:fill="EAF9E8"/>
          </w:tcPr>
          <w:p>
            <w:pPr>
              <w:ind w:left="40"/>
              <w:spacing w:after="0"/>
              <w:rPr>
                <w:sz w:val="20"/>
                <w:szCs w:val="20"/>
                <w:color w:val="auto"/>
              </w:rPr>
            </w:pPr>
            <w:r>
              <w:rPr>
                <w:rFonts w:ascii="Arial" w:cs="Arial" w:eastAsia="Arial" w:hAnsi="Arial"/>
                <w:sz w:val="18"/>
                <w:szCs w:val="18"/>
                <w:color w:val="auto"/>
              </w:rPr>
              <w:t>Advance Receivables Backed</w:t>
            </w:r>
          </w:p>
        </w:tc>
        <w:tc>
          <w:tcPr>
            <w:tcW w:w="12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4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60" w:type="dxa"/>
            <w:vAlign w:val="bottom"/>
            <w:shd w:val="clear" w:color="auto" w:fill="EAF9E8"/>
          </w:tcPr>
          <w:p>
            <w:pPr>
              <w:spacing w:after="0"/>
              <w:rPr>
                <w:sz w:val="19"/>
                <w:szCs w:val="19"/>
                <w:color w:val="auto"/>
              </w:rPr>
            </w:pPr>
          </w:p>
        </w:tc>
      </w:tr>
      <w:tr>
        <w:trPr>
          <w:trHeight w:val="216"/>
        </w:trPr>
        <w:tc>
          <w:tcPr>
            <w:tcW w:w="2640" w:type="dxa"/>
            <w:vAlign w:val="bottom"/>
            <w:shd w:val="clear" w:color="auto" w:fill="EAF9E8"/>
          </w:tcPr>
          <w:p>
            <w:pPr>
              <w:ind w:left="200"/>
              <w:spacing w:after="0"/>
              <w:rPr>
                <w:sz w:val="20"/>
                <w:szCs w:val="20"/>
                <w:color w:val="auto"/>
              </w:rPr>
            </w:pPr>
            <w:r>
              <w:rPr>
                <w:rFonts w:ascii="Arial" w:cs="Arial" w:eastAsia="Arial" w:hAnsi="Arial"/>
                <w:sz w:val="18"/>
                <w:szCs w:val="18"/>
                <w:color w:val="auto"/>
              </w:rPr>
              <w:t>Notes - Series 2015-VF5,</w:t>
            </w:r>
          </w:p>
        </w:tc>
        <w:tc>
          <w:tcPr>
            <w:tcW w:w="12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4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60" w:type="dxa"/>
            <w:vAlign w:val="bottom"/>
            <w:shd w:val="clear" w:color="auto" w:fill="EAF9E8"/>
          </w:tcPr>
          <w:p>
            <w:pPr>
              <w:spacing w:after="0"/>
              <w:rPr>
                <w:sz w:val="18"/>
                <w:szCs w:val="18"/>
                <w:color w:val="auto"/>
              </w:rPr>
            </w:pPr>
          </w:p>
        </w:tc>
      </w:tr>
      <w:tr>
        <w:trPr>
          <w:trHeight w:val="237"/>
        </w:trPr>
        <w:tc>
          <w:tcPr>
            <w:tcW w:w="2640" w:type="dxa"/>
            <w:vAlign w:val="bottom"/>
            <w:tcBorders>
              <w:bottom w:val="single" w:sz="8" w:color="EAF9E8"/>
            </w:tcBorders>
            <w:shd w:val="clear" w:color="auto" w:fill="EAF9E8"/>
          </w:tcPr>
          <w:p>
            <w:pPr>
              <w:ind w:left="200"/>
              <w:spacing w:after="0"/>
              <w:rPr>
                <w:sz w:val="20"/>
                <w:szCs w:val="20"/>
                <w:color w:val="auto"/>
              </w:rPr>
            </w:pPr>
            <w:r>
              <w:rPr>
                <w:rFonts w:ascii="Arial" w:cs="Arial" w:eastAsia="Arial" w:hAnsi="Arial"/>
                <w:sz w:val="18"/>
                <w:szCs w:val="18"/>
                <w:color w:val="auto"/>
              </w:rPr>
              <w:t>Class A (4)</w:t>
            </w:r>
          </w:p>
        </w:tc>
        <w:tc>
          <w:tcPr>
            <w:tcW w:w="120" w:type="dxa"/>
            <w:vAlign w:val="bottom"/>
            <w:tcBorders>
              <w:bottom w:val="single" w:sz="8" w:color="EAF9E8"/>
            </w:tcBorders>
            <w:shd w:val="clear" w:color="auto" w:fill="EAF9E8"/>
          </w:tcPr>
          <w:p>
            <w:pPr>
              <w:spacing w:after="0"/>
              <w:rPr>
                <w:sz w:val="20"/>
                <w:szCs w:val="20"/>
                <w:color w:val="auto"/>
              </w:rPr>
            </w:pPr>
          </w:p>
        </w:tc>
        <w:tc>
          <w:tcPr>
            <w:tcW w:w="13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1"/>
              </w:rPr>
              <w:t>1ML + 235 bps</w:t>
            </w:r>
          </w:p>
        </w:tc>
        <w:tc>
          <w:tcPr>
            <w:tcW w:w="12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87"/>
              </w:rPr>
              <w:t>Sep. 2046</w:t>
            </w:r>
          </w:p>
        </w:tc>
        <w:tc>
          <w:tcPr>
            <w:tcW w:w="160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87"/>
              </w:rPr>
              <w:t>Sep. 2016</w:t>
            </w:r>
          </w:p>
        </w:tc>
        <w:tc>
          <w:tcPr>
            <w:tcW w:w="12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70,692</w:t>
            </w:r>
          </w:p>
        </w:tc>
        <w:tc>
          <w:tcPr>
            <w:tcW w:w="120" w:type="dxa"/>
            <w:vAlign w:val="bottom"/>
            <w:tcBorders>
              <w:bottom w:val="single" w:sz="8" w:color="EAF9E8"/>
            </w:tcBorders>
            <w:shd w:val="clear" w:color="auto" w:fill="EAF9E8"/>
          </w:tcPr>
          <w:p>
            <w:pPr>
              <w:spacing w:after="0"/>
              <w:rPr>
                <w:sz w:val="20"/>
                <w:szCs w:val="20"/>
                <w:color w:val="auto"/>
              </w:rPr>
            </w:pPr>
          </w:p>
        </w:tc>
        <w:tc>
          <w:tcPr>
            <w:tcW w:w="14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90,993</w:t>
            </w:r>
          </w:p>
        </w:tc>
        <w:tc>
          <w:tcPr>
            <w:tcW w:w="100" w:type="dxa"/>
            <w:vAlign w:val="bottom"/>
            <w:tcBorders>
              <w:bottom w:val="single" w:sz="8" w:color="EAF9E8"/>
            </w:tcBorders>
            <w:shd w:val="clear" w:color="auto" w:fill="EAF9E8"/>
          </w:tcPr>
          <w:p>
            <w:pPr>
              <w:spacing w:after="0"/>
              <w:rPr>
                <w:sz w:val="20"/>
                <w:szCs w:val="20"/>
                <w:color w:val="auto"/>
              </w:rPr>
            </w:pPr>
          </w:p>
        </w:tc>
        <w:tc>
          <w:tcPr>
            <w:tcW w:w="14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132,652</w:t>
            </w:r>
          </w:p>
        </w:tc>
      </w:tr>
      <w:tr>
        <w:trPr>
          <w:trHeight w:val="229"/>
        </w:trPr>
        <w:tc>
          <w:tcPr>
            <w:tcW w:w="2640" w:type="dxa"/>
            <w:vAlign w:val="bottom"/>
          </w:tcPr>
          <w:p>
            <w:pPr>
              <w:ind w:left="40"/>
              <w:spacing w:after="0"/>
              <w:rPr>
                <w:sz w:val="20"/>
                <w:szCs w:val="20"/>
                <w:color w:val="auto"/>
              </w:rPr>
            </w:pPr>
            <w:r>
              <w:rPr>
                <w:rFonts w:ascii="Arial" w:cs="Arial" w:eastAsia="Arial" w:hAnsi="Arial"/>
                <w:sz w:val="18"/>
                <w:szCs w:val="18"/>
                <w:color w:val="auto"/>
              </w:rPr>
              <w:t>Advance Receivables Backed</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16"/>
        </w:trPr>
        <w:tc>
          <w:tcPr>
            <w:tcW w:w="2640" w:type="dxa"/>
            <w:vAlign w:val="bottom"/>
          </w:tcPr>
          <w:p>
            <w:pPr>
              <w:ind w:left="200"/>
              <w:spacing w:after="0"/>
              <w:rPr>
                <w:sz w:val="20"/>
                <w:szCs w:val="20"/>
                <w:color w:val="auto"/>
              </w:rPr>
            </w:pPr>
            <w:r>
              <w:rPr>
                <w:rFonts w:ascii="Arial" w:cs="Arial" w:eastAsia="Arial" w:hAnsi="Arial"/>
                <w:sz w:val="18"/>
                <w:szCs w:val="18"/>
                <w:color w:val="auto"/>
              </w:rPr>
              <w:t>Notes - Series 2015-VF5,</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0"/>
        </w:trPr>
        <w:tc>
          <w:tcPr>
            <w:tcW w:w="2640" w:type="dxa"/>
            <w:vAlign w:val="bottom"/>
          </w:tcPr>
          <w:p>
            <w:pPr>
              <w:ind w:left="200"/>
              <w:spacing w:after="0"/>
              <w:rPr>
                <w:sz w:val="20"/>
                <w:szCs w:val="20"/>
                <w:color w:val="auto"/>
              </w:rPr>
            </w:pPr>
            <w:r>
              <w:rPr>
                <w:rFonts w:ascii="Arial" w:cs="Arial" w:eastAsia="Arial" w:hAnsi="Arial"/>
                <w:sz w:val="18"/>
                <w:szCs w:val="18"/>
                <w:color w:val="auto"/>
              </w:rPr>
              <w:t>Class B (4)</w:t>
            </w:r>
          </w:p>
        </w:tc>
        <w:tc>
          <w:tcPr>
            <w:tcW w:w="120" w:type="dxa"/>
            <w:vAlign w:val="bottom"/>
          </w:tcPr>
          <w:p>
            <w:pPr>
              <w:spacing w:after="0"/>
              <w:rPr>
                <w:sz w:val="20"/>
                <w:szCs w:val="20"/>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1ML + 300 bps</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Sep. 2046</w:t>
            </w: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Sep. 2016</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3,249</w:t>
            </w:r>
          </w:p>
        </w:tc>
        <w:tc>
          <w:tcPr>
            <w:tcW w:w="120" w:type="dxa"/>
            <w:vAlign w:val="bottom"/>
          </w:tcPr>
          <w:p>
            <w:pPr>
              <w:spacing w:after="0"/>
              <w:rPr>
                <w:sz w:val="20"/>
                <w:szCs w:val="20"/>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4,375</w:t>
            </w:r>
          </w:p>
        </w:tc>
        <w:tc>
          <w:tcPr>
            <w:tcW w:w="100" w:type="dxa"/>
            <w:vAlign w:val="bottom"/>
          </w:tcPr>
          <w:p>
            <w:pPr>
              <w:spacing w:after="0"/>
              <w:rPr>
                <w:sz w:val="20"/>
                <w:szCs w:val="20"/>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6,330</w:t>
            </w: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29"/>
        </w:trPr>
        <w:tc>
          <w:tcPr>
            <w:tcW w:w="2640" w:type="dxa"/>
            <w:vAlign w:val="bottom"/>
            <w:shd w:val="clear" w:color="auto" w:fill="EAF9E8"/>
          </w:tcPr>
          <w:p>
            <w:pPr>
              <w:ind w:left="40"/>
              <w:spacing w:after="0"/>
              <w:rPr>
                <w:sz w:val="20"/>
                <w:szCs w:val="20"/>
                <w:color w:val="auto"/>
              </w:rPr>
            </w:pPr>
            <w:r>
              <w:rPr>
                <w:rFonts w:ascii="Arial" w:cs="Arial" w:eastAsia="Arial" w:hAnsi="Arial"/>
                <w:sz w:val="18"/>
                <w:szCs w:val="18"/>
                <w:color w:val="auto"/>
              </w:rPr>
              <w:t>Advance Receivables Backed</w:t>
            </w:r>
          </w:p>
        </w:tc>
        <w:tc>
          <w:tcPr>
            <w:tcW w:w="12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4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60" w:type="dxa"/>
            <w:vAlign w:val="bottom"/>
            <w:shd w:val="clear" w:color="auto" w:fill="EAF9E8"/>
          </w:tcPr>
          <w:p>
            <w:pPr>
              <w:spacing w:after="0"/>
              <w:rPr>
                <w:sz w:val="19"/>
                <w:szCs w:val="19"/>
                <w:color w:val="auto"/>
              </w:rPr>
            </w:pPr>
          </w:p>
        </w:tc>
      </w:tr>
      <w:tr>
        <w:trPr>
          <w:trHeight w:val="216"/>
        </w:trPr>
        <w:tc>
          <w:tcPr>
            <w:tcW w:w="2640" w:type="dxa"/>
            <w:vAlign w:val="bottom"/>
            <w:shd w:val="clear" w:color="auto" w:fill="EAF9E8"/>
          </w:tcPr>
          <w:p>
            <w:pPr>
              <w:ind w:left="200"/>
              <w:spacing w:after="0"/>
              <w:rPr>
                <w:sz w:val="20"/>
                <w:szCs w:val="20"/>
                <w:color w:val="auto"/>
              </w:rPr>
            </w:pPr>
            <w:r>
              <w:rPr>
                <w:rFonts w:ascii="Arial" w:cs="Arial" w:eastAsia="Arial" w:hAnsi="Arial"/>
                <w:sz w:val="18"/>
                <w:szCs w:val="18"/>
                <w:color w:val="auto"/>
              </w:rPr>
              <w:t>Notes - Series 2015-VF5,</w:t>
            </w:r>
          </w:p>
        </w:tc>
        <w:tc>
          <w:tcPr>
            <w:tcW w:w="12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4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60" w:type="dxa"/>
            <w:vAlign w:val="bottom"/>
            <w:shd w:val="clear" w:color="auto" w:fill="EAF9E8"/>
          </w:tcPr>
          <w:p>
            <w:pPr>
              <w:spacing w:after="0"/>
              <w:rPr>
                <w:sz w:val="18"/>
                <w:szCs w:val="18"/>
                <w:color w:val="auto"/>
              </w:rPr>
            </w:pPr>
          </w:p>
        </w:tc>
      </w:tr>
      <w:tr>
        <w:trPr>
          <w:trHeight w:val="237"/>
        </w:trPr>
        <w:tc>
          <w:tcPr>
            <w:tcW w:w="2640" w:type="dxa"/>
            <w:vAlign w:val="bottom"/>
            <w:tcBorders>
              <w:bottom w:val="single" w:sz="8" w:color="EAF9E8"/>
            </w:tcBorders>
            <w:shd w:val="clear" w:color="auto" w:fill="EAF9E8"/>
          </w:tcPr>
          <w:p>
            <w:pPr>
              <w:ind w:left="200"/>
              <w:spacing w:after="0"/>
              <w:rPr>
                <w:sz w:val="20"/>
                <w:szCs w:val="20"/>
                <w:color w:val="auto"/>
              </w:rPr>
            </w:pPr>
            <w:r>
              <w:rPr>
                <w:rFonts w:ascii="Arial" w:cs="Arial" w:eastAsia="Arial" w:hAnsi="Arial"/>
                <w:sz w:val="18"/>
                <w:szCs w:val="18"/>
                <w:color w:val="auto"/>
              </w:rPr>
              <w:t>Class C (4)</w:t>
            </w:r>
          </w:p>
        </w:tc>
        <w:tc>
          <w:tcPr>
            <w:tcW w:w="120" w:type="dxa"/>
            <w:vAlign w:val="bottom"/>
            <w:tcBorders>
              <w:bottom w:val="single" w:sz="8" w:color="EAF9E8"/>
            </w:tcBorders>
            <w:shd w:val="clear" w:color="auto" w:fill="EAF9E8"/>
          </w:tcPr>
          <w:p>
            <w:pPr>
              <w:spacing w:after="0"/>
              <w:rPr>
                <w:sz w:val="20"/>
                <w:szCs w:val="20"/>
                <w:color w:val="auto"/>
              </w:rPr>
            </w:pPr>
          </w:p>
        </w:tc>
        <w:tc>
          <w:tcPr>
            <w:tcW w:w="13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1"/>
              </w:rPr>
              <w:t>1ML + 425 bps</w:t>
            </w:r>
          </w:p>
        </w:tc>
        <w:tc>
          <w:tcPr>
            <w:tcW w:w="12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87"/>
              </w:rPr>
              <w:t>Sep. 2046</w:t>
            </w:r>
          </w:p>
        </w:tc>
        <w:tc>
          <w:tcPr>
            <w:tcW w:w="160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87"/>
              </w:rPr>
              <w:t>Sep. 2016</w:t>
            </w:r>
          </w:p>
        </w:tc>
        <w:tc>
          <w:tcPr>
            <w:tcW w:w="12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3,599</w:t>
            </w:r>
          </w:p>
        </w:tc>
        <w:tc>
          <w:tcPr>
            <w:tcW w:w="120" w:type="dxa"/>
            <w:vAlign w:val="bottom"/>
            <w:tcBorders>
              <w:bottom w:val="single" w:sz="8" w:color="EAF9E8"/>
            </w:tcBorders>
            <w:shd w:val="clear" w:color="auto" w:fill="EAF9E8"/>
          </w:tcPr>
          <w:p>
            <w:pPr>
              <w:spacing w:after="0"/>
              <w:rPr>
                <w:sz w:val="20"/>
                <w:szCs w:val="20"/>
                <w:color w:val="auto"/>
              </w:rPr>
            </w:pPr>
          </w:p>
        </w:tc>
        <w:tc>
          <w:tcPr>
            <w:tcW w:w="14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4,836</w:t>
            </w:r>
          </w:p>
        </w:tc>
        <w:tc>
          <w:tcPr>
            <w:tcW w:w="100" w:type="dxa"/>
            <w:vAlign w:val="bottom"/>
            <w:tcBorders>
              <w:bottom w:val="single" w:sz="8" w:color="EAF9E8"/>
            </w:tcBorders>
            <w:shd w:val="clear" w:color="auto" w:fill="EAF9E8"/>
          </w:tcPr>
          <w:p>
            <w:pPr>
              <w:spacing w:after="0"/>
              <w:rPr>
                <w:sz w:val="20"/>
                <w:szCs w:val="20"/>
                <w:color w:val="auto"/>
              </w:rPr>
            </w:pPr>
          </w:p>
        </w:tc>
        <w:tc>
          <w:tcPr>
            <w:tcW w:w="14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6,977</w:t>
            </w:r>
          </w:p>
        </w:tc>
      </w:tr>
      <w:tr>
        <w:trPr>
          <w:trHeight w:val="229"/>
        </w:trPr>
        <w:tc>
          <w:tcPr>
            <w:tcW w:w="2640" w:type="dxa"/>
            <w:vAlign w:val="bottom"/>
          </w:tcPr>
          <w:p>
            <w:pPr>
              <w:ind w:left="40"/>
              <w:spacing w:after="0"/>
              <w:rPr>
                <w:sz w:val="20"/>
                <w:szCs w:val="20"/>
                <w:color w:val="auto"/>
              </w:rPr>
            </w:pPr>
            <w:r>
              <w:rPr>
                <w:rFonts w:ascii="Arial" w:cs="Arial" w:eastAsia="Arial" w:hAnsi="Arial"/>
                <w:sz w:val="18"/>
                <w:szCs w:val="18"/>
                <w:color w:val="auto"/>
              </w:rPr>
              <w:t>Advance Receivables Backed</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16"/>
        </w:trPr>
        <w:tc>
          <w:tcPr>
            <w:tcW w:w="2640" w:type="dxa"/>
            <w:vAlign w:val="bottom"/>
          </w:tcPr>
          <w:p>
            <w:pPr>
              <w:ind w:left="200"/>
              <w:spacing w:after="0"/>
              <w:rPr>
                <w:sz w:val="20"/>
                <w:szCs w:val="20"/>
                <w:color w:val="auto"/>
              </w:rPr>
            </w:pPr>
            <w:r>
              <w:rPr>
                <w:rFonts w:ascii="Arial" w:cs="Arial" w:eastAsia="Arial" w:hAnsi="Arial"/>
                <w:sz w:val="18"/>
                <w:szCs w:val="18"/>
                <w:color w:val="auto"/>
              </w:rPr>
              <w:t>Notes - Series 2015-VF5,</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0"/>
        </w:trPr>
        <w:tc>
          <w:tcPr>
            <w:tcW w:w="2640" w:type="dxa"/>
            <w:vAlign w:val="bottom"/>
          </w:tcPr>
          <w:p>
            <w:pPr>
              <w:ind w:left="200"/>
              <w:spacing w:after="0"/>
              <w:rPr>
                <w:sz w:val="20"/>
                <w:szCs w:val="20"/>
                <w:color w:val="auto"/>
              </w:rPr>
            </w:pPr>
            <w:r>
              <w:rPr>
                <w:rFonts w:ascii="Arial" w:cs="Arial" w:eastAsia="Arial" w:hAnsi="Arial"/>
                <w:sz w:val="18"/>
                <w:szCs w:val="18"/>
                <w:color w:val="auto"/>
              </w:rPr>
              <w:t>Class D (4)</w:t>
            </w:r>
          </w:p>
        </w:tc>
        <w:tc>
          <w:tcPr>
            <w:tcW w:w="120" w:type="dxa"/>
            <w:vAlign w:val="bottom"/>
          </w:tcPr>
          <w:p>
            <w:pPr>
              <w:spacing w:after="0"/>
              <w:rPr>
                <w:sz w:val="20"/>
                <w:szCs w:val="20"/>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1ML + 575 bps</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Sep. 2046</w:t>
            </w: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Sep. 2016</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9,478</w:t>
            </w:r>
          </w:p>
        </w:tc>
        <w:tc>
          <w:tcPr>
            <w:tcW w:w="120" w:type="dxa"/>
            <w:vAlign w:val="bottom"/>
          </w:tcPr>
          <w:p>
            <w:pPr>
              <w:spacing w:after="0"/>
              <w:rPr>
                <w:sz w:val="20"/>
                <w:szCs w:val="20"/>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12,778</w:t>
            </w:r>
          </w:p>
        </w:tc>
        <w:tc>
          <w:tcPr>
            <w:tcW w:w="100" w:type="dxa"/>
            <w:vAlign w:val="bottom"/>
          </w:tcPr>
          <w:p>
            <w:pPr>
              <w:spacing w:after="0"/>
              <w:rPr>
                <w:sz w:val="20"/>
                <w:szCs w:val="20"/>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18,427</w:t>
            </w: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29"/>
        </w:trPr>
        <w:tc>
          <w:tcPr>
            <w:tcW w:w="2640" w:type="dxa"/>
            <w:vAlign w:val="bottom"/>
            <w:shd w:val="clear" w:color="auto" w:fill="EAF9E8"/>
          </w:tcPr>
          <w:p>
            <w:pPr>
              <w:ind w:left="40"/>
              <w:spacing w:after="0"/>
              <w:rPr>
                <w:sz w:val="20"/>
                <w:szCs w:val="20"/>
                <w:color w:val="auto"/>
              </w:rPr>
            </w:pPr>
            <w:r>
              <w:rPr>
                <w:rFonts w:ascii="Arial" w:cs="Arial" w:eastAsia="Arial" w:hAnsi="Arial"/>
                <w:sz w:val="18"/>
                <w:szCs w:val="18"/>
                <w:color w:val="auto"/>
              </w:rPr>
              <w:t>Advance Receivables Backed</w:t>
            </w:r>
          </w:p>
        </w:tc>
        <w:tc>
          <w:tcPr>
            <w:tcW w:w="12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4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60" w:type="dxa"/>
            <w:vAlign w:val="bottom"/>
            <w:shd w:val="clear" w:color="auto" w:fill="EAF9E8"/>
          </w:tcPr>
          <w:p>
            <w:pPr>
              <w:spacing w:after="0"/>
              <w:rPr>
                <w:sz w:val="19"/>
                <w:szCs w:val="19"/>
                <w:color w:val="auto"/>
              </w:rPr>
            </w:pPr>
          </w:p>
        </w:tc>
      </w:tr>
      <w:tr>
        <w:trPr>
          <w:trHeight w:val="216"/>
        </w:trPr>
        <w:tc>
          <w:tcPr>
            <w:tcW w:w="2640" w:type="dxa"/>
            <w:vAlign w:val="bottom"/>
            <w:shd w:val="clear" w:color="auto" w:fill="EAF9E8"/>
          </w:tcPr>
          <w:p>
            <w:pPr>
              <w:ind w:left="200"/>
              <w:spacing w:after="0"/>
              <w:rPr>
                <w:sz w:val="20"/>
                <w:szCs w:val="20"/>
                <w:color w:val="auto"/>
              </w:rPr>
            </w:pPr>
            <w:r>
              <w:rPr>
                <w:rFonts w:ascii="Arial" w:cs="Arial" w:eastAsia="Arial" w:hAnsi="Arial"/>
                <w:sz w:val="18"/>
                <w:szCs w:val="18"/>
                <w:color w:val="auto"/>
              </w:rPr>
              <w:t>Notes - Series 2015-T1,</w:t>
            </w:r>
          </w:p>
        </w:tc>
        <w:tc>
          <w:tcPr>
            <w:tcW w:w="12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4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60" w:type="dxa"/>
            <w:vAlign w:val="bottom"/>
            <w:shd w:val="clear" w:color="auto" w:fill="EAF9E8"/>
          </w:tcPr>
          <w:p>
            <w:pPr>
              <w:spacing w:after="0"/>
              <w:rPr>
                <w:sz w:val="18"/>
                <w:szCs w:val="18"/>
                <w:color w:val="auto"/>
              </w:rPr>
            </w:pPr>
          </w:p>
        </w:tc>
      </w:tr>
      <w:tr>
        <w:trPr>
          <w:trHeight w:val="237"/>
        </w:trPr>
        <w:tc>
          <w:tcPr>
            <w:tcW w:w="2640" w:type="dxa"/>
            <w:vAlign w:val="bottom"/>
            <w:tcBorders>
              <w:bottom w:val="single" w:sz="8" w:color="EAF9E8"/>
            </w:tcBorders>
            <w:shd w:val="clear" w:color="auto" w:fill="EAF9E8"/>
          </w:tcPr>
          <w:p>
            <w:pPr>
              <w:ind w:left="200"/>
              <w:spacing w:after="0"/>
              <w:rPr>
                <w:sz w:val="20"/>
                <w:szCs w:val="20"/>
                <w:color w:val="auto"/>
              </w:rPr>
            </w:pPr>
            <w:r>
              <w:rPr>
                <w:rFonts w:ascii="Arial" w:cs="Arial" w:eastAsia="Arial" w:hAnsi="Arial"/>
                <w:sz w:val="18"/>
                <w:szCs w:val="18"/>
                <w:color w:val="auto"/>
              </w:rPr>
              <w:t>Class A (5)</w:t>
            </w:r>
          </w:p>
        </w:tc>
        <w:tc>
          <w:tcPr>
            <w:tcW w:w="1380" w:type="dxa"/>
            <w:vAlign w:val="bottom"/>
            <w:tcBorders>
              <w:bottom w:val="single" w:sz="8" w:color="EAF9E8"/>
            </w:tcBorders>
            <w:gridSpan w:val="2"/>
            <w:shd w:val="clear" w:color="auto" w:fill="EAF9E8"/>
          </w:tcPr>
          <w:p>
            <w:pPr>
              <w:jc w:val="center"/>
              <w:ind w:left="30"/>
              <w:spacing w:after="0"/>
              <w:rPr>
                <w:sz w:val="20"/>
                <w:szCs w:val="20"/>
                <w:color w:val="auto"/>
              </w:rPr>
            </w:pPr>
            <w:r>
              <w:rPr>
                <w:rFonts w:ascii="Arial" w:cs="Arial" w:eastAsia="Arial" w:hAnsi="Arial"/>
                <w:sz w:val="18"/>
                <w:szCs w:val="18"/>
                <w:color w:val="auto"/>
                <w:w w:val="92"/>
              </w:rPr>
              <w:t>2.5365%</w:t>
            </w:r>
          </w:p>
        </w:tc>
        <w:tc>
          <w:tcPr>
            <w:tcW w:w="120" w:type="dxa"/>
            <w:vAlign w:val="bottom"/>
            <w:tcBorders>
              <w:bottom w:val="single" w:sz="8" w:color="EAF9E8"/>
            </w:tcBorders>
            <w:shd w:val="clear" w:color="auto" w:fill="EAF9E8"/>
          </w:tcPr>
          <w:p>
            <w:pPr>
              <w:spacing w:after="0"/>
              <w:rPr>
                <w:sz w:val="20"/>
                <w:szCs w:val="20"/>
                <w:color w:val="auto"/>
              </w:rPr>
            </w:pPr>
          </w:p>
        </w:tc>
        <w:tc>
          <w:tcPr>
            <w:tcW w:w="12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87"/>
              </w:rPr>
              <w:t>Sep. 2046</w:t>
            </w:r>
          </w:p>
        </w:tc>
        <w:tc>
          <w:tcPr>
            <w:tcW w:w="160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87"/>
              </w:rPr>
              <w:t>Sep. 2016</w:t>
            </w:r>
          </w:p>
        </w:tc>
        <w:tc>
          <w:tcPr>
            <w:tcW w:w="13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244,809</w:t>
            </w:r>
          </w:p>
        </w:tc>
        <w:tc>
          <w:tcPr>
            <w:tcW w:w="100" w:type="dxa"/>
            <w:vAlign w:val="bottom"/>
            <w:tcBorders>
              <w:bottom w:val="single" w:sz="8" w:color="EAF9E8"/>
            </w:tcBorders>
            <w:shd w:val="clear" w:color="auto" w:fill="EAF9E8"/>
          </w:tcPr>
          <w:p>
            <w:pPr>
              <w:spacing w:after="0"/>
              <w:rPr>
                <w:sz w:val="20"/>
                <w:szCs w:val="20"/>
                <w:color w:val="auto"/>
              </w:rPr>
            </w:pPr>
          </w:p>
        </w:tc>
        <w:tc>
          <w:tcPr>
            <w:tcW w:w="14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244,809</w:t>
            </w:r>
          </w:p>
        </w:tc>
      </w:tr>
      <w:tr>
        <w:trPr>
          <w:trHeight w:val="229"/>
        </w:trPr>
        <w:tc>
          <w:tcPr>
            <w:tcW w:w="2640" w:type="dxa"/>
            <w:vAlign w:val="bottom"/>
          </w:tcPr>
          <w:p>
            <w:pPr>
              <w:ind w:left="40"/>
              <w:spacing w:after="0"/>
              <w:rPr>
                <w:sz w:val="20"/>
                <w:szCs w:val="20"/>
                <w:color w:val="auto"/>
              </w:rPr>
            </w:pPr>
            <w:r>
              <w:rPr>
                <w:rFonts w:ascii="Arial" w:cs="Arial" w:eastAsia="Arial" w:hAnsi="Arial"/>
                <w:sz w:val="18"/>
                <w:szCs w:val="18"/>
                <w:color w:val="auto"/>
              </w:rPr>
              <w:t>Advance Receivables Backed</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16"/>
        </w:trPr>
        <w:tc>
          <w:tcPr>
            <w:tcW w:w="2640" w:type="dxa"/>
            <w:vAlign w:val="bottom"/>
          </w:tcPr>
          <w:p>
            <w:pPr>
              <w:ind w:left="200"/>
              <w:spacing w:after="0"/>
              <w:rPr>
                <w:sz w:val="20"/>
                <w:szCs w:val="20"/>
                <w:color w:val="auto"/>
              </w:rPr>
            </w:pPr>
            <w:r>
              <w:rPr>
                <w:rFonts w:ascii="Arial" w:cs="Arial" w:eastAsia="Arial" w:hAnsi="Arial"/>
                <w:sz w:val="18"/>
                <w:szCs w:val="18"/>
                <w:color w:val="auto"/>
              </w:rPr>
              <w:t>Notes - Series 2015-T1,</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0"/>
        </w:trPr>
        <w:tc>
          <w:tcPr>
            <w:tcW w:w="2640" w:type="dxa"/>
            <w:vAlign w:val="bottom"/>
          </w:tcPr>
          <w:p>
            <w:pPr>
              <w:ind w:left="200"/>
              <w:spacing w:after="0"/>
              <w:rPr>
                <w:sz w:val="20"/>
                <w:szCs w:val="20"/>
                <w:color w:val="auto"/>
              </w:rPr>
            </w:pPr>
            <w:r>
              <w:rPr>
                <w:rFonts w:ascii="Arial" w:cs="Arial" w:eastAsia="Arial" w:hAnsi="Arial"/>
                <w:sz w:val="18"/>
                <w:szCs w:val="18"/>
                <w:color w:val="auto"/>
              </w:rPr>
              <w:t>Class B (5)</w:t>
            </w:r>
          </w:p>
        </w:tc>
        <w:tc>
          <w:tcPr>
            <w:tcW w:w="138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3.0307%</w:t>
            </w:r>
          </w:p>
        </w:tc>
        <w:tc>
          <w:tcPr>
            <w:tcW w:w="120" w:type="dxa"/>
            <w:vAlign w:val="bottom"/>
          </w:tcPr>
          <w:p>
            <w:pPr>
              <w:spacing w:after="0"/>
              <w:rPr>
                <w:sz w:val="20"/>
                <w:szCs w:val="20"/>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Sep. 2046</w:t>
            </w: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Sep. 2016</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10,930</w:t>
            </w:r>
          </w:p>
        </w:tc>
        <w:tc>
          <w:tcPr>
            <w:tcW w:w="100" w:type="dxa"/>
            <w:vAlign w:val="bottom"/>
          </w:tcPr>
          <w:p>
            <w:pPr>
              <w:spacing w:after="0"/>
              <w:rPr>
                <w:sz w:val="20"/>
                <w:szCs w:val="20"/>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10,930</w:t>
            </w: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29"/>
        </w:trPr>
        <w:tc>
          <w:tcPr>
            <w:tcW w:w="2640" w:type="dxa"/>
            <w:vAlign w:val="bottom"/>
            <w:shd w:val="clear" w:color="auto" w:fill="EAF9E8"/>
          </w:tcPr>
          <w:p>
            <w:pPr>
              <w:ind w:left="40"/>
              <w:spacing w:after="0"/>
              <w:rPr>
                <w:sz w:val="20"/>
                <w:szCs w:val="20"/>
                <w:color w:val="auto"/>
              </w:rPr>
            </w:pPr>
            <w:r>
              <w:rPr>
                <w:rFonts w:ascii="Arial" w:cs="Arial" w:eastAsia="Arial" w:hAnsi="Arial"/>
                <w:sz w:val="18"/>
                <w:szCs w:val="18"/>
                <w:color w:val="auto"/>
              </w:rPr>
              <w:t>Advance Receivables Backed</w:t>
            </w:r>
          </w:p>
        </w:tc>
        <w:tc>
          <w:tcPr>
            <w:tcW w:w="12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4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60" w:type="dxa"/>
            <w:vAlign w:val="bottom"/>
            <w:shd w:val="clear" w:color="auto" w:fill="EAF9E8"/>
          </w:tcPr>
          <w:p>
            <w:pPr>
              <w:spacing w:after="0"/>
              <w:rPr>
                <w:sz w:val="19"/>
                <w:szCs w:val="19"/>
                <w:color w:val="auto"/>
              </w:rPr>
            </w:pPr>
          </w:p>
        </w:tc>
      </w:tr>
      <w:tr>
        <w:trPr>
          <w:trHeight w:val="216"/>
        </w:trPr>
        <w:tc>
          <w:tcPr>
            <w:tcW w:w="2640" w:type="dxa"/>
            <w:vAlign w:val="bottom"/>
            <w:shd w:val="clear" w:color="auto" w:fill="EAF9E8"/>
          </w:tcPr>
          <w:p>
            <w:pPr>
              <w:ind w:left="200"/>
              <w:spacing w:after="0"/>
              <w:rPr>
                <w:sz w:val="20"/>
                <w:szCs w:val="20"/>
                <w:color w:val="auto"/>
              </w:rPr>
            </w:pPr>
            <w:r>
              <w:rPr>
                <w:rFonts w:ascii="Arial" w:cs="Arial" w:eastAsia="Arial" w:hAnsi="Arial"/>
                <w:sz w:val="18"/>
                <w:szCs w:val="18"/>
                <w:color w:val="auto"/>
              </w:rPr>
              <w:t>Notes - Series 2015-T1,</w:t>
            </w:r>
          </w:p>
        </w:tc>
        <w:tc>
          <w:tcPr>
            <w:tcW w:w="12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4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60" w:type="dxa"/>
            <w:vAlign w:val="bottom"/>
            <w:shd w:val="clear" w:color="auto" w:fill="EAF9E8"/>
          </w:tcPr>
          <w:p>
            <w:pPr>
              <w:spacing w:after="0"/>
              <w:rPr>
                <w:sz w:val="18"/>
                <w:szCs w:val="18"/>
                <w:color w:val="auto"/>
              </w:rPr>
            </w:pPr>
          </w:p>
        </w:tc>
      </w:tr>
      <w:tr>
        <w:trPr>
          <w:trHeight w:val="237"/>
        </w:trPr>
        <w:tc>
          <w:tcPr>
            <w:tcW w:w="2640" w:type="dxa"/>
            <w:vAlign w:val="bottom"/>
            <w:tcBorders>
              <w:bottom w:val="single" w:sz="8" w:color="EAF9E8"/>
            </w:tcBorders>
            <w:shd w:val="clear" w:color="auto" w:fill="EAF9E8"/>
          </w:tcPr>
          <w:p>
            <w:pPr>
              <w:ind w:left="200"/>
              <w:spacing w:after="0"/>
              <w:rPr>
                <w:sz w:val="20"/>
                <w:szCs w:val="20"/>
                <w:color w:val="auto"/>
              </w:rPr>
            </w:pPr>
            <w:r>
              <w:rPr>
                <w:rFonts w:ascii="Arial" w:cs="Arial" w:eastAsia="Arial" w:hAnsi="Arial"/>
                <w:sz w:val="18"/>
                <w:szCs w:val="18"/>
                <w:color w:val="auto"/>
              </w:rPr>
              <w:t>Class C (5)</w:t>
            </w:r>
          </w:p>
        </w:tc>
        <w:tc>
          <w:tcPr>
            <w:tcW w:w="1380" w:type="dxa"/>
            <w:vAlign w:val="bottom"/>
            <w:tcBorders>
              <w:bottom w:val="single" w:sz="8" w:color="EAF9E8"/>
            </w:tcBorders>
            <w:gridSpan w:val="2"/>
            <w:shd w:val="clear" w:color="auto" w:fill="EAF9E8"/>
          </w:tcPr>
          <w:p>
            <w:pPr>
              <w:jc w:val="center"/>
              <w:ind w:left="30"/>
              <w:spacing w:after="0"/>
              <w:rPr>
                <w:sz w:val="20"/>
                <w:szCs w:val="20"/>
                <w:color w:val="auto"/>
              </w:rPr>
            </w:pPr>
            <w:r>
              <w:rPr>
                <w:rFonts w:ascii="Arial" w:cs="Arial" w:eastAsia="Arial" w:hAnsi="Arial"/>
                <w:sz w:val="18"/>
                <w:szCs w:val="18"/>
                <w:color w:val="auto"/>
                <w:w w:val="92"/>
              </w:rPr>
              <w:t>3.5240%</w:t>
            </w:r>
          </w:p>
        </w:tc>
        <w:tc>
          <w:tcPr>
            <w:tcW w:w="120" w:type="dxa"/>
            <w:vAlign w:val="bottom"/>
            <w:tcBorders>
              <w:bottom w:val="single" w:sz="8" w:color="EAF9E8"/>
            </w:tcBorders>
            <w:shd w:val="clear" w:color="auto" w:fill="EAF9E8"/>
          </w:tcPr>
          <w:p>
            <w:pPr>
              <w:spacing w:after="0"/>
              <w:rPr>
                <w:sz w:val="20"/>
                <w:szCs w:val="20"/>
                <w:color w:val="auto"/>
              </w:rPr>
            </w:pPr>
          </w:p>
        </w:tc>
        <w:tc>
          <w:tcPr>
            <w:tcW w:w="12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87"/>
              </w:rPr>
              <w:t>Sep. 2046</w:t>
            </w:r>
          </w:p>
        </w:tc>
        <w:tc>
          <w:tcPr>
            <w:tcW w:w="160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87"/>
              </w:rPr>
              <w:t>Sep. 2016</w:t>
            </w:r>
          </w:p>
        </w:tc>
        <w:tc>
          <w:tcPr>
            <w:tcW w:w="13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12,011</w:t>
            </w:r>
          </w:p>
        </w:tc>
        <w:tc>
          <w:tcPr>
            <w:tcW w:w="100" w:type="dxa"/>
            <w:vAlign w:val="bottom"/>
            <w:tcBorders>
              <w:bottom w:val="single" w:sz="8" w:color="EAF9E8"/>
            </w:tcBorders>
            <w:shd w:val="clear" w:color="auto" w:fill="EAF9E8"/>
          </w:tcPr>
          <w:p>
            <w:pPr>
              <w:spacing w:after="0"/>
              <w:rPr>
                <w:sz w:val="20"/>
                <w:szCs w:val="20"/>
                <w:color w:val="auto"/>
              </w:rPr>
            </w:pPr>
          </w:p>
        </w:tc>
        <w:tc>
          <w:tcPr>
            <w:tcW w:w="14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12,011</w:t>
            </w:r>
          </w:p>
        </w:tc>
      </w:tr>
      <w:tr>
        <w:trPr>
          <w:trHeight w:val="229"/>
        </w:trPr>
        <w:tc>
          <w:tcPr>
            <w:tcW w:w="2640" w:type="dxa"/>
            <w:vAlign w:val="bottom"/>
          </w:tcPr>
          <w:p>
            <w:pPr>
              <w:ind w:left="40"/>
              <w:spacing w:after="0"/>
              <w:rPr>
                <w:sz w:val="20"/>
                <w:szCs w:val="20"/>
                <w:color w:val="auto"/>
              </w:rPr>
            </w:pPr>
            <w:r>
              <w:rPr>
                <w:rFonts w:ascii="Arial" w:cs="Arial" w:eastAsia="Arial" w:hAnsi="Arial"/>
                <w:sz w:val="18"/>
                <w:szCs w:val="18"/>
                <w:color w:val="auto"/>
              </w:rPr>
              <w:t>Advance Receivables Backed</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16"/>
        </w:trPr>
        <w:tc>
          <w:tcPr>
            <w:tcW w:w="2640" w:type="dxa"/>
            <w:vAlign w:val="bottom"/>
          </w:tcPr>
          <w:p>
            <w:pPr>
              <w:ind w:left="200"/>
              <w:spacing w:after="0"/>
              <w:rPr>
                <w:sz w:val="20"/>
                <w:szCs w:val="20"/>
                <w:color w:val="auto"/>
              </w:rPr>
            </w:pPr>
            <w:r>
              <w:rPr>
                <w:rFonts w:ascii="Arial" w:cs="Arial" w:eastAsia="Arial" w:hAnsi="Arial"/>
                <w:sz w:val="18"/>
                <w:szCs w:val="18"/>
                <w:color w:val="auto"/>
              </w:rPr>
              <w:t>Notes - Series 2015-T1,</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0"/>
        </w:trPr>
        <w:tc>
          <w:tcPr>
            <w:tcW w:w="2640" w:type="dxa"/>
            <w:vAlign w:val="bottom"/>
          </w:tcPr>
          <w:p>
            <w:pPr>
              <w:ind w:left="200"/>
              <w:spacing w:after="0"/>
              <w:rPr>
                <w:sz w:val="20"/>
                <w:szCs w:val="20"/>
                <w:color w:val="auto"/>
              </w:rPr>
            </w:pPr>
            <w:r>
              <w:rPr>
                <w:rFonts w:ascii="Arial" w:cs="Arial" w:eastAsia="Arial" w:hAnsi="Arial"/>
                <w:sz w:val="18"/>
                <w:szCs w:val="18"/>
                <w:color w:val="auto"/>
              </w:rPr>
              <w:t>Class D (5)</w:t>
            </w:r>
          </w:p>
        </w:tc>
        <w:tc>
          <w:tcPr>
            <w:tcW w:w="138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4.1000%</w:t>
            </w:r>
          </w:p>
        </w:tc>
        <w:tc>
          <w:tcPr>
            <w:tcW w:w="120" w:type="dxa"/>
            <w:vAlign w:val="bottom"/>
          </w:tcPr>
          <w:p>
            <w:pPr>
              <w:spacing w:after="0"/>
              <w:rPr>
                <w:sz w:val="20"/>
                <w:szCs w:val="20"/>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Sep. 2046</w:t>
            </w: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Sep. 2016</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32,250</w:t>
            </w:r>
          </w:p>
        </w:tc>
        <w:tc>
          <w:tcPr>
            <w:tcW w:w="100" w:type="dxa"/>
            <w:vAlign w:val="bottom"/>
          </w:tcPr>
          <w:p>
            <w:pPr>
              <w:spacing w:after="0"/>
              <w:rPr>
                <w:sz w:val="20"/>
                <w:szCs w:val="20"/>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32,250</w:t>
            </w: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29"/>
        </w:trPr>
        <w:tc>
          <w:tcPr>
            <w:tcW w:w="2640" w:type="dxa"/>
            <w:vAlign w:val="bottom"/>
            <w:shd w:val="clear" w:color="auto" w:fill="EAF9E8"/>
          </w:tcPr>
          <w:p>
            <w:pPr>
              <w:ind w:left="40"/>
              <w:spacing w:after="0"/>
              <w:rPr>
                <w:sz w:val="20"/>
                <w:szCs w:val="20"/>
                <w:color w:val="auto"/>
              </w:rPr>
            </w:pPr>
            <w:r>
              <w:rPr>
                <w:rFonts w:ascii="Arial" w:cs="Arial" w:eastAsia="Arial" w:hAnsi="Arial"/>
                <w:sz w:val="18"/>
                <w:szCs w:val="18"/>
                <w:color w:val="auto"/>
              </w:rPr>
              <w:t>Advance Receivables Backed</w:t>
            </w:r>
          </w:p>
        </w:tc>
        <w:tc>
          <w:tcPr>
            <w:tcW w:w="12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4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60" w:type="dxa"/>
            <w:vAlign w:val="bottom"/>
            <w:shd w:val="clear" w:color="auto" w:fill="EAF9E8"/>
          </w:tcPr>
          <w:p>
            <w:pPr>
              <w:spacing w:after="0"/>
              <w:rPr>
                <w:sz w:val="19"/>
                <w:szCs w:val="19"/>
                <w:color w:val="auto"/>
              </w:rPr>
            </w:pPr>
          </w:p>
        </w:tc>
      </w:tr>
      <w:tr>
        <w:trPr>
          <w:trHeight w:val="216"/>
        </w:trPr>
        <w:tc>
          <w:tcPr>
            <w:tcW w:w="2640" w:type="dxa"/>
            <w:vAlign w:val="bottom"/>
            <w:shd w:val="clear" w:color="auto" w:fill="EAF9E8"/>
          </w:tcPr>
          <w:p>
            <w:pPr>
              <w:ind w:left="200"/>
              <w:spacing w:after="0"/>
              <w:rPr>
                <w:sz w:val="20"/>
                <w:szCs w:val="20"/>
                <w:color w:val="auto"/>
              </w:rPr>
            </w:pPr>
            <w:r>
              <w:rPr>
                <w:rFonts w:ascii="Arial" w:cs="Arial" w:eastAsia="Arial" w:hAnsi="Arial"/>
                <w:sz w:val="18"/>
                <w:szCs w:val="18"/>
                <w:color w:val="auto"/>
              </w:rPr>
              <w:t>Notes - Series 2015-T2,</w:t>
            </w:r>
          </w:p>
        </w:tc>
        <w:tc>
          <w:tcPr>
            <w:tcW w:w="12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4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60" w:type="dxa"/>
            <w:vAlign w:val="bottom"/>
            <w:shd w:val="clear" w:color="auto" w:fill="EAF9E8"/>
          </w:tcPr>
          <w:p>
            <w:pPr>
              <w:spacing w:after="0"/>
              <w:rPr>
                <w:sz w:val="18"/>
                <w:szCs w:val="18"/>
                <w:color w:val="auto"/>
              </w:rPr>
            </w:pPr>
          </w:p>
        </w:tc>
      </w:tr>
      <w:tr>
        <w:trPr>
          <w:trHeight w:val="230"/>
        </w:trPr>
        <w:tc>
          <w:tcPr>
            <w:tcW w:w="2640" w:type="dxa"/>
            <w:vAlign w:val="bottom"/>
            <w:shd w:val="clear" w:color="auto" w:fill="EAF9E8"/>
          </w:tcPr>
          <w:p>
            <w:pPr>
              <w:ind w:left="200"/>
              <w:spacing w:after="0"/>
              <w:rPr>
                <w:sz w:val="20"/>
                <w:szCs w:val="20"/>
                <w:color w:val="auto"/>
              </w:rPr>
            </w:pPr>
            <w:r>
              <w:rPr>
                <w:rFonts w:ascii="Arial" w:cs="Arial" w:eastAsia="Arial" w:hAnsi="Arial"/>
                <w:sz w:val="18"/>
                <w:szCs w:val="18"/>
                <w:color w:val="auto"/>
              </w:rPr>
              <w:t>Class A (5)</w:t>
            </w:r>
          </w:p>
        </w:tc>
        <w:tc>
          <w:tcPr>
            <w:tcW w:w="1380" w:type="dxa"/>
            <w:vAlign w:val="bottom"/>
            <w:gridSpan w:val="2"/>
            <w:shd w:val="clear" w:color="auto" w:fill="EAF9E8"/>
          </w:tcPr>
          <w:p>
            <w:pPr>
              <w:jc w:val="center"/>
              <w:ind w:left="30"/>
              <w:spacing w:after="0"/>
              <w:rPr>
                <w:sz w:val="20"/>
                <w:szCs w:val="20"/>
                <w:color w:val="auto"/>
              </w:rPr>
            </w:pPr>
            <w:r>
              <w:rPr>
                <w:rFonts w:ascii="Arial" w:cs="Arial" w:eastAsia="Arial" w:hAnsi="Arial"/>
                <w:sz w:val="18"/>
                <w:szCs w:val="18"/>
                <w:color w:val="auto"/>
                <w:w w:val="92"/>
              </w:rPr>
              <w:t>2.5320%</w:t>
            </w:r>
          </w:p>
        </w:tc>
        <w:tc>
          <w:tcPr>
            <w:tcW w:w="120" w:type="dxa"/>
            <w:vAlign w:val="bottom"/>
            <w:shd w:val="clear" w:color="auto" w:fill="EAF9E8"/>
          </w:tcPr>
          <w:p>
            <w:pPr>
              <w:spacing w:after="0"/>
              <w:rPr>
                <w:sz w:val="20"/>
                <w:szCs w:val="20"/>
                <w:color w:val="auto"/>
              </w:rPr>
            </w:pPr>
          </w:p>
        </w:tc>
        <w:tc>
          <w:tcPr>
            <w:tcW w:w="1280" w:type="dxa"/>
            <w:vAlign w:val="bottom"/>
            <w:gridSpan w:val="2"/>
            <w:shd w:val="clear" w:color="auto" w:fill="EAF9E8"/>
          </w:tcPr>
          <w:p>
            <w:pPr>
              <w:jc w:val="center"/>
              <w:ind w:right="140"/>
              <w:spacing w:after="0"/>
              <w:rPr>
                <w:sz w:val="20"/>
                <w:szCs w:val="20"/>
                <w:color w:val="auto"/>
              </w:rPr>
            </w:pPr>
            <w:r>
              <w:rPr>
                <w:rFonts w:ascii="Arial" w:cs="Arial" w:eastAsia="Arial" w:hAnsi="Arial"/>
                <w:sz w:val="18"/>
                <w:szCs w:val="18"/>
                <w:color w:val="auto"/>
                <w:w w:val="90"/>
              </w:rPr>
              <w:t>Nov. 2046</w:t>
            </w:r>
          </w:p>
        </w:tc>
        <w:tc>
          <w:tcPr>
            <w:tcW w:w="1600" w:type="dxa"/>
            <w:vAlign w:val="bottom"/>
            <w:gridSpan w:val="2"/>
            <w:shd w:val="clear" w:color="auto" w:fill="EAF9E8"/>
          </w:tcPr>
          <w:p>
            <w:pPr>
              <w:jc w:val="center"/>
              <w:ind w:right="140"/>
              <w:spacing w:after="0"/>
              <w:rPr>
                <w:sz w:val="20"/>
                <w:szCs w:val="20"/>
                <w:color w:val="auto"/>
              </w:rPr>
            </w:pPr>
            <w:r>
              <w:rPr>
                <w:rFonts w:ascii="Arial" w:cs="Arial" w:eastAsia="Arial" w:hAnsi="Arial"/>
                <w:sz w:val="18"/>
                <w:szCs w:val="18"/>
                <w:color w:val="auto"/>
                <w:w w:val="90"/>
              </w:rPr>
              <w:t>Nov. 2016</w:t>
            </w:r>
          </w:p>
        </w:tc>
        <w:tc>
          <w:tcPr>
            <w:tcW w:w="138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161,973</w:t>
            </w:r>
          </w:p>
        </w:tc>
        <w:tc>
          <w:tcPr>
            <w:tcW w:w="100" w:type="dxa"/>
            <w:vAlign w:val="bottom"/>
            <w:shd w:val="clear" w:color="auto" w:fill="EAF9E8"/>
          </w:tcPr>
          <w:p>
            <w:pPr>
              <w:spacing w:after="0"/>
              <w:rPr>
                <w:sz w:val="20"/>
                <w:szCs w:val="20"/>
                <w:color w:val="auto"/>
              </w:rPr>
            </w:pPr>
          </w:p>
        </w:tc>
        <w:tc>
          <w:tcPr>
            <w:tcW w:w="146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161,973</w:t>
            </w:r>
          </w:p>
        </w:tc>
      </w:tr>
      <w:tr>
        <w:trPr>
          <w:trHeight w:val="256"/>
        </w:trPr>
        <w:tc>
          <w:tcPr>
            <w:tcW w:w="2640" w:type="dxa"/>
            <w:vAlign w:val="bottom"/>
            <w:shd w:val="clear" w:color="auto" w:fill="EAF9E8"/>
          </w:tcPr>
          <w:p>
            <w:pPr>
              <w:ind w:left="40"/>
              <w:spacing w:after="0"/>
              <w:rPr>
                <w:sz w:val="20"/>
                <w:szCs w:val="20"/>
                <w:color w:val="auto"/>
              </w:rPr>
            </w:pPr>
            <w:r>
              <w:rPr>
                <w:rFonts w:ascii="Arial" w:cs="Arial" w:eastAsia="Arial" w:hAnsi="Arial"/>
                <w:sz w:val="18"/>
                <w:szCs w:val="18"/>
                <w:color w:val="auto"/>
              </w:rPr>
              <w:t>Advance Receivables Backed</w:t>
            </w:r>
          </w:p>
        </w:tc>
        <w:tc>
          <w:tcPr>
            <w:tcW w:w="120" w:type="dxa"/>
            <w:vAlign w:val="bottom"/>
            <w:shd w:val="clear" w:color="auto" w:fill="EAF9E8"/>
          </w:tcPr>
          <w:p>
            <w:pPr>
              <w:spacing w:after="0"/>
              <w:rPr>
                <w:sz w:val="22"/>
                <w:szCs w:val="22"/>
                <w:color w:val="auto"/>
              </w:rPr>
            </w:pPr>
          </w:p>
        </w:tc>
        <w:tc>
          <w:tcPr>
            <w:tcW w:w="126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1140" w:type="dxa"/>
            <w:vAlign w:val="bottom"/>
            <w:shd w:val="clear" w:color="auto" w:fill="EAF9E8"/>
          </w:tcPr>
          <w:p>
            <w:pPr>
              <w:spacing w:after="0"/>
              <w:rPr>
                <w:sz w:val="22"/>
                <w:szCs w:val="22"/>
                <w:color w:val="auto"/>
              </w:rPr>
            </w:pPr>
          </w:p>
        </w:tc>
        <w:tc>
          <w:tcPr>
            <w:tcW w:w="140" w:type="dxa"/>
            <w:vAlign w:val="bottom"/>
            <w:shd w:val="clear" w:color="auto" w:fill="EAF9E8"/>
          </w:tcPr>
          <w:p>
            <w:pPr>
              <w:spacing w:after="0"/>
              <w:rPr>
                <w:sz w:val="22"/>
                <w:szCs w:val="22"/>
                <w:color w:val="auto"/>
              </w:rPr>
            </w:pPr>
          </w:p>
        </w:tc>
        <w:tc>
          <w:tcPr>
            <w:tcW w:w="148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126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146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1460" w:type="dxa"/>
            <w:vAlign w:val="bottom"/>
            <w:shd w:val="clear" w:color="auto" w:fill="EAF9E8"/>
          </w:tcPr>
          <w:p>
            <w:pPr>
              <w:spacing w:after="0"/>
              <w:rPr>
                <w:sz w:val="22"/>
                <w:szCs w:val="22"/>
                <w:color w:val="auto"/>
              </w:rPr>
            </w:pPr>
          </w:p>
        </w:tc>
      </w:tr>
      <w:tr>
        <w:trPr>
          <w:trHeight w:val="216"/>
        </w:trPr>
        <w:tc>
          <w:tcPr>
            <w:tcW w:w="2640" w:type="dxa"/>
            <w:vAlign w:val="bottom"/>
            <w:shd w:val="clear" w:color="auto" w:fill="EAF9E8"/>
          </w:tcPr>
          <w:p>
            <w:pPr>
              <w:ind w:left="200"/>
              <w:spacing w:after="0"/>
              <w:rPr>
                <w:sz w:val="20"/>
                <w:szCs w:val="20"/>
                <w:color w:val="auto"/>
              </w:rPr>
            </w:pPr>
            <w:r>
              <w:rPr>
                <w:rFonts w:ascii="Arial" w:cs="Arial" w:eastAsia="Arial" w:hAnsi="Arial"/>
                <w:sz w:val="18"/>
                <w:szCs w:val="18"/>
                <w:color w:val="auto"/>
              </w:rPr>
              <w:t>Notes - Series 2015-T2,</w:t>
            </w:r>
          </w:p>
        </w:tc>
        <w:tc>
          <w:tcPr>
            <w:tcW w:w="12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4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60" w:type="dxa"/>
            <w:vAlign w:val="bottom"/>
            <w:shd w:val="clear" w:color="auto" w:fill="EAF9E8"/>
          </w:tcPr>
          <w:p>
            <w:pPr>
              <w:spacing w:after="0"/>
              <w:rPr>
                <w:sz w:val="18"/>
                <w:szCs w:val="18"/>
                <w:color w:val="auto"/>
              </w:rPr>
            </w:pPr>
          </w:p>
        </w:tc>
      </w:tr>
      <w:tr>
        <w:trPr>
          <w:trHeight w:val="237"/>
        </w:trPr>
        <w:tc>
          <w:tcPr>
            <w:tcW w:w="2640" w:type="dxa"/>
            <w:vAlign w:val="bottom"/>
            <w:tcBorders>
              <w:bottom w:val="single" w:sz="8" w:color="EAF9E8"/>
            </w:tcBorders>
            <w:shd w:val="clear" w:color="auto" w:fill="EAF9E8"/>
          </w:tcPr>
          <w:p>
            <w:pPr>
              <w:ind w:left="200"/>
              <w:spacing w:after="0"/>
              <w:rPr>
                <w:sz w:val="20"/>
                <w:szCs w:val="20"/>
                <w:color w:val="auto"/>
              </w:rPr>
            </w:pPr>
            <w:r>
              <w:rPr>
                <w:rFonts w:ascii="Arial" w:cs="Arial" w:eastAsia="Arial" w:hAnsi="Arial"/>
                <w:sz w:val="18"/>
                <w:szCs w:val="18"/>
                <w:color w:val="auto"/>
              </w:rPr>
              <w:t>Class B (5)</w:t>
            </w:r>
          </w:p>
        </w:tc>
        <w:tc>
          <w:tcPr>
            <w:tcW w:w="1380" w:type="dxa"/>
            <w:vAlign w:val="bottom"/>
            <w:tcBorders>
              <w:bottom w:val="single" w:sz="8" w:color="EAF9E8"/>
            </w:tcBorders>
            <w:gridSpan w:val="2"/>
            <w:shd w:val="clear" w:color="auto" w:fill="EAF9E8"/>
          </w:tcPr>
          <w:p>
            <w:pPr>
              <w:jc w:val="center"/>
              <w:ind w:left="30"/>
              <w:spacing w:after="0"/>
              <w:rPr>
                <w:sz w:val="20"/>
                <w:szCs w:val="20"/>
                <w:color w:val="auto"/>
              </w:rPr>
            </w:pPr>
            <w:r>
              <w:rPr>
                <w:rFonts w:ascii="Arial" w:cs="Arial" w:eastAsia="Arial" w:hAnsi="Arial"/>
                <w:sz w:val="18"/>
                <w:szCs w:val="18"/>
                <w:color w:val="auto"/>
                <w:w w:val="92"/>
              </w:rPr>
              <w:t>3.3720%</w:t>
            </w:r>
          </w:p>
        </w:tc>
        <w:tc>
          <w:tcPr>
            <w:tcW w:w="120" w:type="dxa"/>
            <w:vAlign w:val="bottom"/>
            <w:tcBorders>
              <w:bottom w:val="single" w:sz="8" w:color="EAF9E8"/>
            </w:tcBorders>
            <w:shd w:val="clear" w:color="auto" w:fill="EAF9E8"/>
          </w:tcPr>
          <w:p>
            <w:pPr>
              <w:spacing w:after="0"/>
              <w:rPr>
                <w:sz w:val="20"/>
                <w:szCs w:val="20"/>
                <w:color w:val="auto"/>
              </w:rPr>
            </w:pPr>
          </w:p>
        </w:tc>
        <w:tc>
          <w:tcPr>
            <w:tcW w:w="1280" w:type="dxa"/>
            <w:vAlign w:val="bottom"/>
            <w:tcBorders>
              <w:bottom w:val="single" w:sz="8" w:color="EAF9E8"/>
            </w:tcBorders>
            <w:gridSpan w:val="2"/>
            <w:shd w:val="clear" w:color="auto" w:fill="EAF9E8"/>
          </w:tcPr>
          <w:p>
            <w:pPr>
              <w:jc w:val="center"/>
              <w:ind w:right="140"/>
              <w:spacing w:after="0"/>
              <w:rPr>
                <w:sz w:val="20"/>
                <w:szCs w:val="20"/>
                <w:color w:val="auto"/>
              </w:rPr>
            </w:pPr>
            <w:r>
              <w:rPr>
                <w:rFonts w:ascii="Arial" w:cs="Arial" w:eastAsia="Arial" w:hAnsi="Arial"/>
                <w:sz w:val="18"/>
                <w:szCs w:val="18"/>
                <w:color w:val="auto"/>
                <w:w w:val="90"/>
              </w:rPr>
              <w:t>Nov. 2046</w:t>
            </w:r>
          </w:p>
        </w:tc>
        <w:tc>
          <w:tcPr>
            <w:tcW w:w="1600" w:type="dxa"/>
            <w:vAlign w:val="bottom"/>
            <w:tcBorders>
              <w:bottom w:val="single" w:sz="8" w:color="EAF9E8"/>
            </w:tcBorders>
            <w:gridSpan w:val="2"/>
            <w:shd w:val="clear" w:color="auto" w:fill="EAF9E8"/>
          </w:tcPr>
          <w:p>
            <w:pPr>
              <w:jc w:val="center"/>
              <w:ind w:right="140"/>
              <w:spacing w:after="0"/>
              <w:rPr>
                <w:sz w:val="20"/>
                <w:szCs w:val="20"/>
                <w:color w:val="auto"/>
              </w:rPr>
            </w:pPr>
            <w:r>
              <w:rPr>
                <w:rFonts w:ascii="Arial" w:cs="Arial" w:eastAsia="Arial" w:hAnsi="Arial"/>
                <w:sz w:val="18"/>
                <w:szCs w:val="18"/>
                <w:color w:val="auto"/>
                <w:w w:val="90"/>
              </w:rPr>
              <w:t>Nov. 2016</w:t>
            </w:r>
          </w:p>
        </w:tc>
        <w:tc>
          <w:tcPr>
            <w:tcW w:w="13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7,098</w:t>
            </w:r>
          </w:p>
        </w:tc>
        <w:tc>
          <w:tcPr>
            <w:tcW w:w="100" w:type="dxa"/>
            <w:vAlign w:val="bottom"/>
            <w:tcBorders>
              <w:bottom w:val="single" w:sz="8" w:color="EAF9E8"/>
            </w:tcBorders>
            <w:shd w:val="clear" w:color="auto" w:fill="EAF9E8"/>
          </w:tcPr>
          <w:p>
            <w:pPr>
              <w:spacing w:after="0"/>
              <w:rPr>
                <w:sz w:val="20"/>
                <w:szCs w:val="20"/>
                <w:color w:val="auto"/>
              </w:rPr>
            </w:pPr>
          </w:p>
        </w:tc>
        <w:tc>
          <w:tcPr>
            <w:tcW w:w="14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7,098</w:t>
            </w:r>
          </w:p>
        </w:tc>
      </w:tr>
      <w:tr>
        <w:trPr>
          <w:trHeight w:val="229"/>
        </w:trPr>
        <w:tc>
          <w:tcPr>
            <w:tcW w:w="2640" w:type="dxa"/>
            <w:vAlign w:val="bottom"/>
          </w:tcPr>
          <w:p>
            <w:pPr>
              <w:ind w:left="40"/>
              <w:spacing w:after="0"/>
              <w:rPr>
                <w:sz w:val="20"/>
                <w:szCs w:val="20"/>
                <w:color w:val="auto"/>
              </w:rPr>
            </w:pPr>
            <w:r>
              <w:rPr>
                <w:rFonts w:ascii="Arial" w:cs="Arial" w:eastAsia="Arial" w:hAnsi="Arial"/>
                <w:sz w:val="18"/>
                <w:szCs w:val="18"/>
                <w:color w:val="auto"/>
              </w:rPr>
              <w:t>Advance Receivables Backed</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16"/>
        </w:trPr>
        <w:tc>
          <w:tcPr>
            <w:tcW w:w="2640" w:type="dxa"/>
            <w:vAlign w:val="bottom"/>
          </w:tcPr>
          <w:p>
            <w:pPr>
              <w:ind w:left="200"/>
              <w:spacing w:after="0"/>
              <w:rPr>
                <w:sz w:val="20"/>
                <w:szCs w:val="20"/>
                <w:color w:val="auto"/>
              </w:rPr>
            </w:pPr>
            <w:r>
              <w:rPr>
                <w:rFonts w:ascii="Arial" w:cs="Arial" w:eastAsia="Arial" w:hAnsi="Arial"/>
                <w:sz w:val="18"/>
                <w:szCs w:val="18"/>
                <w:color w:val="auto"/>
              </w:rPr>
              <w:t>Notes - Series 2015-T2,</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0"/>
        </w:trPr>
        <w:tc>
          <w:tcPr>
            <w:tcW w:w="2640" w:type="dxa"/>
            <w:vAlign w:val="bottom"/>
          </w:tcPr>
          <w:p>
            <w:pPr>
              <w:ind w:left="200"/>
              <w:spacing w:after="0"/>
              <w:rPr>
                <w:sz w:val="20"/>
                <w:szCs w:val="20"/>
                <w:color w:val="auto"/>
              </w:rPr>
            </w:pPr>
            <w:r>
              <w:rPr>
                <w:rFonts w:ascii="Arial" w:cs="Arial" w:eastAsia="Arial" w:hAnsi="Arial"/>
                <w:sz w:val="18"/>
                <w:szCs w:val="18"/>
                <w:color w:val="auto"/>
              </w:rPr>
              <w:t>Class C (5)</w:t>
            </w:r>
          </w:p>
        </w:tc>
        <w:tc>
          <w:tcPr>
            <w:tcW w:w="138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3.7660%</w:t>
            </w:r>
          </w:p>
        </w:tc>
        <w:tc>
          <w:tcPr>
            <w:tcW w:w="120" w:type="dxa"/>
            <w:vAlign w:val="bottom"/>
          </w:tcPr>
          <w:p>
            <w:pPr>
              <w:spacing w:after="0"/>
              <w:rPr>
                <w:sz w:val="20"/>
                <w:szCs w:val="20"/>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Nov. 2046</w:t>
            </w:r>
          </w:p>
        </w:tc>
        <w:tc>
          <w:tcPr>
            <w:tcW w:w="160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Nov. 2016</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8,113</w:t>
            </w:r>
          </w:p>
        </w:tc>
        <w:tc>
          <w:tcPr>
            <w:tcW w:w="100" w:type="dxa"/>
            <w:vAlign w:val="bottom"/>
          </w:tcPr>
          <w:p>
            <w:pPr>
              <w:spacing w:after="0"/>
              <w:rPr>
                <w:sz w:val="20"/>
                <w:szCs w:val="20"/>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8,113</w:t>
            </w: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29"/>
        </w:trPr>
        <w:tc>
          <w:tcPr>
            <w:tcW w:w="2640" w:type="dxa"/>
            <w:vAlign w:val="bottom"/>
            <w:shd w:val="clear" w:color="auto" w:fill="EAF9E8"/>
          </w:tcPr>
          <w:p>
            <w:pPr>
              <w:ind w:left="40"/>
              <w:spacing w:after="0"/>
              <w:rPr>
                <w:sz w:val="20"/>
                <w:szCs w:val="20"/>
                <w:color w:val="auto"/>
              </w:rPr>
            </w:pPr>
            <w:r>
              <w:rPr>
                <w:rFonts w:ascii="Arial" w:cs="Arial" w:eastAsia="Arial" w:hAnsi="Arial"/>
                <w:sz w:val="18"/>
                <w:szCs w:val="18"/>
                <w:color w:val="auto"/>
              </w:rPr>
              <w:t>Advance Receivables Backed</w:t>
            </w:r>
          </w:p>
        </w:tc>
        <w:tc>
          <w:tcPr>
            <w:tcW w:w="12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4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60" w:type="dxa"/>
            <w:vAlign w:val="bottom"/>
            <w:shd w:val="clear" w:color="auto" w:fill="EAF9E8"/>
          </w:tcPr>
          <w:p>
            <w:pPr>
              <w:spacing w:after="0"/>
              <w:rPr>
                <w:sz w:val="19"/>
                <w:szCs w:val="19"/>
                <w:color w:val="auto"/>
              </w:rPr>
            </w:pPr>
          </w:p>
        </w:tc>
      </w:tr>
      <w:tr>
        <w:trPr>
          <w:trHeight w:val="216"/>
        </w:trPr>
        <w:tc>
          <w:tcPr>
            <w:tcW w:w="2640" w:type="dxa"/>
            <w:vAlign w:val="bottom"/>
            <w:shd w:val="clear" w:color="auto" w:fill="EAF9E8"/>
          </w:tcPr>
          <w:p>
            <w:pPr>
              <w:ind w:left="200"/>
              <w:spacing w:after="0"/>
              <w:rPr>
                <w:sz w:val="20"/>
                <w:szCs w:val="20"/>
                <w:color w:val="auto"/>
              </w:rPr>
            </w:pPr>
            <w:r>
              <w:rPr>
                <w:rFonts w:ascii="Arial" w:cs="Arial" w:eastAsia="Arial" w:hAnsi="Arial"/>
                <w:sz w:val="18"/>
                <w:szCs w:val="18"/>
                <w:color w:val="auto"/>
              </w:rPr>
              <w:t>Notes - Series 2015-T2,</w:t>
            </w:r>
          </w:p>
        </w:tc>
        <w:tc>
          <w:tcPr>
            <w:tcW w:w="12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4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60" w:type="dxa"/>
            <w:vAlign w:val="bottom"/>
            <w:shd w:val="clear" w:color="auto" w:fill="EAF9E8"/>
          </w:tcPr>
          <w:p>
            <w:pPr>
              <w:spacing w:after="0"/>
              <w:rPr>
                <w:sz w:val="18"/>
                <w:szCs w:val="18"/>
                <w:color w:val="auto"/>
              </w:rPr>
            </w:pPr>
          </w:p>
        </w:tc>
      </w:tr>
      <w:tr>
        <w:trPr>
          <w:trHeight w:val="237"/>
        </w:trPr>
        <w:tc>
          <w:tcPr>
            <w:tcW w:w="2640" w:type="dxa"/>
            <w:vAlign w:val="bottom"/>
            <w:tcBorders>
              <w:bottom w:val="single" w:sz="8" w:color="EAF9E8"/>
            </w:tcBorders>
            <w:shd w:val="clear" w:color="auto" w:fill="EAF9E8"/>
          </w:tcPr>
          <w:p>
            <w:pPr>
              <w:ind w:left="200"/>
              <w:spacing w:after="0"/>
              <w:rPr>
                <w:sz w:val="20"/>
                <w:szCs w:val="20"/>
                <w:color w:val="auto"/>
              </w:rPr>
            </w:pPr>
            <w:r>
              <w:rPr>
                <w:rFonts w:ascii="Arial" w:cs="Arial" w:eastAsia="Arial" w:hAnsi="Arial"/>
                <w:sz w:val="18"/>
                <w:szCs w:val="18"/>
                <w:color w:val="auto"/>
              </w:rPr>
              <w:t>Class D (5)</w:t>
            </w:r>
          </w:p>
        </w:tc>
        <w:tc>
          <w:tcPr>
            <w:tcW w:w="1380" w:type="dxa"/>
            <w:vAlign w:val="bottom"/>
            <w:tcBorders>
              <w:bottom w:val="single" w:sz="8" w:color="EAF9E8"/>
            </w:tcBorders>
            <w:gridSpan w:val="2"/>
            <w:shd w:val="clear" w:color="auto" w:fill="EAF9E8"/>
          </w:tcPr>
          <w:p>
            <w:pPr>
              <w:jc w:val="center"/>
              <w:ind w:left="30"/>
              <w:spacing w:after="0"/>
              <w:rPr>
                <w:sz w:val="20"/>
                <w:szCs w:val="20"/>
                <w:color w:val="auto"/>
              </w:rPr>
            </w:pPr>
            <w:r>
              <w:rPr>
                <w:rFonts w:ascii="Arial" w:cs="Arial" w:eastAsia="Arial" w:hAnsi="Arial"/>
                <w:sz w:val="18"/>
                <w:szCs w:val="18"/>
                <w:color w:val="auto"/>
                <w:w w:val="92"/>
              </w:rPr>
              <w:t>4.2580%</w:t>
            </w:r>
          </w:p>
        </w:tc>
        <w:tc>
          <w:tcPr>
            <w:tcW w:w="120" w:type="dxa"/>
            <w:vAlign w:val="bottom"/>
            <w:tcBorders>
              <w:bottom w:val="single" w:sz="8" w:color="EAF9E8"/>
            </w:tcBorders>
            <w:shd w:val="clear" w:color="auto" w:fill="EAF9E8"/>
          </w:tcPr>
          <w:p>
            <w:pPr>
              <w:spacing w:after="0"/>
              <w:rPr>
                <w:sz w:val="20"/>
                <w:szCs w:val="20"/>
                <w:color w:val="auto"/>
              </w:rPr>
            </w:pPr>
          </w:p>
        </w:tc>
        <w:tc>
          <w:tcPr>
            <w:tcW w:w="1280" w:type="dxa"/>
            <w:vAlign w:val="bottom"/>
            <w:tcBorders>
              <w:bottom w:val="single" w:sz="8" w:color="EAF9E8"/>
            </w:tcBorders>
            <w:gridSpan w:val="2"/>
            <w:shd w:val="clear" w:color="auto" w:fill="EAF9E8"/>
          </w:tcPr>
          <w:p>
            <w:pPr>
              <w:jc w:val="center"/>
              <w:ind w:right="140"/>
              <w:spacing w:after="0"/>
              <w:rPr>
                <w:sz w:val="20"/>
                <w:szCs w:val="20"/>
                <w:color w:val="auto"/>
              </w:rPr>
            </w:pPr>
            <w:r>
              <w:rPr>
                <w:rFonts w:ascii="Arial" w:cs="Arial" w:eastAsia="Arial" w:hAnsi="Arial"/>
                <w:sz w:val="18"/>
                <w:szCs w:val="18"/>
                <w:color w:val="auto"/>
                <w:w w:val="90"/>
              </w:rPr>
              <w:t>Nov. 2046</w:t>
            </w:r>
          </w:p>
        </w:tc>
        <w:tc>
          <w:tcPr>
            <w:tcW w:w="1600" w:type="dxa"/>
            <w:vAlign w:val="bottom"/>
            <w:tcBorders>
              <w:bottom w:val="single" w:sz="8" w:color="EAF9E8"/>
            </w:tcBorders>
            <w:gridSpan w:val="2"/>
            <w:shd w:val="clear" w:color="auto" w:fill="EAF9E8"/>
          </w:tcPr>
          <w:p>
            <w:pPr>
              <w:jc w:val="center"/>
              <w:ind w:right="140"/>
              <w:spacing w:after="0"/>
              <w:rPr>
                <w:sz w:val="20"/>
                <w:szCs w:val="20"/>
                <w:color w:val="auto"/>
              </w:rPr>
            </w:pPr>
            <w:r>
              <w:rPr>
                <w:rFonts w:ascii="Arial" w:cs="Arial" w:eastAsia="Arial" w:hAnsi="Arial"/>
                <w:sz w:val="18"/>
                <w:szCs w:val="18"/>
                <w:color w:val="auto"/>
                <w:w w:val="90"/>
              </w:rPr>
              <w:t>Nov. 2016</w:t>
            </w:r>
          </w:p>
        </w:tc>
        <w:tc>
          <w:tcPr>
            <w:tcW w:w="13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22,816</w:t>
            </w:r>
          </w:p>
        </w:tc>
        <w:tc>
          <w:tcPr>
            <w:tcW w:w="100" w:type="dxa"/>
            <w:vAlign w:val="bottom"/>
            <w:tcBorders>
              <w:bottom w:val="single" w:sz="8" w:color="EAF9E8"/>
            </w:tcBorders>
            <w:shd w:val="clear" w:color="auto" w:fill="EAF9E8"/>
          </w:tcPr>
          <w:p>
            <w:pPr>
              <w:spacing w:after="0"/>
              <w:rPr>
                <w:sz w:val="20"/>
                <w:szCs w:val="20"/>
                <w:color w:val="auto"/>
              </w:rPr>
            </w:pPr>
          </w:p>
        </w:tc>
        <w:tc>
          <w:tcPr>
            <w:tcW w:w="14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22,816</w:t>
            </w:r>
          </w:p>
        </w:tc>
      </w:tr>
      <w:tr>
        <w:trPr>
          <w:trHeight w:val="229"/>
        </w:trPr>
        <w:tc>
          <w:tcPr>
            <w:tcW w:w="2640" w:type="dxa"/>
            <w:vAlign w:val="bottom"/>
          </w:tcPr>
          <w:p>
            <w:pPr>
              <w:ind w:left="40"/>
              <w:spacing w:after="0"/>
              <w:rPr>
                <w:sz w:val="20"/>
                <w:szCs w:val="20"/>
                <w:color w:val="auto"/>
              </w:rPr>
            </w:pPr>
            <w:r>
              <w:rPr>
                <w:rFonts w:ascii="Arial" w:cs="Arial" w:eastAsia="Arial" w:hAnsi="Arial"/>
                <w:sz w:val="18"/>
                <w:szCs w:val="18"/>
                <w:color w:val="auto"/>
              </w:rPr>
              <w:t>Advance Receivables Backed</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16"/>
        </w:trPr>
        <w:tc>
          <w:tcPr>
            <w:tcW w:w="2640" w:type="dxa"/>
            <w:vAlign w:val="bottom"/>
          </w:tcPr>
          <w:p>
            <w:pPr>
              <w:ind w:left="200"/>
              <w:spacing w:after="0"/>
              <w:rPr>
                <w:sz w:val="20"/>
                <w:szCs w:val="20"/>
                <w:color w:val="auto"/>
              </w:rPr>
            </w:pPr>
            <w:r>
              <w:rPr>
                <w:rFonts w:ascii="Arial" w:cs="Arial" w:eastAsia="Arial" w:hAnsi="Arial"/>
                <w:sz w:val="18"/>
                <w:szCs w:val="18"/>
                <w:color w:val="auto"/>
              </w:rPr>
              <w:t>Notes - Series 2015-T3,</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0"/>
        </w:trPr>
        <w:tc>
          <w:tcPr>
            <w:tcW w:w="2640" w:type="dxa"/>
            <w:vAlign w:val="bottom"/>
          </w:tcPr>
          <w:p>
            <w:pPr>
              <w:ind w:left="200"/>
              <w:spacing w:after="0"/>
              <w:rPr>
                <w:sz w:val="20"/>
                <w:szCs w:val="20"/>
                <w:color w:val="auto"/>
              </w:rPr>
            </w:pPr>
            <w:r>
              <w:rPr>
                <w:rFonts w:ascii="Arial" w:cs="Arial" w:eastAsia="Arial" w:hAnsi="Arial"/>
                <w:sz w:val="18"/>
                <w:szCs w:val="18"/>
                <w:color w:val="auto"/>
              </w:rPr>
              <w:t>Class A (5)</w:t>
            </w:r>
          </w:p>
        </w:tc>
        <w:tc>
          <w:tcPr>
            <w:tcW w:w="1380" w:type="dxa"/>
            <w:vAlign w:val="bottom"/>
            <w:gridSpan w:val="2"/>
          </w:tcPr>
          <w:p>
            <w:pPr>
              <w:jc w:val="center"/>
              <w:ind w:left="50"/>
              <w:spacing w:after="0"/>
              <w:rPr>
                <w:sz w:val="20"/>
                <w:szCs w:val="20"/>
                <w:color w:val="auto"/>
              </w:rPr>
            </w:pPr>
            <w:r>
              <w:rPr>
                <w:rFonts w:ascii="Arial" w:cs="Arial" w:eastAsia="Arial" w:hAnsi="Arial"/>
                <w:sz w:val="18"/>
                <w:szCs w:val="18"/>
                <w:color w:val="auto"/>
                <w:w w:val="90"/>
              </w:rPr>
              <w:t>3.2110%</w:t>
            </w:r>
          </w:p>
        </w:tc>
        <w:tc>
          <w:tcPr>
            <w:tcW w:w="120" w:type="dxa"/>
            <w:vAlign w:val="bottom"/>
          </w:tcPr>
          <w:p>
            <w:pPr>
              <w:spacing w:after="0"/>
              <w:rPr>
                <w:sz w:val="20"/>
                <w:szCs w:val="20"/>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Nov. 2047</w:t>
            </w:r>
          </w:p>
        </w:tc>
        <w:tc>
          <w:tcPr>
            <w:tcW w:w="160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Nov. 2017</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310,195</w:t>
            </w:r>
          </w:p>
        </w:tc>
        <w:tc>
          <w:tcPr>
            <w:tcW w:w="100" w:type="dxa"/>
            <w:vAlign w:val="bottom"/>
          </w:tcPr>
          <w:p>
            <w:pPr>
              <w:spacing w:after="0"/>
              <w:rPr>
                <w:sz w:val="20"/>
                <w:szCs w:val="20"/>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310,195</w:t>
            </w: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29"/>
        </w:trPr>
        <w:tc>
          <w:tcPr>
            <w:tcW w:w="2640" w:type="dxa"/>
            <w:vAlign w:val="bottom"/>
            <w:shd w:val="clear" w:color="auto" w:fill="EAF9E8"/>
          </w:tcPr>
          <w:p>
            <w:pPr>
              <w:ind w:left="40"/>
              <w:spacing w:after="0"/>
              <w:rPr>
                <w:sz w:val="20"/>
                <w:szCs w:val="20"/>
                <w:color w:val="auto"/>
              </w:rPr>
            </w:pPr>
            <w:r>
              <w:rPr>
                <w:rFonts w:ascii="Arial" w:cs="Arial" w:eastAsia="Arial" w:hAnsi="Arial"/>
                <w:sz w:val="18"/>
                <w:szCs w:val="18"/>
                <w:color w:val="auto"/>
              </w:rPr>
              <w:t>Advance Receivables Backed</w:t>
            </w:r>
          </w:p>
        </w:tc>
        <w:tc>
          <w:tcPr>
            <w:tcW w:w="12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4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60" w:type="dxa"/>
            <w:vAlign w:val="bottom"/>
            <w:shd w:val="clear" w:color="auto" w:fill="EAF9E8"/>
          </w:tcPr>
          <w:p>
            <w:pPr>
              <w:spacing w:after="0"/>
              <w:rPr>
                <w:sz w:val="19"/>
                <w:szCs w:val="19"/>
                <w:color w:val="auto"/>
              </w:rPr>
            </w:pPr>
          </w:p>
        </w:tc>
      </w:tr>
      <w:tr>
        <w:trPr>
          <w:trHeight w:val="216"/>
        </w:trPr>
        <w:tc>
          <w:tcPr>
            <w:tcW w:w="2640" w:type="dxa"/>
            <w:vAlign w:val="bottom"/>
            <w:shd w:val="clear" w:color="auto" w:fill="EAF9E8"/>
          </w:tcPr>
          <w:p>
            <w:pPr>
              <w:ind w:left="200"/>
              <w:spacing w:after="0"/>
              <w:rPr>
                <w:sz w:val="20"/>
                <w:szCs w:val="20"/>
                <w:color w:val="auto"/>
              </w:rPr>
            </w:pPr>
            <w:r>
              <w:rPr>
                <w:rFonts w:ascii="Arial" w:cs="Arial" w:eastAsia="Arial" w:hAnsi="Arial"/>
                <w:sz w:val="18"/>
                <w:szCs w:val="18"/>
                <w:color w:val="auto"/>
              </w:rPr>
              <w:t>Notes - Series 2015-T3,</w:t>
            </w:r>
          </w:p>
        </w:tc>
        <w:tc>
          <w:tcPr>
            <w:tcW w:w="12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4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60" w:type="dxa"/>
            <w:vAlign w:val="bottom"/>
            <w:shd w:val="clear" w:color="auto" w:fill="EAF9E8"/>
          </w:tcPr>
          <w:p>
            <w:pPr>
              <w:spacing w:after="0"/>
              <w:rPr>
                <w:sz w:val="18"/>
                <w:szCs w:val="18"/>
                <w:color w:val="auto"/>
              </w:rPr>
            </w:pPr>
          </w:p>
        </w:tc>
      </w:tr>
      <w:tr>
        <w:trPr>
          <w:trHeight w:val="237"/>
        </w:trPr>
        <w:tc>
          <w:tcPr>
            <w:tcW w:w="2640" w:type="dxa"/>
            <w:vAlign w:val="bottom"/>
            <w:tcBorders>
              <w:bottom w:val="single" w:sz="8" w:color="EAF9E8"/>
            </w:tcBorders>
            <w:shd w:val="clear" w:color="auto" w:fill="EAF9E8"/>
          </w:tcPr>
          <w:p>
            <w:pPr>
              <w:ind w:left="200"/>
              <w:spacing w:after="0"/>
              <w:rPr>
                <w:sz w:val="20"/>
                <w:szCs w:val="20"/>
                <w:color w:val="auto"/>
              </w:rPr>
            </w:pPr>
            <w:r>
              <w:rPr>
                <w:rFonts w:ascii="Arial" w:cs="Arial" w:eastAsia="Arial" w:hAnsi="Arial"/>
                <w:sz w:val="18"/>
                <w:szCs w:val="18"/>
                <w:color w:val="auto"/>
              </w:rPr>
              <w:t>Class B (5)</w:t>
            </w:r>
          </w:p>
        </w:tc>
        <w:tc>
          <w:tcPr>
            <w:tcW w:w="1380" w:type="dxa"/>
            <w:vAlign w:val="bottom"/>
            <w:tcBorders>
              <w:bottom w:val="single" w:sz="8" w:color="EAF9E8"/>
            </w:tcBorders>
            <w:gridSpan w:val="2"/>
            <w:shd w:val="clear" w:color="auto" w:fill="EAF9E8"/>
          </w:tcPr>
          <w:p>
            <w:pPr>
              <w:jc w:val="center"/>
              <w:ind w:left="30"/>
              <w:spacing w:after="0"/>
              <w:rPr>
                <w:sz w:val="20"/>
                <w:szCs w:val="20"/>
                <w:color w:val="auto"/>
              </w:rPr>
            </w:pPr>
            <w:r>
              <w:rPr>
                <w:rFonts w:ascii="Arial" w:cs="Arial" w:eastAsia="Arial" w:hAnsi="Arial"/>
                <w:sz w:val="18"/>
                <w:szCs w:val="18"/>
                <w:color w:val="auto"/>
                <w:w w:val="92"/>
              </w:rPr>
              <w:t>3.7040%</w:t>
            </w:r>
          </w:p>
        </w:tc>
        <w:tc>
          <w:tcPr>
            <w:tcW w:w="120" w:type="dxa"/>
            <w:vAlign w:val="bottom"/>
            <w:tcBorders>
              <w:bottom w:val="single" w:sz="8" w:color="EAF9E8"/>
            </w:tcBorders>
            <w:shd w:val="clear" w:color="auto" w:fill="EAF9E8"/>
          </w:tcPr>
          <w:p>
            <w:pPr>
              <w:spacing w:after="0"/>
              <w:rPr>
                <w:sz w:val="20"/>
                <w:szCs w:val="20"/>
                <w:color w:val="auto"/>
              </w:rPr>
            </w:pPr>
          </w:p>
        </w:tc>
        <w:tc>
          <w:tcPr>
            <w:tcW w:w="1280" w:type="dxa"/>
            <w:vAlign w:val="bottom"/>
            <w:tcBorders>
              <w:bottom w:val="single" w:sz="8" w:color="EAF9E8"/>
            </w:tcBorders>
            <w:gridSpan w:val="2"/>
            <w:shd w:val="clear" w:color="auto" w:fill="EAF9E8"/>
          </w:tcPr>
          <w:p>
            <w:pPr>
              <w:jc w:val="center"/>
              <w:ind w:right="140"/>
              <w:spacing w:after="0"/>
              <w:rPr>
                <w:sz w:val="20"/>
                <w:szCs w:val="20"/>
                <w:color w:val="auto"/>
              </w:rPr>
            </w:pPr>
            <w:r>
              <w:rPr>
                <w:rFonts w:ascii="Arial" w:cs="Arial" w:eastAsia="Arial" w:hAnsi="Arial"/>
                <w:sz w:val="18"/>
                <w:szCs w:val="18"/>
                <w:color w:val="auto"/>
                <w:w w:val="90"/>
              </w:rPr>
              <w:t>Nov. 2047</w:t>
            </w:r>
          </w:p>
        </w:tc>
        <w:tc>
          <w:tcPr>
            <w:tcW w:w="1600" w:type="dxa"/>
            <w:vAlign w:val="bottom"/>
            <w:tcBorders>
              <w:bottom w:val="single" w:sz="8" w:color="EAF9E8"/>
            </w:tcBorders>
            <w:gridSpan w:val="2"/>
            <w:shd w:val="clear" w:color="auto" w:fill="EAF9E8"/>
          </w:tcPr>
          <w:p>
            <w:pPr>
              <w:jc w:val="center"/>
              <w:ind w:right="140"/>
              <w:spacing w:after="0"/>
              <w:rPr>
                <w:sz w:val="20"/>
                <w:szCs w:val="20"/>
                <w:color w:val="auto"/>
              </w:rPr>
            </w:pPr>
            <w:r>
              <w:rPr>
                <w:rFonts w:ascii="Arial" w:cs="Arial" w:eastAsia="Arial" w:hAnsi="Arial"/>
                <w:sz w:val="18"/>
                <w:szCs w:val="18"/>
                <w:color w:val="auto"/>
                <w:w w:val="90"/>
              </w:rPr>
              <w:t>Nov. 2017</w:t>
            </w:r>
          </w:p>
        </w:tc>
        <w:tc>
          <w:tcPr>
            <w:tcW w:w="13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17,695</w:t>
            </w:r>
          </w:p>
        </w:tc>
        <w:tc>
          <w:tcPr>
            <w:tcW w:w="100" w:type="dxa"/>
            <w:vAlign w:val="bottom"/>
            <w:tcBorders>
              <w:bottom w:val="single" w:sz="8" w:color="EAF9E8"/>
            </w:tcBorders>
            <w:shd w:val="clear" w:color="auto" w:fill="EAF9E8"/>
          </w:tcPr>
          <w:p>
            <w:pPr>
              <w:spacing w:after="0"/>
              <w:rPr>
                <w:sz w:val="20"/>
                <w:szCs w:val="20"/>
                <w:color w:val="auto"/>
              </w:rPr>
            </w:pPr>
          </w:p>
        </w:tc>
        <w:tc>
          <w:tcPr>
            <w:tcW w:w="14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17,695</w:t>
            </w:r>
          </w:p>
        </w:tc>
      </w:tr>
      <w:tr>
        <w:trPr>
          <w:trHeight w:val="229"/>
        </w:trPr>
        <w:tc>
          <w:tcPr>
            <w:tcW w:w="2640" w:type="dxa"/>
            <w:vAlign w:val="bottom"/>
          </w:tcPr>
          <w:p>
            <w:pPr>
              <w:ind w:left="40"/>
              <w:spacing w:after="0"/>
              <w:rPr>
                <w:sz w:val="20"/>
                <w:szCs w:val="20"/>
                <w:color w:val="auto"/>
              </w:rPr>
            </w:pPr>
            <w:r>
              <w:rPr>
                <w:rFonts w:ascii="Arial" w:cs="Arial" w:eastAsia="Arial" w:hAnsi="Arial"/>
                <w:sz w:val="18"/>
                <w:szCs w:val="18"/>
                <w:color w:val="auto"/>
              </w:rPr>
              <w:t>Advance Receivables Backed</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16"/>
        </w:trPr>
        <w:tc>
          <w:tcPr>
            <w:tcW w:w="2640" w:type="dxa"/>
            <w:vAlign w:val="bottom"/>
          </w:tcPr>
          <w:p>
            <w:pPr>
              <w:ind w:left="200"/>
              <w:spacing w:after="0"/>
              <w:rPr>
                <w:sz w:val="20"/>
                <w:szCs w:val="20"/>
                <w:color w:val="auto"/>
              </w:rPr>
            </w:pPr>
            <w:r>
              <w:rPr>
                <w:rFonts w:ascii="Arial" w:cs="Arial" w:eastAsia="Arial" w:hAnsi="Arial"/>
                <w:sz w:val="18"/>
                <w:szCs w:val="18"/>
                <w:color w:val="auto"/>
              </w:rPr>
              <w:t>Notes - Series 2015-T3,</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0"/>
        </w:trPr>
        <w:tc>
          <w:tcPr>
            <w:tcW w:w="2640" w:type="dxa"/>
            <w:vAlign w:val="bottom"/>
          </w:tcPr>
          <w:p>
            <w:pPr>
              <w:ind w:left="200"/>
              <w:spacing w:after="0"/>
              <w:rPr>
                <w:sz w:val="20"/>
                <w:szCs w:val="20"/>
                <w:color w:val="auto"/>
              </w:rPr>
            </w:pPr>
            <w:r>
              <w:rPr>
                <w:rFonts w:ascii="Arial" w:cs="Arial" w:eastAsia="Arial" w:hAnsi="Arial"/>
                <w:sz w:val="18"/>
                <w:szCs w:val="18"/>
                <w:color w:val="auto"/>
              </w:rPr>
              <w:t>Class C (5)</w:t>
            </w:r>
          </w:p>
        </w:tc>
        <w:tc>
          <w:tcPr>
            <w:tcW w:w="138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4.1960%</w:t>
            </w:r>
          </w:p>
        </w:tc>
        <w:tc>
          <w:tcPr>
            <w:tcW w:w="120" w:type="dxa"/>
            <w:vAlign w:val="bottom"/>
          </w:tcPr>
          <w:p>
            <w:pPr>
              <w:spacing w:after="0"/>
              <w:rPr>
                <w:sz w:val="20"/>
                <w:szCs w:val="20"/>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Nov. 2047</w:t>
            </w:r>
          </w:p>
        </w:tc>
        <w:tc>
          <w:tcPr>
            <w:tcW w:w="160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Nov. 2017</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19,262</w:t>
            </w:r>
          </w:p>
        </w:tc>
        <w:tc>
          <w:tcPr>
            <w:tcW w:w="100" w:type="dxa"/>
            <w:vAlign w:val="bottom"/>
          </w:tcPr>
          <w:p>
            <w:pPr>
              <w:spacing w:after="0"/>
              <w:rPr>
                <w:sz w:val="20"/>
                <w:szCs w:val="20"/>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19,262</w:t>
            </w:r>
          </w:p>
        </w:tc>
      </w:tr>
    </w:tbl>
    <w:p>
      <w:pPr>
        <w:spacing w:after="0" w:line="200" w:lineRule="exact"/>
        <w:rPr>
          <w:sz w:val="20"/>
          <w:szCs w:val="20"/>
          <w:color w:val="auto"/>
        </w:rPr>
      </w:pPr>
    </w:p>
    <w:p>
      <w:pPr>
        <w:sectPr>
          <w:pgSz w:w="11900" w:h="16838" w:orient="portrait"/>
          <w:cols w:equalWidth="0" w:num="1">
            <w:col w:w="11420"/>
          </w:cols>
          <w:pgMar w:left="240" w:top="742" w:right="239" w:bottom="1440" w:gutter="0" w:footer="0" w:header="0"/>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742" w:right="239" w:bottom="1440" w:gutter="0" w:footer="0" w:header="0"/>
          <w:type w:val="continuous"/>
        </w:sectPr>
      </w:pPr>
    </w:p>
    <w:bookmarkStart w:id="33" w:name="page34"/>
    <w:bookmarkEnd w:id="33"/>
    <w:tbl>
      <w:tblPr>
        <w:tblLayout w:type="fixed"/>
        <w:tblInd w:w="0" w:type="dxa"/>
        <w:tblCellMar>
          <w:top w:w="0" w:type="dxa"/>
          <w:left w:w="0" w:type="dxa"/>
          <w:bottom w:w="0" w:type="dxa"/>
          <w:right w:w="0" w:type="dxa"/>
        </w:tblCellMar>
      </w:tblPr>
      <w:tr>
        <w:trPr>
          <w:trHeight w:val="216"/>
        </w:trPr>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Available</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4"/>
              </w:rPr>
              <w:t>Amortization</w:t>
            </w: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Borrowing</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4"/>
        </w:trPr>
        <w:tc>
          <w:tcPr>
            <w:tcW w:w="2580" w:type="dxa"/>
            <w:vAlign w:val="bottom"/>
          </w:tcPr>
          <w:p>
            <w:pPr>
              <w:ind w:left="660"/>
              <w:spacing w:after="0"/>
              <w:rPr>
                <w:sz w:val="20"/>
                <w:szCs w:val="20"/>
                <w:color w:val="auto"/>
              </w:rPr>
            </w:pPr>
            <w:r>
              <w:rPr>
                <w:rFonts w:ascii="Arial" w:cs="Arial" w:eastAsia="Arial" w:hAnsi="Arial"/>
                <w:sz w:val="18"/>
                <w:szCs w:val="18"/>
                <w:b w:val="1"/>
                <w:bCs w:val="1"/>
                <w:color w:val="auto"/>
              </w:rPr>
              <w:t>Borrowing Type</w:t>
            </w:r>
          </w:p>
        </w:tc>
        <w:tc>
          <w:tcPr>
            <w:tcW w:w="100" w:type="dxa"/>
            <w:vAlign w:val="bottom"/>
          </w:tcPr>
          <w:p>
            <w:pPr>
              <w:spacing w:after="0"/>
              <w:rPr>
                <w:sz w:val="20"/>
                <w:szCs w:val="20"/>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Interest Rate</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8"/>
              </w:rPr>
              <w:t>Maturity (1)</w:t>
            </w:r>
          </w:p>
        </w:tc>
        <w:tc>
          <w:tcPr>
            <w:tcW w:w="172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0"/>
              </w:rPr>
              <w:t>Date (1)</w:t>
            </w: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Capacity (2)</w:t>
            </w:r>
          </w:p>
        </w:tc>
        <w:tc>
          <w:tcPr>
            <w:tcW w:w="200" w:type="dxa"/>
            <w:vAlign w:val="bottom"/>
          </w:tcPr>
          <w:p>
            <w:pPr>
              <w:spacing w:after="0"/>
              <w:rPr>
                <w:sz w:val="20"/>
                <w:szCs w:val="20"/>
                <w:color w:val="auto"/>
              </w:rPr>
            </w:pPr>
          </w:p>
        </w:tc>
        <w:tc>
          <w:tcPr>
            <w:tcW w:w="1460" w:type="dxa"/>
            <w:vAlign w:val="bottom"/>
            <w:gridSpan w:val="2"/>
          </w:tcPr>
          <w:p>
            <w:pPr>
              <w:ind w:left="60"/>
              <w:spacing w:after="0"/>
              <w:rPr>
                <w:sz w:val="20"/>
                <w:szCs w:val="20"/>
                <w:color w:val="auto"/>
              </w:rPr>
            </w:pPr>
            <w:r>
              <w:rPr>
                <w:rFonts w:ascii="Arial" w:cs="Arial" w:eastAsia="Arial" w:hAnsi="Arial"/>
                <w:sz w:val="18"/>
                <w:szCs w:val="18"/>
                <w:b w:val="1"/>
                <w:bCs w:val="1"/>
                <w:color w:val="auto"/>
              </w:rPr>
              <w:t>June 30, 2016</w:t>
            </w:r>
          </w:p>
        </w:tc>
        <w:tc>
          <w:tcPr>
            <w:tcW w:w="1560" w:type="dxa"/>
            <w:vAlign w:val="bottom"/>
            <w:gridSpan w:val="2"/>
          </w:tcPr>
          <w:p>
            <w:pPr>
              <w:jc w:val="right"/>
              <w:spacing w:after="0"/>
              <w:rPr>
                <w:sz w:val="20"/>
                <w:szCs w:val="20"/>
                <w:color w:val="auto"/>
              </w:rPr>
            </w:pPr>
            <w:r>
              <w:rPr>
                <w:rFonts w:ascii="Arial" w:cs="Arial" w:eastAsia="Arial" w:hAnsi="Arial"/>
                <w:sz w:val="18"/>
                <w:szCs w:val="18"/>
                <w:b w:val="1"/>
                <w:bCs w:val="1"/>
                <w:color w:val="auto"/>
                <w:w w:val="91"/>
              </w:rPr>
              <w:t>December 31, 2015</w:t>
            </w:r>
          </w:p>
        </w:tc>
      </w:tr>
      <w:tr>
        <w:trPr>
          <w:trHeight w:val="27"/>
        </w:trPr>
        <w:tc>
          <w:tcPr>
            <w:tcW w:w="25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2"/>
        </w:trPr>
        <w:tc>
          <w:tcPr>
            <w:tcW w:w="2580" w:type="dxa"/>
            <w:vAlign w:val="bottom"/>
            <w:shd w:val="clear" w:color="auto" w:fill="EAF9E8"/>
          </w:tcPr>
          <w:p>
            <w:pPr>
              <w:ind w:left="40"/>
              <w:spacing w:after="0"/>
              <w:rPr>
                <w:sz w:val="20"/>
                <w:szCs w:val="20"/>
                <w:color w:val="auto"/>
              </w:rPr>
            </w:pPr>
            <w:r>
              <w:rPr>
                <w:rFonts w:ascii="Arial" w:cs="Arial" w:eastAsia="Arial" w:hAnsi="Arial"/>
                <w:sz w:val="18"/>
                <w:szCs w:val="18"/>
                <w:color w:val="auto"/>
              </w:rPr>
              <w:t>Advance Receivables Backed</w:t>
            </w:r>
          </w:p>
        </w:tc>
        <w:tc>
          <w:tcPr>
            <w:tcW w:w="10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13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8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r>
      <w:tr>
        <w:trPr>
          <w:trHeight w:val="216"/>
        </w:trPr>
        <w:tc>
          <w:tcPr>
            <w:tcW w:w="2580" w:type="dxa"/>
            <w:vAlign w:val="bottom"/>
            <w:shd w:val="clear" w:color="auto" w:fill="EAF9E8"/>
          </w:tcPr>
          <w:p>
            <w:pPr>
              <w:ind w:left="200"/>
              <w:spacing w:after="0"/>
              <w:rPr>
                <w:sz w:val="20"/>
                <w:szCs w:val="20"/>
                <w:color w:val="auto"/>
              </w:rPr>
            </w:pPr>
            <w:r>
              <w:rPr>
                <w:rFonts w:ascii="Arial" w:cs="Arial" w:eastAsia="Arial" w:hAnsi="Arial"/>
                <w:sz w:val="18"/>
                <w:szCs w:val="18"/>
                <w:color w:val="auto"/>
              </w:rPr>
              <w:t>Notes - Series 2015-T3,</w:t>
            </w:r>
          </w:p>
        </w:tc>
        <w:tc>
          <w:tcPr>
            <w:tcW w:w="10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3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180" w:type="dxa"/>
            <w:vAlign w:val="bottom"/>
            <w:shd w:val="clear" w:color="auto" w:fill="EAF9E8"/>
          </w:tcPr>
          <w:p>
            <w:pPr>
              <w:spacing w:after="0"/>
              <w:rPr>
                <w:sz w:val="18"/>
                <w:szCs w:val="18"/>
                <w:color w:val="auto"/>
              </w:rPr>
            </w:pPr>
          </w:p>
        </w:tc>
      </w:tr>
      <w:tr>
        <w:trPr>
          <w:trHeight w:val="257"/>
        </w:trPr>
        <w:tc>
          <w:tcPr>
            <w:tcW w:w="2580" w:type="dxa"/>
            <w:vAlign w:val="bottom"/>
            <w:tcBorders>
              <w:bottom w:val="single" w:sz="8" w:color="EAF9E8"/>
            </w:tcBorders>
            <w:shd w:val="clear" w:color="auto" w:fill="EAF9E8"/>
          </w:tcPr>
          <w:p>
            <w:pPr>
              <w:ind w:left="200"/>
              <w:spacing w:after="0"/>
              <w:rPr>
                <w:sz w:val="20"/>
                <w:szCs w:val="20"/>
                <w:color w:val="auto"/>
              </w:rPr>
            </w:pPr>
            <w:r>
              <w:rPr>
                <w:rFonts w:ascii="Arial" w:cs="Arial" w:eastAsia="Arial" w:hAnsi="Arial"/>
                <w:sz w:val="18"/>
                <w:szCs w:val="18"/>
                <w:color w:val="auto"/>
              </w:rPr>
              <w:t>Class D (5)</w:t>
            </w:r>
          </w:p>
        </w:tc>
        <w:tc>
          <w:tcPr>
            <w:tcW w:w="1340" w:type="dxa"/>
            <w:vAlign w:val="bottom"/>
            <w:tcBorders>
              <w:bottom w:val="single" w:sz="8" w:color="EAF9E8"/>
            </w:tcBorders>
            <w:gridSpan w:val="2"/>
            <w:shd w:val="clear" w:color="auto" w:fill="EAF9E8"/>
          </w:tcPr>
          <w:p>
            <w:pPr>
              <w:jc w:val="center"/>
              <w:ind w:left="10"/>
              <w:spacing w:after="0"/>
              <w:rPr>
                <w:sz w:val="20"/>
                <w:szCs w:val="20"/>
                <w:color w:val="auto"/>
              </w:rPr>
            </w:pPr>
            <w:r>
              <w:rPr>
                <w:rFonts w:ascii="Arial" w:cs="Arial" w:eastAsia="Arial" w:hAnsi="Arial"/>
                <w:sz w:val="18"/>
                <w:szCs w:val="18"/>
                <w:color w:val="auto"/>
                <w:w w:val="90"/>
              </w:rPr>
              <w:t>4.6870%</w:t>
            </w:r>
          </w:p>
        </w:tc>
        <w:tc>
          <w:tcPr>
            <w:tcW w:w="100" w:type="dxa"/>
            <w:vAlign w:val="bottom"/>
            <w:tcBorders>
              <w:bottom w:val="single" w:sz="8" w:color="EAF9E8"/>
            </w:tcBorders>
            <w:shd w:val="clear" w:color="auto" w:fill="EAF9E8"/>
          </w:tcPr>
          <w:p>
            <w:pPr>
              <w:spacing w:after="0"/>
              <w:rPr>
                <w:sz w:val="22"/>
                <w:szCs w:val="22"/>
                <w:color w:val="auto"/>
              </w:rPr>
            </w:pPr>
          </w:p>
        </w:tc>
        <w:tc>
          <w:tcPr>
            <w:tcW w:w="124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0"/>
              </w:rPr>
              <w:t>Nov. 2047</w:t>
            </w:r>
          </w:p>
        </w:tc>
        <w:tc>
          <w:tcPr>
            <w:tcW w:w="1720" w:type="dxa"/>
            <w:vAlign w:val="bottom"/>
            <w:tcBorders>
              <w:bottom w:val="single" w:sz="8" w:color="EAF9E8"/>
            </w:tcBorders>
            <w:gridSpan w:val="3"/>
            <w:shd w:val="clear" w:color="auto" w:fill="EAF9E8"/>
          </w:tcPr>
          <w:p>
            <w:pPr>
              <w:jc w:val="center"/>
              <w:ind w:right="240"/>
              <w:spacing w:after="0"/>
              <w:rPr>
                <w:sz w:val="20"/>
                <w:szCs w:val="20"/>
                <w:color w:val="auto"/>
              </w:rPr>
            </w:pPr>
            <w:r>
              <w:rPr>
                <w:rFonts w:ascii="Arial" w:cs="Arial" w:eastAsia="Arial" w:hAnsi="Arial"/>
                <w:sz w:val="18"/>
                <w:szCs w:val="18"/>
                <w:color w:val="auto"/>
                <w:w w:val="92"/>
              </w:rPr>
              <w:t>Nov. 2017</w:t>
            </w: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EAF9E8"/>
            </w:tcBorders>
            <w:shd w:val="clear" w:color="auto" w:fill="EAF9E8"/>
          </w:tcPr>
          <w:p>
            <w:pPr>
              <w:spacing w:after="0"/>
              <w:rPr>
                <w:sz w:val="22"/>
                <w:szCs w:val="22"/>
                <w:color w:val="auto"/>
              </w:rPr>
            </w:pPr>
          </w:p>
        </w:tc>
        <w:tc>
          <w:tcPr>
            <w:tcW w:w="13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52,848</w:t>
            </w:r>
          </w:p>
        </w:tc>
        <w:tc>
          <w:tcPr>
            <w:tcW w:w="100" w:type="dxa"/>
            <w:vAlign w:val="bottom"/>
            <w:tcBorders>
              <w:bottom w:val="single" w:sz="8" w:color="EAF9E8"/>
            </w:tcBorders>
            <w:shd w:val="clear" w:color="auto" w:fill="EAF9E8"/>
          </w:tcPr>
          <w:p>
            <w:pPr>
              <w:spacing w:after="0"/>
              <w:rPr>
                <w:sz w:val="22"/>
                <w:szCs w:val="22"/>
                <w:color w:val="auto"/>
              </w:rPr>
            </w:pPr>
          </w:p>
        </w:tc>
        <w:tc>
          <w:tcPr>
            <w:tcW w:w="38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52,848</w:t>
            </w:r>
          </w:p>
        </w:tc>
      </w:tr>
      <w:tr>
        <w:trPr>
          <w:trHeight w:val="205"/>
        </w:trPr>
        <w:tc>
          <w:tcPr>
            <w:tcW w:w="2580" w:type="dxa"/>
            <w:vAlign w:val="bottom"/>
          </w:tcPr>
          <w:p>
            <w:pPr>
              <w:ind w:left="180"/>
              <w:spacing w:after="0" w:line="205" w:lineRule="exact"/>
              <w:rPr>
                <w:sz w:val="20"/>
                <w:szCs w:val="20"/>
                <w:color w:val="auto"/>
              </w:rPr>
            </w:pPr>
            <w:r>
              <w:rPr>
                <w:rFonts w:ascii="Arial" w:cs="Arial" w:eastAsia="Arial" w:hAnsi="Arial"/>
                <w:sz w:val="18"/>
                <w:szCs w:val="18"/>
                <w:b w:val="1"/>
                <w:bCs w:val="1"/>
                <w:color w:val="auto"/>
                <w:w w:val="95"/>
              </w:rPr>
              <w:t>Total Ocwen Master Advance</w:t>
            </w: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r>
      <w:tr>
        <w:trPr>
          <w:trHeight w:val="234"/>
        </w:trPr>
        <w:tc>
          <w:tcPr>
            <w:tcW w:w="2580" w:type="dxa"/>
            <w:vAlign w:val="bottom"/>
          </w:tcPr>
          <w:p>
            <w:pPr>
              <w:ind w:left="340"/>
              <w:spacing w:after="0"/>
              <w:rPr>
                <w:sz w:val="20"/>
                <w:szCs w:val="20"/>
                <w:color w:val="auto"/>
              </w:rPr>
            </w:pPr>
            <w:r>
              <w:rPr>
                <w:rFonts w:ascii="Arial" w:cs="Arial" w:eastAsia="Arial" w:hAnsi="Arial"/>
                <w:sz w:val="18"/>
                <w:szCs w:val="18"/>
                <w:b w:val="1"/>
                <w:bCs w:val="1"/>
                <w:color w:val="auto"/>
                <w:w w:val="93"/>
              </w:rPr>
              <w:t>Receivables Trust (OMART)</w:t>
            </w: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261,054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1,238,946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1,393,156</w:t>
            </w:r>
          </w:p>
        </w:tc>
      </w:tr>
      <w:tr>
        <w:trPr>
          <w:trHeight w:val="27"/>
        </w:trPr>
        <w:tc>
          <w:tcPr>
            <w:tcW w:w="258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8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9"/>
        </w:trPr>
        <w:tc>
          <w:tcPr>
            <w:tcW w:w="2580" w:type="dxa"/>
            <w:vAlign w:val="bottom"/>
            <w:shd w:val="clear" w:color="auto" w:fill="EAF9E8"/>
          </w:tcPr>
          <w:p>
            <w:pPr>
              <w:ind w:left="40"/>
              <w:spacing w:after="0"/>
              <w:rPr>
                <w:sz w:val="20"/>
                <w:szCs w:val="20"/>
                <w:color w:val="auto"/>
              </w:rPr>
            </w:pPr>
            <w:r>
              <w:rPr>
                <w:rFonts w:ascii="Arial" w:cs="Arial" w:eastAsia="Arial" w:hAnsi="Arial"/>
                <w:sz w:val="18"/>
                <w:szCs w:val="18"/>
                <w:color w:val="auto"/>
              </w:rPr>
              <w:t>Advance Receivables Backed</w:t>
            </w:r>
          </w:p>
        </w:tc>
        <w:tc>
          <w:tcPr>
            <w:tcW w:w="10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3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180" w:type="dxa"/>
            <w:vAlign w:val="bottom"/>
            <w:shd w:val="clear" w:color="auto" w:fill="EAF9E8"/>
          </w:tcPr>
          <w:p>
            <w:pPr>
              <w:spacing w:after="0"/>
              <w:rPr>
                <w:sz w:val="18"/>
                <w:szCs w:val="18"/>
                <w:color w:val="auto"/>
              </w:rPr>
            </w:pPr>
          </w:p>
        </w:tc>
      </w:tr>
      <w:tr>
        <w:trPr>
          <w:trHeight w:val="216"/>
        </w:trPr>
        <w:tc>
          <w:tcPr>
            <w:tcW w:w="2580" w:type="dxa"/>
            <w:vAlign w:val="bottom"/>
            <w:shd w:val="clear" w:color="auto" w:fill="EAF9E8"/>
          </w:tcPr>
          <w:p>
            <w:pPr>
              <w:ind w:left="200"/>
              <w:spacing w:after="0"/>
              <w:rPr>
                <w:sz w:val="20"/>
                <w:szCs w:val="20"/>
                <w:color w:val="auto"/>
              </w:rPr>
            </w:pPr>
            <w:r>
              <w:rPr>
                <w:rFonts w:ascii="Arial" w:cs="Arial" w:eastAsia="Arial" w:hAnsi="Arial"/>
                <w:sz w:val="18"/>
                <w:szCs w:val="18"/>
                <w:color w:val="auto"/>
              </w:rPr>
              <w:t>Notes, Series 2014-VF1,</w:t>
            </w:r>
          </w:p>
        </w:tc>
        <w:tc>
          <w:tcPr>
            <w:tcW w:w="10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0"/>
              </w:rPr>
              <w:t>Cost of Funds +</w:t>
            </w:r>
          </w:p>
        </w:tc>
        <w:tc>
          <w:tcPr>
            <w:tcW w:w="1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3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180" w:type="dxa"/>
            <w:vAlign w:val="bottom"/>
            <w:shd w:val="clear" w:color="auto" w:fill="EAF9E8"/>
          </w:tcPr>
          <w:p>
            <w:pPr>
              <w:spacing w:after="0"/>
              <w:rPr>
                <w:sz w:val="18"/>
                <w:szCs w:val="18"/>
                <w:color w:val="auto"/>
              </w:rPr>
            </w:pPr>
          </w:p>
        </w:tc>
      </w:tr>
      <w:tr>
        <w:trPr>
          <w:trHeight w:val="237"/>
        </w:trPr>
        <w:tc>
          <w:tcPr>
            <w:tcW w:w="2580" w:type="dxa"/>
            <w:vAlign w:val="bottom"/>
            <w:tcBorders>
              <w:bottom w:val="single" w:sz="8" w:color="EAF9E8"/>
            </w:tcBorders>
            <w:shd w:val="clear" w:color="auto" w:fill="EAF9E8"/>
          </w:tcPr>
          <w:p>
            <w:pPr>
              <w:ind w:left="200"/>
              <w:spacing w:after="0"/>
              <w:rPr>
                <w:sz w:val="20"/>
                <w:szCs w:val="20"/>
                <w:color w:val="auto"/>
              </w:rPr>
            </w:pPr>
            <w:r>
              <w:rPr>
                <w:rFonts w:ascii="Arial" w:cs="Arial" w:eastAsia="Arial" w:hAnsi="Arial"/>
                <w:sz w:val="18"/>
                <w:szCs w:val="18"/>
                <w:color w:val="auto"/>
              </w:rPr>
              <w:t>Class A</w:t>
            </w:r>
          </w:p>
        </w:tc>
        <w:tc>
          <w:tcPr>
            <w:tcW w:w="100" w:type="dxa"/>
            <w:vAlign w:val="bottom"/>
            <w:tcBorders>
              <w:bottom w:val="single" w:sz="8" w:color="EAF9E8"/>
            </w:tcBorders>
            <w:shd w:val="clear" w:color="auto" w:fill="EAF9E8"/>
          </w:tcPr>
          <w:p>
            <w:pPr>
              <w:spacing w:after="0"/>
              <w:rPr>
                <w:sz w:val="20"/>
                <w:szCs w:val="20"/>
                <w:color w:val="auto"/>
              </w:rPr>
            </w:pPr>
          </w:p>
        </w:tc>
        <w:tc>
          <w:tcPr>
            <w:tcW w:w="134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87"/>
              </w:rPr>
              <w:t>270 bps</w:t>
            </w:r>
          </w:p>
        </w:tc>
        <w:tc>
          <w:tcPr>
            <w:tcW w:w="124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0"/>
              </w:rPr>
              <w:t>Dec. 2046</w:t>
            </w:r>
          </w:p>
        </w:tc>
        <w:tc>
          <w:tcPr>
            <w:tcW w:w="1720" w:type="dxa"/>
            <w:vAlign w:val="bottom"/>
            <w:tcBorders>
              <w:bottom w:val="single" w:sz="8" w:color="EAF9E8"/>
            </w:tcBorders>
            <w:gridSpan w:val="3"/>
            <w:shd w:val="clear" w:color="auto" w:fill="EAF9E8"/>
          </w:tcPr>
          <w:p>
            <w:pPr>
              <w:jc w:val="center"/>
              <w:ind w:right="260"/>
              <w:spacing w:after="0"/>
              <w:rPr>
                <w:sz w:val="20"/>
                <w:szCs w:val="20"/>
                <w:color w:val="auto"/>
              </w:rPr>
            </w:pPr>
            <w:r>
              <w:rPr>
                <w:rFonts w:ascii="Arial" w:cs="Arial" w:eastAsia="Arial" w:hAnsi="Arial"/>
                <w:sz w:val="18"/>
                <w:szCs w:val="18"/>
                <w:color w:val="auto"/>
                <w:w w:val="90"/>
              </w:rPr>
              <w:t>Dec. 2016</w:t>
            </w: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8,354</w:t>
            </w:r>
          </w:p>
        </w:tc>
        <w:tc>
          <w:tcPr>
            <w:tcW w:w="100" w:type="dxa"/>
            <w:vAlign w:val="bottom"/>
            <w:tcBorders>
              <w:bottom w:val="single" w:sz="8" w:color="EAF9E8"/>
            </w:tcBorders>
            <w:shd w:val="clear" w:color="auto" w:fill="EAF9E8"/>
          </w:tcPr>
          <w:p>
            <w:pPr>
              <w:spacing w:after="0"/>
              <w:rPr>
                <w:sz w:val="20"/>
                <w:szCs w:val="20"/>
                <w:color w:val="auto"/>
              </w:rPr>
            </w:pPr>
          </w:p>
        </w:tc>
        <w:tc>
          <w:tcPr>
            <w:tcW w:w="200" w:type="dxa"/>
            <w:vAlign w:val="bottom"/>
            <w:tcBorders>
              <w:bottom w:val="single" w:sz="8" w:color="EAF9E8"/>
            </w:tcBorders>
            <w:shd w:val="clear" w:color="auto" w:fill="EAF9E8"/>
          </w:tcPr>
          <w:p>
            <w:pPr>
              <w:spacing w:after="0"/>
              <w:rPr>
                <w:sz w:val="20"/>
                <w:szCs w:val="20"/>
                <w:color w:val="auto"/>
              </w:rPr>
            </w:pPr>
          </w:p>
        </w:tc>
        <w:tc>
          <w:tcPr>
            <w:tcW w:w="13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48,922</w:t>
            </w:r>
          </w:p>
        </w:tc>
        <w:tc>
          <w:tcPr>
            <w:tcW w:w="100" w:type="dxa"/>
            <w:vAlign w:val="bottom"/>
            <w:tcBorders>
              <w:bottom w:val="single" w:sz="8" w:color="EAF9E8"/>
            </w:tcBorders>
            <w:shd w:val="clear" w:color="auto" w:fill="EAF9E8"/>
          </w:tcPr>
          <w:p>
            <w:pPr>
              <w:spacing w:after="0"/>
              <w:rPr>
                <w:sz w:val="20"/>
                <w:szCs w:val="20"/>
                <w:color w:val="auto"/>
              </w:rPr>
            </w:pPr>
          </w:p>
        </w:tc>
        <w:tc>
          <w:tcPr>
            <w:tcW w:w="380" w:type="dxa"/>
            <w:vAlign w:val="bottom"/>
            <w:tcBorders>
              <w:bottom w:val="single" w:sz="8" w:color="EAF9E8"/>
            </w:tcBorders>
            <w:shd w:val="clear" w:color="auto" w:fill="EAF9E8"/>
          </w:tcPr>
          <w:p>
            <w:pPr>
              <w:spacing w:after="0"/>
              <w:rPr>
                <w:sz w:val="20"/>
                <w:szCs w:val="20"/>
                <w:color w:val="auto"/>
              </w:rPr>
            </w:pPr>
          </w:p>
        </w:tc>
        <w:tc>
          <w:tcPr>
            <w:tcW w:w="11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31,343</w:t>
            </w:r>
          </w:p>
        </w:tc>
      </w:tr>
      <w:tr>
        <w:trPr>
          <w:trHeight w:val="229"/>
        </w:trPr>
        <w:tc>
          <w:tcPr>
            <w:tcW w:w="2580" w:type="dxa"/>
            <w:vAlign w:val="bottom"/>
          </w:tcPr>
          <w:p>
            <w:pPr>
              <w:ind w:left="40"/>
              <w:spacing w:after="0"/>
              <w:rPr>
                <w:sz w:val="20"/>
                <w:szCs w:val="20"/>
                <w:color w:val="auto"/>
              </w:rPr>
            </w:pPr>
            <w:r>
              <w:rPr>
                <w:rFonts w:ascii="Arial" w:cs="Arial" w:eastAsia="Arial" w:hAnsi="Arial"/>
                <w:sz w:val="18"/>
                <w:szCs w:val="18"/>
                <w:color w:val="auto"/>
              </w:rPr>
              <w:t>Advance Receivables Backed</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16"/>
        </w:trPr>
        <w:tc>
          <w:tcPr>
            <w:tcW w:w="2580" w:type="dxa"/>
            <w:vAlign w:val="bottom"/>
          </w:tcPr>
          <w:p>
            <w:pPr>
              <w:ind w:left="200"/>
              <w:spacing w:after="0"/>
              <w:rPr>
                <w:sz w:val="20"/>
                <w:szCs w:val="20"/>
                <w:color w:val="auto"/>
              </w:rPr>
            </w:pPr>
            <w:r>
              <w:rPr>
                <w:rFonts w:ascii="Arial" w:cs="Arial" w:eastAsia="Arial" w:hAnsi="Arial"/>
                <w:sz w:val="18"/>
                <w:szCs w:val="18"/>
                <w:color w:val="auto"/>
              </w:rPr>
              <w:t>Notes, Series 2014-VF1,</w:t>
            </w:r>
          </w:p>
        </w:tc>
        <w:tc>
          <w:tcPr>
            <w:tcW w:w="10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Cost of Funds +</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0"/>
        </w:trPr>
        <w:tc>
          <w:tcPr>
            <w:tcW w:w="2580" w:type="dxa"/>
            <w:vAlign w:val="bottom"/>
          </w:tcPr>
          <w:p>
            <w:pPr>
              <w:ind w:left="200"/>
              <w:spacing w:after="0"/>
              <w:rPr>
                <w:sz w:val="20"/>
                <w:szCs w:val="20"/>
                <w:color w:val="auto"/>
              </w:rPr>
            </w:pPr>
            <w:r>
              <w:rPr>
                <w:rFonts w:ascii="Arial" w:cs="Arial" w:eastAsia="Arial" w:hAnsi="Arial"/>
                <w:sz w:val="18"/>
                <w:szCs w:val="18"/>
                <w:color w:val="auto"/>
              </w:rPr>
              <w:t>Class B</w:t>
            </w:r>
          </w:p>
        </w:tc>
        <w:tc>
          <w:tcPr>
            <w:tcW w:w="100" w:type="dxa"/>
            <w:vAlign w:val="bottom"/>
          </w:tcPr>
          <w:p>
            <w:pPr>
              <w:spacing w:after="0"/>
              <w:rPr>
                <w:sz w:val="20"/>
                <w:szCs w:val="20"/>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425 bps</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Dec. 2046</w:t>
            </w:r>
          </w:p>
        </w:tc>
        <w:tc>
          <w:tcPr>
            <w:tcW w:w="1720" w:type="dxa"/>
            <w:vAlign w:val="bottom"/>
            <w:gridSpan w:val="3"/>
          </w:tcPr>
          <w:p>
            <w:pPr>
              <w:jc w:val="center"/>
              <w:ind w:right="260"/>
              <w:spacing w:after="0"/>
              <w:rPr>
                <w:sz w:val="20"/>
                <w:szCs w:val="20"/>
                <w:color w:val="auto"/>
              </w:rPr>
            </w:pPr>
            <w:r>
              <w:rPr>
                <w:rFonts w:ascii="Arial" w:cs="Arial" w:eastAsia="Arial" w:hAnsi="Arial"/>
                <w:sz w:val="18"/>
                <w:szCs w:val="18"/>
                <w:color w:val="auto"/>
                <w:w w:val="90"/>
              </w:rPr>
              <w:t>Dec. 2016</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1,428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4,892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4,157</w:t>
            </w:r>
          </w:p>
        </w:tc>
      </w:tr>
      <w:tr>
        <w:trPr>
          <w:trHeight w:val="27"/>
        </w:trPr>
        <w:tc>
          <w:tcPr>
            <w:tcW w:w="2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9"/>
        </w:trPr>
        <w:tc>
          <w:tcPr>
            <w:tcW w:w="2580" w:type="dxa"/>
            <w:vAlign w:val="bottom"/>
            <w:shd w:val="clear" w:color="auto" w:fill="EAF9E8"/>
          </w:tcPr>
          <w:p>
            <w:pPr>
              <w:ind w:left="40"/>
              <w:spacing w:after="0"/>
              <w:rPr>
                <w:sz w:val="20"/>
                <w:szCs w:val="20"/>
                <w:color w:val="auto"/>
              </w:rPr>
            </w:pPr>
            <w:r>
              <w:rPr>
                <w:rFonts w:ascii="Arial" w:cs="Arial" w:eastAsia="Arial" w:hAnsi="Arial"/>
                <w:sz w:val="18"/>
                <w:szCs w:val="18"/>
                <w:color w:val="auto"/>
              </w:rPr>
              <w:t>Advance Receivables Backed</w:t>
            </w:r>
          </w:p>
        </w:tc>
        <w:tc>
          <w:tcPr>
            <w:tcW w:w="10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13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8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r>
      <w:tr>
        <w:trPr>
          <w:trHeight w:val="216"/>
        </w:trPr>
        <w:tc>
          <w:tcPr>
            <w:tcW w:w="2580" w:type="dxa"/>
            <w:vAlign w:val="bottom"/>
            <w:shd w:val="clear" w:color="auto" w:fill="EAF9E8"/>
          </w:tcPr>
          <w:p>
            <w:pPr>
              <w:ind w:left="200"/>
              <w:spacing w:after="0"/>
              <w:rPr>
                <w:sz w:val="20"/>
                <w:szCs w:val="20"/>
                <w:color w:val="auto"/>
              </w:rPr>
            </w:pPr>
            <w:r>
              <w:rPr>
                <w:rFonts w:ascii="Arial" w:cs="Arial" w:eastAsia="Arial" w:hAnsi="Arial"/>
                <w:sz w:val="18"/>
                <w:szCs w:val="18"/>
                <w:color w:val="auto"/>
              </w:rPr>
              <w:t>Notes, Series 2014-VF1,</w:t>
            </w:r>
          </w:p>
        </w:tc>
        <w:tc>
          <w:tcPr>
            <w:tcW w:w="10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0"/>
              </w:rPr>
              <w:t>Cost of Funds +</w:t>
            </w:r>
          </w:p>
        </w:tc>
        <w:tc>
          <w:tcPr>
            <w:tcW w:w="1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3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180" w:type="dxa"/>
            <w:vAlign w:val="bottom"/>
            <w:shd w:val="clear" w:color="auto" w:fill="EAF9E8"/>
          </w:tcPr>
          <w:p>
            <w:pPr>
              <w:spacing w:after="0"/>
              <w:rPr>
                <w:sz w:val="18"/>
                <w:szCs w:val="18"/>
                <w:color w:val="auto"/>
              </w:rPr>
            </w:pPr>
          </w:p>
        </w:tc>
      </w:tr>
      <w:tr>
        <w:trPr>
          <w:trHeight w:val="237"/>
        </w:trPr>
        <w:tc>
          <w:tcPr>
            <w:tcW w:w="2580" w:type="dxa"/>
            <w:vAlign w:val="bottom"/>
            <w:tcBorders>
              <w:bottom w:val="single" w:sz="8" w:color="EAF9E8"/>
            </w:tcBorders>
            <w:shd w:val="clear" w:color="auto" w:fill="EAF9E8"/>
          </w:tcPr>
          <w:p>
            <w:pPr>
              <w:ind w:left="200"/>
              <w:spacing w:after="0"/>
              <w:rPr>
                <w:sz w:val="20"/>
                <w:szCs w:val="20"/>
                <w:color w:val="auto"/>
              </w:rPr>
            </w:pPr>
            <w:r>
              <w:rPr>
                <w:rFonts w:ascii="Arial" w:cs="Arial" w:eastAsia="Arial" w:hAnsi="Arial"/>
                <w:sz w:val="18"/>
                <w:szCs w:val="18"/>
                <w:color w:val="auto"/>
              </w:rPr>
              <w:t>Class C</w:t>
            </w:r>
          </w:p>
        </w:tc>
        <w:tc>
          <w:tcPr>
            <w:tcW w:w="100" w:type="dxa"/>
            <w:vAlign w:val="bottom"/>
            <w:tcBorders>
              <w:bottom w:val="single" w:sz="8" w:color="EAF9E8"/>
            </w:tcBorders>
            <w:shd w:val="clear" w:color="auto" w:fill="EAF9E8"/>
          </w:tcPr>
          <w:p>
            <w:pPr>
              <w:spacing w:after="0"/>
              <w:rPr>
                <w:sz w:val="20"/>
                <w:szCs w:val="20"/>
                <w:color w:val="auto"/>
              </w:rPr>
            </w:pPr>
          </w:p>
        </w:tc>
        <w:tc>
          <w:tcPr>
            <w:tcW w:w="134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87"/>
              </w:rPr>
              <w:t>470 bps</w:t>
            </w:r>
          </w:p>
        </w:tc>
        <w:tc>
          <w:tcPr>
            <w:tcW w:w="124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0"/>
              </w:rPr>
              <w:t>Dec. 2046</w:t>
            </w:r>
          </w:p>
        </w:tc>
        <w:tc>
          <w:tcPr>
            <w:tcW w:w="1720" w:type="dxa"/>
            <w:vAlign w:val="bottom"/>
            <w:tcBorders>
              <w:bottom w:val="single" w:sz="8" w:color="EAF9E8"/>
            </w:tcBorders>
            <w:gridSpan w:val="3"/>
            <w:shd w:val="clear" w:color="auto" w:fill="EAF9E8"/>
          </w:tcPr>
          <w:p>
            <w:pPr>
              <w:jc w:val="center"/>
              <w:ind w:right="260"/>
              <w:spacing w:after="0"/>
              <w:rPr>
                <w:sz w:val="20"/>
                <w:szCs w:val="20"/>
                <w:color w:val="auto"/>
              </w:rPr>
            </w:pPr>
            <w:r>
              <w:rPr>
                <w:rFonts w:ascii="Arial" w:cs="Arial" w:eastAsia="Arial" w:hAnsi="Arial"/>
                <w:sz w:val="18"/>
                <w:szCs w:val="18"/>
                <w:color w:val="auto"/>
                <w:w w:val="90"/>
              </w:rPr>
              <w:t>Dec. 2016</w:t>
            </w: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1,561</w:t>
            </w:r>
          </w:p>
        </w:tc>
        <w:tc>
          <w:tcPr>
            <w:tcW w:w="100" w:type="dxa"/>
            <w:vAlign w:val="bottom"/>
            <w:tcBorders>
              <w:bottom w:val="single" w:sz="8" w:color="EAF9E8"/>
            </w:tcBorders>
            <w:shd w:val="clear" w:color="auto" w:fill="EAF9E8"/>
          </w:tcPr>
          <w:p>
            <w:pPr>
              <w:spacing w:after="0"/>
              <w:rPr>
                <w:sz w:val="20"/>
                <w:szCs w:val="20"/>
                <w:color w:val="auto"/>
              </w:rPr>
            </w:pPr>
          </w:p>
        </w:tc>
        <w:tc>
          <w:tcPr>
            <w:tcW w:w="200" w:type="dxa"/>
            <w:vAlign w:val="bottom"/>
            <w:tcBorders>
              <w:bottom w:val="single" w:sz="8" w:color="EAF9E8"/>
            </w:tcBorders>
            <w:shd w:val="clear" w:color="auto" w:fill="EAF9E8"/>
          </w:tcPr>
          <w:p>
            <w:pPr>
              <w:spacing w:after="0"/>
              <w:rPr>
                <w:sz w:val="20"/>
                <w:szCs w:val="20"/>
                <w:color w:val="auto"/>
              </w:rPr>
            </w:pPr>
          </w:p>
        </w:tc>
        <w:tc>
          <w:tcPr>
            <w:tcW w:w="13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5,507</w:t>
            </w:r>
          </w:p>
        </w:tc>
        <w:tc>
          <w:tcPr>
            <w:tcW w:w="100" w:type="dxa"/>
            <w:vAlign w:val="bottom"/>
            <w:tcBorders>
              <w:bottom w:val="single" w:sz="8" w:color="EAF9E8"/>
            </w:tcBorders>
            <w:shd w:val="clear" w:color="auto" w:fill="EAF9E8"/>
          </w:tcPr>
          <w:p>
            <w:pPr>
              <w:spacing w:after="0"/>
              <w:rPr>
                <w:sz w:val="20"/>
                <w:szCs w:val="20"/>
                <w:color w:val="auto"/>
              </w:rPr>
            </w:pPr>
          </w:p>
        </w:tc>
        <w:tc>
          <w:tcPr>
            <w:tcW w:w="380" w:type="dxa"/>
            <w:vAlign w:val="bottom"/>
            <w:tcBorders>
              <w:bottom w:val="single" w:sz="8" w:color="EAF9E8"/>
            </w:tcBorders>
            <w:shd w:val="clear" w:color="auto" w:fill="EAF9E8"/>
          </w:tcPr>
          <w:p>
            <w:pPr>
              <w:spacing w:after="0"/>
              <w:rPr>
                <w:sz w:val="20"/>
                <w:szCs w:val="20"/>
                <w:color w:val="auto"/>
              </w:rPr>
            </w:pPr>
          </w:p>
        </w:tc>
        <w:tc>
          <w:tcPr>
            <w:tcW w:w="11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4,564</w:t>
            </w:r>
          </w:p>
        </w:tc>
      </w:tr>
      <w:tr>
        <w:trPr>
          <w:trHeight w:val="229"/>
        </w:trPr>
        <w:tc>
          <w:tcPr>
            <w:tcW w:w="2580" w:type="dxa"/>
            <w:vAlign w:val="bottom"/>
          </w:tcPr>
          <w:p>
            <w:pPr>
              <w:ind w:left="40"/>
              <w:spacing w:after="0"/>
              <w:rPr>
                <w:sz w:val="20"/>
                <w:szCs w:val="20"/>
                <w:color w:val="auto"/>
              </w:rPr>
            </w:pPr>
            <w:r>
              <w:rPr>
                <w:rFonts w:ascii="Arial" w:cs="Arial" w:eastAsia="Arial" w:hAnsi="Arial"/>
                <w:sz w:val="18"/>
                <w:szCs w:val="18"/>
                <w:color w:val="auto"/>
              </w:rPr>
              <w:t>Advance Receivables Backed</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16"/>
        </w:trPr>
        <w:tc>
          <w:tcPr>
            <w:tcW w:w="2580" w:type="dxa"/>
            <w:vAlign w:val="bottom"/>
          </w:tcPr>
          <w:p>
            <w:pPr>
              <w:ind w:left="200"/>
              <w:spacing w:after="0"/>
              <w:rPr>
                <w:sz w:val="20"/>
                <w:szCs w:val="20"/>
                <w:color w:val="auto"/>
              </w:rPr>
            </w:pPr>
            <w:r>
              <w:rPr>
                <w:rFonts w:ascii="Arial" w:cs="Arial" w:eastAsia="Arial" w:hAnsi="Arial"/>
                <w:sz w:val="18"/>
                <w:szCs w:val="18"/>
                <w:color w:val="auto"/>
              </w:rPr>
              <w:t>Notes, Series 2014-VF1,</w:t>
            </w:r>
          </w:p>
        </w:tc>
        <w:tc>
          <w:tcPr>
            <w:tcW w:w="10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Cost of Funds +</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0"/>
        </w:trPr>
        <w:tc>
          <w:tcPr>
            <w:tcW w:w="2580" w:type="dxa"/>
            <w:vAlign w:val="bottom"/>
          </w:tcPr>
          <w:p>
            <w:pPr>
              <w:ind w:left="200"/>
              <w:spacing w:after="0"/>
              <w:rPr>
                <w:sz w:val="20"/>
                <w:szCs w:val="20"/>
                <w:color w:val="auto"/>
              </w:rPr>
            </w:pPr>
            <w:r>
              <w:rPr>
                <w:rFonts w:ascii="Arial" w:cs="Arial" w:eastAsia="Arial" w:hAnsi="Arial"/>
                <w:sz w:val="18"/>
                <w:szCs w:val="18"/>
                <w:color w:val="auto"/>
              </w:rPr>
              <w:t>Class D</w:t>
            </w:r>
          </w:p>
        </w:tc>
        <w:tc>
          <w:tcPr>
            <w:tcW w:w="100" w:type="dxa"/>
            <w:vAlign w:val="bottom"/>
          </w:tcPr>
          <w:p>
            <w:pPr>
              <w:spacing w:after="0"/>
              <w:rPr>
                <w:sz w:val="20"/>
                <w:szCs w:val="20"/>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520 bps</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Dec. 2046</w:t>
            </w:r>
          </w:p>
        </w:tc>
        <w:tc>
          <w:tcPr>
            <w:tcW w:w="1720" w:type="dxa"/>
            <w:vAlign w:val="bottom"/>
            <w:gridSpan w:val="3"/>
          </w:tcPr>
          <w:p>
            <w:pPr>
              <w:jc w:val="center"/>
              <w:ind w:right="260"/>
              <w:spacing w:after="0"/>
              <w:rPr>
                <w:sz w:val="20"/>
                <w:szCs w:val="20"/>
                <w:color w:val="auto"/>
              </w:rPr>
            </w:pPr>
            <w:r>
              <w:rPr>
                <w:rFonts w:ascii="Arial" w:cs="Arial" w:eastAsia="Arial" w:hAnsi="Arial"/>
                <w:sz w:val="18"/>
                <w:szCs w:val="18"/>
                <w:color w:val="auto"/>
                <w:w w:val="90"/>
              </w:rPr>
              <w:t>Dec. 2016</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3,760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15,576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11,351</w:t>
            </w:r>
          </w:p>
        </w:tc>
      </w:tr>
      <w:tr>
        <w:trPr>
          <w:trHeight w:val="27"/>
        </w:trPr>
        <w:tc>
          <w:tcPr>
            <w:tcW w:w="258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8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5"/>
        </w:trPr>
        <w:tc>
          <w:tcPr>
            <w:tcW w:w="2580" w:type="dxa"/>
            <w:vAlign w:val="bottom"/>
            <w:shd w:val="clear" w:color="auto" w:fill="EAF9E8"/>
          </w:tcPr>
          <w:p>
            <w:pPr>
              <w:ind w:left="180"/>
              <w:spacing w:after="0" w:line="205" w:lineRule="exact"/>
              <w:rPr>
                <w:sz w:val="20"/>
                <w:szCs w:val="20"/>
                <w:color w:val="auto"/>
              </w:rPr>
            </w:pPr>
            <w:r>
              <w:rPr>
                <w:rFonts w:ascii="Arial" w:cs="Arial" w:eastAsia="Arial" w:hAnsi="Arial"/>
                <w:sz w:val="18"/>
                <w:szCs w:val="18"/>
                <w:b w:val="1"/>
                <w:bCs w:val="1"/>
                <w:color w:val="auto"/>
                <w:w w:val="90"/>
              </w:rPr>
              <w:t>Total Ocwen Servicer Advance</w:t>
            </w:r>
          </w:p>
        </w:tc>
        <w:tc>
          <w:tcPr>
            <w:tcW w:w="100" w:type="dxa"/>
            <w:vAlign w:val="bottom"/>
            <w:shd w:val="clear" w:color="auto" w:fill="EAF9E8"/>
          </w:tcPr>
          <w:p>
            <w:pPr>
              <w:spacing w:after="0"/>
              <w:rPr>
                <w:sz w:val="17"/>
                <w:szCs w:val="17"/>
                <w:color w:val="auto"/>
              </w:rPr>
            </w:pPr>
          </w:p>
        </w:tc>
        <w:tc>
          <w:tcPr>
            <w:tcW w:w="12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1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48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11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136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380" w:type="dxa"/>
            <w:vAlign w:val="bottom"/>
            <w:shd w:val="clear" w:color="auto" w:fill="EAF9E8"/>
          </w:tcPr>
          <w:p>
            <w:pPr>
              <w:spacing w:after="0"/>
              <w:rPr>
                <w:sz w:val="17"/>
                <w:szCs w:val="17"/>
                <w:color w:val="auto"/>
              </w:rPr>
            </w:pPr>
          </w:p>
        </w:tc>
        <w:tc>
          <w:tcPr>
            <w:tcW w:w="1180" w:type="dxa"/>
            <w:vAlign w:val="bottom"/>
            <w:shd w:val="clear" w:color="auto" w:fill="EAF9E8"/>
          </w:tcPr>
          <w:p>
            <w:pPr>
              <w:spacing w:after="0"/>
              <w:rPr>
                <w:sz w:val="17"/>
                <w:szCs w:val="17"/>
                <w:color w:val="auto"/>
              </w:rPr>
            </w:pPr>
          </w:p>
        </w:tc>
      </w:tr>
      <w:tr>
        <w:trPr>
          <w:trHeight w:val="216"/>
        </w:trPr>
        <w:tc>
          <w:tcPr>
            <w:tcW w:w="2580" w:type="dxa"/>
            <w:vAlign w:val="bottom"/>
            <w:shd w:val="clear" w:color="auto" w:fill="EAF9E8"/>
          </w:tcPr>
          <w:p>
            <w:pPr>
              <w:ind w:left="340"/>
              <w:spacing w:after="0"/>
              <w:rPr>
                <w:sz w:val="20"/>
                <w:szCs w:val="20"/>
                <w:color w:val="auto"/>
              </w:rPr>
            </w:pPr>
            <w:r>
              <w:rPr>
                <w:rFonts w:ascii="Arial" w:cs="Arial" w:eastAsia="Arial" w:hAnsi="Arial"/>
                <w:sz w:val="18"/>
                <w:szCs w:val="18"/>
                <w:b w:val="1"/>
                <w:bCs w:val="1"/>
                <w:color w:val="auto"/>
              </w:rPr>
              <w:t>Receivables Trust III</w:t>
            </w:r>
          </w:p>
        </w:tc>
        <w:tc>
          <w:tcPr>
            <w:tcW w:w="10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3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180" w:type="dxa"/>
            <w:vAlign w:val="bottom"/>
            <w:shd w:val="clear" w:color="auto" w:fill="EAF9E8"/>
          </w:tcPr>
          <w:p>
            <w:pPr>
              <w:spacing w:after="0"/>
              <w:rPr>
                <w:sz w:val="18"/>
                <w:szCs w:val="18"/>
                <w:color w:val="auto"/>
              </w:rPr>
            </w:pPr>
          </w:p>
        </w:tc>
      </w:tr>
      <w:tr>
        <w:trPr>
          <w:trHeight w:val="261"/>
        </w:trPr>
        <w:tc>
          <w:tcPr>
            <w:tcW w:w="2580" w:type="dxa"/>
            <w:vAlign w:val="bottom"/>
            <w:tcBorders>
              <w:bottom w:val="single" w:sz="8" w:color="EAF9E8"/>
            </w:tcBorders>
            <w:shd w:val="clear" w:color="auto" w:fill="EAF9E8"/>
          </w:tcPr>
          <w:p>
            <w:pPr>
              <w:ind w:left="340"/>
              <w:spacing w:after="0"/>
              <w:rPr>
                <w:sz w:val="20"/>
                <w:szCs w:val="20"/>
                <w:color w:val="auto"/>
              </w:rPr>
            </w:pPr>
            <w:r>
              <w:rPr>
                <w:rFonts w:ascii="Arial" w:cs="Arial" w:eastAsia="Arial" w:hAnsi="Arial"/>
                <w:sz w:val="18"/>
                <w:szCs w:val="18"/>
                <w:b w:val="1"/>
                <w:bCs w:val="1"/>
                <w:color w:val="auto"/>
              </w:rPr>
              <w:t>(OSART III) (6)</w:t>
            </w:r>
          </w:p>
        </w:tc>
        <w:tc>
          <w:tcPr>
            <w:tcW w:w="100" w:type="dxa"/>
            <w:vAlign w:val="bottom"/>
            <w:tcBorders>
              <w:bottom w:val="single" w:sz="8" w:color="EAF9E8"/>
            </w:tcBorders>
            <w:shd w:val="clear" w:color="auto" w:fill="EAF9E8"/>
          </w:tcPr>
          <w:p>
            <w:pPr>
              <w:spacing w:after="0"/>
              <w:rPr>
                <w:sz w:val="22"/>
                <w:szCs w:val="22"/>
                <w:color w:val="auto"/>
              </w:rPr>
            </w:pPr>
          </w:p>
        </w:tc>
        <w:tc>
          <w:tcPr>
            <w:tcW w:w="124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48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15,103</w:t>
            </w:r>
          </w:p>
        </w:tc>
        <w:tc>
          <w:tcPr>
            <w:tcW w:w="100" w:type="dxa"/>
            <w:vAlign w:val="bottom"/>
            <w:tcBorders>
              <w:bottom w:val="single" w:sz="8" w:color="EAF9E8"/>
            </w:tcBorders>
            <w:shd w:val="clear" w:color="auto" w:fill="EAF9E8"/>
          </w:tcPr>
          <w:p>
            <w:pPr>
              <w:spacing w:after="0"/>
              <w:rPr>
                <w:sz w:val="22"/>
                <w:szCs w:val="22"/>
                <w:color w:val="auto"/>
              </w:rPr>
            </w:pPr>
          </w:p>
        </w:tc>
        <w:tc>
          <w:tcPr>
            <w:tcW w:w="200" w:type="dxa"/>
            <w:vAlign w:val="bottom"/>
            <w:tcBorders>
              <w:bottom w:val="single" w:sz="8" w:color="EAF9E8"/>
            </w:tcBorders>
            <w:shd w:val="clear" w:color="auto" w:fill="EAF9E8"/>
          </w:tcPr>
          <w:p>
            <w:pPr>
              <w:spacing w:after="0"/>
              <w:rPr>
                <w:sz w:val="22"/>
                <w:szCs w:val="22"/>
                <w:color w:val="auto"/>
              </w:rPr>
            </w:pPr>
          </w:p>
        </w:tc>
        <w:tc>
          <w:tcPr>
            <w:tcW w:w="13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74,897</w:t>
            </w:r>
          </w:p>
        </w:tc>
        <w:tc>
          <w:tcPr>
            <w:tcW w:w="100" w:type="dxa"/>
            <w:vAlign w:val="bottom"/>
            <w:tcBorders>
              <w:bottom w:val="single" w:sz="8" w:color="EAF9E8"/>
            </w:tcBorders>
            <w:shd w:val="clear" w:color="auto" w:fill="EAF9E8"/>
          </w:tcPr>
          <w:p>
            <w:pPr>
              <w:spacing w:after="0"/>
              <w:rPr>
                <w:sz w:val="22"/>
                <w:szCs w:val="22"/>
                <w:color w:val="auto"/>
              </w:rPr>
            </w:pPr>
          </w:p>
        </w:tc>
        <w:tc>
          <w:tcPr>
            <w:tcW w:w="38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51,415</w:t>
            </w:r>
          </w:p>
        </w:tc>
      </w:tr>
      <w:tr>
        <w:trPr>
          <w:trHeight w:val="209"/>
        </w:trPr>
        <w:tc>
          <w:tcPr>
            <w:tcW w:w="2580" w:type="dxa"/>
            <w:vAlign w:val="bottom"/>
          </w:tcPr>
          <w:p>
            <w:pPr>
              <w:ind w:left="40"/>
              <w:spacing w:after="0"/>
              <w:rPr>
                <w:sz w:val="20"/>
                <w:szCs w:val="20"/>
                <w:color w:val="auto"/>
              </w:rPr>
            </w:pPr>
            <w:r>
              <w:rPr>
                <w:rFonts w:ascii="Arial" w:cs="Arial" w:eastAsia="Arial" w:hAnsi="Arial"/>
                <w:sz w:val="18"/>
                <w:szCs w:val="18"/>
                <w:color w:val="auto"/>
              </w:rPr>
              <w:t>Advance Receivables Backed</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r>
      <w:tr>
        <w:trPr>
          <w:trHeight w:val="216"/>
        </w:trPr>
        <w:tc>
          <w:tcPr>
            <w:tcW w:w="2580" w:type="dxa"/>
            <w:vAlign w:val="bottom"/>
          </w:tcPr>
          <w:p>
            <w:pPr>
              <w:ind w:left="200"/>
              <w:spacing w:after="0"/>
              <w:rPr>
                <w:sz w:val="20"/>
                <w:szCs w:val="20"/>
                <w:color w:val="auto"/>
              </w:rPr>
            </w:pPr>
            <w:r>
              <w:rPr>
                <w:rFonts w:ascii="Arial" w:cs="Arial" w:eastAsia="Arial" w:hAnsi="Arial"/>
                <w:sz w:val="18"/>
                <w:szCs w:val="18"/>
                <w:color w:val="auto"/>
              </w:rPr>
              <w:t>Notes, Series 2015-VF1,</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0"/>
        </w:trPr>
        <w:tc>
          <w:tcPr>
            <w:tcW w:w="2580" w:type="dxa"/>
            <w:vAlign w:val="bottom"/>
          </w:tcPr>
          <w:p>
            <w:pPr>
              <w:ind w:left="200"/>
              <w:spacing w:after="0"/>
              <w:rPr>
                <w:sz w:val="20"/>
                <w:szCs w:val="20"/>
                <w:color w:val="auto"/>
              </w:rPr>
            </w:pPr>
            <w:r>
              <w:rPr>
                <w:rFonts w:ascii="Arial" w:cs="Arial" w:eastAsia="Arial" w:hAnsi="Arial"/>
                <w:sz w:val="18"/>
                <w:szCs w:val="18"/>
                <w:color w:val="auto"/>
              </w:rPr>
              <w:t>Class A</w:t>
            </w:r>
          </w:p>
        </w:tc>
        <w:tc>
          <w:tcPr>
            <w:tcW w:w="100" w:type="dxa"/>
            <w:vAlign w:val="bottom"/>
          </w:tcPr>
          <w:p>
            <w:pPr>
              <w:spacing w:after="0"/>
              <w:rPr>
                <w:sz w:val="20"/>
                <w:szCs w:val="20"/>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1ML + 240 bps</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Jun. 2047</w:t>
            </w:r>
          </w:p>
        </w:tc>
        <w:tc>
          <w:tcPr>
            <w:tcW w:w="1720" w:type="dxa"/>
            <w:vAlign w:val="bottom"/>
            <w:gridSpan w:val="3"/>
          </w:tcPr>
          <w:p>
            <w:pPr>
              <w:jc w:val="center"/>
              <w:ind w:right="260"/>
              <w:spacing w:after="0"/>
              <w:rPr>
                <w:sz w:val="20"/>
                <w:szCs w:val="20"/>
                <w:color w:val="auto"/>
              </w:rPr>
            </w:pPr>
            <w:r>
              <w:rPr>
                <w:rFonts w:ascii="Arial" w:cs="Arial" w:eastAsia="Arial" w:hAnsi="Arial"/>
                <w:sz w:val="18"/>
                <w:szCs w:val="18"/>
                <w:color w:val="auto"/>
                <w:w w:val="88"/>
              </w:rPr>
              <w:t>Jun. 2017</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25,031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93,969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112,882</w:t>
            </w:r>
          </w:p>
        </w:tc>
      </w:tr>
      <w:tr>
        <w:trPr>
          <w:trHeight w:val="27"/>
        </w:trPr>
        <w:tc>
          <w:tcPr>
            <w:tcW w:w="2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9"/>
        </w:trPr>
        <w:tc>
          <w:tcPr>
            <w:tcW w:w="2580" w:type="dxa"/>
            <w:vAlign w:val="bottom"/>
            <w:shd w:val="clear" w:color="auto" w:fill="EAF9E8"/>
          </w:tcPr>
          <w:p>
            <w:pPr>
              <w:ind w:left="40"/>
              <w:spacing w:after="0"/>
              <w:rPr>
                <w:sz w:val="20"/>
                <w:szCs w:val="20"/>
                <w:color w:val="auto"/>
              </w:rPr>
            </w:pPr>
            <w:r>
              <w:rPr>
                <w:rFonts w:ascii="Arial" w:cs="Arial" w:eastAsia="Arial" w:hAnsi="Arial"/>
                <w:sz w:val="18"/>
                <w:szCs w:val="18"/>
                <w:color w:val="auto"/>
              </w:rPr>
              <w:t>Advance Receivables Backed</w:t>
            </w:r>
          </w:p>
        </w:tc>
        <w:tc>
          <w:tcPr>
            <w:tcW w:w="10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13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8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r>
      <w:tr>
        <w:trPr>
          <w:trHeight w:val="216"/>
        </w:trPr>
        <w:tc>
          <w:tcPr>
            <w:tcW w:w="2580" w:type="dxa"/>
            <w:vAlign w:val="bottom"/>
            <w:shd w:val="clear" w:color="auto" w:fill="EAF9E8"/>
          </w:tcPr>
          <w:p>
            <w:pPr>
              <w:ind w:left="200"/>
              <w:spacing w:after="0"/>
              <w:rPr>
                <w:sz w:val="20"/>
                <w:szCs w:val="20"/>
                <w:color w:val="auto"/>
              </w:rPr>
            </w:pPr>
            <w:r>
              <w:rPr>
                <w:rFonts w:ascii="Arial" w:cs="Arial" w:eastAsia="Arial" w:hAnsi="Arial"/>
                <w:sz w:val="18"/>
                <w:szCs w:val="18"/>
                <w:color w:val="auto"/>
              </w:rPr>
              <w:t>Notes, Series 2015-VF1,</w:t>
            </w:r>
          </w:p>
        </w:tc>
        <w:tc>
          <w:tcPr>
            <w:tcW w:w="10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3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180" w:type="dxa"/>
            <w:vAlign w:val="bottom"/>
            <w:shd w:val="clear" w:color="auto" w:fill="EAF9E8"/>
          </w:tcPr>
          <w:p>
            <w:pPr>
              <w:spacing w:after="0"/>
              <w:rPr>
                <w:sz w:val="18"/>
                <w:szCs w:val="18"/>
                <w:color w:val="auto"/>
              </w:rPr>
            </w:pPr>
          </w:p>
        </w:tc>
      </w:tr>
      <w:tr>
        <w:trPr>
          <w:trHeight w:val="237"/>
        </w:trPr>
        <w:tc>
          <w:tcPr>
            <w:tcW w:w="2580" w:type="dxa"/>
            <w:vAlign w:val="bottom"/>
            <w:tcBorders>
              <w:bottom w:val="single" w:sz="8" w:color="EAF9E8"/>
            </w:tcBorders>
            <w:shd w:val="clear" w:color="auto" w:fill="EAF9E8"/>
          </w:tcPr>
          <w:p>
            <w:pPr>
              <w:ind w:left="200"/>
              <w:spacing w:after="0"/>
              <w:rPr>
                <w:sz w:val="20"/>
                <w:szCs w:val="20"/>
                <w:color w:val="auto"/>
              </w:rPr>
            </w:pPr>
            <w:r>
              <w:rPr>
                <w:rFonts w:ascii="Arial" w:cs="Arial" w:eastAsia="Arial" w:hAnsi="Arial"/>
                <w:sz w:val="18"/>
                <w:szCs w:val="18"/>
                <w:color w:val="auto"/>
              </w:rPr>
              <w:t>Class B</w:t>
            </w:r>
          </w:p>
        </w:tc>
        <w:tc>
          <w:tcPr>
            <w:tcW w:w="100" w:type="dxa"/>
            <w:vAlign w:val="bottom"/>
            <w:tcBorders>
              <w:bottom w:val="single" w:sz="8" w:color="EAF9E8"/>
            </w:tcBorders>
            <w:shd w:val="clear" w:color="auto" w:fill="EAF9E8"/>
          </w:tcPr>
          <w:p>
            <w:pPr>
              <w:spacing w:after="0"/>
              <w:rPr>
                <w:sz w:val="20"/>
                <w:szCs w:val="20"/>
                <w:color w:val="auto"/>
              </w:rPr>
            </w:pPr>
          </w:p>
        </w:tc>
        <w:tc>
          <w:tcPr>
            <w:tcW w:w="134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3"/>
              </w:rPr>
              <w:t>1ML + 340 bps</w:t>
            </w:r>
          </w:p>
        </w:tc>
        <w:tc>
          <w:tcPr>
            <w:tcW w:w="124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88"/>
              </w:rPr>
              <w:t>Jun. 2047</w:t>
            </w:r>
          </w:p>
        </w:tc>
        <w:tc>
          <w:tcPr>
            <w:tcW w:w="1720" w:type="dxa"/>
            <w:vAlign w:val="bottom"/>
            <w:tcBorders>
              <w:bottom w:val="single" w:sz="8" w:color="EAF9E8"/>
            </w:tcBorders>
            <w:gridSpan w:val="3"/>
            <w:shd w:val="clear" w:color="auto" w:fill="EAF9E8"/>
          </w:tcPr>
          <w:p>
            <w:pPr>
              <w:jc w:val="center"/>
              <w:ind w:right="260"/>
              <w:spacing w:after="0"/>
              <w:rPr>
                <w:sz w:val="20"/>
                <w:szCs w:val="20"/>
                <w:color w:val="auto"/>
              </w:rPr>
            </w:pPr>
            <w:r>
              <w:rPr>
                <w:rFonts w:ascii="Arial" w:cs="Arial" w:eastAsia="Arial" w:hAnsi="Arial"/>
                <w:sz w:val="18"/>
                <w:szCs w:val="18"/>
                <w:color w:val="auto"/>
                <w:w w:val="88"/>
              </w:rPr>
              <w:t>Jun. 2017</w:t>
            </w: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6,741</w:t>
            </w:r>
          </w:p>
        </w:tc>
        <w:tc>
          <w:tcPr>
            <w:tcW w:w="100" w:type="dxa"/>
            <w:vAlign w:val="bottom"/>
            <w:tcBorders>
              <w:bottom w:val="single" w:sz="8" w:color="EAF9E8"/>
            </w:tcBorders>
            <w:shd w:val="clear" w:color="auto" w:fill="EAF9E8"/>
          </w:tcPr>
          <w:p>
            <w:pPr>
              <w:spacing w:after="0"/>
              <w:rPr>
                <w:sz w:val="20"/>
                <w:szCs w:val="20"/>
                <w:color w:val="auto"/>
              </w:rPr>
            </w:pPr>
          </w:p>
        </w:tc>
        <w:tc>
          <w:tcPr>
            <w:tcW w:w="200" w:type="dxa"/>
            <w:vAlign w:val="bottom"/>
            <w:tcBorders>
              <w:bottom w:val="single" w:sz="8" w:color="EAF9E8"/>
            </w:tcBorders>
            <w:shd w:val="clear" w:color="auto" w:fill="EAF9E8"/>
          </w:tcPr>
          <w:p>
            <w:pPr>
              <w:spacing w:after="0"/>
              <w:rPr>
                <w:sz w:val="20"/>
                <w:szCs w:val="20"/>
                <w:color w:val="auto"/>
              </w:rPr>
            </w:pPr>
          </w:p>
        </w:tc>
        <w:tc>
          <w:tcPr>
            <w:tcW w:w="13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9,259</w:t>
            </w:r>
          </w:p>
        </w:tc>
        <w:tc>
          <w:tcPr>
            <w:tcW w:w="100" w:type="dxa"/>
            <w:vAlign w:val="bottom"/>
            <w:tcBorders>
              <w:bottom w:val="single" w:sz="8" w:color="EAF9E8"/>
            </w:tcBorders>
            <w:shd w:val="clear" w:color="auto" w:fill="EAF9E8"/>
          </w:tcPr>
          <w:p>
            <w:pPr>
              <w:spacing w:after="0"/>
              <w:rPr>
                <w:sz w:val="20"/>
                <w:szCs w:val="20"/>
                <w:color w:val="auto"/>
              </w:rPr>
            </w:pPr>
          </w:p>
        </w:tc>
        <w:tc>
          <w:tcPr>
            <w:tcW w:w="380" w:type="dxa"/>
            <w:vAlign w:val="bottom"/>
            <w:tcBorders>
              <w:bottom w:val="single" w:sz="8" w:color="EAF9E8"/>
            </w:tcBorders>
            <w:shd w:val="clear" w:color="auto" w:fill="EAF9E8"/>
          </w:tcPr>
          <w:p>
            <w:pPr>
              <w:spacing w:after="0"/>
              <w:rPr>
                <w:sz w:val="20"/>
                <w:szCs w:val="20"/>
                <w:color w:val="auto"/>
              </w:rPr>
            </w:pPr>
          </w:p>
        </w:tc>
        <w:tc>
          <w:tcPr>
            <w:tcW w:w="11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12,268</w:t>
            </w:r>
          </w:p>
        </w:tc>
      </w:tr>
      <w:tr>
        <w:trPr>
          <w:trHeight w:val="229"/>
        </w:trPr>
        <w:tc>
          <w:tcPr>
            <w:tcW w:w="2580" w:type="dxa"/>
            <w:vAlign w:val="bottom"/>
          </w:tcPr>
          <w:p>
            <w:pPr>
              <w:ind w:left="40"/>
              <w:spacing w:after="0"/>
              <w:rPr>
                <w:sz w:val="20"/>
                <w:szCs w:val="20"/>
                <w:color w:val="auto"/>
              </w:rPr>
            </w:pPr>
            <w:r>
              <w:rPr>
                <w:rFonts w:ascii="Arial" w:cs="Arial" w:eastAsia="Arial" w:hAnsi="Arial"/>
                <w:sz w:val="18"/>
                <w:szCs w:val="18"/>
                <w:color w:val="auto"/>
              </w:rPr>
              <w:t>Advance Receivables Backed</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16"/>
        </w:trPr>
        <w:tc>
          <w:tcPr>
            <w:tcW w:w="2580" w:type="dxa"/>
            <w:vAlign w:val="bottom"/>
          </w:tcPr>
          <w:p>
            <w:pPr>
              <w:ind w:left="200"/>
              <w:spacing w:after="0"/>
              <w:rPr>
                <w:sz w:val="20"/>
                <w:szCs w:val="20"/>
                <w:color w:val="auto"/>
              </w:rPr>
            </w:pPr>
            <w:r>
              <w:rPr>
                <w:rFonts w:ascii="Arial" w:cs="Arial" w:eastAsia="Arial" w:hAnsi="Arial"/>
                <w:sz w:val="18"/>
                <w:szCs w:val="18"/>
                <w:color w:val="auto"/>
              </w:rPr>
              <w:t>Notes, Series 2015-VF1,</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0"/>
        </w:trPr>
        <w:tc>
          <w:tcPr>
            <w:tcW w:w="2580" w:type="dxa"/>
            <w:vAlign w:val="bottom"/>
          </w:tcPr>
          <w:p>
            <w:pPr>
              <w:ind w:left="200"/>
              <w:spacing w:after="0"/>
              <w:rPr>
                <w:sz w:val="20"/>
                <w:szCs w:val="20"/>
                <w:color w:val="auto"/>
              </w:rPr>
            </w:pPr>
            <w:r>
              <w:rPr>
                <w:rFonts w:ascii="Arial" w:cs="Arial" w:eastAsia="Arial" w:hAnsi="Arial"/>
                <w:sz w:val="18"/>
                <w:szCs w:val="18"/>
                <w:color w:val="auto"/>
              </w:rPr>
              <w:t>Class C</w:t>
            </w:r>
          </w:p>
        </w:tc>
        <w:tc>
          <w:tcPr>
            <w:tcW w:w="100" w:type="dxa"/>
            <w:vAlign w:val="bottom"/>
          </w:tcPr>
          <w:p>
            <w:pPr>
              <w:spacing w:after="0"/>
              <w:rPr>
                <w:sz w:val="20"/>
                <w:szCs w:val="20"/>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1ML + 400 bps</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Jun. 2047</w:t>
            </w:r>
          </w:p>
        </w:tc>
        <w:tc>
          <w:tcPr>
            <w:tcW w:w="1720" w:type="dxa"/>
            <w:vAlign w:val="bottom"/>
            <w:gridSpan w:val="3"/>
          </w:tcPr>
          <w:p>
            <w:pPr>
              <w:jc w:val="center"/>
              <w:ind w:right="260"/>
              <w:spacing w:after="0"/>
              <w:rPr>
                <w:sz w:val="20"/>
                <w:szCs w:val="20"/>
                <w:color w:val="auto"/>
              </w:rPr>
            </w:pPr>
            <w:r>
              <w:rPr>
                <w:rFonts w:ascii="Arial" w:cs="Arial" w:eastAsia="Arial" w:hAnsi="Arial"/>
                <w:sz w:val="18"/>
                <w:szCs w:val="18"/>
                <w:color w:val="auto"/>
                <w:w w:val="88"/>
              </w:rPr>
              <w:t>Jun. 2017</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2,956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4,044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5,951</w:t>
            </w:r>
          </w:p>
        </w:tc>
      </w:tr>
      <w:tr>
        <w:trPr>
          <w:trHeight w:val="27"/>
        </w:trPr>
        <w:tc>
          <w:tcPr>
            <w:tcW w:w="2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9"/>
        </w:trPr>
        <w:tc>
          <w:tcPr>
            <w:tcW w:w="2580" w:type="dxa"/>
            <w:vAlign w:val="bottom"/>
            <w:shd w:val="clear" w:color="auto" w:fill="EAF9E8"/>
          </w:tcPr>
          <w:p>
            <w:pPr>
              <w:ind w:left="40"/>
              <w:spacing w:after="0"/>
              <w:rPr>
                <w:sz w:val="20"/>
                <w:szCs w:val="20"/>
                <w:color w:val="auto"/>
              </w:rPr>
            </w:pPr>
            <w:r>
              <w:rPr>
                <w:rFonts w:ascii="Arial" w:cs="Arial" w:eastAsia="Arial" w:hAnsi="Arial"/>
                <w:sz w:val="18"/>
                <w:szCs w:val="18"/>
                <w:color w:val="auto"/>
              </w:rPr>
              <w:t>Advance Receivables Backed</w:t>
            </w:r>
          </w:p>
        </w:tc>
        <w:tc>
          <w:tcPr>
            <w:tcW w:w="10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13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8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r>
      <w:tr>
        <w:trPr>
          <w:trHeight w:val="216"/>
        </w:trPr>
        <w:tc>
          <w:tcPr>
            <w:tcW w:w="2580" w:type="dxa"/>
            <w:vAlign w:val="bottom"/>
            <w:shd w:val="clear" w:color="auto" w:fill="EAF9E8"/>
          </w:tcPr>
          <w:p>
            <w:pPr>
              <w:ind w:left="200"/>
              <w:spacing w:after="0"/>
              <w:rPr>
                <w:sz w:val="20"/>
                <w:szCs w:val="20"/>
                <w:color w:val="auto"/>
              </w:rPr>
            </w:pPr>
            <w:r>
              <w:rPr>
                <w:rFonts w:ascii="Arial" w:cs="Arial" w:eastAsia="Arial" w:hAnsi="Arial"/>
                <w:sz w:val="18"/>
                <w:szCs w:val="18"/>
                <w:color w:val="auto"/>
              </w:rPr>
              <w:t>Notes, Series 2015-VF1,</w:t>
            </w:r>
          </w:p>
        </w:tc>
        <w:tc>
          <w:tcPr>
            <w:tcW w:w="10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3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180" w:type="dxa"/>
            <w:vAlign w:val="bottom"/>
            <w:shd w:val="clear" w:color="auto" w:fill="EAF9E8"/>
          </w:tcPr>
          <w:p>
            <w:pPr>
              <w:spacing w:after="0"/>
              <w:rPr>
                <w:sz w:val="18"/>
                <w:szCs w:val="18"/>
                <w:color w:val="auto"/>
              </w:rPr>
            </w:pPr>
          </w:p>
        </w:tc>
      </w:tr>
      <w:tr>
        <w:trPr>
          <w:trHeight w:val="262"/>
        </w:trPr>
        <w:tc>
          <w:tcPr>
            <w:tcW w:w="2580" w:type="dxa"/>
            <w:vAlign w:val="bottom"/>
            <w:tcBorders>
              <w:bottom w:val="single" w:sz="8" w:color="EAF9E8"/>
            </w:tcBorders>
            <w:shd w:val="clear" w:color="auto" w:fill="EAF9E8"/>
          </w:tcPr>
          <w:p>
            <w:pPr>
              <w:ind w:left="200"/>
              <w:spacing w:after="0"/>
              <w:rPr>
                <w:sz w:val="20"/>
                <w:szCs w:val="20"/>
                <w:color w:val="auto"/>
              </w:rPr>
            </w:pPr>
            <w:r>
              <w:rPr>
                <w:rFonts w:ascii="Arial" w:cs="Arial" w:eastAsia="Arial" w:hAnsi="Arial"/>
                <w:sz w:val="18"/>
                <w:szCs w:val="18"/>
                <w:color w:val="auto"/>
              </w:rPr>
              <w:t>Class D</w:t>
            </w:r>
          </w:p>
        </w:tc>
        <w:tc>
          <w:tcPr>
            <w:tcW w:w="100" w:type="dxa"/>
            <w:vAlign w:val="bottom"/>
            <w:tcBorders>
              <w:bottom w:val="single" w:sz="8" w:color="EAF9E8"/>
            </w:tcBorders>
            <w:shd w:val="clear" w:color="auto" w:fill="EAF9E8"/>
          </w:tcPr>
          <w:p>
            <w:pPr>
              <w:spacing w:after="0"/>
              <w:rPr>
                <w:sz w:val="22"/>
                <w:szCs w:val="22"/>
                <w:color w:val="auto"/>
              </w:rPr>
            </w:pPr>
          </w:p>
        </w:tc>
        <w:tc>
          <w:tcPr>
            <w:tcW w:w="134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3"/>
              </w:rPr>
              <w:t>1ML + 480 bps</w:t>
            </w:r>
          </w:p>
        </w:tc>
        <w:tc>
          <w:tcPr>
            <w:tcW w:w="124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88"/>
              </w:rPr>
              <w:t>Jun. 2047</w:t>
            </w:r>
          </w:p>
        </w:tc>
        <w:tc>
          <w:tcPr>
            <w:tcW w:w="1720" w:type="dxa"/>
            <w:vAlign w:val="bottom"/>
            <w:tcBorders>
              <w:bottom w:val="single" w:sz="8" w:color="EAF9E8"/>
            </w:tcBorders>
            <w:gridSpan w:val="3"/>
            <w:shd w:val="clear" w:color="auto" w:fill="EAF9E8"/>
          </w:tcPr>
          <w:p>
            <w:pPr>
              <w:jc w:val="center"/>
              <w:ind w:right="260"/>
              <w:spacing w:after="0"/>
              <w:rPr>
                <w:sz w:val="20"/>
                <w:szCs w:val="20"/>
                <w:color w:val="auto"/>
              </w:rPr>
            </w:pPr>
            <w:r>
              <w:rPr>
                <w:rFonts w:ascii="Arial" w:cs="Arial" w:eastAsia="Arial" w:hAnsi="Arial"/>
                <w:sz w:val="18"/>
                <w:szCs w:val="18"/>
                <w:color w:val="auto"/>
                <w:w w:val="88"/>
              </w:rPr>
              <w:t>Jun. 2017</w:t>
            </w: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7,734</w:t>
            </w:r>
          </w:p>
        </w:tc>
        <w:tc>
          <w:tcPr>
            <w:tcW w:w="100" w:type="dxa"/>
            <w:vAlign w:val="bottom"/>
            <w:tcBorders>
              <w:bottom w:val="single" w:sz="8" w:color="EAF9E8"/>
            </w:tcBorders>
            <w:shd w:val="clear" w:color="auto" w:fill="EAF9E8"/>
          </w:tcPr>
          <w:p>
            <w:pPr>
              <w:spacing w:after="0"/>
              <w:rPr>
                <w:sz w:val="22"/>
                <w:szCs w:val="22"/>
                <w:color w:val="auto"/>
              </w:rPr>
            </w:pPr>
          </w:p>
        </w:tc>
        <w:tc>
          <w:tcPr>
            <w:tcW w:w="200" w:type="dxa"/>
            <w:vAlign w:val="bottom"/>
            <w:tcBorders>
              <w:bottom w:val="single" w:sz="8" w:color="EAF9E8"/>
            </w:tcBorders>
            <w:shd w:val="clear" w:color="auto" w:fill="EAF9E8"/>
          </w:tcPr>
          <w:p>
            <w:pPr>
              <w:spacing w:after="0"/>
              <w:rPr>
                <w:sz w:val="22"/>
                <w:szCs w:val="22"/>
                <w:color w:val="auto"/>
              </w:rPr>
            </w:pPr>
          </w:p>
        </w:tc>
        <w:tc>
          <w:tcPr>
            <w:tcW w:w="13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10,266</w:t>
            </w:r>
          </w:p>
        </w:tc>
        <w:tc>
          <w:tcPr>
            <w:tcW w:w="100" w:type="dxa"/>
            <w:vAlign w:val="bottom"/>
            <w:tcBorders>
              <w:bottom w:val="single" w:sz="8" w:color="EAF9E8"/>
            </w:tcBorders>
            <w:shd w:val="clear" w:color="auto" w:fill="EAF9E8"/>
          </w:tcPr>
          <w:p>
            <w:pPr>
              <w:spacing w:after="0"/>
              <w:rPr>
                <w:sz w:val="22"/>
                <w:szCs w:val="22"/>
                <w:color w:val="auto"/>
              </w:rPr>
            </w:pPr>
          </w:p>
        </w:tc>
        <w:tc>
          <w:tcPr>
            <w:tcW w:w="38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8,377</w:t>
            </w:r>
          </w:p>
        </w:tc>
      </w:tr>
      <w:tr>
        <w:trPr>
          <w:trHeight w:val="205"/>
        </w:trPr>
        <w:tc>
          <w:tcPr>
            <w:tcW w:w="2580" w:type="dxa"/>
            <w:vAlign w:val="bottom"/>
            <w:tcBorders>
              <w:top w:val="single" w:sz="8" w:color="EAF9E8"/>
            </w:tcBorders>
            <w:shd w:val="clear" w:color="auto" w:fill="EAF9E8"/>
          </w:tcPr>
          <w:p>
            <w:pPr>
              <w:ind w:left="180"/>
              <w:spacing w:after="0" w:line="205" w:lineRule="exact"/>
              <w:rPr>
                <w:sz w:val="20"/>
                <w:szCs w:val="20"/>
                <w:color w:val="auto"/>
              </w:rPr>
            </w:pPr>
            <w:r>
              <w:rPr>
                <w:rFonts w:ascii="Arial" w:cs="Arial" w:eastAsia="Arial" w:hAnsi="Arial"/>
                <w:sz w:val="18"/>
                <w:szCs w:val="18"/>
                <w:b w:val="1"/>
                <w:bCs w:val="1"/>
                <w:color w:val="auto"/>
                <w:w w:val="92"/>
              </w:rPr>
              <w:t>Total Ocwen Freddie Advance</w:t>
            </w:r>
          </w:p>
        </w:tc>
        <w:tc>
          <w:tcPr>
            <w:tcW w:w="100" w:type="dxa"/>
            <w:vAlign w:val="bottom"/>
            <w:tcBorders>
              <w:top w:val="single" w:sz="8" w:color="EAF9E8"/>
            </w:tcBorders>
            <w:shd w:val="clear" w:color="auto" w:fill="EAF9E8"/>
          </w:tcPr>
          <w:p>
            <w:pPr>
              <w:spacing w:after="0"/>
              <w:rPr>
                <w:sz w:val="17"/>
                <w:szCs w:val="17"/>
                <w:color w:val="auto"/>
              </w:rPr>
            </w:pPr>
          </w:p>
        </w:tc>
        <w:tc>
          <w:tcPr>
            <w:tcW w:w="1240" w:type="dxa"/>
            <w:vAlign w:val="bottom"/>
            <w:tcBorders>
              <w:top w:val="single" w:sz="8" w:color="EAF9E8"/>
            </w:tcBorders>
            <w:shd w:val="clear" w:color="auto" w:fill="EAF9E8"/>
          </w:tcPr>
          <w:p>
            <w:pPr>
              <w:spacing w:after="0"/>
              <w:rPr>
                <w:sz w:val="17"/>
                <w:szCs w:val="17"/>
                <w:color w:val="auto"/>
              </w:rPr>
            </w:pPr>
          </w:p>
        </w:tc>
        <w:tc>
          <w:tcPr>
            <w:tcW w:w="100" w:type="dxa"/>
            <w:vAlign w:val="bottom"/>
            <w:tcBorders>
              <w:top w:val="single" w:sz="8" w:color="EAF9E8"/>
            </w:tcBorders>
            <w:shd w:val="clear" w:color="auto" w:fill="EAF9E8"/>
          </w:tcPr>
          <w:p>
            <w:pPr>
              <w:spacing w:after="0"/>
              <w:rPr>
                <w:sz w:val="17"/>
                <w:szCs w:val="17"/>
                <w:color w:val="auto"/>
              </w:rPr>
            </w:pPr>
          </w:p>
        </w:tc>
        <w:tc>
          <w:tcPr>
            <w:tcW w:w="1140" w:type="dxa"/>
            <w:vAlign w:val="bottom"/>
            <w:tcBorders>
              <w:top w:val="single" w:sz="8" w:color="EAF9E8"/>
            </w:tcBorders>
            <w:shd w:val="clear" w:color="auto" w:fill="EAF9E8"/>
          </w:tcPr>
          <w:p>
            <w:pPr>
              <w:spacing w:after="0"/>
              <w:rPr>
                <w:sz w:val="17"/>
                <w:szCs w:val="17"/>
                <w:color w:val="auto"/>
              </w:rPr>
            </w:pPr>
          </w:p>
        </w:tc>
        <w:tc>
          <w:tcPr>
            <w:tcW w:w="100" w:type="dxa"/>
            <w:vAlign w:val="bottom"/>
            <w:tcBorders>
              <w:top w:val="single" w:sz="8" w:color="EAF9E8"/>
            </w:tcBorders>
            <w:shd w:val="clear" w:color="auto" w:fill="EAF9E8"/>
          </w:tcPr>
          <w:p>
            <w:pPr>
              <w:spacing w:after="0"/>
              <w:rPr>
                <w:sz w:val="17"/>
                <w:szCs w:val="17"/>
                <w:color w:val="auto"/>
              </w:rPr>
            </w:pPr>
          </w:p>
        </w:tc>
        <w:tc>
          <w:tcPr>
            <w:tcW w:w="1480" w:type="dxa"/>
            <w:vAlign w:val="bottom"/>
            <w:tcBorders>
              <w:top w:val="single" w:sz="8" w:color="EAF9E8"/>
            </w:tcBorders>
            <w:shd w:val="clear" w:color="auto" w:fill="EAF9E8"/>
          </w:tcPr>
          <w:p>
            <w:pPr>
              <w:spacing w:after="0"/>
              <w:rPr>
                <w:sz w:val="17"/>
                <w:szCs w:val="17"/>
                <w:color w:val="auto"/>
              </w:rPr>
            </w:pPr>
          </w:p>
        </w:tc>
        <w:tc>
          <w:tcPr>
            <w:tcW w:w="100" w:type="dxa"/>
            <w:vAlign w:val="bottom"/>
            <w:tcBorders>
              <w:top w:val="single" w:sz="8" w:color="EAF9E8"/>
            </w:tcBorders>
            <w:shd w:val="clear" w:color="auto" w:fill="EAF9E8"/>
          </w:tcPr>
          <w:p>
            <w:pPr>
              <w:spacing w:after="0"/>
              <w:rPr>
                <w:sz w:val="17"/>
                <w:szCs w:val="17"/>
                <w:color w:val="auto"/>
              </w:rPr>
            </w:pPr>
          </w:p>
        </w:tc>
        <w:tc>
          <w:tcPr>
            <w:tcW w:w="140" w:type="dxa"/>
            <w:vAlign w:val="bottom"/>
            <w:tcBorders>
              <w:top w:val="single" w:sz="8" w:color="auto"/>
            </w:tcBorders>
            <w:shd w:val="clear" w:color="auto" w:fill="EAF9E8"/>
          </w:tcPr>
          <w:p>
            <w:pPr>
              <w:spacing w:after="0"/>
              <w:rPr>
                <w:sz w:val="17"/>
                <w:szCs w:val="17"/>
                <w:color w:val="auto"/>
              </w:rPr>
            </w:pPr>
          </w:p>
        </w:tc>
        <w:tc>
          <w:tcPr>
            <w:tcW w:w="1120" w:type="dxa"/>
            <w:vAlign w:val="bottom"/>
            <w:tcBorders>
              <w:top w:val="single" w:sz="8" w:color="auto"/>
            </w:tcBorders>
            <w:shd w:val="clear" w:color="auto" w:fill="EAF9E8"/>
          </w:tcPr>
          <w:p>
            <w:pPr>
              <w:spacing w:after="0"/>
              <w:rPr>
                <w:sz w:val="17"/>
                <w:szCs w:val="17"/>
                <w:color w:val="auto"/>
              </w:rPr>
            </w:pPr>
          </w:p>
        </w:tc>
        <w:tc>
          <w:tcPr>
            <w:tcW w:w="100" w:type="dxa"/>
            <w:vAlign w:val="bottom"/>
            <w:tcBorders>
              <w:top w:val="single" w:sz="8" w:color="EAF9E8"/>
            </w:tcBorders>
            <w:shd w:val="clear" w:color="auto" w:fill="EAF9E8"/>
          </w:tcPr>
          <w:p>
            <w:pPr>
              <w:spacing w:after="0"/>
              <w:rPr>
                <w:sz w:val="17"/>
                <w:szCs w:val="17"/>
                <w:color w:val="auto"/>
              </w:rPr>
            </w:pPr>
          </w:p>
        </w:tc>
        <w:tc>
          <w:tcPr>
            <w:tcW w:w="200" w:type="dxa"/>
            <w:vAlign w:val="bottom"/>
            <w:tcBorders>
              <w:top w:val="single" w:sz="8" w:color="auto"/>
            </w:tcBorders>
            <w:shd w:val="clear" w:color="auto" w:fill="EAF9E8"/>
          </w:tcPr>
          <w:p>
            <w:pPr>
              <w:spacing w:after="0"/>
              <w:rPr>
                <w:sz w:val="17"/>
                <w:szCs w:val="17"/>
                <w:color w:val="auto"/>
              </w:rPr>
            </w:pPr>
          </w:p>
        </w:tc>
        <w:tc>
          <w:tcPr>
            <w:tcW w:w="1360" w:type="dxa"/>
            <w:vAlign w:val="bottom"/>
            <w:tcBorders>
              <w:top w:val="single" w:sz="8" w:color="auto"/>
            </w:tcBorders>
            <w:shd w:val="clear" w:color="auto" w:fill="EAF9E8"/>
          </w:tcPr>
          <w:p>
            <w:pPr>
              <w:spacing w:after="0"/>
              <w:rPr>
                <w:sz w:val="17"/>
                <w:szCs w:val="17"/>
                <w:color w:val="auto"/>
              </w:rPr>
            </w:pPr>
          </w:p>
        </w:tc>
        <w:tc>
          <w:tcPr>
            <w:tcW w:w="100" w:type="dxa"/>
            <w:vAlign w:val="bottom"/>
            <w:tcBorders>
              <w:top w:val="single" w:sz="8" w:color="EAF9E8"/>
            </w:tcBorders>
            <w:shd w:val="clear" w:color="auto" w:fill="EAF9E8"/>
          </w:tcPr>
          <w:p>
            <w:pPr>
              <w:spacing w:after="0"/>
              <w:rPr>
                <w:sz w:val="17"/>
                <w:szCs w:val="17"/>
                <w:color w:val="auto"/>
              </w:rPr>
            </w:pPr>
          </w:p>
        </w:tc>
        <w:tc>
          <w:tcPr>
            <w:tcW w:w="380" w:type="dxa"/>
            <w:vAlign w:val="bottom"/>
            <w:tcBorders>
              <w:top w:val="single" w:sz="8" w:color="auto"/>
            </w:tcBorders>
            <w:shd w:val="clear" w:color="auto" w:fill="EAF9E8"/>
          </w:tcPr>
          <w:p>
            <w:pPr>
              <w:spacing w:after="0"/>
              <w:rPr>
                <w:sz w:val="17"/>
                <w:szCs w:val="17"/>
                <w:color w:val="auto"/>
              </w:rPr>
            </w:pPr>
          </w:p>
        </w:tc>
        <w:tc>
          <w:tcPr>
            <w:tcW w:w="1180" w:type="dxa"/>
            <w:vAlign w:val="bottom"/>
            <w:tcBorders>
              <w:top w:val="single" w:sz="8" w:color="auto"/>
            </w:tcBorders>
            <w:shd w:val="clear" w:color="auto" w:fill="EAF9E8"/>
          </w:tcPr>
          <w:p>
            <w:pPr>
              <w:spacing w:after="0"/>
              <w:rPr>
                <w:sz w:val="17"/>
                <w:szCs w:val="17"/>
                <w:color w:val="auto"/>
              </w:rPr>
            </w:pPr>
          </w:p>
        </w:tc>
      </w:tr>
      <w:tr>
        <w:trPr>
          <w:trHeight w:val="261"/>
        </w:trPr>
        <w:tc>
          <w:tcPr>
            <w:tcW w:w="2580" w:type="dxa"/>
            <w:vAlign w:val="bottom"/>
            <w:tcBorders>
              <w:bottom w:val="single" w:sz="8" w:color="EAF9E8"/>
            </w:tcBorders>
            <w:shd w:val="clear" w:color="auto" w:fill="EAF9E8"/>
          </w:tcPr>
          <w:p>
            <w:pPr>
              <w:ind w:left="340"/>
              <w:spacing w:after="0"/>
              <w:rPr>
                <w:sz w:val="20"/>
                <w:szCs w:val="20"/>
                <w:color w:val="auto"/>
              </w:rPr>
            </w:pPr>
            <w:r>
              <w:rPr>
                <w:rFonts w:ascii="Arial" w:cs="Arial" w:eastAsia="Arial" w:hAnsi="Arial"/>
                <w:sz w:val="18"/>
                <w:szCs w:val="18"/>
                <w:b w:val="1"/>
                <w:bCs w:val="1"/>
                <w:color w:val="auto"/>
                <w:w w:val="96"/>
              </w:rPr>
              <w:t>Funding Facility (OFAF) (7)</w:t>
            </w:r>
          </w:p>
        </w:tc>
        <w:tc>
          <w:tcPr>
            <w:tcW w:w="100" w:type="dxa"/>
            <w:vAlign w:val="bottom"/>
            <w:tcBorders>
              <w:bottom w:val="single" w:sz="8" w:color="EAF9E8"/>
            </w:tcBorders>
            <w:shd w:val="clear" w:color="auto" w:fill="EAF9E8"/>
          </w:tcPr>
          <w:p>
            <w:pPr>
              <w:spacing w:after="0"/>
              <w:rPr>
                <w:sz w:val="22"/>
                <w:szCs w:val="22"/>
                <w:color w:val="auto"/>
              </w:rPr>
            </w:pPr>
          </w:p>
        </w:tc>
        <w:tc>
          <w:tcPr>
            <w:tcW w:w="124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48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42,462</w:t>
            </w:r>
          </w:p>
        </w:tc>
        <w:tc>
          <w:tcPr>
            <w:tcW w:w="100" w:type="dxa"/>
            <w:vAlign w:val="bottom"/>
            <w:tcBorders>
              <w:bottom w:val="single" w:sz="8" w:color="EAF9E8"/>
            </w:tcBorders>
            <w:shd w:val="clear" w:color="auto" w:fill="EAF9E8"/>
          </w:tcPr>
          <w:p>
            <w:pPr>
              <w:spacing w:after="0"/>
              <w:rPr>
                <w:sz w:val="22"/>
                <w:szCs w:val="22"/>
                <w:color w:val="auto"/>
              </w:rPr>
            </w:pPr>
          </w:p>
        </w:tc>
        <w:tc>
          <w:tcPr>
            <w:tcW w:w="200" w:type="dxa"/>
            <w:vAlign w:val="bottom"/>
            <w:tcBorders>
              <w:bottom w:val="single" w:sz="8" w:color="EAF9E8"/>
            </w:tcBorders>
            <w:shd w:val="clear" w:color="auto" w:fill="EAF9E8"/>
          </w:tcPr>
          <w:p>
            <w:pPr>
              <w:spacing w:after="0"/>
              <w:rPr>
                <w:sz w:val="22"/>
                <w:szCs w:val="22"/>
                <w:color w:val="auto"/>
              </w:rPr>
            </w:pPr>
          </w:p>
        </w:tc>
        <w:tc>
          <w:tcPr>
            <w:tcW w:w="13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117,538</w:t>
            </w:r>
          </w:p>
        </w:tc>
        <w:tc>
          <w:tcPr>
            <w:tcW w:w="100" w:type="dxa"/>
            <w:vAlign w:val="bottom"/>
            <w:tcBorders>
              <w:bottom w:val="single" w:sz="8" w:color="EAF9E8"/>
            </w:tcBorders>
            <w:shd w:val="clear" w:color="auto" w:fill="EAF9E8"/>
          </w:tcPr>
          <w:p>
            <w:pPr>
              <w:spacing w:after="0"/>
              <w:rPr>
                <w:sz w:val="22"/>
                <w:szCs w:val="22"/>
                <w:color w:val="auto"/>
              </w:rPr>
            </w:pPr>
          </w:p>
        </w:tc>
        <w:tc>
          <w:tcPr>
            <w:tcW w:w="38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139,478</w:t>
            </w:r>
          </w:p>
        </w:tc>
      </w:tr>
      <w:tr>
        <w:trPr>
          <w:trHeight w:val="318"/>
        </w:trPr>
        <w:tc>
          <w:tcPr>
            <w:tcW w:w="2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r>
      <w:tr>
        <w:trPr>
          <w:trHeight w:val="275"/>
        </w:trPr>
        <w:tc>
          <w:tcPr>
            <w:tcW w:w="2580" w:type="dxa"/>
            <w:vAlign w:val="bottom"/>
            <w:tcBorders>
              <w:bottom w:val="single" w:sz="8" w:color="EAF9E8"/>
            </w:tcBorders>
            <w:shd w:val="clear" w:color="auto" w:fill="EAF9E8"/>
          </w:tcPr>
          <w:p>
            <w:pPr>
              <w:spacing w:after="0"/>
              <w:rPr>
                <w:sz w:val="23"/>
                <w:szCs w:val="23"/>
                <w:color w:val="auto"/>
              </w:rPr>
            </w:pPr>
          </w:p>
        </w:tc>
        <w:tc>
          <w:tcPr>
            <w:tcW w:w="10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spacing w:after="0"/>
              <w:rPr>
                <w:sz w:val="23"/>
                <w:szCs w:val="23"/>
                <w:color w:val="auto"/>
              </w:rPr>
            </w:pPr>
          </w:p>
        </w:tc>
        <w:tc>
          <w:tcPr>
            <w:tcW w:w="10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spacing w:after="0"/>
              <w:rPr>
                <w:sz w:val="23"/>
                <w:szCs w:val="23"/>
                <w:color w:val="auto"/>
              </w:rPr>
            </w:pPr>
          </w:p>
        </w:tc>
        <w:tc>
          <w:tcPr>
            <w:tcW w:w="100" w:type="dxa"/>
            <w:vAlign w:val="bottom"/>
            <w:tcBorders>
              <w:bottom w:val="single" w:sz="8" w:color="EAF9E8"/>
            </w:tcBorders>
            <w:shd w:val="clear" w:color="auto" w:fill="EAF9E8"/>
          </w:tcPr>
          <w:p>
            <w:pPr>
              <w:spacing w:after="0"/>
              <w:rPr>
                <w:sz w:val="23"/>
                <w:szCs w:val="23"/>
                <w:color w:val="auto"/>
              </w:rPr>
            </w:pPr>
          </w:p>
        </w:tc>
        <w:tc>
          <w:tcPr>
            <w:tcW w:w="1720" w:type="dxa"/>
            <w:vAlign w:val="bottom"/>
            <w:tcBorders>
              <w:bottom w:val="single" w:sz="8" w:color="EAF9E8"/>
            </w:tcBorders>
            <w:gridSpan w:val="3"/>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318,619</w:t>
            </w:r>
          </w:p>
        </w:tc>
        <w:tc>
          <w:tcPr>
            <w:tcW w:w="100" w:type="dxa"/>
            <w:vAlign w:val="bottom"/>
            <w:tcBorders>
              <w:bottom w:val="single" w:sz="8" w:color="EAF9E8"/>
            </w:tcBorders>
            <w:shd w:val="clear" w:color="auto" w:fill="EAF9E8"/>
          </w:tcPr>
          <w:p>
            <w:pPr>
              <w:spacing w:after="0"/>
              <w:rPr>
                <w:sz w:val="23"/>
                <w:szCs w:val="23"/>
                <w:color w:val="auto"/>
              </w:rPr>
            </w:pPr>
          </w:p>
        </w:tc>
        <w:tc>
          <w:tcPr>
            <w:tcW w:w="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1,431,381</w:t>
            </w:r>
          </w:p>
        </w:tc>
        <w:tc>
          <w:tcPr>
            <w:tcW w:w="100" w:type="dxa"/>
            <w:vAlign w:val="bottom"/>
            <w:tcBorders>
              <w:bottom w:val="single" w:sz="8" w:color="EAF9E8"/>
            </w:tcBorders>
            <w:shd w:val="clear" w:color="auto" w:fill="EAF9E8"/>
          </w:tcPr>
          <w:p>
            <w:pPr>
              <w:spacing w:after="0"/>
              <w:rPr>
                <w:sz w:val="23"/>
                <w:szCs w:val="23"/>
                <w:color w:val="auto"/>
              </w:rPr>
            </w:pPr>
          </w:p>
        </w:tc>
        <w:tc>
          <w:tcPr>
            <w:tcW w:w="380" w:type="dxa"/>
            <w:vAlign w:val="bottom"/>
            <w:tcBorders>
              <w:bottom w:val="single" w:sz="8" w:color="EAF9E8"/>
            </w:tcBorders>
            <w:shd w:val="clear" w:color="auto" w:fill="EAF9E8"/>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1,584,049</w:t>
            </w:r>
          </w:p>
        </w:tc>
      </w:tr>
      <w:tr>
        <w:trPr>
          <w:trHeight w:val="20"/>
        </w:trPr>
        <w:tc>
          <w:tcPr>
            <w:tcW w:w="2580" w:type="dxa"/>
            <w:vAlign w:val="bottom"/>
            <w:tcBorders>
              <w:top w:val="single" w:sz="8" w:color="EAF9E8"/>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240" w:type="dxa"/>
            <w:vAlign w:val="bottom"/>
            <w:tcBorders>
              <w:top w:val="single" w:sz="8" w:color="EAF9E8"/>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140" w:type="dxa"/>
            <w:vAlign w:val="bottom"/>
            <w:tcBorders>
              <w:top w:val="single" w:sz="8" w:color="EAF9E8"/>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480" w:type="dxa"/>
            <w:vAlign w:val="bottom"/>
            <w:tcBorders>
              <w:top w:val="single" w:sz="8" w:color="EAF9E8"/>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2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64"/>
        </w:trPr>
        <w:tc>
          <w:tcPr>
            <w:tcW w:w="25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Weighted average interest rate</w:t>
            </w:r>
          </w:p>
        </w:tc>
        <w:tc>
          <w:tcPr>
            <w:tcW w:w="100" w:type="dxa"/>
            <w:vAlign w:val="bottom"/>
            <w:tcBorders>
              <w:bottom w:val="single" w:sz="8" w:color="EAF9E8"/>
            </w:tcBorders>
            <w:shd w:val="clear" w:color="auto" w:fill="EAF9E8"/>
          </w:tcPr>
          <w:p>
            <w:pPr>
              <w:spacing w:after="0"/>
              <w:rPr>
                <w:sz w:val="22"/>
                <w:szCs w:val="22"/>
                <w:color w:val="auto"/>
              </w:rPr>
            </w:pPr>
          </w:p>
        </w:tc>
        <w:tc>
          <w:tcPr>
            <w:tcW w:w="124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48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200" w:type="dxa"/>
            <w:vAlign w:val="bottom"/>
            <w:tcBorders>
              <w:bottom w:val="single" w:sz="8" w:color="auto"/>
            </w:tcBorders>
            <w:shd w:val="clear" w:color="auto" w:fill="EAF9E8"/>
          </w:tcPr>
          <w:p>
            <w:pPr>
              <w:spacing w:after="0"/>
              <w:rPr>
                <w:sz w:val="22"/>
                <w:szCs w:val="22"/>
                <w:color w:val="auto"/>
              </w:rPr>
            </w:pPr>
          </w:p>
        </w:tc>
        <w:tc>
          <w:tcPr>
            <w:tcW w:w="13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Borders>
              <w:bottom w:val="single" w:sz="8" w:color="EAF9E8"/>
            </w:tcBorders>
            <w:shd w:val="clear" w:color="auto" w:fill="EAF9E8"/>
          </w:tcPr>
          <w:p>
            <w:pPr>
              <w:spacing w:after="0"/>
              <w:rPr>
                <w:sz w:val="22"/>
                <w:szCs w:val="22"/>
                <w:color w:val="auto"/>
              </w:rPr>
            </w:pPr>
          </w:p>
        </w:tc>
        <w:tc>
          <w:tcPr>
            <w:tcW w:w="380" w:type="dxa"/>
            <w:vAlign w:val="bottom"/>
            <w:tcBorders>
              <w:bottom w:val="single" w:sz="8" w:color="auto"/>
            </w:tcBorders>
            <w:shd w:val="clear" w:color="auto" w:fill="EAF9E8"/>
          </w:tcPr>
          <w:p>
            <w:pPr>
              <w:spacing w:after="0"/>
              <w:rPr>
                <w:sz w:val="22"/>
                <w:szCs w:val="22"/>
                <w:color w:val="auto"/>
              </w:rPr>
            </w:pPr>
          </w:p>
        </w:tc>
        <w:tc>
          <w:tcPr>
            <w:tcW w:w="1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3.15%</w:t>
            </w:r>
          </w:p>
        </w:tc>
      </w:tr>
      <w:tr>
        <w:trPr>
          <w:trHeight w:val="20"/>
        </w:trPr>
        <w:tc>
          <w:tcPr>
            <w:tcW w:w="2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500" w:right="80" w:hanging="492"/>
        <w:spacing w:after="0" w:line="251" w:lineRule="auto"/>
        <w:tabs>
          <w:tab w:leader="none" w:pos="5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amortization date of our facilities is the date on which the revolving period ends under each advance facility note and repayment of the outstanding balance must begin if the note is not renewed or extended. The maturity date is the date on which all outstanding balances must be repaid. In all of our advance facilities, there are multiple notes outstanding. For each note, after the amortization date, all collections that represent the repayment of advances pledged to the facility must be applied to reduce the balance of the note outstanding, and any new advances are ineligible to be financed.</w:t>
      </w:r>
    </w:p>
    <w:p>
      <w:pPr>
        <w:ind w:left="500" w:right="280" w:hanging="492"/>
        <w:spacing w:after="0" w:line="246" w:lineRule="auto"/>
        <w:tabs>
          <w:tab w:leader="none" w:pos="5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Borrowing capacity is available to us provided that we have additional eligible collateral to pledge. Collateral may only be pledged to one facility. At June 30, 2016, none of the available borrowing capacity could be used based on the amount of eligible collateral that had been pledged.</w:t>
      </w:r>
    </w:p>
    <w:p>
      <w:pPr>
        <w:ind w:left="500" w:hanging="492"/>
        <w:spacing w:after="0"/>
        <w:tabs>
          <w:tab w:leader="none" w:pos="5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1ML was 0.47% and 0.43% at June 30, 2016 and December 31, 2015, respectively.</w:t>
      </w:r>
    </w:p>
    <w:p>
      <w:pPr>
        <w:spacing w:after="0" w:line="5" w:lineRule="exact"/>
        <w:rPr>
          <w:rFonts w:ascii="Arial" w:cs="Arial" w:eastAsia="Arial" w:hAnsi="Arial"/>
          <w:sz w:val="16"/>
          <w:szCs w:val="16"/>
          <w:color w:val="auto"/>
        </w:rPr>
      </w:pPr>
    </w:p>
    <w:p>
      <w:pPr>
        <w:ind w:left="500" w:hanging="492"/>
        <w:spacing w:after="0"/>
        <w:tabs>
          <w:tab w:leader="none" w:pos="5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There is a ceiling of 75 bps for 1ML in determining the interest rate for these variable rate notes.</w:t>
      </w:r>
    </w:p>
    <w:p>
      <w:pPr>
        <w:spacing w:after="0" w:line="5" w:lineRule="exact"/>
        <w:rPr>
          <w:rFonts w:ascii="Arial" w:cs="Arial" w:eastAsia="Arial" w:hAnsi="Arial"/>
          <w:sz w:val="16"/>
          <w:szCs w:val="16"/>
          <w:color w:val="auto"/>
        </w:rPr>
      </w:pPr>
    </w:p>
    <w:p>
      <w:pPr>
        <w:ind w:left="500" w:right="20" w:hanging="492"/>
        <w:spacing w:after="0" w:line="246" w:lineRule="auto"/>
        <w:tabs>
          <w:tab w:leader="none" w:pos="5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Under the terms of the agreement, we must continue to borrow the full amount of the Series 2015-T1, T2 and T3 Notes until the amortization date. If there is insufficient collateral to support the level of borrowing, the excess cash proceeds are not distributed to Ocwen but are held by the trustee, and interest expense continues to be based on the full amount of the term notes.</w:t>
      </w:r>
    </w:p>
    <w:p>
      <w:pPr>
        <w:spacing w:after="0" w:line="1" w:lineRule="exact"/>
        <w:rPr>
          <w:rFonts w:ascii="Arial" w:cs="Arial" w:eastAsia="Arial" w:hAnsi="Arial"/>
          <w:sz w:val="16"/>
          <w:szCs w:val="16"/>
          <w:color w:val="auto"/>
        </w:rPr>
      </w:pPr>
    </w:p>
    <w:p>
      <w:pPr>
        <w:ind w:left="500" w:right="360" w:hanging="492"/>
        <w:spacing w:after="0" w:line="257" w:lineRule="auto"/>
        <w:tabs>
          <w:tab w:leader="none" w:pos="5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On March 31, 2016, the maximum borrowing under the OSART III facility was increased to $90.0 million. There is a ceiling of 75 bps for 1ML in determining the interest rate for these variable rate notes.</w:t>
      </w:r>
    </w:p>
    <w:p>
      <w:pPr>
        <w:sectPr>
          <w:pgSz w:w="11900" w:h="16838" w:orient="portrait"/>
          <w:cols w:equalWidth="0" w:num="1">
            <w:col w:w="11420"/>
          </w:cols>
          <w:pgMar w:left="240" w:top="742" w:right="239" w:bottom="1440" w:gutter="0" w:footer="0" w:header="0"/>
        </w:sect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742" w:right="239" w:bottom="1440" w:gutter="0" w:footer="0" w:header="0"/>
          <w:type w:val="continuous"/>
        </w:sectPr>
      </w:pPr>
    </w:p>
    <w:bookmarkStart w:id="34" w:name="page35"/>
    <w:bookmarkEnd w:id="34"/>
    <w:p>
      <w:pPr>
        <w:ind w:left="500" w:right="240" w:hanging="492"/>
        <w:spacing w:after="0" w:line="275" w:lineRule="auto"/>
        <w:tabs>
          <w:tab w:leader="none" w:pos="5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On March 31, 2016, the combined borrowing capacity of the Series 2015-VF1 Notes was increased to $160.0 million. On June 10, 2016, the term of this facility was extended for an additional year. There is a ceiling of 125 bps for 1ML in determining the interest rate for these notes.</w:t>
      </w:r>
    </w:p>
    <w:p>
      <w:pPr>
        <w:spacing w:after="0" w:line="60"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Pursuant to our agreements with NRZ, NRZ has assumed the obligation to fund new servicing advances with respect to the Rights to MSRs. We are dependent upon NRZ for financing of the servicing advance obligations for Rights to MSRs where we are the servicer. NRZ currently uses advance financing facilities in order to fund a substantial portion of the servicing advances that they are contractually obligated to make pursuant to our agreements with them. As of June 30, 2016, we were the servicer on Rights to MSRs sold to NRZ pertaining to approximately $128.1 billion in UPB and the associated outstanding servicing advances as of such date were approximately $4.6 billion. Should NRZ’s advance financing facilities fail to perform as envisaged or should NRZ otherwise be unable to meet its advance financing obligations, our liquidity, financial condition and business could be materially and adversely affected. As the servicer, we are contractually required under our servicing agreements to make the relevant servicing advances even if NRZ does not perform its contractual obligations to fund those advances.</w:t>
      </w:r>
    </w:p>
    <w:p>
      <w:pPr>
        <w:spacing w:after="0" w:line="71"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In addition, although we are not an obligor or guarantor under NRZ’s advance financing facilities, we are a party to certain of the facility documents as the servicer of the underlying loans on which advances are being financed. As the servicer, we make certain representations, warranties and covenants, including representations and warranties in connection with our sale of advances to NRZ.</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Liabilities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Financing liabilities are comprised of the following at the dates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4580" w:type="dxa"/>
            <w:vAlign w:val="bottom"/>
            <w:gridSpan w:val="2"/>
          </w:tcPr>
          <w:p>
            <w:pPr>
              <w:ind w:left="1780"/>
              <w:spacing w:after="0"/>
              <w:rPr>
                <w:sz w:val="20"/>
                <w:szCs w:val="20"/>
                <w:color w:val="auto"/>
              </w:rPr>
            </w:pPr>
            <w:r>
              <w:rPr>
                <w:rFonts w:ascii="Arial" w:cs="Arial" w:eastAsia="Arial" w:hAnsi="Arial"/>
                <w:sz w:val="18"/>
                <w:szCs w:val="18"/>
                <w:b w:val="1"/>
                <w:bCs w:val="1"/>
                <w:color w:val="auto"/>
              </w:rPr>
              <w:t>Borrowings</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Collateral</w:t>
            </w: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Interest Rate</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Maturity</w:t>
            </w:r>
          </w:p>
        </w:tc>
        <w:tc>
          <w:tcPr>
            <w:tcW w:w="180" w:type="dxa"/>
            <w:vAlign w:val="bottom"/>
          </w:tcPr>
          <w:p>
            <w:pPr>
              <w:spacing w:after="0"/>
              <w:rPr>
                <w:sz w:val="20"/>
                <w:szCs w:val="20"/>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June 30, 2016</w:t>
            </w: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44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58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Servicing:</w:t>
            </w:r>
          </w:p>
        </w:tc>
        <w:tc>
          <w:tcPr>
            <w:tcW w:w="11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r>
      <w:tr>
        <w:trPr>
          <w:trHeight w:val="243"/>
        </w:trPr>
        <w:tc>
          <w:tcPr>
            <w:tcW w:w="4580" w:type="dxa"/>
            <w:vAlign w:val="bottom"/>
            <w:gridSpan w:val="2"/>
          </w:tcPr>
          <w:p>
            <w:pPr>
              <w:ind w:left="180"/>
              <w:spacing w:after="0"/>
              <w:rPr>
                <w:sz w:val="20"/>
                <w:szCs w:val="20"/>
                <w:color w:val="auto"/>
              </w:rPr>
            </w:pPr>
            <w:r>
              <w:rPr>
                <w:rFonts w:ascii="Arial" w:cs="Arial" w:eastAsia="Arial" w:hAnsi="Arial"/>
                <w:sz w:val="18"/>
                <w:szCs w:val="18"/>
                <w:color w:val="auto"/>
              </w:rPr>
              <w:t>Financing liability – MSRs pledged</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MSRs</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2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495,126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541,704</w:t>
            </w:r>
          </w:p>
        </w:tc>
      </w:tr>
      <w:tr>
        <w:trPr>
          <w:trHeight w:val="27"/>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4580" w:type="dxa"/>
            <w:vAlign w:val="bottom"/>
            <w:gridSpan w:val="2"/>
            <w:shd w:val="clear" w:color="auto" w:fill="EAF9E8"/>
          </w:tcPr>
          <w:p>
            <w:pPr>
              <w:ind w:left="180"/>
              <w:spacing w:after="0"/>
              <w:rPr>
                <w:sz w:val="20"/>
                <w:szCs w:val="20"/>
                <w:color w:val="auto"/>
              </w:rPr>
            </w:pPr>
            <w:r>
              <w:rPr>
                <w:rFonts w:ascii="Arial" w:cs="Arial" w:eastAsia="Arial" w:hAnsi="Arial"/>
                <w:sz w:val="18"/>
                <w:szCs w:val="18"/>
                <w:color w:val="auto"/>
                <w:w w:val="99"/>
              </w:rPr>
              <w:t>Secured Notes, Ocwen Asset Servicing Income Series,</w:t>
            </w:r>
          </w:p>
        </w:tc>
        <w:tc>
          <w:tcPr>
            <w:tcW w:w="11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3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300" w:type="dxa"/>
            <w:vAlign w:val="bottom"/>
            <w:shd w:val="clear" w:color="auto" w:fill="EAF9E8"/>
          </w:tcPr>
          <w:p>
            <w:pPr>
              <w:spacing w:after="0"/>
              <w:rPr>
                <w:sz w:val="19"/>
                <w:szCs w:val="19"/>
                <w:color w:val="auto"/>
              </w:rPr>
            </w:pPr>
          </w:p>
        </w:tc>
      </w:tr>
      <w:tr>
        <w:trPr>
          <w:trHeight w:val="237"/>
        </w:trPr>
        <w:tc>
          <w:tcPr>
            <w:tcW w:w="4580" w:type="dxa"/>
            <w:vAlign w:val="bottom"/>
            <w:tcBorders>
              <w:bottom w:val="single" w:sz="8" w:color="EAF9E8"/>
            </w:tcBorders>
            <w:gridSpan w:val="2"/>
            <w:shd w:val="clear" w:color="auto" w:fill="EAF9E8"/>
          </w:tcPr>
          <w:p>
            <w:pPr>
              <w:ind w:left="340"/>
              <w:spacing w:after="0"/>
              <w:rPr>
                <w:sz w:val="20"/>
                <w:szCs w:val="20"/>
                <w:color w:val="auto"/>
              </w:rPr>
            </w:pPr>
            <w:r>
              <w:rPr>
                <w:rFonts w:ascii="Arial" w:cs="Arial" w:eastAsia="Arial" w:hAnsi="Arial"/>
                <w:sz w:val="18"/>
                <w:szCs w:val="18"/>
                <w:color w:val="auto"/>
              </w:rPr>
              <w:t>Series 2014-1 (2)</w:t>
            </w:r>
          </w:p>
        </w:tc>
        <w:tc>
          <w:tcPr>
            <w:tcW w:w="12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89"/>
              </w:rPr>
              <w:t>MSRs</w:t>
            </w:r>
          </w:p>
        </w:tc>
        <w:tc>
          <w:tcPr>
            <w:tcW w:w="114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Borders>
              <w:bottom w:val="single" w:sz="8" w:color="EAF9E8"/>
            </w:tcBorders>
            <w:shd w:val="clear" w:color="auto" w:fill="EAF9E8"/>
          </w:tcPr>
          <w:p>
            <w:pPr>
              <w:spacing w:after="0"/>
              <w:rPr>
                <w:sz w:val="20"/>
                <w:szCs w:val="20"/>
                <w:color w:val="auto"/>
              </w:rPr>
            </w:pPr>
          </w:p>
        </w:tc>
        <w:tc>
          <w:tcPr>
            <w:tcW w:w="1240" w:type="dxa"/>
            <w:vAlign w:val="bottom"/>
            <w:tcBorders>
              <w:bottom w:val="single" w:sz="8" w:color="EAF9E8"/>
            </w:tcBorders>
            <w:gridSpan w:val="2"/>
            <w:shd w:val="clear" w:color="auto" w:fill="EAF9E8"/>
          </w:tcPr>
          <w:p>
            <w:pPr>
              <w:jc w:val="center"/>
              <w:ind w:right="80"/>
              <w:spacing w:after="0"/>
              <w:rPr>
                <w:sz w:val="20"/>
                <w:szCs w:val="20"/>
                <w:color w:val="auto"/>
              </w:rPr>
            </w:pPr>
            <w:r>
              <w:rPr>
                <w:rFonts w:ascii="Arial" w:cs="Arial" w:eastAsia="Arial" w:hAnsi="Arial"/>
                <w:sz w:val="18"/>
                <w:szCs w:val="18"/>
                <w:color w:val="auto"/>
                <w:w w:val="88"/>
              </w:rPr>
              <w:t>Feb. 2028</w:t>
            </w:r>
          </w:p>
        </w:tc>
        <w:tc>
          <w:tcPr>
            <w:tcW w:w="180" w:type="dxa"/>
            <w:vAlign w:val="bottom"/>
            <w:tcBorders>
              <w:bottom w:val="single" w:sz="8" w:color="EAF9E8"/>
            </w:tcBorders>
            <w:shd w:val="clear" w:color="auto" w:fill="EAF9E8"/>
          </w:tcPr>
          <w:p>
            <w:pPr>
              <w:spacing w:after="0"/>
              <w:rPr>
                <w:sz w:val="20"/>
                <w:szCs w:val="20"/>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89,256</w:t>
            </w:r>
          </w:p>
        </w:tc>
        <w:tc>
          <w:tcPr>
            <w:tcW w:w="100" w:type="dxa"/>
            <w:vAlign w:val="bottom"/>
            <w:tcBorders>
              <w:bottom w:val="single" w:sz="8" w:color="EAF9E8"/>
            </w:tcBorders>
            <w:shd w:val="clear" w:color="auto" w:fill="EAF9E8"/>
          </w:tcPr>
          <w:p>
            <w:pPr>
              <w:spacing w:after="0"/>
              <w:rPr>
                <w:sz w:val="20"/>
                <w:szCs w:val="20"/>
                <w:color w:val="auto"/>
              </w:rPr>
            </w:pPr>
          </w:p>
        </w:tc>
        <w:tc>
          <w:tcPr>
            <w:tcW w:w="180" w:type="dxa"/>
            <w:vAlign w:val="bottom"/>
            <w:tcBorders>
              <w:bottom w:val="single" w:sz="8" w:color="EAF9E8"/>
            </w:tcBorders>
            <w:shd w:val="clear" w:color="auto" w:fill="EAF9E8"/>
          </w:tcPr>
          <w:p>
            <w:pPr>
              <w:spacing w:after="0"/>
              <w:rPr>
                <w:sz w:val="20"/>
                <w:szCs w:val="20"/>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96,546</w:t>
            </w:r>
          </w:p>
        </w:tc>
      </w:tr>
      <w:tr>
        <w:trPr>
          <w:trHeight w:val="229"/>
        </w:trPr>
        <w:tc>
          <w:tcPr>
            <w:tcW w:w="4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Advances on</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4580" w:type="dxa"/>
            <w:vAlign w:val="bottom"/>
            <w:gridSpan w:val="2"/>
          </w:tcPr>
          <w:p>
            <w:pPr>
              <w:ind w:left="180"/>
              <w:spacing w:after="0"/>
              <w:rPr>
                <w:sz w:val="20"/>
                <w:szCs w:val="20"/>
                <w:color w:val="auto"/>
              </w:rPr>
            </w:pPr>
            <w:r>
              <w:rPr>
                <w:rFonts w:ascii="Arial" w:cs="Arial" w:eastAsia="Arial" w:hAnsi="Arial"/>
                <w:sz w:val="18"/>
                <w:szCs w:val="18"/>
                <w:color w:val="auto"/>
              </w:rPr>
              <w:t>Financing liability – Advances pledged (3)</w:t>
            </w:r>
          </w:p>
        </w:tc>
        <w:tc>
          <w:tcPr>
            <w:tcW w:w="128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loans</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47,707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59,643</w:t>
            </w:r>
          </w:p>
        </w:tc>
      </w:tr>
      <w:tr>
        <w:trPr>
          <w:trHeight w:val="27"/>
        </w:trPr>
        <w:tc>
          <w:tcPr>
            <w:tcW w:w="446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6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446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16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632,089</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697,893</w:t>
            </w:r>
          </w:p>
        </w:tc>
      </w:tr>
      <w:tr>
        <w:trPr>
          <w:trHeight w:val="291"/>
        </w:trPr>
        <w:tc>
          <w:tcPr>
            <w:tcW w:w="4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r>
      <w:tr>
        <w:trPr>
          <w:trHeight w:val="250"/>
        </w:trPr>
        <w:tc>
          <w:tcPr>
            <w:tcW w:w="458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Lending:</w:t>
            </w:r>
          </w:p>
        </w:tc>
        <w:tc>
          <w:tcPr>
            <w:tcW w:w="11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r>
      <w:tr>
        <w:trPr>
          <w:trHeight w:val="229"/>
        </w:trPr>
        <w:tc>
          <w:tcPr>
            <w:tcW w:w="4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Loans held for</w:t>
            </w: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1ML + 252</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4580" w:type="dxa"/>
            <w:vAlign w:val="bottom"/>
            <w:gridSpan w:val="2"/>
          </w:tcPr>
          <w:p>
            <w:pPr>
              <w:ind w:left="180"/>
              <w:spacing w:after="0"/>
              <w:rPr>
                <w:sz w:val="20"/>
                <w:szCs w:val="20"/>
                <w:color w:val="auto"/>
              </w:rPr>
            </w:pPr>
            <w:r>
              <w:rPr>
                <w:rFonts w:ascii="Arial" w:cs="Arial" w:eastAsia="Arial" w:hAnsi="Arial"/>
                <w:sz w:val="18"/>
                <w:szCs w:val="18"/>
                <w:color w:val="auto"/>
              </w:rPr>
              <w:t>HMBS-related borrowings (4)</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investment</w:t>
            </w: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bps</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2,935,928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2,391,362</w:t>
            </w:r>
          </w:p>
        </w:tc>
      </w:tr>
      <w:tr>
        <w:trPr>
          <w:trHeight w:val="27"/>
        </w:trPr>
        <w:tc>
          <w:tcPr>
            <w:tcW w:w="446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6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91"/>
        </w:trPr>
        <w:tc>
          <w:tcPr>
            <w:tcW w:w="44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4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r>
      <w:tr>
        <w:trPr>
          <w:trHeight w:val="243"/>
        </w:trPr>
        <w:tc>
          <w:tcPr>
            <w:tcW w:w="4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3,568,017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3,089,255</w:t>
            </w:r>
          </w:p>
        </w:tc>
      </w:tr>
      <w:tr>
        <w:trPr>
          <w:trHeight w:val="27"/>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4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500" w:right="340" w:hanging="492"/>
        <w:spacing w:after="0" w:line="272" w:lineRule="auto"/>
        <w:tabs>
          <w:tab w:leader="none" w:pos="5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This financing liability arose in connection with the NRZ/HLSS Transactions and has no contractual maturity or repayment schedule. The balance of the liability is adjusted each reporting period to its fair value based on the present value of the estimated future cash flows underlying the related MSRs.</w:t>
      </w:r>
    </w:p>
    <w:p>
      <w:pPr>
        <w:spacing w:after="0" w:line="1" w:lineRule="exact"/>
        <w:rPr>
          <w:rFonts w:ascii="Arial" w:cs="Arial" w:eastAsia="Arial" w:hAnsi="Arial"/>
          <w:sz w:val="15"/>
          <w:szCs w:val="15"/>
          <w:color w:val="auto"/>
        </w:rPr>
      </w:pPr>
    </w:p>
    <w:p>
      <w:pPr>
        <w:ind w:left="500" w:right="240" w:hanging="492"/>
        <w:spacing w:after="0" w:line="263" w:lineRule="auto"/>
        <w:tabs>
          <w:tab w:leader="none" w:pos="5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OASIS noteholders are entitled to receive a monthly payment amount equal to the sum of: (a) the designated servicing fee amount (21 basis points of the UPB of the reference pool of Freddie Mac mortgages); (b) any termination payment amounts; (c) any excess refinance amounts; and (d) the note redemption amounts, each as defined in the indenture supplement for the notes. We accounted for this transaction as a financing. Monthly amortization of the liability is estimated using the proportion of monthly projected service fees on the underlying MSRs as a percentage of lifetime projected fees, adjusted for the term of the security.</w:t>
      </w:r>
    </w:p>
    <w:p>
      <w:pPr>
        <w:ind w:left="500" w:right="480" w:hanging="492"/>
        <w:spacing w:after="0" w:line="246" w:lineRule="auto"/>
        <w:tabs>
          <w:tab w:leader="none" w:pos="5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Certain sales of advances in 2014 did not qualify for sales accounting treatment and were accounted for as a financing. This financing liability has no contractual maturity.</w:t>
      </w:r>
    </w:p>
    <w:p>
      <w:pPr>
        <w:ind w:left="500" w:right="320" w:hanging="492"/>
        <w:spacing w:after="0" w:line="257" w:lineRule="auto"/>
        <w:tabs>
          <w:tab w:leader="none" w:pos="5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Represents amounts due to the holders of beneficial interests in Ginnie Mae guaranteed HMBS. The beneficial interests have no maturity dates, and the borrowings mature as the related loans are repaid.</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89" w:right="2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4"/>
        </w:trPr>
        <w:tc>
          <w:tcPr>
            <w:tcW w:w="2800" w:type="dxa"/>
            <w:vAlign w:val="bottom"/>
            <w:gridSpan w:val="2"/>
          </w:tcPr>
          <w:p>
            <w:pPr>
              <w:spacing w:after="0"/>
              <w:rPr>
                <w:sz w:val="20"/>
                <w:szCs w:val="20"/>
                <w:color w:val="auto"/>
              </w:rPr>
            </w:pPr>
            <w:r>
              <w:rPr>
                <w:rFonts w:ascii="Arial" w:cs="Arial" w:eastAsia="Arial" w:hAnsi="Arial"/>
                <w:sz w:val="18"/>
                <w:szCs w:val="18"/>
                <w:b w:val="1"/>
                <w:bCs w:val="1"/>
                <w:color w:val="auto"/>
              </w:rPr>
              <w:t>Other Secured Borrowings</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24"/>
        </w:trPr>
        <w:tc>
          <w:tcPr>
            <w:tcW w:w="6960" w:type="dxa"/>
            <w:vAlign w:val="bottom"/>
            <w:gridSpan w:val="8"/>
          </w:tcPr>
          <w:p>
            <w:pPr>
              <w:ind w:left="340"/>
              <w:spacing w:after="0"/>
              <w:rPr>
                <w:sz w:val="20"/>
                <w:szCs w:val="20"/>
                <w:color w:val="auto"/>
              </w:rPr>
            </w:pPr>
            <w:r>
              <w:rPr>
                <w:rFonts w:ascii="Arial" w:cs="Arial" w:eastAsia="Arial" w:hAnsi="Arial"/>
                <w:sz w:val="18"/>
                <w:szCs w:val="18"/>
                <w:color w:val="auto"/>
              </w:rPr>
              <w:t>Other secured borrowings are comprised of the following at the dates indicated:</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60"/>
        </w:trPr>
        <w:tc>
          <w:tcPr>
            <w:tcW w:w="2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Available</w:t>
            </w: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6"/>
        </w:trPr>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Borrowing</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4"/>
        </w:trPr>
        <w:tc>
          <w:tcPr>
            <w:tcW w:w="2800" w:type="dxa"/>
            <w:vAlign w:val="bottom"/>
            <w:gridSpan w:val="2"/>
          </w:tcPr>
          <w:p>
            <w:pPr>
              <w:ind w:left="900"/>
              <w:spacing w:after="0"/>
              <w:rPr>
                <w:sz w:val="20"/>
                <w:szCs w:val="20"/>
                <w:color w:val="auto"/>
              </w:rPr>
            </w:pPr>
            <w:r>
              <w:rPr>
                <w:rFonts w:ascii="Arial" w:cs="Arial" w:eastAsia="Arial" w:hAnsi="Arial"/>
                <w:sz w:val="18"/>
                <w:szCs w:val="18"/>
                <w:b w:val="1"/>
                <w:bCs w:val="1"/>
                <w:color w:val="auto"/>
              </w:rPr>
              <w:t>Borrowings</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Collateral</w:t>
            </w: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Interest Rate</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Maturity</w:t>
            </w: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Capacity (1)</w:t>
            </w:r>
          </w:p>
        </w:tc>
        <w:tc>
          <w:tcPr>
            <w:tcW w:w="200" w:type="dxa"/>
            <w:vAlign w:val="bottom"/>
          </w:tcPr>
          <w:p>
            <w:pPr>
              <w:spacing w:after="0"/>
              <w:rPr>
                <w:sz w:val="20"/>
                <w:szCs w:val="20"/>
                <w:color w:val="auto"/>
              </w:rPr>
            </w:pPr>
          </w:p>
        </w:tc>
        <w:tc>
          <w:tcPr>
            <w:tcW w:w="1460" w:type="dxa"/>
            <w:vAlign w:val="bottom"/>
            <w:gridSpan w:val="2"/>
          </w:tcPr>
          <w:p>
            <w:pPr>
              <w:ind w:left="60"/>
              <w:spacing w:after="0"/>
              <w:rPr>
                <w:sz w:val="20"/>
                <w:szCs w:val="20"/>
                <w:color w:val="auto"/>
              </w:rPr>
            </w:pPr>
            <w:r>
              <w:rPr>
                <w:rFonts w:ascii="Arial" w:cs="Arial" w:eastAsia="Arial" w:hAnsi="Arial"/>
                <w:sz w:val="18"/>
                <w:szCs w:val="18"/>
                <w:b w:val="1"/>
                <w:bCs w:val="1"/>
                <w:color w:val="auto"/>
              </w:rPr>
              <w:t>June 30, 2016</w:t>
            </w:r>
          </w:p>
        </w:tc>
        <w:tc>
          <w:tcPr>
            <w:tcW w:w="1560" w:type="dxa"/>
            <w:vAlign w:val="bottom"/>
            <w:gridSpan w:val="2"/>
          </w:tcPr>
          <w:p>
            <w:pPr>
              <w:jc w:val="right"/>
              <w:spacing w:after="0"/>
              <w:rPr>
                <w:sz w:val="20"/>
                <w:szCs w:val="20"/>
                <w:color w:val="auto"/>
              </w:rPr>
            </w:pPr>
            <w:r>
              <w:rPr>
                <w:rFonts w:ascii="Arial" w:cs="Arial" w:eastAsia="Arial" w:hAnsi="Arial"/>
                <w:sz w:val="18"/>
                <w:szCs w:val="18"/>
                <w:b w:val="1"/>
                <w:bCs w:val="1"/>
                <w:color w:val="auto"/>
                <w:w w:val="91"/>
              </w:rPr>
              <w:t>December 31, 2015</w:t>
            </w:r>
          </w:p>
        </w:tc>
      </w:tr>
      <w:tr>
        <w:trPr>
          <w:trHeight w:val="27"/>
        </w:trPr>
        <w:tc>
          <w:tcPr>
            <w:tcW w:w="26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280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Servicing:</w:t>
            </w:r>
          </w:p>
        </w:tc>
        <w:tc>
          <w:tcPr>
            <w:tcW w:w="1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5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4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r>
      <w:tr>
        <w:trPr>
          <w:trHeight w:val="229"/>
        </w:trPr>
        <w:tc>
          <w:tcPr>
            <w:tcW w:w="2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1-Month Euro-dollar</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16"/>
        </w:trPr>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rate + 425 bps with a</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Eurodollar floor of</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2800" w:type="dxa"/>
            <w:vAlign w:val="bottom"/>
            <w:gridSpan w:val="2"/>
          </w:tcPr>
          <w:p>
            <w:pPr>
              <w:ind w:left="180"/>
              <w:spacing w:after="0"/>
              <w:rPr>
                <w:sz w:val="20"/>
                <w:szCs w:val="20"/>
                <w:color w:val="auto"/>
              </w:rPr>
            </w:pPr>
            <w:r>
              <w:rPr>
                <w:rFonts w:ascii="Arial" w:cs="Arial" w:eastAsia="Arial" w:hAnsi="Arial"/>
                <w:sz w:val="18"/>
                <w:szCs w:val="18"/>
                <w:color w:val="auto"/>
              </w:rPr>
              <w:t>SSTL (2)</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(2)</w:t>
            </w:r>
          </w:p>
        </w:tc>
        <w:tc>
          <w:tcPr>
            <w:tcW w:w="120" w:type="dxa"/>
            <w:vAlign w:val="bottom"/>
          </w:tcPr>
          <w:p>
            <w:pPr>
              <w:spacing w:after="0"/>
              <w:rPr>
                <w:sz w:val="20"/>
                <w:szCs w:val="20"/>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125 bps (2)</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Feb. 2018</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369,103</w:t>
            </w:r>
          </w:p>
        </w:tc>
        <w:tc>
          <w:tcPr>
            <w:tcW w:w="100" w:type="dxa"/>
            <w:vAlign w:val="bottom"/>
          </w:tcPr>
          <w:p>
            <w:pPr>
              <w:spacing w:after="0"/>
              <w:rPr>
                <w:sz w:val="20"/>
                <w:szCs w:val="20"/>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398,454</w:t>
            </w:r>
          </w:p>
        </w:tc>
      </w:tr>
      <w:tr>
        <w:trPr>
          <w:trHeight w:val="27"/>
        </w:trPr>
        <w:tc>
          <w:tcPr>
            <w:tcW w:w="2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26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40" w:type="dxa"/>
            <w:vAlign w:val="bottom"/>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1"/>
              </w:rPr>
              <w:t>Loans held for</w:t>
            </w:r>
          </w:p>
        </w:tc>
        <w:tc>
          <w:tcPr>
            <w:tcW w:w="1680" w:type="dxa"/>
            <w:vAlign w:val="bottom"/>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4"/>
              </w:rPr>
              <w:t>1ML + 200 - 345</w:t>
            </w:r>
          </w:p>
        </w:tc>
        <w:tc>
          <w:tcPr>
            <w:tcW w:w="11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13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46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r>
      <w:tr>
        <w:trPr>
          <w:trHeight w:val="257"/>
        </w:trPr>
        <w:tc>
          <w:tcPr>
            <w:tcW w:w="2800" w:type="dxa"/>
            <w:vAlign w:val="bottom"/>
            <w:tcBorders>
              <w:bottom w:val="single" w:sz="8" w:color="EAF9E8"/>
            </w:tcBorders>
            <w:gridSpan w:val="2"/>
            <w:shd w:val="clear" w:color="auto" w:fill="EAF9E8"/>
          </w:tcPr>
          <w:p>
            <w:pPr>
              <w:ind w:left="180"/>
              <w:spacing w:after="0"/>
              <w:rPr>
                <w:sz w:val="20"/>
                <w:szCs w:val="20"/>
                <w:color w:val="auto"/>
              </w:rPr>
            </w:pPr>
            <w:r>
              <w:rPr>
                <w:rFonts w:ascii="Arial" w:cs="Arial" w:eastAsia="Arial" w:hAnsi="Arial"/>
                <w:sz w:val="18"/>
                <w:szCs w:val="18"/>
                <w:color w:val="auto"/>
              </w:rPr>
              <w:t>Repurchase agreement (3)(8)</w:t>
            </w:r>
          </w:p>
        </w:tc>
        <w:tc>
          <w:tcPr>
            <w:tcW w:w="124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1"/>
              </w:rPr>
              <w:t>sale (LHFS)</w:t>
            </w:r>
          </w:p>
        </w:tc>
        <w:tc>
          <w:tcPr>
            <w:tcW w:w="16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82"/>
              </w:rPr>
              <w:t>bps</w:t>
            </w:r>
          </w:p>
        </w:tc>
        <w:tc>
          <w:tcPr>
            <w:tcW w:w="124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87"/>
              </w:rPr>
              <w:t>Sep. 2016</w:t>
            </w:r>
          </w:p>
        </w:tc>
        <w:tc>
          <w:tcPr>
            <w:tcW w:w="140" w:type="dxa"/>
            <w:vAlign w:val="bottom"/>
            <w:tcBorders>
              <w:bottom w:val="single" w:sz="8" w:color="EAF9E8"/>
            </w:tcBorders>
            <w:shd w:val="clear" w:color="auto" w:fill="EAF9E8"/>
          </w:tcPr>
          <w:p>
            <w:pPr>
              <w:spacing w:after="0"/>
              <w:rPr>
                <w:sz w:val="22"/>
                <w:szCs w:val="22"/>
                <w:color w:val="auto"/>
              </w:rPr>
            </w:pPr>
          </w:p>
        </w:tc>
        <w:tc>
          <w:tcPr>
            <w:tcW w:w="10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20,937</w:t>
            </w:r>
          </w:p>
        </w:tc>
        <w:tc>
          <w:tcPr>
            <w:tcW w:w="100" w:type="dxa"/>
            <w:vAlign w:val="bottom"/>
            <w:tcBorders>
              <w:bottom w:val="single" w:sz="8" w:color="EAF9E8"/>
            </w:tcBorders>
            <w:shd w:val="clear" w:color="auto" w:fill="EAF9E8"/>
          </w:tcPr>
          <w:p>
            <w:pPr>
              <w:spacing w:after="0"/>
              <w:rPr>
                <w:sz w:val="22"/>
                <w:szCs w:val="22"/>
                <w:color w:val="auto"/>
              </w:rPr>
            </w:pPr>
          </w:p>
        </w:tc>
        <w:tc>
          <w:tcPr>
            <w:tcW w:w="200" w:type="dxa"/>
            <w:vAlign w:val="bottom"/>
            <w:tcBorders>
              <w:bottom w:val="single" w:sz="8" w:color="EAF9E8"/>
            </w:tcBorders>
            <w:shd w:val="clear" w:color="auto" w:fill="EAF9E8"/>
          </w:tcPr>
          <w:p>
            <w:pPr>
              <w:spacing w:after="0"/>
              <w:rPr>
                <w:sz w:val="22"/>
                <w:szCs w:val="22"/>
                <w:color w:val="auto"/>
              </w:rPr>
            </w:pPr>
          </w:p>
        </w:tc>
        <w:tc>
          <w:tcPr>
            <w:tcW w:w="13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29,063</w:t>
            </w:r>
          </w:p>
        </w:tc>
        <w:tc>
          <w:tcPr>
            <w:tcW w:w="100" w:type="dxa"/>
            <w:vAlign w:val="bottom"/>
            <w:tcBorders>
              <w:bottom w:val="single" w:sz="8" w:color="EAF9E8"/>
            </w:tcBorders>
            <w:shd w:val="clear" w:color="auto" w:fill="EAF9E8"/>
          </w:tcPr>
          <w:p>
            <w:pPr>
              <w:spacing w:after="0"/>
              <w:rPr>
                <w:sz w:val="22"/>
                <w:szCs w:val="22"/>
                <w:color w:val="auto"/>
              </w:rPr>
            </w:pPr>
          </w:p>
        </w:tc>
        <w:tc>
          <w:tcPr>
            <w:tcW w:w="46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42,973</w:t>
            </w:r>
          </w:p>
        </w:tc>
      </w:tr>
      <w:tr>
        <w:trPr>
          <w:trHeight w:val="237"/>
        </w:trPr>
        <w:tc>
          <w:tcPr>
            <w:tcW w:w="2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20,937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398,166</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441,427</w:t>
            </w:r>
          </w:p>
        </w:tc>
      </w:tr>
      <w:tr>
        <w:trPr>
          <w:trHeight w:val="27"/>
        </w:trPr>
        <w:tc>
          <w:tcPr>
            <w:tcW w:w="268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58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69"/>
        </w:trPr>
        <w:tc>
          <w:tcPr>
            <w:tcW w:w="2680" w:type="dxa"/>
            <w:vAlign w:val="bottom"/>
            <w:shd w:val="clear" w:color="auto" w:fill="EAF9E8"/>
          </w:tcPr>
          <w:p>
            <w:pPr>
              <w:spacing w:after="0"/>
              <w:rPr>
                <w:sz w:val="14"/>
                <w:szCs w:val="14"/>
                <w:color w:val="auto"/>
              </w:rPr>
            </w:pPr>
          </w:p>
        </w:tc>
        <w:tc>
          <w:tcPr>
            <w:tcW w:w="120" w:type="dxa"/>
            <w:vAlign w:val="bottom"/>
            <w:shd w:val="clear" w:color="auto" w:fill="EAF9E8"/>
          </w:tcPr>
          <w:p>
            <w:pPr>
              <w:spacing w:after="0"/>
              <w:rPr>
                <w:sz w:val="14"/>
                <w:szCs w:val="14"/>
                <w:color w:val="auto"/>
              </w:rPr>
            </w:pPr>
          </w:p>
        </w:tc>
        <w:tc>
          <w:tcPr>
            <w:tcW w:w="1120" w:type="dxa"/>
            <w:vAlign w:val="bottom"/>
            <w:shd w:val="clear" w:color="auto" w:fill="EAF9E8"/>
          </w:tcPr>
          <w:p>
            <w:pPr>
              <w:spacing w:after="0"/>
              <w:rPr>
                <w:sz w:val="14"/>
                <w:szCs w:val="14"/>
                <w:color w:val="auto"/>
              </w:rPr>
            </w:pPr>
          </w:p>
        </w:tc>
        <w:tc>
          <w:tcPr>
            <w:tcW w:w="120" w:type="dxa"/>
            <w:vAlign w:val="bottom"/>
            <w:shd w:val="clear" w:color="auto" w:fill="EAF9E8"/>
          </w:tcPr>
          <w:p>
            <w:pPr>
              <w:spacing w:after="0"/>
              <w:rPr>
                <w:sz w:val="14"/>
                <w:szCs w:val="14"/>
                <w:color w:val="auto"/>
              </w:rPr>
            </w:pPr>
          </w:p>
        </w:tc>
        <w:tc>
          <w:tcPr>
            <w:tcW w:w="158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114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140" w:type="dxa"/>
            <w:vAlign w:val="bottom"/>
            <w:shd w:val="clear" w:color="auto" w:fill="EAF9E8"/>
          </w:tcPr>
          <w:p>
            <w:pPr>
              <w:spacing w:after="0"/>
              <w:rPr>
                <w:sz w:val="14"/>
                <w:szCs w:val="14"/>
                <w:color w:val="auto"/>
              </w:rPr>
            </w:pPr>
          </w:p>
        </w:tc>
        <w:tc>
          <w:tcPr>
            <w:tcW w:w="100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200" w:type="dxa"/>
            <w:vAlign w:val="bottom"/>
            <w:shd w:val="clear" w:color="auto" w:fill="EAF9E8"/>
          </w:tcPr>
          <w:p>
            <w:pPr>
              <w:spacing w:after="0"/>
              <w:rPr>
                <w:sz w:val="14"/>
                <w:szCs w:val="14"/>
                <w:color w:val="auto"/>
              </w:rPr>
            </w:pPr>
          </w:p>
        </w:tc>
        <w:tc>
          <w:tcPr>
            <w:tcW w:w="136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460" w:type="dxa"/>
            <w:vAlign w:val="bottom"/>
            <w:shd w:val="clear" w:color="auto" w:fill="EAF9E8"/>
          </w:tcPr>
          <w:p>
            <w:pPr>
              <w:spacing w:after="0"/>
              <w:rPr>
                <w:sz w:val="14"/>
                <w:szCs w:val="14"/>
                <w:color w:val="auto"/>
              </w:rPr>
            </w:pPr>
          </w:p>
        </w:tc>
        <w:tc>
          <w:tcPr>
            <w:tcW w:w="1100" w:type="dxa"/>
            <w:vAlign w:val="bottom"/>
            <w:shd w:val="clear" w:color="auto" w:fill="EAF9E8"/>
          </w:tcPr>
          <w:p>
            <w:pPr>
              <w:spacing w:after="0"/>
              <w:rPr>
                <w:sz w:val="14"/>
                <w:szCs w:val="14"/>
                <w:color w:val="auto"/>
              </w:rPr>
            </w:pPr>
          </w:p>
        </w:tc>
      </w:tr>
      <w:tr>
        <w:trPr>
          <w:trHeight w:val="243"/>
        </w:trPr>
        <w:tc>
          <w:tcPr>
            <w:tcW w:w="2800" w:type="dxa"/>
            <w:vAlign w:val="bottom"/>
            <w:gridSpan w:val="2"/>
          </w:tcPr>
          <w:p>
            <w:pPr>
              <w:ind w:left="40"/>
              <w:spacing w:after="0"/>
              <w:rPr>
                <w:sz w:val="20"/>
                <w:szCs w:val="20"/>
                <w:color w:val="auto"/>
              </w:rPr>
            </w:pPr>
            <w:r>
              <w:rPr>
                <w:rFonts w:ascii="Arial" w:cs="Arial" w:eastAsia="Arial" w:hAnsi="Arial"/>
                <w:sz w:val="18"/>
                <w:szCs w:val="18"/>
                <w:color w:val="auto"/>
              </w:rPr>
              <w:t>Lending:</w:t>
            </w: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2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2800" w:type="dxa"/>
            <w:vAlign w:val="bottom"/>
            <w:gridSpan w:val="2"/>
            <w:shd w:val="clear" w:color="auto" w:fill="EAF9E8"/>
          </w:tcPr>
          <w:p>
            <w:pPr>
              <w:ind w:left="180"/>
              <w:spacing w:after="0"/>
              <w:rPr>
                <w:sz w:val="20"/>
                <w:szCs w:val="20"/>
                <w:color w:val="auto"/>
              </w:rPr>
            </w:pPr>
            <w:r>
              <w:rPr>
                <w:rFonts w:ascii="Arial" w:cs="Arial" w:eastAsia="Arial" w:hAnsi="Arial"/>
                <w:sz w:val="18"/>
                <w:szCs w:val="18"/>
                <w:color w:val="auto"/>
                <w:w w:val="96"/>
              </w:rPr>
              <w:t>Master repurchase agreement (4)</w:t>
            </w:r>
          </w:p>
        </w:tc>
        <w:tc>
          <w:tcPr>
            <w:tcW w:w="1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5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13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46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r>
      <w:tr>
        <w:trPr>
          <w:trHeight w:val="237"/>
        </w:trPr>
        <w:tc>
          <w:tcPr>
            <w:tcW w:w="2680" w:type="dxa"/>
            <w:vAlign w:val="bottom"/>
            <w:tcBorders>
              <w:bottom w:val="single" w:sz="8" w:color="EAF9E8"/>
            </w:tcBorders>
            <w:shd w:val="clear" w:color="auto" w:fill="EAF9E8"/>
          </w:tcPr>
          <w:p>
            <w:pPr>
              <w:ind w:left="340"/>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EAF9E8"/>
            </w:tcBorders>
            <w:shd w:val="clear" w:color="auto" w:fill="EAF9E8"/>
          </w:tcPr>
          <w:p>
            <w:pPr>
              <w:spacing w:after="0"/>
              <w:rPr>
                <w:sz w:val="20"/>
                <w:szCs w:val="20"/>
                <w:color w:val="auto"/>
              </w:rPr>
            </w:pPr>
          </w:p>
        </w:tc>
        <w:tc>
          <w:tcPr>
            <w:tcW w:w="124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5"/>
              </w:rPr>
              <w:t>LHFS</w:t>
            </w:r>
          </w:p>
        </w:tc>
        <w:tc>
          <w:tcPr>
            <w:tcW w:w="16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3"/>
              </w:rPr>
              <w:t>1ML + 200 bps</w:t>
            </w:r>
          </w:p>
        </w:tc>
        <w:tc>
          <w:tcPr>
            <w:tcW w:w="124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2"/>
              </w:rPr>
              <w:t>Aug. 2016</w:t>
            </w:r>
          </w:p>
        </w:tc>
        <w:tc>
          <w:tcPr>
            <w:tcW w:w="140" w:type="dxa"/>
            <w:vAlign w:val="bottom"/>
            <w:tcBorders>
              <w:bottom w:val="single" w:sz="8" w:color="EAF9E8"/>
            </w:tcBorders>
            <w:shd w:val="clear" w:color="auto" w:fill="EAF9E8"/>
          </w:tcPr>
          <w:p>
            <w:pPr>
              <w:spacing w:after="0"/>
              <w:rPr>
                <w:sz w:val="20"/>
                <w:szCs w:val="20"/>
                <w:color w:val="auto"/>
              </w:rPr>
            </w:pPr>
          </w:p>
        </w:tc>
        <w:tc>
          <w:tcPr>
            <w:tcW w:w="10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3,414</w:t>
            </w:r>
          </w:p>
        </w:tc>
        <w:tc>
          <w:tcPr>
            <w:tcW w:w="100" w:type="dxa"/>
            <w:vAlign w:val="bottom"/>
            <w:tcBorders>
              <w:bottom w:val="single" w:sz="8" w:color="EAF9E8"/>
            </w:tcBorders>
            <w:shd w:val="clear" w:color="auto" w:fill="EAF9E8"/>
          </w:tcPr>
          <w:p>
            <w:pPr>
              <w:spacing w:after="0"/>
              <w:rPr>
                <w:sz w:val="20"/>
                <w:szCs w:val="20"/>
                <w:color w:val="auto"/>
              </w:rPr>
            </w:pPr>
          </w:p>
        </w:tc>
        <w:tc>
          <w:tcPr>
            <w:tcW w:w="200" w:type="dxa"/>
            <w:vAlign w:val="bottom"/>
            <w:tcBorders>
              <w:bottom w:val="single" w:sz="8" w:color="EAF9E8"/>
            </w:tcBorders>
            <w:shd w:val="clear" w:color="auto" w:fill="EAF9E8"/>
          </w:tcPr>
          <w:p>
            <w:pPr>
              <w:spacing w:after="0"/>
              <w:rPr>
                <w:sz w:val="20"/>
                <w:szCs w:val="20"/>
                <w:color w:val="auto"/>
              </w:rPr>
            </w:pPr>
          </w:p>
        </w:tc>
        <w:tc>
          <w:tcPr>
            <w:tcW w:w="13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196,586</w:t>
            </w:r>
          </w:p>
        </w:tc>
        <w:tc>
          <w:tcPr>
            <w:tcW w:w="100" w:type="dxa"/>
            <w:vAlign w:val="bottom"/>
            <w:tcBorders>
              <w:bottom w:val="single" w:sz="8" w:color="EAF9E8"/>
            </w:tcBorders>
            <w:shd w:val="clear" w:color="auto" w:fill="EAF9E8"/>
          </w:tcPr>
          <w:p>
            <w:pPr>
              <w:spacing w:after="0"/>
              <w:rPr>
                <w:sz w:val="20"/>
                <w:szCs w:val="20"/>
                <w:color w:val="auto"/>
              </w:rPr>
            </w:pPr>
          </w:p>
        </w:tc>
        <w:tc>
          <w:tcPr>
            <w:tcW w:w="460" w:type="dxa"/>
            <w:vAlign w:val="bottom"/>
            <w:tcBorders>
              <w:bottom w:val="single" w:sz="8" w:color="EAF9E8"/>
            </w:tcBorders>
            <w:shd w:val="clear" w:color="auto" w:fill="EAF9E8"/>
          </w:tcPr>
          <w:p>
            <w:pPr>
              <w:spacing w:after="0"/>
              <w:rPr>
                <w:sz w:val="20"/>
                <w:szCs w:val="20"/>
                <w:color w:val="auto"/>
              </w:rPr>
            </w:pPr>
          </w:p>
        </w:tc>
        <w:tc>
          <w:tcPr>
            <w:tcW w:w="11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156,226</w:t>
            </w:r>
          </w:p>
        </w:tc>
      </w:tr>
      <w:tr>
        <w:trPr>
          <w:trHeight w:val="243"/>
        </w:trPr>
        <w:tc>
          <w:tcPr>
            <w:tcW w:w="2800" w:type="dxa"/>
            <w:vAlign w:val="bottom"/>
            <w:gridSpan w:val="2"/>
          </w:tcPr>
          <w:p>
            <w:pPr>
              <w:ind w:left="180"/>
              <w:spacing w:after="0"/>
              <w:rPr>
                <w:sz w:val="20"/>
                <w:szCs w:val="20"/>
                <w:color w:val="auto"/>
              </w:rPr>
            </w:pPr>
            <w:r>
              <w:rPr>
                <w:rFonts w:ascii="Arial" w:cs="Arial" w:eastAsia="Arial" w:hAnsi="Arial"/>
                <w:sz w:val="18"/>
                <w:szCs w:val="18"/>
                <w:color w:val="auto"/>
              </w:rPr>
              <w:t>Participation agreement (5)</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LHFS</w:t>
            </w: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color w:val="auto"/>
              </w:rPr>
              <w:t>N/A</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Apr. 2017 (5)</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45,130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49,897</w:t>
            </w:r>
          </w:p>
        </w:tc>
      </w:tr>
      <w:tr>
        <w:trPr>
          <w:trHeight w:val="27"/>
        </w:trPr>
        <w:tc>
          <w:tcPr>
            <w:tcW w:w="2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800" w:type="dxa"/>
            <w:vAlign w:val="bottom"/>
            <w:tcBorders>
              <w:bottom w:val="single" w:sz="8" w:color="EAF9E8"/>
            </w:tcBorders>
            <w:gridSpan w:val="2"/>
            <w:shd w:val="clear" w:color="auto" w:fill="EAF9E8"/>
          </w:tcPr>
          <w:p>
            <w:pPr>
              <w:ind w:left="180"/>
              <w:spacing w:after="0"/>
              <w:rPr>
                <w:sz w:val="20"/>
                <w:szCs w:val="20"/>
                <w:color w:val="auto"/>
              </w:rPr>
            </w:pPr>
            <w:r>
              <w:rPr>
                <w:rFonts w:ascii="Arial" w:cs="Arial" w:eastAsia="Arial" w:hAnsi="Arial"/>
                <w:sz w:val="18"/>
                <w:szCs w:val="18"/>
                <w:color w:val="auto"/>
              </w:rPr>
              <w:t>Participation agreement (5)</w:t>
            </w:r>
          </w:p>
        </w:tc>
        <w:tc>
          <w:tcPr>
            <w:tcW w:w="124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5"/>
              </w:rPr>
              <w:t>LHFS</w:t>
            </w:r>
          </w:p>
        </w:tc>
        <w:tc>
          <w:tcPr>
            <w:tcW w:w="16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rPr>
              <w:t>N/A</w:t>
            </w:r>
          </w:p>
        </w:tc>
        <w:tc>
          <w:tcPr>
            <w:tcW w:w="124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3"/>
              </w:rPr>
              <w:t>Apr. 2017 (5)</w:t>
            </w:r>
          </w:p>
        </w:tc>
        <w:tc>
          <w:tcPr>
            <w:tcW w:w="1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55,724</w:t>
            </w:r>
          </w:p>
        </w:tc>
        <w:tc>
          <w:tcPr>
            <w:tcW w:w="100" w:type="dxa"/>
            <w:vAlign w:val="bottom"/>
            <w:tcBorders>
              <w:bottom w:val="single" w:sz="8" w:color="EAF9E8"/>
            </w:tcBorders>
            <w:shd w:val="clear" w:color="auto" w:fill="EAF9E8"/>
          </w:tcPr>
          <w:p>
            <w:pPr>
              <w:spacing w:after="0"/>
              <w:rPr>
                <w:sz w:val="21"/>
                <w:szCs w:val="21"/>
                <w:color w:val="auto"/>
              </w:rPr>
            </w:pPr>
          </w:p>
        </w:tc>
        <w:tc>
          <w:tcPr>
            <w:tcW w:w="4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73,049</w:t>
            </w:r>
          </w:p>
        </w:tc>
      </w:tr>
      <w:tr>
        <w:trPr>
          <w:trHeight w:val="229"/>
        </w:trPr>
        <w:tc>
          <w:tcPr>
            <w:tcW w:w="2800" w:type="dxa"/>
            <w:vAlign w:val="bottom"/>
            <w:gridSpan w:val="2"/>
          </w:tcPr>
          <w:p>
            <w:pPr>
              <w:ind w:left="180"/>
              <w:spacing w:after="0"/>
              <w:rPr>
                <w:sz w:val="20"/>
                <w:szCs w:val="20"/>
                <w:color w:val="auto"/>
              </w:rPr>
            </w:pPr>
            <w:r>
              <w:rPr>
                <w:rFonts w:ascii="Arial" w:cs="Arial" w:eastAsia="Arial" w:hAnsi="Arial"/>
                <w:sz w:val="18"/>
                <w:szCs w:val="18"/>
                <w:color w:val="auto"/>
                <w:w w:val="99"/>
              </w:rPr>
              <w:t>Mortgage warehouse agreement</w:t>
            </w:r>
          </w:p>
        </w:tc>
        <w:tc>
          <w:tcPr>
            <w:tcW w:w="124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LHFS (reverse</w:t>
            </w: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1ML + 275 bps;</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2680" w:type="dxa"/>
            <w:vAlign w:val="bottom"/>
          </w:tcPr>
          <w:p>
            <w:pPr>
              <w:ind w:left="340"/>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0"/>
                <w:szCs w:val="20"/>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mortgages)</w:t>
            </w: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floor of 350 bps</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July 2016</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63,175</w:t>
            </w:r>
          </w:p>
        </w:tc>
      </w:tr>
      <w:tr>
        <w:trPr>
          <w:trHeight w:val="27"/>
        </w:trPr>
        <w:tc>
          <w:tcPr>
            <w:tcW w:w="2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26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40" w:type="dxa"/>
            <w:vAlign w:val="bottom"/>
            <w:gridSpan w:val="2"/>
            <w:shd w:val="clear" w:color="auto" w:fill="EAF9E8"/>
          </w:tcPr>
          <w:p>
            <w:pPr>
              <w:jc w:val="center"/>
              <w:ind w:right="140"/>
              <w:spacing w:after="0"/>
              <w:rPr>
                <w:sz w:val="20"/>
                <w:szCs w:val="20"/>
                <w:color w:val="auto"/>
              </w:rPr>
            </w:pPr>
            <w:r>
              <w:rPr>
                <w:rFonts w:ascii="Arial" w:cs="Arial" w:eastAsia="Arial" w:hAnsi="Arial"/>
                <w:sz w:val="18"/>
                <w:szCs w:val="18"/>
                <w:color w:val="auto"/>
                <w:w w:val="90"/>
              </w:rPr>
              <w:t>LHFS (reverse</w:t>
            </w:r>
          </w:p>
        </w:tc>
        <w:tc>
          <w:tcPr>
            <w:tcW w:w="1680" w:type="dxa"/>
            <w:vAlign w:val="bottom"/>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3"/>
              </w:rPr>
              <w:t>1ML + 275 bps;</w:t>
            </w:r>
          </w:p>
        </w:tc>
        <w:tc>
          <w:tcPr>
            <w:tcW w:w="11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13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46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r>
      <w:tr>
        <w:trPr>
          <w:trHeight w:val="257"/>
        </w:trPr>
        <w:tc>
          <w:tcPr>
            <w:tcW w:w="2800" w:type="dxa"/>
            <w:vAlign w:val="bottom"/>
            <w:tcBorders>
              <w:bottom w:val="single" w:sz="8" w:color="EAF9E8"/>
            </w:tcBorders>
            <w:gridSpan w:val="2"/>
            <w:shd w:val="clear" w:color="auto" w:fill="EAF9E8"/>
          </w:tcPr>
          <w:p>
            <w:pPr>
              <w:ind w:left="180"/>
              <w:spacing w:after="0"/>
              <w:rPr>
                <w:sz w:val="20"/>
                <w:szCs w:val="20"/>
                <w:color w:val="auto"/>
              </w:rPr>
            </w:pPr>
            <w:r>
              <w:rPr>
                <w:rFonts w:ascii="Arial" w:cs="Arial" w:eastAsia="Arial" w:hAnsi="Arial"/>
                <w:sz w:val="18"/>
                <w:szCs w:val="18"/>
                <w:color w:val="auto"/>
                <w:w w:val="96"/>
              </w:rPr>
              <w:t>Master repurchase agreement (7)</w:t>
            </w:r>
          </w:p>
        </w:tc>
        <w:tc>
          <w:tcPr>
            <w:tcW w:w="124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87"/>
              </w:rPr>
              <w:t>mortgages)</w:t>
            </w:r>
          </w:p>
        </w:tc>
        <w:tc>
          <w:tcPr>
            <w:tcW w:w="16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6"/>
              </w:rPr>
              <w:t>1ML floor of 25 bps</w:t>
            </w:r>
          </w:p>
        </w:tc>
        <w:tc>
          <w:tcPr>
            <w:tcW w:w="124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88"/>
              </w:rPr>
              <w:t>Jan. 2017</w:t>
            </w:r>
          </w:p>
        </w:tc>
        <w:tc>
          <w:tcPr>
            <w:tcW w:w="140" w:type="dxa"/>
            <w:vAlign w:val="bottom"/>
            <w:tcBorders>
              <w:bottom w:val="single" w:sz="8" w:color="EAF9E8"/>
            </w:tcBorders>
            <w:shd w:val="clear" w:color="auto" w:fill="EAF9E8"/>
          </w:tcPr>
          <w:p>
            <w:pPr>
              <w:spacing w:after="0"/>
              <w:rPr>
                <w:sz w:val="22"/>
                <w:szCs w:val="22"/>
                <w:color w:val="auto"/>
              </w:rPr>
            </w:pPr>
          </w:p>
        </w:tc>
        <w:tc>
          <w:tcPr>
            <w:tcW w:w="10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40,694</w:t>
            </w:r>
          </w:p>
        </w:tc>
        <w:tc>
          <w:tcPr>
            <w:tcW w:w="100" w:type="dxa"/>
            <w:vAlign w:val="bottom"/>
            <w:tcBorders>
              <w:bottom w:val="single" w:sz="8" w:color="EAF9E8"/>
            </w:tcBorders>
            <w:shd w:val="clear" w:color="auto" w:fill="EAF9E8"/>
          </w:tcPr>
          <w:p>
            <w:pPr>
              <w:spacing w:after="0"/>
              <w:rPr>
                <w:sz w:val="22"/>
                <w:szCs w:val="22"/>
                <w:color w:val="auto"/>
              </w:rPr>
            </w:pPr>
          </w:p>
        </w:tc>
        <w:tc>
          <w:tcPr>
            <w:tcW w:w="200" w:type="dxa"/>
            <w:vAlign w:val="bottom"/>
            <w:tcBorders>
              <w:bottom w:val="single" w:sz="8" w:color="EAF9E8"/>
            </w:tcBorders>
            <w:shd w:val="clear" w:color="auto" w:fill="EAF9E8"/>
          </w:tcPr>
          <w:p>
            <w:pPr>
              <w:spacing w:after="0"/>
              <w:rPr>
                <w:sz w:val="22"/>
                <w:szCs w:val="22"/>
                <w:color w:val="auto"/>
              </w:rPr>
            </w:pPr>
          </w:p>
        </w:tc>
        <w:tc>
          <w:tcPr>
            <w:tcW w:w="13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59,306</w:t>
            </w:r>
          </w:p>
        </w:tc>
        <w:tc>
          <w:tcPr>
            <w:tcW w:w="100" w:type="dxa"/>
            <w:vAlign w:val="bottom"/>
            <w:tcBorders>
              <w:bottom w:val="single" w:sz="8" w:color="EAF9E8"/>
            </w:tcBorders>
            <w:shd w:val="clear" w:color="auto" w:fill="EAF9E8"/>
          </w:tcPr>
          <w:p>
            <w:pPr>
              <w:spacing w:after="0"/>
              <w:rPr>
                <w:sz w:val="22"/>
                <w:szCs w:val="22"/>
                <w:color w:val="auto"/>
              </w:rPr>
            </w:pPr>
          </w:p>
        </w:tc>
        <w:tc>
          <w:tcPr>
            <w:tcW w:w="46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w:t>
            </w:r>
          </w:p>
        </w:tc>
      </w:tr>
      <w:tr>
        <w:trPr>
          <w:trHeight w:val="237"/>
        </w:trPr>
        <w:tc>
          <w:tcPr>
            <w:tcW w:w="2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44,108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356,746</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342,347</w:t>
            </w:r>
          </w:p>
        </w:tc>
      </w:tr>
      <w:tr>
        <w:trPr>
          <w:trHeight w:val="27"/>
        </w:trPr>
        <w:tc>
          <w:tcPr>
            <w:tcW w:w="268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58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69"/>
        </w:trPr>
        <w:tc>
          <w:tcPr>
            <w:tcW w:w="2680" w:type="dxa"/>
            <w:vAlign w:val="bottom"/>
            <w:shd w:val="clear" w:color="auto" w:fill="EAF9E8"/>
          </w:tcPr>
          <w:p>
            <w:pPr>
              <w:spacing w:after="0"/>
              <w:rPr>
                <w:sz w:val="14"/>
                <w:szCs w:val="14"/>
                <w:color w:val="auto"/>
              </w:rPr>
            </w:pPr>
          </w:p>
        </w:tc>
        <w:tc>
          <w:tcPr>
            <w:tcW w:w="120" w:type="dxa"/>
            <w:vAlign w:val="bottom"/>
            <w:shd w:val="clear" w:color="auto" w:fill="EAF9E8"/>
          </w:tcPr>
          <w:p>
            <w:pPr>
              <w:spacing w:after="0"/>
              <w:rPr>
                <w:sz w:val="14"/>
                <w:szCs w:val="14"/>
                <w:color w:val="auto"/>
              </w:rPr>
            </w:pPr>
          </w:p>
        </w:tc>
        <w:tc>
          <w:tcPr>
            <w:tcW w:w="1120" w:type="dxa"/>
            <w:vAlign w:val="bottom"/>
            <w:shd w:val="clear" w:color="auto" w:fill="EAF9E8"/>
          </w:tcPr>
          <w:p>
            <w:pPr>
              <w:spacing w:after="0"/>
              <w:rPr>
                <w:sz w:val="14"/>
                <w:szCs w:val="14"/>
                <w:color w:val="auto"/>
              </w:rPr>
            </w:pPr>
          </w:p>
        </w:tc>
        <w:tc>
          <w:tcPr>
            <w:tcW w:w="120" w:type="dxa"/>
            <w:vAlign w:val="bottom"/>
            <w:shd w:val="clear" w:color="auto" w:fill="EAF9E8"/>
          </w:tcPr>
          <w:p>
            <w:pPr>
              <w:spacing w:after="0"/>
              <w:rPr>
                <w:sz w:val="14"/>
                <w:szCs w:val="14"/>
                <w:color w:val="auto"/>
              </w:rPr>
            </w:pPr>
          </w:p>
        </w:tc>
        <w:tc>
          <w:tcPr>
            <w:tcW w:w="158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114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140" w:type="dxa"/>
            <w:vAlign w:val="bottom"/>
            <w:shd w:val="clear" w:color="auto" w:fill="EAF9E8"/>
          </w:tcPr>
          <w:p>
            <w:pPr>
              <w:spacing w:after="0"/>
              <w:rPr>
                <w:sz w:val="14"/>
                <w:szCs w:val="14"/>
                <w:color w:val="auto"/>
              </w:rPr>
            </w:pPr>
          </w:p>
        </w:tc>
        <w:tc>
          <w:tcPr>
            <w:tcW w:w="100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200" w:type="dxa"/>
            <w:vAlign w:val="bottom"/>
            <w:shd w:val="clear" w:color="auto" w:fill="EAF9E8"/>
          </w:tcPr>
          <w:p>
            <w:pPr>
              <w:spacing w:after="0"/>
              <w:rPr>
                <w:sz w:val="14"/>
                <w:szCs w:val="14"/>
                <w:color w:val="auto"/>
              </w:rPr>
            </w:pPr>
          </w:p>
        </w:tc>
        <w:tc>
          <w:tcPr>
            <w:tcW w:w="136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460" w:type="dxa"/>
            <w:vAlign w:val="bottom"/>
            <w:shd w:val="clear" w:color="auto" w:fill="EAF9E8"/>
          </w:tcPr>
          <w:p>
            <w:pPr>
              <w:spacing w:after="0"/>
              <w:rPr>
                <w:sz w:val="14"/>
                <w:szCs w:val="14"/>
                <w:color w:val="auto"/>
              </w:rPr>
            </w:pPr>
          </w:p>
        </w:tc>
        <w:tc>
          <w:tcPr>
            <w:tcW w:w="1100" w:type="dxa"/>
            <w:vAlign w:val="bottom"/>
            <w:shd w:val="clear" w:color="auto" w:fill="EAF9E8"/>
          </w:tcPr>
          <w:p>
            <w:pPr>
              <w:spacing w:after="0"/>
              <w:rPr>
                <w:sz w:val="14"/>
                <w:szCs w:val="14"/>
                <w:color w:val="auto"/>
              </w:rPr>
            </w:pPr>
          </w:p>
        </w:tc>
      </w:tr>
      <w:tr>
        <w:trPr>
          <w:trHeight w:val="243"/>
        </w:trPr>
        <w:tc>
          <w:tcPr>
            <w:tcW w:w="2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65,045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754,912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783,774</w:t>
            </w:r>
          </w:p>
        </w:tc>
      </w:tr>
      <w:tr>
        <w:trPr>
          <w:trHeight w:val="27"/>
        </w:trPr>
        <w:tc>
          <w:tcPr>
            <w:tcW w:w="268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040" w:type="dxa"/>
            <w:vAlign w:val="bottom"/>
            <w:tcBorders>
              <w:bottom w:val="single" w:sz="8" w:color="EAF9E8"/>
            </w:tcBorders>
            <w:gridSpan w:val="4"/>
            <w:shd w:val="clear" w:color="auto" w:fill="EAF9E8"/>
          </w:tcPr>
          <w:p>
            <w:pPr>
              <w:ind w:left="40"/>
              <w:spacing w:after="0"/>
              <w:rPr>
                <w:sz w:val="20"/>
                <w:szCs w:val="20"/>
                <w:color w:val="auto"/>
              </w:rPr>
            </w:pPr>
            <w:r>
              <w:rPr>
                <w:rFonts w:ascii="Arial" w:cs="Arial" w:eastAsia="Arial" w:hAnsi="Arial"/>
                <w:sz w:val="18"/>
                <w:szCs w:val="18"/>
                <w:color w:val="auto"/>
              </w:rPr>
              <w:t>Unamortized debt issuance costs - SSTL</w:t>
            </w:r>
          </w:p>
        </w:tc>
        <w:tc>
          <w:tcPr>
            <w:tcW w:w="15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rPr>
              <w:t>(16,432)</w:t>
            </w:r>
          </w:p>
        </w:tc>
        <w:tc>
          <w:tcPr>
            <w:tcW w:w="100" w:type="dxa"/>
            <w:vAlign w:val="bottom"/>
            <w:tcBorders>
              <w:bottom w:val="single" w:sz="8" w:color="EAF9E8"/>
            </w:tcBorders>
            <w:shd w:val="clear" w:color="auto" w:fill="EAF9E8"/>
          </w:tcPr>
          <w:p>
            <w:pPr>
              <w:spacing w:after="0"/>
              <w:rPr>
                <w:sz w:val="21"/>
                <w:szCs w:val="21"/>
                <w:color w:val="auto"/>
              </w:rPr>
            </w:pPr>
          </w:p>
        </w:tc>
        <w:tc>
          <w:tcPr>
            <w:tcW w:w="4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(20,012)</w:t>
            </w:r>
          </w:p>
        </w:tc>
      </w:tr>
      <w:tr>
        <w:trPr>
          <w:trHeight w:val="243"/>
        </w:trPr>
        <w:tc>
          <w:tcPr>
            <w:tcW w:w="2800" w:type="dxa"/>
            <w:vAlign w:val="bottom"/>
            <w:gridSpan w:val="2"/>
          </w:tcPr>
          <w:p>
            <w:pPr>
              <w:ind w:left="40"/>
              <w:spacing w:after="0"/>
              <w:rPr>
                <w:sz w:val="20"/>
                <w:szCs w:val="20"/>
                <w:color w:val="auto"/>
              </w:rPr>
            </w:pPr>
            <w:r>
              <w:rPr>
                <w:rFonts w:ascii="Arial" w:cs="Arial" w:eastAsia="Arial" w:hAnsi="Arial"/>
                <w:sz w:val="18"/>
                <w:szCs w:val="18"/>
                <w:color w:val="auto"/>
              </w:rPr>
              <w:t>Discount - SSTL</w:t>
            </w: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(968)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(1,351)</w:t>
            </w:r>
          </w:p>
        </w:tc>
      </w:tr>
      <w:tr>
        <w:trPr>
          <w:trHeight w:val="27"/>
        </w:trPr>
        <w:tc>
          <w:tcPr>
            <w:tcW w:w="268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58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268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58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65,045</w:t>
            </w:r>
          </w:p>
        </w:tc>
        <w:tc>
          <w:tcPr>
            <w:tcW w:w="100" w:type="dxa"/>
            <w:vAlign w:val="bottom"/>
            <w:tcBorders>
              <w:bottom w:val="single" w:sz="8" w:color="EAF9E8"/>
            </w:tcBorders>
            <w:shd w:val="clear" w:color="auto" w:fill="EAF9E8"/>
          </w:tcPr>
          <w:p>
            <w:pPr>
              <w:spacing w:after="0"/>
              <w:rPr>
                <w:sz w:val="22"/>
                <w:szCs w:val="22"/>
                <w:color w:val="auto"/>
              </w:rPr>
            </w:pPr>
          </w:p>
        </w:tc>
        <w:tc>
          <w:tcPr>
            <w:tcW w:w="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737,512</w:t>
            </w:r>
          </w:p>
        </w:tc>
        <w:tc>
          <w:tcPr>
            <w:tcW w:w="100" w:type="dxa"/>
            <w:vAlign w:val="bottom"/>
            <w:tcBorders>
              <w:bottom w:val="single" w:sz="8" w:color="EAF9E8"/>
            </w:tcBorders>
            <w:shd w:val="clear" w:color="auto" w:fill="EAF9E8"/>
          </w:tcPr>
          <w:p>
            <w:pPr>
              <w:spacing w:after="0"/>
              <w:rPr>
                <w:sz w:val="22"/>
                <w:szCs w:val="22"/>
                <w:color w:val="auto"/>
              </w:rPr>
            </w:pPr>
          </w:p>
        </w:tc>
        <w:tc>
          <w:tcPr>
            <w:tcW w:w="460" w:type="dxa"/>
            <w:vAlign w:val="bottom"/>
            <w:tcBorders>
              <w:bottom w:val="single" w:sz="8" w:color="EAF9E8"/>
            </w:tcBorders>
            <w:shd w:val="clear" w:color="auto" w:fill="EAF9E8"/>
          </w:tcPr>
          <w:p>
            <w:pPr>
              <w:jc w:val="right"/>
              <w:ind w:right="2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762,411</w:t>
            </w:r>
          </w:p>
        </w:tc>
      </w:tr>
      <w:tr>
        <w:trPr>
          <w:trHeight w:val="20"/>
        </w:trPr>
        <w:tc>
          <w:tcPr>
            <w:tcW w:w="2680" w:type="dxa"/>
            <w:vAlign w:val="bottom"/>
            <w:tcBorders>
              <w:top w:val="single" w:sz="8" w:color="EAF9E8"/>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1120" w:type="dxa"/>
            <w:vAlign w:val="bottom"/>
            <w:tcBorders>
              <w:top w:val="single" w:sz="8" w:color="EAF9E8"/>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1580" w:type="dxa"/>
            <w:vAlign w:val="bottom"/>
            <w:tcBorders>
              <w:top w:val="single" w:sz="8" w:color="EAF9E8"/>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140" w:type="dxa"/>
            <w:vAlign w:val="bottom"/>
            <w:tcBorders>
              <w:top w:val="single" w:sz="8" w:color="EAF9E8"/>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156"/>
        </w:trPr>
        <w:tc>
          <w:tcPr>
            <w:tcW w:w="2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264"/>
        </w:trPr>
        <w:tc>
          <w:tcPr>
            <w:tcW w:w="280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Weighted average interest rate</w:t>
            </w:r>
          </w:p>
        </w:tc>
        <w:tc>
          <w:tcPr>
            <w:tcW w:w="11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58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00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200" w:type="dxa"/>
            <w:vAlign w:val="bottom"/>
            <w:tcBorders>
              <w:bottom w:val="single" w:sz="8" w:color="auto"/>
            </w:tcBorders>
            <w:shd w:val="clear" w:color="auto" w:fill="EAF9E8"/>
          </w:tcPr>
          <w:p>
            <w:pPr>
              <w:spacing w:after="0"/>
              <w:rPr>
                <w:sz w:val="22"/>
                <w:szCs w:val="22"/>
                <w:color w:val="auto"/>
              </w:rPr>
            </w:pPr>
          </w:p>
        </w:tc>
        <w:tc>
          <w:tcPr>
            <w:tcW w:w="13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4.21%</w:t>
            </w:r>
          </w:p>
        </w:tc>
        <w:tc>
          <w:tcPr>
            <w:tcW w:w="100" w:type="dxa"/>
            <w:vAlign w:val="bottom"/>
            <w:tcBorders>
              <w:bottom w:val="single" w:sz="8" w:color="EAF9E8"/>
            </w:tcBorders>
            <w:shd w:val="clear" w:color="auto" w:fill="EAF9E8"/>
          </w:tcPr>
          <w:p>
            <w:pPr>
              <w:spacing w:after="0"/>
              <w:rPr>
                <w:sz w:val="22"/>
                <w:szCs w:val="22"/>
                <w:color w:val="auto"/>
              </w:rPr>
            </w:pPr>
          </w:p>
        </w:tc>
        <w:tc>
          <w:tcPr>
            <w:tcW w:w="460" w:type="dxa"/>
            <w:vAlign w:val="bottom"/>
            <w:tcBorders>
              <w:bottom w:val="single" w:sz="8" w:color="auto"/>
            </w:tcBorders>
            <w:shd w:val="clear" w:color="auto" w:fill="EAF9E8"/>
          </w:tcPr>
          <w:p>
            <w:pPr>
              <w:spacing w:after="0"/>
              <w:rPr>
                <w:sz w:val="22"/>
                <w:szCs w:val="22"/>
                <w:color w:val="auto"/>
              </w:rPr>
            </w:pPr>
          </w:p>
        </w:tc>
        <w:tc>
          <w:tcPr>
            <w:tcW w:w="11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4.38%</w:t>
            </w:r>
          </w:p>
        </w:tc>
      </w:tr>
      <w:tr>
        <w:trPr>
          <w:trHeight w:val="20"/>
        </w:trPr>
        <w:tc>
          <w:tcPr>
            <w:tcW w:w="2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500" w:right="180" w:hanging="492"/>
        <w:spacing w:after="0" w:line="255" w:lineRule="auto"/>
        <w:tabs>
          <w:tab w:leader="none" w:pos="5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For our mortgage loan warehouse facilities, available borrowing capacity does not consider the amount of the facility that the lender has extended on an uncommitted basis.</w:t>
      </w:r>
    </w:p>
    <w:p>
      <w:pPr>
        <w:spacing w:after="0" w:line="1" w:lineRule="exact"/>
        <w:rPr>
          <w:rFonts w:ascii="Arial" w:cs="Arial" w:eastAsia="Arial" w:hAnsi="Arial"/>
          <w:sz w:val="16"/>
          <w:szCs w:val="16"/>
          <w:color w:val="auto"/>
        </w:rPr>
      </w:pPr>
    </w:p>
    <w:p>
      <w:pPr>
        <w:ind w:left="500" w:right="20" w:hanging="492"/>
        <w:spacing w:after="0" w:line="272" w:lineRule="auto"/>
        <w:tabs>
          <w:tab w:leader="none" w:pos="500" w:val="left"/>
        </w:tabs>
        <w:numPr>
          <w:ilvl w:val="0"/>
          <w:numId w:val="21"/>
        </w:numPr>
        <w:rPr>
          <w:rFonts w:ascii="Arial" w:cs="Arial" w:eastAsia="Arial" w:hAnsi="Arial"/>
          <w:sz w:val="15"/>
          <w:szCs w:val="15"/>
          <w:color w:val="auto"/>
        </w:rPr>
      </w:pPr>
      <w:r>
        <w:rPr>
          <w:rFonts w:ascii="Arial" w:cs="Arial" w:eastAsia="Arial" w:hAnsi="Arial"/>
          <w:sz w:val="15"/>
          <w:szCs w:val="15"/>
          <w:color w:val="auto"/>
        </w:rPr>
        <w:t>The borrowings are secured by a first priority security interest in substantially all of the assets of Ocwen. Borrowings bear interest, at the election of Ocwen, at a rate per annum equal to either (a) the base rate (the greatest of (i) the prime rate in effect on such day, (ii) the federal funds rate in effect on such day plus 0.50% and (iii) the one-month Eurodollar rate (1-Month LIBOR)), plus a margin of 3.25% and subject to a base rate floor of 2.25% or (b) the one month Eurodollar rate, plus a margin of 4.25% and subject to a one month Eurodollar floor of 1.25%. To date we have elected option (b) to determine the interest rate.</w:t>
      </w:r>
    </w:p>
    <w:p>
      <w:pPr>
        <w:spacing w:after="0" w:line="68" w:lineRule="exact"/>
        <w:rPr>
          <w:rFonts w:ascii="Arial" w:cs="Arial" w:eastAsia="Arial" w:hAnsi="Arial"/>
          <w:sz w:val="15"/>
          <w:szCs w:val="15"/>
          <w:color w:val="auto"/>
        </w:rPr>
      </w:pPr>
    </w:p>
    <w:p>
      <w:pPr>
        <w:ind w:left="500" w:right="140"/>
        <w:spacing w:after="0" w:line="275" w:lineRule="auto"/>
        <w:rPr>
          <w:rFonts w:ascii="Arial" w:cs="Arial" w:eastAsia="Arial" w:hAnsi="Arial"/>
          <w:sz w:val="15"/>
          <w:szCs w:val="15"/>
          <w:color w:val="auto"/>
        </w:rPr>
      </w:pPr>
      <w:r>
        <w:rPr>
          <w:rFonts w:ascii="Arial" w:cs="Arial" w:eastAsia="Arial" w:hAnsi="Arial"/>
          <w:sz w:val="16"/>
          <w:szCs w:val="16"/>
          <w:color w:val="auto"/>
        </w:rPr>
        <w:t>We entered into Amendment No. 5 to Senior Secured Term Loan Facility Agreement (the Amendment) effective as of March 24, 2016. The Amendment, among other things:</w:t>
      </w:r>
    </w:p>
    <w:p>
      <w:pPr>
        <w:spacing w:after="0" w:line="10" w:lineRule="exact"/>
        <w:rPr>
          <w:rFonts w:ascii="Arial" w:cs="Arial" w:eastAsia="Arial" w:hAnsi="Arial"/>
          <w:sz w:val="15"/>
          <w:szCs w:val="15"/>
          <w:color w:val="auto"/>
        </w:rPr>
      </w:pPr>
    </w:p>
    <w:p>
      <w:pPr>
        <w:ind w:left="820" w:hanging="326"/>
        <w:spacing w:after="0"/>
        <w:tabs>
          <w:tab w:leader="none" w:pos="820" w:val="left"/>
        </w:tabs>
        <w:numPr>
          <w:ilvl w:val="1"/>
          <w:numId w:val="21"/>
        </w:numPr>
        <w:rPr>
          <w:rFonts w:ascii="Arial" w:cs="Arial" w:eastAsia="Arial" w:hAnsi="Arial"/>
          <w:sz w:val="14"/>
          <w:szCs w:val="14"/>
          <w:color w:val="auto"/>
        </w:rPr>
      </w:pPr>
      <w:r>
        <w:rPr>
          <w:rFonts w:ascii="Arial" w:cs="Arial" w:eastAsia="Arial" w:hAnsi="Arial"/>
          <w:sz w:val="14"/>
          <w:szCs w:val="14"/>
          <w:color w:val="auto"/>
        </w:rPr>
        <w:t>permanently removes the consolidated total debt to consolidated tangible net worth ratio, corporate leverage ratio and interest coverage ratio financial covenants;</w:t>
      </w:r>
    </w:p>
    <w:p>
      <w:pPr>
        <w:spacing w:after="0" w:line="42" w:lineRule="exact"/>
        <w:rPr>
          <w:rFonts w:ascii="Arial" w:cs="Arial" w:eastAsia="Arial" w:hAnsi="Arial"/>
          <w:sz w:val="14"/>
          <w:szCs w:val="14"/>
          <w:color w:val="auto"/>
        </w:rPr>
      </w:pPr>
    </w:p>
    <w:p>
      <w:pPr>
        <w:ind w:left="820" w:hanging="326"/>
        <w:spacing w:after="0"/>
        <w:tabs>
          <w:tab w:leader="none" w:pos="820" w:val="left"/>
        </w:tabs>
        <w:numPr>
          <w:ilvl w:val="1"/>
          <w:numId w:val="21"/>
        </w:numPr>
        <w:rPr>
          <w:rFonts w:ascii="Arial" w:cs="Arial" w:eastAsia="Arial" w:hAnsi="Arial"/>
          <w:sz w:val="16"/>
          <w:szCs w:val="16"/>
          <w:color w:val="auto"/>
        </w:rPr>
      </w:pPr>
      <w:r>
        <w:rPr>
          <w:rFonts w:ascii="Arial" w:cs="Arial" w:eastAsia="Arial" w:hAnsi="Arial"/>
          <w:sz w:val="16"/>
          <w:szCs w:val="16"/>
          <w:color w:val="auto"/>
        </w:rPr>
        <w:t>maintains the loan-to-value ratio covenant at its current 40% level throughout the remaining term of the SSTL;</w:t>
      </w:r>
    </w:p>
    <w:p>
      <w:pPr>
        <w:spacing w:after="0" w:line="5" w:lineRule="exact"/>
        <w:rPr>
          <w:rFonts w:ascii="Arial" w:cs="Arial" w:eastAsia="Arial" w:hAnsi="Arial"/>
          <w:sz w:val="16"/>
          <w:szCs w:val="16"/>
          <w:color w:val="auto"/>
        </w:rPr>
      </w:pPr>
    </w:p>
    <w:p>
      <w:pPr>
        <w:ind w:left="820" w:hanging="326"/>
        <w:spacing w:after="0"/>
        <w:tabs>
          <w:tab w:leader="none" w:pos="820" w:val="left"/>
        </w:tabs>
        <w:numPr>
          <w:ilvl w:val="1"/>
          <w:numId w:val="21"/>
        </w:numPr>
        <w:rPr>
          <w:rFonts w:ascii="Arial" w:cs="Arial" w:eastAsia="Arial" w:hAnsi="Arial"/>
          <w:sz w:val="14"/>
          <w:szCs w:val="14"/>
          <w:color w:val="auto"/>
        </w:rPr>
      </w:pPr>
      <w:r>
        <w:rPr>
          <w:rFonts w:ascii="Arial" w:cs="Arial" w:eastAsia="Arial" w:hAnsi="Arial"/>
          <w:sz w:val="14"/>
          <w:szCs w:val="14"/>
          <w:color w:val="auto"/>
        </w:rPr>
        <w:t>limits the repurchase of Ocwen’s common stock or options to an amount not to exceed the sum of (i) $20 million plus (ii) an amount equal to (x) $20 million times</w:t>
      </w:r>
    </w:p>
    <w:p>
      <w:pPr>
        <w:spacing w:after="0" w:line="28" w:lineRule="exact"/>
        <w:rPr>
          <w:rFonts w:ascii="Arial" w:cs="Arial" w:eastAsia="Arial" w:hAnsi="Arial"/>
          <w:sz w:val="14"/>
          <w:szCs w:val="14"/>
          <w:color w:val="auto"/>
        </w:rPr>
      </w:pPr>
    </w:p>
    <w:p>
      <w:pPr>
        <w:ind w:left="820"/>
        <w:spacing w:after="0"/>
        <w:rPr>
          <w:rFonts w:ascii="Arial" w:cs="Arial" w:eastAsia="Arial" w:hAnsi="Arial"/>
          <w:sz w:val="14"/>
          <w:szCs w:val="14"/>
          <w:color w:val="auto"/>
        </w:rPr>
      </w:pPr>
      <w:r>
        <w:rPr>
          <w:rFonts w:ascii="Arial" w:cs="Arial" w:eastAsia="Arial" w:hAnsi="Arial"/>
          <w:sz w:val="16"/>
          <w:szCs w:val="16"/>
          <w:color w:val="auto"/>
        </w:rPr>
        <w:t>(y) the aggregate amount of prepayments on the SSTL made after March 28, 2016 divided by $50 million;</w:t>
      </w:r>
    </w:p>
    <w:p>
      <w:pPr>
        <w:spacing w:after="0" w:line="5" w:lineRule="exact"/>
        <w:rPr>
          <w:rFonts w:ascii="Arial" w:cs="Arial" w:eastAsia="Arial" w:hAnsi="Arial"/>
          <w:sz w:val="14"/>
          <w:szCs w:val="14"/>
          <w:color w:val="auto"/>
        </w:rPr>
      </w:pPr>
    </w:p>
    <w:p>
      <w:pPr>
        <w:ind w:left="820" w:right="200" w:hanging="326"/>
        <w:spacing w:after="0" w:line="263" w:lineRule="auto"/>
        <w:tabs>
          <w:tab w:leader="none" w:pos="820" w:val="left"/>
        </w:tabs>
        <w:numPr>
          <w:ilvl w:val="1"/>
          <w:numId w:val="21"/>
        </w:numPr>
        <w:rPr>
          <w:rFonts w:ascii="Arial" w:cs="Arial" w:eastAsia="Arial" w:hAnsi="Arial"/>
          <w:sz w:val="15"/>
          <w:szCs w:val="15"/>
          <w:color w:val="auto"/>
        </w:rPr>
      </w:pPr>
      <w:r>
        <w:rPr>
          <w:rFonts w:ascii="Arial" w:cs="Arial" w:eastAsia="Arial" w:hAnsi="Arial"/>
          <w:sz w:val="15"/>
          <w:szCs w:val="15"/>
          <w:color w:val="auto"/>
        </w:rPr>
        <w:t>limits the repurchase of Ocwen’s 6.625% Senior Notes (the Senior Unsecured Notes) due 2019 to an amount not to exceed the sum of (i) $30 million plus (ii) an amount equal to (x) $30 million times (y) the aggregate amount of prepayments on the SSTL made after March 28, 2016 divided by $50 million;</w:t>
      </w:r>
    </w:p>
    <w:p>
      <w:pPr>
        <w:ind w:left="820" w:right="360" w:hanging="326"/>
        <w:spacing w:after="0" w:line="257" w:lineRule="auto"/>
        <w:tabs>
          <w:tab w:leader="none" w:pos="820" w:val="left"/>
        </w:tabs>
        <w:numPr>
          <w:ilvl w:val="1"/>
          <w:numId w:val="21"/>
        </w:numPr>
        <w:rPr>
          <w:rFonts w:ascii="Arial" w:cs="Arial" w:eastAsia="Arial" w:hAnsi="Arial"/>
          <w:sz w:val="16"/>
          <w:szCs w:val="16"/>
          <w:color w:val="auto"/>
        </w:rPr>
      </w:pPr>
      <w:r>
        <w:rPr>
          <w:rFonts w:ascii="Arial" w:cs="Arial" w:eastAsia="Arial" w:hAnsi="Arial"/>
          <w:sz w:val="16"/>
          <w:szCs w:val="16"/>
          <w:color w:val="auto"/>
        </w:rPr>
        <w:t>requires that we make a prepayment on the SSTL in an amount equal to $6.3 million (for a total of $19.0 million) on each of May 31, 2016, July 29, 2016 and September 30, 2016; and</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688" w:right="239" w:bottom="1440" w:gutter="0" w:footer="0" w:header="0"/>
        </w:sectPr>
      </w:pPr>
    </w:p>
    <w:bookmarkStart w:id="36" w:name="page37"/>
    <w:bookmarkEnd w:id="36"/>
    <w:p>
      <w:pPr>
        <w:ind w:left="500"/>
        <w:spacing w:after="0"/>
        <w:rPr>
          <w:sz w:val="20"/>
          <w:szCs w:val="20"/>
          <w:color w:val="auto"/>
        </w:rPr>
      </w:pPr>
      <w:r>
        <w:rPr>
          <w:rFonts w:ascii="Arial" w:cs="Arial" w:eastAsia="Arial" w:hAnsi="Arial"/>
          <w:sz w:val="16"/>
          <w:szCs w:val="16"/>
          <w:color w:val="auto"/>
        </w:rPr>
        <w:t>•    provides for a fee payable to the consenting lenders equal to 1.0% of the aggregate amount of such consenting lenders’ SSTL loans outstanding.</w:t>
      </w:r>
    </w:p>
    <w:p>
      <w:pPr>
        <w:spacing w:after="0" w:line="19" w:lineRule="exact"/>
        <w:rPr>
          <w:sz w:val="20"/>
          <w:szCs w:val="20"/>
          <w:color w:val="auto"/>
        </w:rPr>
      </w:pPr>
    </w:p>
    <w:p>
      <w:pPr>
        <w:ind w:left="500" w:right="520" w:hanging="492"/>
        <w:spacing w:after="0" w:line="281" w:lineRule="auto"/>
        <w:tabs>
          <w:tab w:leader="none" w:pos="5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maximum borrowing under this facility is limited to the lesser of $100.0 million or $550.0 million less the lender’s current lending to Ocwen under advance funding facilities. Fifty percent of the maximum borrowing is available on a committed basis and fifty percent is available at the discretion of the lender.</w:t>
      </w:r>
    </w:p>
    <w:p>
      <w:pPr>
        <w:spacing w:after="0" w:line="1" w:lineRule="exact"/>
        <w:rPr>
          <w:rFonts w:ascii="Arial" w:cs="Arial" w:eastAsia="Arial" w:hAnsi="Arial"/>
          <w:sz w:val="14"/>
          <w:szCs w:val="14"/>
          <w:color w:val="auto"/>
        </w:rPr>
      </w:pPr>
    </w:p>
    <w:p>
      <w:pPr>
        <w:ind w:left="500" w:hanging="492"/>
        <w:spacing w:after="0"/>
        <w:tabs>
          <w:tab w:leader="none" w:pos="5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Under this repurchase agreement, the lender provides financing on a committed basis for $200.0 million.</w:t>
      </w:r>
    </w:p>
    <w:p>
      <w:pPr>
        <w:spacing w:after="0" w:line="5" w:lineRule="exact"/>
        <w:rPr>
          <w:rFonts w:ascii="Arial" w:cs="Arial" w:eastAsia="Arial" w:hAnsi="Arial"/>
          <w:sz w:val="16"/>
          <w:szCs w:val="16"/>
          <w:color w:val="auto"/>
        </w:rPr>
      </w:pPr>
    </w:p>
    <w:p>
      <w:pPr>
        <w:jc w:val="both"/>
        <w:ind w:left="500" w:right="20" w:hanging="492"/>
        <w:spacing w:after="0" w:line="246" w:lineRule="auto"/>
        <w:tabs>
          <w:tab w:leader="none" w:pos="5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Under these participation agreements, the lender provides financing for a combined total of $250.0 million at the discretion of the lender. The participation agreements allow the lender to acquire a 100% beneficial interest in the underlying mortgage loans. The transaction does not qualify for sale accounting treatment and is accounted for as a secured borrowing. The lender earns the stated interest rate of the underlying mortgage loans while the loans are financed under the participation agreement. On April 26, 2016, the term of these agreements was extended to April 30, 2017.</w:t>
      </w:r>
    </w:p>
    <w:p>
      <w:pPr>
        <w:spacing w:after="0" w:line="1" w:lineRule="exact"/>
        <w:rPr>
          <w:rFonts w:ascii="Arial" w:cs="Arial" w:eastAsia="Arial" w:hAnsi="Arial"/>
          <w:sz w:val="16"/>
          <w:szCs w:val="16"/>
          <w:color w:val="auto"/>
        </w:rPr>
      </w:pPr>
    </w:p>
    <w:p>
      <w:pPr>
        <w:ind w:left="500" w:right="20" w:hanging="492"/>
        <w:spacing w:after="0" w:line="246" w:lineRule="auto"/>
        <w:tabs>
          <w:tab w:leader="none" w:pos="5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Borrowing capacity of $100.0 million under this facility is available at the discretion of the lender. On July 21, 2016, the term of this agreement was extended to August 25, 2016.</w:t>
      </w:r>
    </w:p>
    <w:p>
      <w:pPr>
        <w:ind w:left="500" w:hanging="492"/>
        <w:spacing w:after="0"/>
        <w:tabs>
          <w:tab w:leader="none" w:pos="5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We entered into this agreement on January 5, 2016. The lender provides financing on a committed basis for $100.0 million.</w:t>
      </w:r>
    </w:p>
    <w:p>
      <w:pPr>
        <w:spacing w:after="0" w:line="5" w:lineRule="exact"/>
        <w:rPr>
          <w:rFonts w:ascii="Arial" w:cs="Arial" w:eastAsia="Arial" w:hAnsi="Arial"/>
          <w:sz w:val="16"/>
          <w:szCs w:val="16"/>
          <w:color w:val="auto"/>
        </w:rPr>
      </w:pPr>
    </w:p>
    <w:p>
      <w:pPr>
        <w:ind w:left="500" w:hanging="492"/>
        <w:spacing w:after="0"/>
        <w:tabs>
          <w:tab w:leader="none" w:pos="500" w:val="left"/>
        </w:tabs>
        <w:numPr>
          <w:ilvl w:val="0"/>
          <w:numId w:val="22"/>
        </w:numPr>
        <w:rPr>
          <w:rFonts w:ascii="Arial" w:cs="Arial" w:eastAsia="Arial" w:hAnsi="Arial"/>
          <w:sz w:val="15"/>
          <w:szCs w:val="15"/>
          <w:color w:val="auto"/>
        </w:rPr>
      </w:pPr>
      <w:r>
        <w:rPr>
          <w:rFonts w:ascii="Arial" w:cs="Arial" w:eastAsia="Arial" w:hAnsi="Arial"/>
          <w:sz w:val="15"/>
          <w:szCs w:val="15"/>
          <w:color w:val="auto"/>
        </w:rPr>
        <w:t>We are in discussions with our lenders for the renewal of facilities maturing during the remainder of 2016, and expect to renew those agreements in normal course.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Unsecured Notes</w:t>
      </w:r>
    </w:p>
    <w:p>
      <w:pPr>
        <w:spacing w:after="0" w:line="121" w:lineRule="exact"/>
        <w:rPr>
          <w:sz w:val="20"/>
          <w:szCs w:val="20"/>
          <w:color w:val="auto"/>
        </w:rPr>
      </w:pPr>
    </w:p>
    <w:p>
      <w:pPr>
        <w:ind w:right="540" w:firstLine="324"/>
        <w:spacing w:after="0" w:line="264" w:lineRule="auto"/>
        <w:rPr>
          <w:sz w:val="20"/>
          <w:szCs w:val="20"/>
          <w:color w:val="auto"/>
        </w:rPr>
      </w:pPr>
      <w:r>
        <w:rPr>
          <w:rFonts w:ascii="Arial" w:cs="Arial" w:eastAsia="Arial" w:hAnsi="Arial"/>
          <w:sz w:val="18"/>
          <w:szCs w:val="18"/>
          <w:color w:val="auto"/>
        </w:rPr>
        <w:t>On May 12, 2014, Ocwen completed the issuance and sale of its $350.0 million 6.625% Senior Unsecured Notes. The Senior Unsecured Notes are general senior unsecured obligations of Ocwen and will mature on May 15, 2019. The Senior Unsecured Notes are not guaranteed by any of Ocwen’s subsidiaries.</w:t>
      </w:r>
    </w:p>
    <w:p>
      <w:pPr>
        <w:spacing w:after="0" w:line="19"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The balances of Senior Unsecured Notes as reported on our Unaudited Consolidated Balance Sheets are net of unamortized debt issuance costs of $3.8 million and $4.5 million at June 30, 2016 and December 31, 2015, respectively.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Under the terms of our debt agreements, we are subject to various qualitative and quantitative covenants. Collectively, these covenants include:</w:t>
      </w:r>
    </w:p>
    <w:p>
      <w:pPr>
        <w:spacing w:after="0" w:line="129"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Financial covenants;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Covenants to operate in material compliance with applicable laws;</w:t>
      </w:r>
    </w:p>
    <w:p>
      <w:pPr>
        <w:spacing w:after="0" w:line="9" w:lineRule="exact"/>
        <w:rPr>
          <w:rFonts w:ascii="Arial" w:cs="Arial" w:eastAsia="Arial" w:hAnsi="Arial"/>
          <w:sz w:val="18"/>
          <w:szCs w:val="18"/>
          <w:color w:val="auto"/>
        </w:rPr>
      </w:pPr>
    </w:p>
    <w:p>
      <w:pPr>
        <w:ind w:left="660" w:right="280" w:hanging="328"/>
        <w:spacing w:after="0" w:line="250"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Restrictions on our ability to engage in various activities, including but not limited to incurring additional debt, paying dividends, repurchasing or redeeming capital stock, transferring assets or making loans, investments or acquisitions;</w:t>
      </w:r>
    </w:p>
    <w:p>
      <w:pPr>
        <w:ind w:left="660" w:right="260" w:hanging="328"/>
        <w:spacing w:after="0" w:line="250"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Monitoring and reporting of various specified transactions or events, including specific reporting on defined events affecting collateral underlying certain debt agreements; and</w:t>
      </w:r>
    </w:p>
    <w:p>
      <w:pPr>
        <w:ind w:left="660" w:right="200" w:hanging="328"/>
        <w:spacing w:after="0" w:line="261"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Requirements to provide audited financial statements within specified timeframes, including a requirement under our SSTL that Ocwen’s financial statements and the related audit report be unqualified as to going concern.</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Financial covenants in our debt agreements require that we maintain, among other things:</w:t>
      </w:r>
    </w:p>
    <w:p>
      <w:pPr>
        <w:spacing w:after="0" w:line="117"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specified loan to collateral value ratio, as defined under our SSTL; and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specified levels of tangible net worth and liquidity at the consolidated and OLS levels.</w:t>
      </w:r>
    </w:p>
    <w:p>
      <w:pPr>
        <w:spacing w:after="0" w:line="103" w:lineRule="exact"/>
        <w:rPr>
          <w:sz w:val="20"/>
          <w:szCs w:val="20"/>
          <w:color w:val="auto"/>
        </w:rPr>
      </w:pPr>
    </w:p>
    <w:p>
      <w:pPr>
        <w:ind w:right="500" w:firstLine="324"/>
        <w:spacing w:after="0" w:line="342" w:lineRule="auto"/>
        <w:rPr>
          <w:sz w:val="20"/>
          <w:szCs w:val="20"/>
          <w:color w:val="auto"/>
        </w:rPr>
      </w:pPr>
      <w:r>
        <w:rPr>
          <w:rFonts w:ascii="Arial" w:cs="Arial" w:eastAsia="Arial" w:hAnsi="Arial"/>
          <w:sz w:val="16"/>
          <w:szCs w:val="16"/>
          <w:color w:val="auto"/>
        </w:rPr>
        <w:t>As of June 30, 2016, the most restrictive consolidated tangible net worth requirements were for a minimum of $1.1 billion at OLS under our match funded debt agreements and two repurchase agreements (Servicing) and $575.0 million at Ocwen under a master repurchase agreement (Lending).</w:t>
      </w:r>
    </w:p>
    <w:p>
      <w:pPr>
        <w:spacing w:after="0" w:line="16"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As a result of the covenants to which we are subject, we may be limited in the manner in which we conduct our business and may be limited in our ability to engage in favorable business activities or raise additional capital to finance future operations or satisfy future liquidity needs. In addition, breaches or events that may result in a default under our debt agreements include, among other things, noncompliance with our covenants, nonpayment of principal or interest, material misrepresentations, the occurrence of a material adverse change, insolvency, bankruptcy, certain material judgments and changes of control. Covenants and default provisions of this type are commonly found in debt agreements such as ours. Certain of these covenants and default provisions are open to subjective interpretation and, if our interpretation were contested by a lender, a court may ultimately be required to determine compliance or lack thereof. In addition, our debt agreements generally include cross default provisions such that a default under one agreement could trigger defaults under other agreements. If we fail to comply with our debt agreements and are unable to avoid, remedy or secure a waiver of any resulting default, we may be subject to adverse action by our lenders, including termination of further funding, acceleration of outstanding obligations, enforcement of liens against the assets securing or otherwise supporting our obligations and other legal remedies. Our lenders can waive their contractual rights in the event of a default.</w:t>
      </w:r>
    </w:p>
    <w:p>
      <w:pPr>
        <w:spacing w:after="0" w:line="61"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We believe that we are in compliance with all of the qualitative and quantitative covenants in our debt agreements as of the date of these financial statements.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89" w:right="2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r>
              <w:rPr>
                <w:rFonts w:ascii="Arial" w:cs="Arial" w:eastAsia="Arial" w:hAnsi="Arial"/>
                <w:sz w:val="18"/>
                <w:szCs w:val="18"/>
                <w:b w:val="1"/>
                <w:bCs w:val="1"/>
                <w:color w:val="auto"/>
              </w:rPr>
              <w:t>Note 12 – Other Liabilities</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24"/>
        </w:trPr>
        <w:tc>
          <w:tcPr>
            <w:tcW w:w="8340" w:type="dxa"/>
            <w:vAlign w:val="bottom"/>
          </w:tcPr>
          <w:p>
            <w:pPr>
              <w:ind w:left="340"/>
              <w:spacing w:after="0"/>
              <w:rPr>
                <w:sz w:val="20"/>
                <w:szCs w:val="20"/>
                <w:color w:val="auto"/>
              </w:rPr>
            </w:pPr>
            <w:r>
              <w:rPr>
                <w:rFonts w:ascii="Arial" w:cs="Arial" w:eastAsia="Arial" w:hAnsi="Arial"/>
                <w:sz w:val="18"/>
                <w:szCs w:val="18"/>
                <w:color w:val="auto"/>
              </w:rPr>
              <w:t>Other liabilities were comprised of the following at the dates indicated:</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60"/>
        </w:trPr>
        <w:tc>
          <w:tcPr>
            <w:tcW w:w="8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8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June 30, 2016</w:t>
            </w: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834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Contingent loan repurchase liability (1)</w:t>
            </w: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253,793</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346,984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legal fees and settlements</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116,297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74,922</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Other accrued expenses</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97,600</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113,934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Liability for indemnification obligations</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37,182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36,615</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Liability for uncertain tax positions</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23,901</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44,751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Checks held for escheat</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15,065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14,301</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Derivatives, at fair value</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7,365</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Payable to loan servicing and subservicing investors</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7,209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15,941</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Accrued interest payable</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4,178</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3,667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(2)</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189,421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93,329</w:t>
            </w:r>
          </w:p>
        </w:tc>
      </w:tr>
      <w:tr>
        <w:trPr>
          <w:trHeight w:val="27"/>
        </w:trPr>
        <w:tc>
          <w:tcPr>
            <w:tcW w:w="834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752,011</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744,444</w:t>
            </w:r>
          </w:p>
        </w:tc>
      </w:tr>
      <w:tr>
        <w:trPr>
          <w:trHeight w:val="20"/>
        </w:trPr>
        <w:tc>
          <w:tcPr>
            <w:tcW w:w="8340" w:type="dxa"/>
            <w:vAlign w:val="bottom"/>
            <w:tcBorders>
              <w:top w:val="single" w:sz="8" w:color="EAF9E8"/>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500" w:right="140" w:hanging="492"/>
        <w:spacing w:after="0" w:line="255" w:lineRule="auto"/>
        <w:tabs>
          <w:tab w:leader="none" w:pos="5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 connection with the Ginnie Mae EBO program, we have re-recognized certain loans on our consolidated balance sheets and established a corresponding repurchase liability regardless of our intention to repurchase the loan.</w:t>
      </w:r>
    </w:p>
    <w:p>
      <w:pPr>
        <w:spacing w:after="0" w:line="1" w:lineRule="exact"/>
        <w:rPr>
          <w:rFonts w:ascii="Arial" w:cs="Arial" w:eastAsia="Arial" w:hAnsi="Arial"/>
          <w:sz w:val="16"/>
          <w:szCs w:val="16"/>
          <w:color w:val="auto"/>
        </w:rPr>
      </w:pPr>
    </w:p>
    <w:p>
      <w:pPr>
        <w:ind w:left="500" w:hanging="492"/>
        <w:spacing w:after="0"/>
        <w:tabs>
          <w:tab w:leader="none" w:pos="5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Includes $88.1 million and $18.5 million at June 30, 2016 and December 31, 2015, respectively, for advance collections and servicing fees to be remitted to NRZ.</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Derivative Financial Instruments and Hedging Activities</w:t>
      </w:r>
    </w:p>
    <w:p>
      <w:pPr>
        <w:spacing w:after="0" w:line="121" w:lineRule="exact"/>
        <w:rPr>
          <w:sz w:val="20"/>
          <w:szCs w:val="20"/>
          <w:color w:val="auto"/>
        </w:rPr>
      </w:pPr>
    </w:p>
    <w:p>
      <w:pPr>
        <w:ind w:right="280" w:firstLine="324"/>
        <w:spacing w:after="0" w:line="302" w:lineRule="auto"/>
        <w:rPr>
          <w:sz w:val="20"/>
          <w:szCs w:val="20"/>
          <w:color w:val="auto"/>
        </w:rPr>
      </w:pPr>
      <w:r>
        <w:rPr>
          <w:rFonts w:ascii="Arial" w:cs="Arial" w:eastAsia="Arial" w:hAnsi="Arial"/>
          <w:sz w:val="16"/>
          <w:szCs w:val="16"/>
          <w:color w:val="auto"/>
        </w:rPr>
        <w:t>Because many of our current derivative agreements are not exchange-traded, we are exposed to credit loss in the event of nonperformance by the counterparty to the agreements. We manage counterparty credit risk by entering into financial instrument transactions through national exchanges, primary dealers or approved counterparties and the use of mutual margining agreements whenever possible to limit potential exposure. We regularly evaluate the financial position and creditworthiness of our counterparties. The notional amount of our contracts does not represent our exposure to credit loss.</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the changes in the notional balances of our holdings of derivatives during the six months ended June 30, 2016:</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6"/>
              </w:rPr>
              <w:t>Forward MBS</w:t>
            </w:r>
          </w:p>
        </w:tc>
        <w:tc>
          <w:tcPr>
            <w:tcW w:w="120" w:type="dxa"/>
            <w:vAlign w:val="bottom"/>
          </w:tcPr>
          <w:p>
            <w:pPr>
              <w:spacing w:after="0"/>
              <w:rPr>
                <w:sz w:val="18"/>
                <w:szCs w:val="18"/>
                <w:color w:val="auto"/>
              </w:rPr>
            </w:pPr>
          </w:p>
        </w:tc>
        <w:tc>
          <w:tcPr>
            <w:tcW w:w="136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Interest Rate</w:t>
            </w:r>
          </w:p>
        </w:tc>
      </w:tr>
      <w:tr>
        <w:trPr>
          <w:trHeight w:val="234"/>
        </w:trPr>
        <w:tc>
          <w:tcPr>
            <w:tcW w:w="6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IRLCs</w:t>
            </w:r>
          </w:p>
        </w:tc>
        <w:tc>
          <w:tcPr>
            <w:tcW w:w="160" w:type="dxa"/>
            <w:vAlign w:val="bottom"/>
          </w:tcPr>
          <w:p>
            <w:pPr>
              <w:spacing w:after="0"/>
              <w:rPr>
                <w:sz w:val="20"/>
                <w:szCs w:val="20"/>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Trades</w:t>
            </w:r>
          </w:p>
        </w:tc>
        <w:tc>
          <w:tcPr>
            <w:tcW w:w="120" w:type="dxa"/>
            <w:vAlign w:val="bottom"/>
          </w:tcPr>
          <w:p>
            <w:pPr>
              <w:spacing w:after="0"/>
              <w:rPr>
                <w:sz w:val="20"/>
                <w:szCs w:val="20"/>
                <w:color w:val="auto"/>
              </w:rPr>
            </w:pPr>
          </w:p>
        </w:tc>
        <w:tc>
          <w:tcPr>
            <w:tcW w:w="136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Caps</w:t>
            </w:r>
          </w:p>
        </w:tc>
      </w:tr>
      <w:tr>
        <w:trPr>
          <w:trHeight w:val="27"/>
        </w:trPr>
        <w:tc>
          <w:tcPr>
            <w:tcW w:w="674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Beginning notional balance</w:t>
            </w: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278,317</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632,720</w:t>
            </w:r>
          </w:p>
        </w:tc>
        <w:tc>
          <w:tcPr>
            <w:tcW w:w="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2,110,000</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Additions</w:t>
            </w:r>
          </w:p>
        </w:tc>
        <w:tc>
          <w:tcPr>
            <w:tcW w:w="1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3,436,643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2,777,175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195,000</w:t>
            </w:r>
          </w:p>
        </w:tc>
      </w:tr>
      <w:tr>
        <w:trPr>
          <w:trHeight w:val="27"/>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Amortization</w:t>
            </w:r>
          </w:p>
        </w:tc>
        <w:tc>
          <w:tcPr>
            <w:tcW w:w="16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42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(600,000)</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Maturities</w:t>
            </w: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(2,382,902)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(1,130,707)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Terminations</w:t>
            </w:r>
          </w:p>
        </w:tc>
        <w:tc>
          <w:tcPr>
            <w:tcW w:w="160" w:type="dxa"/>
            <w:vAlign w:val="bottom"/>
            <w:tcBorders>
              <w:bottom w:val="single" w:sz="8" w:color="EAF9E8"/>
            </w:tcBorders>
            <w:shd w:val="clear" w:color="auto" w:fill="EAF9E8"/>
          </w:tcPr>
          <w:p>
            <w:pPr>
              <w:spacing w:after="0"/>
              <w:rPr>
                <w:sz w:val="23"/>
                <w:szCs w:val="23"/>
                <w:color w:val="auto"/>
              </w:rPr>
            </w:pPr>
          </w:p>
        </w:tc>
        <w:tc>
          <w:tcPr>
            <w:tcW w:w="13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(691,729)</w:t>
            </w:r>
          </w:p>
        </w:tc>
        <w:tc>
          <w:tcPr>
            <w:tcW w:w="10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(1,396,824)</w:t>
            </w:r>
          </w:p>
        </w:tc>
        <w:tc>
          <w:tcPr>
            <w:tcW w:w="100" w:type="dxa"/>
            <w:vAlign w:val="bottom"/>
            <w:tcBorders>
              <w:bottom w:val="single" w:sz="8" w:color="EAF9E8"/>
            </w:tcBorders>
            <w:shd w:val="clear" w:color="auto" w:fill="EAF9E8"/>
          </w:tcPr>
          <w:p>
            <w:pPr>
              <w:spacing w:after="0"/>
              <w:rPr>
                <w:sz w:val="23"/>
                <w:szCs w:val="23"/>
                <w:color w:val="auto"/>
              </w:rPr>
            </w:pPr>
          </w:p>
        </w:tc>
        <w:tc>
          <w:tcPr>
            <w:tcW w:w="120" w:type="dxa"/>
            <w:vAlign w:val="bottom"/>
            <w:tcBorders>
              <w:bottom w:val="single" w:sz="8" w:color="EAF9E8"/>
            </w:tcBorders>
            <w:shd w:val="clear" w:color="auto" w:fill="EAF9E8"/>
          </w:tcPr>
          <w:p>
            <w:pPr>
              <w:spacing w:after="0"/>
              <w:rPr>
                <w:sz w:val="23"/>
                <w:szCs w:val="23"/>
                <w:color w:val="auto"/>
              </w:rPr>
            </w:pPr>
          </w:p>
        </w:tc>
        <w:tc>
          <w:tcPr>
            <w:tcW w:w="13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(275,000)</w:t>
            </w:r>
          </w:p>
        </w:tc>
      </w:tr>
      <w:tr>
        <w:trPr>
          <w:trHeight w:val="297"/>
        </w:trPr>
        <w:tc>
          <w:tcPr>
            <w:tcW w:w="6740" w:type="dxa"/>
            <w:vAlign w:val="bottom"/>
            <w:tcBorders>
              <w:bottom w:val="single" w:sz="8" w:color="EAF9E8"/>
            </w:tcBorders>
          </w:tcPr>
          <w:p>
            <w:pPr>
              <w:ind w:left="40"/>
              <w:spacing w:after="0"/>
              <w:rPr>
                <w:sz w:val="20"/>
                <w:szCs w:val="20"/>
                <w:color w:val="auto"/>
              </w:rPr>
            </w:pPr>
            <w:r>
              <w:rPr>
                <w:rFonts w:ascii="Arial" w:cs="Arial" w:eastAsia="Arial" w:hAnsi="Arial"/>
                <w:sz w:val="18"/>
                <w:szCs w:val="18"/>
                <w:b w:val="1"/>
                <w:bCs w:val="1"/>
                <w:color w:val="auto"/>
              </w:rPr>
              <w:t>Ending notional balance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640,329</w:t>
            </w:r>
          </w:p>
        </w:tc>
        <w:tc>
          <w:tcPr>
            <w:tcW w:w="100" w:type="dxa"/>
            <w:vAlign w:val="bottom"/>
            <w:tcBorders>
              <w:bottom w:val="single" w:sz="8" w:color="EAF9E8"/>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882,364</w:t>
            </w:r>
          </w:p>
        </w:tc>
        <w:tc>
          <w:tcPr>
            <w:tcW w:w="100" w:type="dxa"/>
            <w:vAlign w:val="bottom"/>
            <w:tcBorders>
              <w:bottom w:val="single" w:sz="8" w:color="EAF9E8"/>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1,430,000</w:t>
            </w:r>
          </w:p>
        </w:tc>
      </w:tr>
      <w:tr>
        <w:trPr>
          <w:trHeight w:val="284"/>
        </w:trPr>
        <w:tc>
          <w:tcPr>
            <w:tcW w:w="674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3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3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360" w:type="dxa"/>
            <w:vAlign w:val="bottom"/>
            <w:shd w:val="clear" w:color="auto" w:fill="EAF9E8"/>
          </w:tcPr>
          <w:p>
            <w:pPr>
              <w:spacing w:after="0"/>
              <w:rPr>
                <w:sz w:val="24"/>
                <w:szCs w:val="24"/>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Fair value of derivative assets (liabilities) at:</w:t>
            </w: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June 30, 2016</w:t>
            </w: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14,576</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(7,365)</w:t>
            </w:r>
          </w:p>
        </w:tc>
        <w:tc>
          <w:tcPr>
            <w:tcW w:w="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200</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December 31, 2015</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6,080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2,042</w:t>
            </w:r>
          </w:p>
        </w:tc>
      </w:tr>
      <w:tr>
        <w:trPr>
          <w:trHeight w:val="27"/>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97"/>
        </w:trPr>
        <w:tc>
          <w:tcPr>
            <w:tcW w:w="674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3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3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360" w:type="dxa"/>
            <w:vAlign w:val="bottom"/>
            <w:shd w:val="clear" w:color="auto" w:fill="EAF9E8"/>
          </w:tcPr>
          <w:p>
            <w:pPr>
              <w:spacing w:after="0"/>
              <w:rPr>
                <w:sz w:val="24"/>
                <w:szCs w:val="24"/>
                <w:color w:val="auto"/>
              </w:rPr>
            </w:pPr>
          </w:p>
        </w:tc>
      </w:tr>
      <w:tr>
        <w:trPr>
          <w:trHeight w:val="229"/>
        </w:trPr>
        <w:tc>
          <w:tcPr>
            <w:tcW w:w="6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July 2016 - Oct.</w:t>
            </w: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center"/>
              <w:ind w:right="30"/>
              <w:spacing w:after="0"/>
              <w:rPr>
                <w:sz w:val="20"/>
                <w:szCs w:val="20"/>
                <w:color w:val="auto"/>
              </w:rPr>
            </w:pPr>
            <w:r>
              <w:rPr>
                <w:rFonts w:ascii="Arial" w:cs="Arial" w:eastAsia="Arial" w:hAnsi="Arial"/>
                <w:sz w:val="18"/>
                <w:szCs w:val="18"/>
                <w:color w:val="auto"/>
                <w:w w:val="93"/>
              </w:rPr>
              <w:t>Nov. 2016 - May</w:t>
            </w:r>
          </w:p>
        </w:tc>
      </w:tr>
      <w:tr>
        <w:trPr>
          <w:trHeight w:val="230"/>
        </w:trPr>
        <w:tc>
          <w:tcPr>
            <w:tcW w:w="6740" w:type="dxa"/>
            <w:vAlign w:val="bottom"/>
          </w:tcPr>
          <w:p>
            <w:pPr>
              <w:ind w:left="40"/>
              <w:spacing w:after="0"/>
              <w:rPr>
                <w:sz w:val="20"/>
                <w:szCs w:val="20"/>
                <w:color w:val="auto"/>
              </w:rPr>
            </w:pPr>
            <w:r>
              <w:rPr>
                <w:rFonts w:ascii="Arial" w:cs="Arial" w:eastAsia="Arial" w:hAnsi="Arial"/>
                <w:sz w:val="18"/>
                <w:szCs w:val="18"/>
                <w:color w:val="auto"/>
              </w:rPr>
              <w:t>Maturity</w:t>
            </w:r>
          </w:p>
        </w:tc>
        <w:tc>
          <w:tcPr>
            <w:tcW w:w="160" w:type="dxa"/>
            <w:vAlign w:val="bottom"/>
          </w:tcPr>
          <w:p>
            <w:pPr>
              <w:spacing w:after="0"/>
              <w:rPr>
                <w:sz w:val="20"/>
                <w:szCs w:val="20"/>
                <w:color w:val="auto"/>
              </w:rPr>
            </w:pPr>
          </w:p>
        </w:tc>
        <w:tc>
          <w:tcPr>
            <w:tcW w:w="1360" w:type="dxa"/>
            <w:vAlign w:val="bottom"/>
          </w:tcPr>
          <w:p>
            <w:pPr>
              <w:jc w:val="center"/>
              <w:ind w:right="70"/>
              <w:spacing w:after="0"/>
              <w:rPr>
                <w:sz w:val="20"/>
                <w:szCs w:val="20"/>
                <w:color w:val="auto"/>
              </w:rPr>
            </w:pPr>
            <w:r>
              <w:rPr>
                <w:rFonts w:ascii="Arial" w:cs="Arial" w:eastAsia="Arial" w:hAnsi="Arial"/>
                <w:sz w:val="18"/>
                <w:szCs w:val="18"/>
                <w:color w:val="auto"/>
                <w:w w:val="89"/>
              </w:rPr>
              <w:t>2016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Sept. 2016</w:t>
            </w:r>
          </w:p>
        </w:tc>
        <w:tc>
          <w:tcPr>
            <w:tcW w:w="120" w:type="dxa"/>
            <w:vAlign w:val="bottom"/>
          </w:tcPr>
          <w:p>
            <w:pPr>
              <w:spacing w:after="0"/>
              <w:rPr>
                <w:sz w:val="20"/>
                <w:szCs w:val="20"/>
                <w:color w:val="auto"/>
              </w:rPr>
            </w:pPr>
          </w:p>
        </w:tc>
        <w:tc>
          <w:tcPr>
            <w:tcW w:w="1360" w:type="dxa"/>
            <w:vAlign w:val="bottom"/>
          </w:tcPr>
          <w:p>
            <w:pPr>
              <w:jc w:val="center"/>
              <w:ind w:right="30"/>
              <w:spacing w:after="0"/>
              <w:rPr>
                <w:sz w:val="20"/>
                <w:szCs w:val="20"/>
                <w:color w:val="auto"/>
              </w:rPr>
            </w:pPr>
            <w:r>
              <w:rPr>
                <w:rFonts w:ascii="Arial" w:cs="Arial" w:eastAsia="Arial" w:hAnsi="Arial"/>
                <w:sz w:val="18"/>
                <w:szCs w:val="18"/>
                <w:color w:val="auto"/>
                <w:w w:val="89"/>
              </w:rPr>
              <w:t>2018</w:t>
            </w:r>
          </w:p>
        </w:tc>
      </w:tr>
    </w:tbl>
    <w:p>
      <w:pPr>
        <w:spacing w:after="0" w:line="121"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As loans are originated and sold or as loan commitments expire, our forward MBS trade positions mature and are replaced by new positions based upon new loan originations and commitments and expected time to sell.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796"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Interest Rate Risk Management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Match Funded Liabilities</w:t>
      </w:r>
    </w:p>
    <w:p>
      <w:pPr>
        <w:spacing w:after="0" w:line="117"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As required by certain of our advance financing arrangements, we have purchased interest rate caps to minimize future interest rate exposure from increases in the interest on our variable rate debt as a result of increases in the index, such as 1-month LIBOR, that is used in determining the interest rate on the debt. We currently do not hedge our fixed rate debt.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 Held for Sale, at Fair Value</w:t>
      </w:r>
    </w:p>
    <w:p>
      <w:pPr>
        <w:spacing w:after="0" w:line="117"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The mortgage loans held for sale that we carry at fair value are subject to interest rate and price risk from the loan funding date until the date the loan is sold into the secondary market. Generally, the fair value of a loan will decline in value when interest rates increase and will rise in value when interest rates decrease. To mitigate this risk, we enter into forward MBS trades to provide an economic hedge against those changes in fair value on mortgage loans held for sale. Forward MBS trades are primarily used to fix the forward sales price that will be realized upon the sale of mortgage loans into the secondary market.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Lock Commitments</w:t>
      </w:r>
    </w:p>
    <w:p>
      <w:pPr>
        <w:spacing w:after="0" w:line="117"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A loan commitment binds us (subject to the loan approval process) to fund the loan at the specified rate, regardless of whether interest rates have changed between the commitment date and the loan funding date. As such, outstanding IRLCs are subject to interest rate risk and related price risk during the period from the date of the commitment through the loan funding date or expiration date. The borrower is not obligated to obtain the loan, thus we are subject to fallout risk related to IRLCs, which is realized if approved borrowers choose not to close on the loans within the terms of the IRLCs. Our interest rate exposure on these derivative loan commitments is hedged with freestanding derivatives such as forward contracts. We enter into forward contracts with respect to both fixed and variable rate loan commitments.</w:t>
      </w:r>
    </w:p>
    <w:p>
      <w:pPr>
        <w:spacing w:after="0" w:line="85" w:lineRule="exact"/>
        <w:rPr>
          <w:sz w:val="20"/>
          <w:szCs w:val="20"/>
          <w:color w:val="auto"/>
        </w:rPr>
      </w:pPr>
    </w:p>
    <w:p>
      <w:pPr>
        <w:ind w:right="160" w:firstLine="324"/>
        <w:spacing w:after="0" w:line="308" w:lineRule="auto"/>
        <w:rPr>
          <w:sz w:val="20"/>
          <w:szCs w:val="20"/>
          <w:color w:val="auto"/>
        </w:rPr>
      </w:pPr>
      <w:r>
        <w:rPr>
          <w:rFonts w:ascii="Arial" w:cs="Arial" w:eastAsia="Arial" w:hAnsi="Arial"/>
          <w:sz w:val="17"/>
          <w:szCs w:val="17"/>
          <w:color w:val="auto"/>
        </w:rPr>
        <w:t>The following summarizes our open derivative positions at June 30, 2016 and the gains (losses) on all derivatives used in each of the identified hedging programs for the period then ended. None of the derivatives was designated as a hedge for accounting purposes at June 30, 2016:</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7"/>
              </w:rPr>
              <w:t>Consolidated</w:t>
            </w:r>
          </w:p>
        </w:tc>
      </w:tr>
      <w:tr>
        <w:trPr>
          <w:trHeight w:val="216"/>
        </w:trPr>
        <w:tc>
          <w:tcPr>
            <w:tcW w:w="3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7"/>
              </w:rPr>
              <w:t>Statements of</w:t>
            </w:r>
          </w:p>
        </w:tc>
      </w:tr>
      <w:tr>
        <w:trPr>
          <w:trHeight w:val="216"/>
        </w:trPr>
        <w:tc>
          <w:tcPr>
            <w:tcW w:w="3880" w:type="dxa"/>
            <w:vAlign w:val="bottom"/>
          </w:tcPr>
          <w:p>
            <w:pPr>
              <w:spacing w:after="0"/>
              <w:rPr>
                <w:sz w:val="18"/>
                <w:szCs w:val="18"/>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Expiration</w:t>
            </w: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0"/>
              </w:rPr>
              <w:t>Operations</w:t>
            </w:r>
          </w:p>
        </w:tc>
      </w:tr>
      <w:tr>
        <w:trPr>
          <w:trHeight w:val="234"/>
        </w:trPr>
        <w:tc>
          <w:tcPr>
            <w:tcW w:w="3880" w:type="dxa"/>
            <w:vAlign w:val="bottom"/>
          </w:tcPr>
          <w:p>
            <w:pPr>
              <w:ind w:left="1640"/>
              <w:spacing w:after="0"/>
              <w:rPr>
                <w:sz w:val="20"/>
                <w:szCs w:val="20"/>
                <w:color w:val="auto"/>
              </w:rPr>
            </w:pPr>
            <w:r>
              <w:rPr>
                <w:rFonts w:ascii="Arial" w:cs="Arial" w:eastAsia="Arial" w:hAnsi="Arial"/>
                <w:sz w:val="18"/>
                <w:szCs w:val="18"/>
                <w:b w:val="1"/>
                <w:bCs w:val="1"/>
                <w:color w:val="auto"/>
              </w:rPr>
              <w:t>Purpose</w:t>
            </w:r>
          </w:p>
        </w:tc>
        <w:tc>
          <w:tcPr>
            <w:tcW w:w="12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Date</w:t>
            </w:r>
          </w:p>
        </w:tc>
        <w:tc>
          <w:tcPr>
            <w:tcW w:w="1620" w:type="dxa"/>
            <w:vAlign w:val="bottom"/>
            <w:gridSpan w:val="3"/>
          </w:tcPr>
          <w:p>
            <w:pPr>
              <w:ind w:left="100"/>
              <w:spacing w:after="0"/>
              <w:rPr>
                <w:sz w:val="20"/>
                <w:szCs w:val="20"/>
                <w:color w:val="auto"/>
              </w:rPr>
            </w:pPr>
            <w:r>
              <w:rPr>
                <w:rFonts w:ascii="Arial" w:cs="Arial" w:eastAsia="Arial" w:hAnsi="Arial"/>
                <w:sz w:val="18"/>
                <w:szCs w:val="18"/>
                <w:b w:val="1"/>
                <w:bCs w:val="1"/>
                <w:color w:val="auto"/>
              </w:rPr>
              <w:t>Notional Amount</w:t>
            </w:r>
          </w:p>
        </w:tc>
        <w:tc>
          <w:tcPr>
            <w:tcW w:w="160" w:type="dxa"/>
            <w:vAlign w:val="bottom"/>
          </w:tcPr>
          <w:p>
            <w:pPr>
              <w:spacing w:after="0"/>
              <w:rPr>
                <w:sz w:val="20"/>
                <w:szCs w:val="20"/>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Fair Value (1)</w:t>
            </w:r>
          </w:p>
        </w:tc>
        <w:tc>
          <w:tcPr>
            <w:tcW w:w="140" w:type="dxa"/>
            <w:vAlign w:val="bottom"/>
          </w:tcPr>
          <w:p>
            <w:pPr>
              <w:spacing w:after="0"/>
              <w:rPr>
                <w:sz w:val="20"/>
                <w:szCs w:val="20"/>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b w:val="1"/>
                <w:bCs w:val="1"/>
                <w:color w:val="auto"/>
                <w:w w:val="84"/>
              </w:rPr>
              <w:t>Gains / (Losses)</w:t>
            </w:r>
          </w:p>
        </w:tc>
        <w:tc>
          <w:tcPr>
            <w:tcW w:w="1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2"/>
              </w:rPr>
              <w:t>Caption</w:t>
            </w:r>
          </w:p>
        </w:tc>
      </w:tr>
      <w:tr>
        <w:trPr>
          <w:trHeight w:val="27"/>
        </w:trPr>
        <w:tc>
          <w:tcPr>
            <w:tcW w:w="38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38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Interest rate risk of borrowings</w:t>
            </w:r>
          </w:p>
        </w:tc>
        <w:tc>
          <w:tcPr>
            <w:tcW w:w="11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40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80" w:type="dxa"/>
            <w:vAlign w:val="bottom"/>
            <w:tcBorders>
              <w:bottom w:val="single" w:sz="8" w:color="EAF9E8"/>
            </w:tcBorders>
            <w:shd w:val="clear" w:color="auto" w:fill="EAF9E8"/>
          </w:tcPr>
          <w:p>
            <w:pPr>
              <w:spacing w:after="0"/>
              <w:rPr>
                <w:sz w:val="21"/>
                <w:szCs w:val="21"/>
                <w:color w:val="auto"/>
              </w:rPr>
            </w:pPr>
          </w:p>
        </w:tc>
      </w:tr>
      <w:tr>
        <w:trPr>
          <w:trHeight w:val="229"/>
        </w:trPr>
        <w:tc>
          <w:tcPr>
            <w:tcW w:w="3880" w:type="dxa"/>
            <w:vAlign w:val="bottom"/>
          </w:tcPr>
          <w:p>
            <w:pPr>
              <w:spacing w:after="0"/>
              <w:rPr>
                <w:sz w:val="19"/>
                <w:szCs w:val="19"/>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Nov. 2016 -</w:t>
            </w: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3880" w:type="dxa"/>
            <w:vAlign w:val="bottom"/>
          </w:tcPr>
          <w:p>
            <w:pPr>
              <w:ind w:left="180"/>
              <w:spacing w:after="0"/>
              <w:rPr>
                <w:sz w:val="20"/>
                <w:szCs w:val="20"/>
                <w:color w:val="auto"/>
              </w:rPr>
            </w:pPr>
            <w:r>
              <w:rPr>
                <w:rFonts w:ascii="Arial" w:cs="Arial" w:eastAsia="Arial" w:hAnsi="Arial"/>
                <w:sz w:val="18"/>
                <w:szCs w:val="18"/>
                <w:color w:val="auto"/>
              </w:rPr>
              <w:t>Interest rate caps</w:t>
            </w:r>
          </w:p>
        </w:tc>
        <w:tc>
          <w:tcPr>
            <w:tcW w:w="128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May 2018</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1,430,000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(1,986)</w:t>
            </w:r>
          </w:p>
        </w:tc>
        <w:tc>
          <w:tcPr>
            <w:tcW w:w="1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Other, net</w:t>
            </w:r>
          </w:p>
        </w:tc>
      </w:tr>
      <w:tr>
        <w:trPr>
          <w:trHeight w:val="27"/>
        </w:trPr>
        <w:tc>
          <w:tcPr>
            <w:tcW w:w="38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25"/>
        </w:trPr>
        <w:tc>
          <w:tcPr>
            <w:tcW w:w="3880" w:type="dxa"/>
            <w:vAlign w:val="bottom"/>
            <w:shd w:val="clear" w:color="auto" w:fill="EAF9E8"/>
          </w:tcPr>
          <w:p>
            <w:pPr>
              <w:ind w:left="40"/>
              <w:spacing w:after="0"/>
              <w:rPr>
                <w:sz w:val="20"/>
                <w:szCs w:val="20"/>
                <w:color w:val="auto"/>
              </w:rPr>
            </w:pPr>
            <w:r>
              <w:rPr>
                <w:rFonts w:ascii="Arial" w:cs="Arial" w:eastAsia="Arial" w:hAnsi="Arial"/>
                <w:sz w:val="18"/>
                <w:szCs w:val="18"/>
                <w:b w:val="1"/>
                <w:bCs w:val="1"/>
                <w:color w:val="auto"/>
                <w:w w:val="92"/>
              </w:rPr>
              <w:t>Interest rate risk of mortgage loans held for sale</w:t>
            </w:r>
          </w:p>
        </w:tc>
        <w:tc>
          <w:tcPr>
            <w:tcW w:w="11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40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3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3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80" w:type="dxa"/>
            <w:vAlign w:val="bottom"/>
            <w:shd w:val="clear" w:color="auto" w:fill="EAF9E8"/>
          </w:tcPr>
          <w:p>
            <w:pPr>
              <w:spacing w:after="0"/>
              <w:rPr>
                <w:sz w:val="19"/>
                <w:szCs w:val="19"/>
                <w:color w:val="auto"/>
              </w:rPr>
            </w:pPr>
          </w:p>
        </w:tc>
      </w:tr>
      <w:tr>
        <w:trPr>
          <w:trHeight w:val="241"/>
        </w:trPr>
        <w:tc>
          <w:tcPr>
            <w:tcW w:w="3880" w:type="dxa"/>
            <w:vAlign w:val="bottom"/>
            <w:tcBorders>
              <w:bottom w:val="single" w:sz="8" w:color="EAF9E8"/>
            </w:tcBorders>
            <w:shd w:val="clear" w:color="auto" w:fill="EAF9E8"/>
          </w:tcPr>
          <w:p>
            <w:pPr>
              <w:ind w:left="200"/>
              <w:spacing w:after="0"/>
              <w:rPr>
                <w:sz w:val="20"/>
                <w:szCs w:val="20"/>
                <w:color w:val="auto"/>
              </w:rPr>
            </w:pPr>
            <w:r>
              <w:rPr>
                <w:rFonts w:ascii="Arial" w:cs="Arial" w:eastAsia="Arial" w:hAnsi="Arial"/>
                <w:sz w:val="18"/>
                <w:szCs w:val="18"/>
                <w:b w:val="1"/>
                <w:bCs w:val="1"/>
                <w:color w:val="auto"/>
              </w:rPr>
              <w:t>and of IRLCs</w:t>
            </w:r>
          </w:p>
        </w:tc>
        <w:tc>
          <w:tcPr>
            <w:tcW w:w="116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400" w:type="dxa"/>
            <w:vAlign w:val="bottom"/>
            <w:tcBorders>
              <w:bottom w:val="single" w:sz="8" w:color="EAF9E8"/>
            </w:tcBorders>
            <w:shd w:val="clear" w:color="auto" w:fill="EAF9E8"/>
          </w:tcPr>
          <w:p>
            <w:pPr>
              <w:spacing w:after="0"/>
              <w:rPr>
                <w:sz w:val="20"/>
                <w:szCs w:val="20"/>
                <w:color w:val="auto"/>
              </w:rPr>
            </w:pPr>
          </w:p>
        </w:tc>
        <w:tc>
          <w:tcPr>
            <w:tcW w:w="112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160" w:type="dxa"/>
            <w:vAlign w:val="bottom"/>
            <w:tcBorders>
              <w:bottom w:val="single" w:sz="8" w:color="EAF9E8"/>
            </w:tcBorders>
            <w:shd w:val="clear" w:color="auto" w:fill="EAF9E8"/>
          </w:tcPr>
          <w:p>
            <w:pPr>
              <w:spacing w:after="0"/>
              <w:rPr>
                <w:sz w:val="20"/>
                <w:szCs w:val="20"/>
                <w:color w:val="auto"/>
              </w:rPr>
            </w:pPr>
          </w:p>
        </w:tc>
        <w:tc>
          <w:tcPr>
            <w:tcW w:w="132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140" w:type="dxa"/>
            <w:vAlign w:val="bottom"/>
            <w:tcBorders>
              <w:bottom w:val="single" w:sz="8" w:color="EAF9E8"/>
            </w:tcBorders>
            <w:shd w:val="clear" w:color="auto" w:fill="EAF9E8"/>
          </w:tcPr>
          <w:p>
            <w:pPr>
              <w:spacing w:after="0"/>
              <w:rPr>
                <w:sz w:val="20"/>
                <w:szCs w:val="20"/>
                <w:color w:val="auto"/>
              </w:rPr>
            </w:pPr>
          </w:p>
        </w:tc>
        <w:tc>
          <w:tcPr>
            <w:tcW w:w="134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1480" w:type="dxa"/>
            <w:vAlign w:val="bottom"/>
            <w:tcBorders>
              <w:bottom w:val="single" w:sz="8" w:color="EAF9E8"/>
            </w:tcBorders>
            <w:shd w:val="clear" w:color="auto" w:fill="EAF9E8"/>
          </w:tcPr>
          <w:p>
            <w:pPr>
              <w:spacing w:after="0"/>
              <w:rPr>
                <w:sz w:val="20"/>
                <w:szCs w:val="20"/>
                <w:color w:val="auto"/>
              </w:rPr>
            </w:pPr>
          </w:p>
        </w:tc>
      </w:tr>
      <w:tr>
        <w:trPr>
          <w:trHeight w:val="229"/>
        </w:trPr>
        <w:tc>
          <w:tcPr>
            <w:tcW w:w="38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Gain on loans held</w:t>
            </w:r>
          </w:p>
        </w:tc>
      </w:tr>
      <w:tr>
        <w:trPr>
          <w:trHeight w:val="230"/>
        </w:trPr>
        <w:tc>
          <w:tcPr>
            <w:tcW w:w="3880" w:type="dxa"/>
            <w:vAlign w:val="bottom"/>
          </w:tcPr>
          <w:p>
            <w:pPr>
              <w:ind w:left="180"/>
              <w:spacing w:after="0"/>
              <w:rPr>
                <w:sz w:val="20"/>
                <w:szCs w:val="20"/>
                <w:color w:val="auto"/>
              </w:rPr>
            </w:pPr>
            <w:r>
              <w:rPr>
                <w:rFonts w:ascii="Arial" w:cs="Arial" w:eastAsia="Arial" w:hAnsi="Arial"/>
                <w:sz w:val="18"/>
                <w:szCs w:val="18"/>
                <w:color w:val="auto"/>
              </w:rPr>
              <w:t>Forward MBS trades</w:t>
            </w:r>
          </w:p>
        </w:tc>
        <w:tc>
          <w:tcPr>
            <w:tcW w:w="12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Sept. 2016</w:t>
            </w:r>
          </w:p>
        </w:tc>
        <w:tc>
          <w:tcPr>
            <w:tcW w:w="40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882,364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(7,365)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(21,626)</w:t>
            </w:r>
          </w:p>
        </w:tc>
        <w:tc>
          <w:tcPr>
            <w:tcW w:w="1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for sale, net</w:t>
            </w:r>
          </w:p>
        </w:tc>
      </w:tr>
      <w:tr>
        <w:trPr>
          <w:trHeight w:val="27"/>
        </w:trPr>
        <w:tc>
          <w:tcPr>
            <w:tcW w:w="38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29"/>
        </w:trPr>
        <w:tc>
          <w:tcPr>
            <w:tcW w:w="3880" w:type="dxa"/>
            <w:vAlign w:val="bottom"/>
            <w:shd w:val="clear" w:color="auto" w:fill="EAF9E8"/>
          </w:tcPr>
          <w:p>
            <w:pPr>
              <w:spacing w:after="0"/>
              <w:rPr>
                <w:sz w:val="19"/>
                <w:szCs w:val="19"/>
                <w:color w:val="auto"/>
              </w:rPr>
            </w:pPr>
          </w:p>
        </w:tc>
        <w:tc>
          <w:tcPr>
            <w:tcW w:w="1280" w:type="dxa"/>
            <w:vAlign w:val="bottom"/>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3"/>
              </w:rPr>
              <w:t>July 2016 -</w:t>
            </w:r>
          </w:p>
        </w:tc>
        <w:tc>
          <w:tcPr>
            <w:tcW w:w="40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3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3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8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0"/>
              </w:rPr>
              <w:t>Gain on loans held</w:t>
            </w:r>
          </w:p>
        </w:tc>
      </w:tr>
      <w:tr>
        <w:trPr>
          <w:trHeight w:val="257"/>
        </w:trPr>
        <w:tc>
          <w:tcPr>
            <w:tcW w:w="38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IRLCs</w:t>
            </w:r>
          </w:p>
        </w:tc>
        <w:tc>
          <w:tcPr>
            <w:tcW w:w="128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89"/>
              </w:rPr>
              <w:t>Oct. 2016</w:t>
            </w:r>
          </w:p>
        </w:tc>
        <w:tc>
          <w:tcPr>
            <w:tcW w:w="40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640,329</w:t>
            </w: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spacing w:after="0"/>
              <w:rPr>
                <w:sz w:val="22"/>
                <w:szCs w:val="22"/>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14,576</w:t>
            </w:r>
          </w:p>
        </w:tc>
        <w:tc>
          <w:tcPr>
            <w:tcW w:w="1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6,672</w:t>
            </w:r>
          </w:p>
        </w:tc>
        <w:tc>
          <w:tcPr>
            <w:tcW w:w="100" w:type="dxa"/>
            <w:vAlign w:val="bottom"/>
            <w:tcBorders>
              <w:bottom w:val="single" w:sz="8" w:color="EAF9E8"/>
            </w:tcBorders>
            <w:shd w:val="clear" w:color="auto" w:fill="EAF9E8"/>
          </w:tcPr>
          <w:p>
            <w:pPr>
              <w:spacing w:after="0"/>
              <w:rPr>
                <w:sz w:val="22"/>
                <w:szCs w:val="22"/>
                <w:color w:val="auto"/>
              </w:rPr>
            </w:pPr>
          </w:p>
        </w:tc>
        <w:tc>
          <w:tcPr>
            <w:tcW w:w="148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89"/>
              </w:rPr>
              <w:t>for sale, net</w:t>
            </w:r>
          </w:p>
        </w:tc>
      </w:tr>
      <w:tr>
        <w:trPr>
          <w:trHeight w:val="257"/>
        </w:trPr>
        <w:tc>
          <w:tcPr>
            <w:tcW w:w="3880" w:type="dxa"/>
            <w:vAlign w:val="bottom"/>
          </w:tcPr>
          <w:p>
            <w:pPr>
              <w:ind w:left="380"/>
              <w:spacing w:after="0"/>
              <w:rPr>
                <w:sz w:val="20"/>
                <w:szCs w:val="20"/>
                <w:color w:val="auto"/>
              </w:rPr>
            </w:pPr>
            <w:r>
              <w:rPr>
                <w:rFonts w:ascii="Arial" w:cs="Arial" w:eastAsia="Arial" w:hAnsi="Arial"/>
                <w:sz w:val="18"/>
                <w:szCs w:val="18"/>
                <w:color w:val="auto"/>
              </w:rPr>
              <w:t>Total derivatives</w:t>
            </w: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7,411</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(16,940)</w:t>
            </w: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0"/>
        </w:trPr>
        <w:tc>
          <w:tcPr>
            <w:tcW w:w="38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98" w:lineRule="exact"/>
        <w:rPr>
          <w:sz w:val="20"/>
          <w:szCs w:val="20"/>
          <w:color w:val="auto"/>
        </w:rPr>
      </w:pPr>
    </w:p>
    <w:p>
      <w:pPr>
        <w:ind w:left="500" w:hanging="492"/>
        <w:spacing w:after="0"/>
        <w:tabs>
          <w:tab w:leader="none" w:pos="5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Derivatives are reported at fair value in Other assets or in Other liabilities on our Unaudited Consolidated Balance Sheets.</w:t>
      </w:r>
    </w:p>
    <w:p>
      <w:pPr>
        <w:spacing w:after="0" w:line="351"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37</w:t>
      </w:r>
    </w:p>
    <w:p>
      <w:pPr>
        <w:sectPr>
          <w:pgSz w:w="11900" w:h="16838" w:orient="portrait"/>
          <w:cols w:equalWidth="0" w:num="1">
            <w:col w:w="11420"/>
          </w:cols>
          <w:pgMar w:left="240" w:top="688" w:right="239" w:bottom="1440" w:gutter="0" w:footer="0" w:header="0"/>
        </w:sectPr>
      </w:pPr>
    </w:p>
    <w:bookmarkStart w:id="39" w:name="page40"/>
    <w:bookmarkEnd w:id="39"/>
    <w:p>
      <w:pPr>
        <w:ind w:left="60" w:right="360" w:firstLine="324"/>
        <w:spacing w:after="0" w:line="264" w:lineRule="auto"/>
        <w:rPr>
          <w:sz w:val="20"/>
          <w:szCs w:val="20"/>
          <w:color w:val="auto"/>
        </w:rPr>
      </w:pPr>
      <w:r>
        <w:rPr>
          <w:rFonts w:ascii="Arial" w:cs="Arial" w:eastAsia="Arial" w:hAnsi="Arial"/>
          <w:sz w:val="18"/>
          <w:szCs w:val="18"/>
          <w:color w:val="auto"/>
        </w:rPr>
        <w:t>Included in Accumulated other comprehensive loss (AOCL) at June 30, 2016 and 2015, respectively, were $1.6 million and $2.4 million of deferred unrealized losses, before taxes of $0.1 million and $0.1 million, respectively, on interest rate swaps that we designated as cash flow hedges. Changes in AOCL during the six months ended June 30 were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8340" w:type="dxa"/>
            <w:vAlign w:val="bottom"/>
            <w:tcBorders>
              <w:bottom w:val="single" w:sz="8" w:color="EAF9E8"/>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w:t>
            </w:r>
          </w:p>
        </w:tc>
        <w:tc>
          <w:tcPr>
            <w:tcW w:w="960" w:type="dxa"/>
            <w:vAlign w:val="bottom"/>
            <w:tcBorders>
              <w:bottom w:val="single" w:sz="8" w:color="EAF9E8"/>
            </w:tcBorders>
            <w:shd w:val="clear" w:color="auto" w:fill="EAF9E8"/>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3"/>
              </w:rPr>
              <w:t>1,763</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8,413</w:t>
            </w:r>
          </w:p>
        </w:tc>
      </w:tr>
      <w:tr>
        <w:trPr>
          <w:trHeight w:val="183"/>
        </w:trPr>
        <w:tc>
          <w:tcPr>
            <w:tcW w:w="834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Losses on terminated hedging relationships amortized to earnings</w:t>
            </w:r>
          </w:p>
        </w:tc>
        <w:tc>
          <w:tcPr>
            <w:tcW w:w="960" w:type="dxa"/>
            <w:vAlign w:val="bottom"/>
            <w:tcBorders>
              <w:bottom w:val="single" w:sz="8" w:color="EAF9E8"/>
            </w:tcBorders>
            <w:shd w:val="clear" w:color="auto" w:fill="EAF9E8"/>
          </w:tcPr>
          <w:p>
            <w:pPr>
              <w:spacing w:after="0"/>
              <w:rPr>
                <w:sz w:val="21"/>
                <w:szCs w:val="21"/>
                <w:color w:val="auto"/>
              </w:rPr>
            </w:pPr>
          </w:p>
        </w:tc>
        <w:tc>
          <w:tcPr>
            <w:tcW w:w="5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(6,393)</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Decrease in deferred taxes on accumulated losses on cash flow hedges</w:t>
            </w:r>
          </w:p>
        </w:tc>
        <w:tc>
          <w:tcPr>
            <w:tcW w:w="960" w:type="dxa"/>
            <w:vAlign w:val="bottom"/>
          </w:tcPr>
          <w:p>
            <w:pPr>
              <w:spacing w:after="0"/>
              <w:rPr>
                <w:sz w:val="21"/>
                <w:szCs w:val="21"/>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360</w:t>
            </w:r>
          </w:p>
        </w:tc>
      </w:tr>
      <w:tr>
        <w:trPr>
          <w:trHeight w:val="27"/>
        </w:trPr>
        <w:tc>
          <w:tcPr>
            <w:tcW w:w="8340" w:type="dxa"/>
            <w:vAlign w:val="bottom"/>
            <w:tcBorders>
              <w:bottom w:val="single" w:sz="8" w:color="EAF9E8"/>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Decrease in accumulated losses on cash flow hedges, net of taxes</w:t>
            </w:r>
          </w:p>
        </w:tc>
        <w:tc>
          <w:tcPr>
            <w:tcW w:w="960" w:type="dxa"/>
            <w:vAlign w:val="bottom"/>
            <w:tcBorders>
              <w:bottom w:val="single" w:sz="8" w:color="EAF9E8"/>
            </w:tcBorders>
            <w:shd w:val="clear" w:color="auto" w:fill="EAF9E8"/>
          </w:tcPr>
          <w:p>
            <w:pPr>
              <w:spacing w:after="0"/>
              <w:rPr>
                <w:sz w:val="22"/>
                <w:szCs w:val="22"/>
                <w:color w:val="auto"/>
              </w:rPr>
            </w:pPr>
          </w:p>
        </w:tc>
        <w:tc>
          <w:tcPr>
            <w:tcW w:w="5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(6,033)</w:t>
            </w:r>
          </w:p>
        </w:tc>
      </w:tr>
      <w:tr>
        <w:trPr>
          <w:trHeight w:val="318"/>
        </w:trPr>
        <w:tc>
          <w:tcPr>
            <w:tcW w:w="834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7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Other, net of taxes</w:t>
            </w:r>
          </w:p>
        </w:tc>
        <w:tc>
          <w:tcPr>
            <w:tcW w:w="960" w:type="dxa"/>
            <w:vAlign w:val="bottom"/>
            <w:tcBorders>
              <w:bottom w:val="single" w:sz="8" w:color="EAF9E8"/>
            </w:tcBorders>
            <w:shd w:val="clear" w:color="auto" w:fill="EAF9E8"/>
          </w:tcPr>
          <w:p>
            <w:pPr>
              <w:spacing w:after="0"/>
              <w:rPr>
                <w:sz w:val="23"/>
                <w:szCs w:val="23"/>
                <w:color w:val="auto"/>
              </w:rPr>
            </w:pPr>
          </w:p>
        </w:tc>
        <w:tc>
          <w:tcPr>
            <w:tcW w:w="5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183"/>
        </w:trPr>
        <w:tc>
          <w:tcPr>
            <w:tcW w:w="834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r>
      <w:tr>
        <w:trPr>
          <w:trHeight w:val="26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Ending balance</w:t>
            </w:r>
          </w:p>
        </w:tc>
        <w:tc>
          <w:tcPr>
            <w:tcW w:w="960" w:type="dxa"/>
            <w:vAlign w:val="bottom"/>
            <w:tcBorders>
              <w:bottom w:val="single" w:sz="8" w:color="auto"/>
            </w:tcBorders>
            <w:shd w:val="clear" w:color="auto" w:fill="EAF9E8"/>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w w:val="93"/>
              </w:rPr>
              <w:t>1,589</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2,380</w:t>
            </w:r>
          </w:p>
        </w:tc>
      </w:tr>
      <w:tr>
        <w:trPr>
          <w:trHeight w:val="20"/>
        </w:trPr>
        <w:tc>
          <w:tcPr>
            <w:tcW w:w="83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00" w:firstLine="324"/>
        <w:spacing w:after="0" w:line="286" w:lineRule="auto"/>
        <w:rPr>
          <w:sz w:val="20"/>
          <w:szCs w:val="20"/>
          <w:color w:val="auto"/>
        </w:rPr>
      </w:pPr>
      <w:r>
        <w:rPr>
          <w:rFonts w:ascii="Arial" w:cs="Arial" w:eastAsia="Arial" w:hAnsi="Arial"/>
          <w:sz w:val="17"/>
          <w:szCs w:val="17"/>
          <w:color w:val="auto"/>
        </w:rPr>
        <w:t>As of June 30, 2016, amortization of accumulated losses on cash flow hedges from AOCL to Other income (expense), net is projected to be $0.3 million during the next twelve months. To the extent we sell the MSRs to which the accumulated losses on cash flow hedges applied, a proportionate amount of the remaining unamortized accumulated losses associated with the MSRs sold is recognized in earnings at that time.</w:t>
      </w:r>
    </w:p>
    <w:p>
      <w:pPr>
        <w:spacing w:after="0" w:line="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income (expense), net, includes the following related to derivative financial instruments for the periods ended June 30:</w:t>
      </w:r>
    </w:p>
    <w:p>
      <w:pPr>
        <w:sectPr>
          <w:pgSz w:w="11900" w:h="16838" w:orient="portrait"/>
          <w:cols w:equalWidth="0" w:num="1">
            <w:col w:w="11420"/>
          </w:cols>
          <w:pgMar w:left="240" w:top="692" w:right="239" w:bottom="1440" w:gutter="0" w:footer="0" w:header="0"/>
        </w:sectPr>
      </w:pPr>
    </w:p>
    <w:p>
      <w:pPr>
        <w:spacing w:after="0" w:line="167" w:lineRule="exact"/>
        <w:rPr>
          <w:sz w:val="20"/>
          <w:szCs w:val="20"/>
          <w:color w:val="auto"/>
        </w:rPr>
      </w:pPr>
    </w:p>
    <w:p>
      <w:pPr>
        <w:jc w:val="center"/>
        <w:ind w:left="5240"/>
        <w:spacing w:after="0"/>
        <w:rPr>
          <w:sz w:val="20"/>
          <w:szCs w:val="20"/>
          <w:color w:val="auto"/>
        </w:rPr>
      </w:pPr>
      <w:r>
        <w:rPr>
          <w:rFonts w:ascii="Arial" w:cs="Arial" w:eastAsia="Arial" w:hAnsi="Arial"/>
          <w:sz w:val="18"/>
          <w:szCs w:val="18"/>
          <w:b w:val="1"/>
          <w:bCs w:val="1"/>
          <w:color w:val="auto"/>
        </w:rPr>
        <w:t>Three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34290</wp:posOffset>
            </wp:positionV>
            <wp:extent cx="19723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72310" cy="8890"/>
                    </a:xfrm>
                    <a:prstGeom prst="rect">
                      <a:avLst/>
                    </a:prstGeom>
                    <a:noFill/>
                  </pic:spPr>
                </pic:pic>
              </a:graphicData>
            </a:graphic>
          </wp:anchor>
        </w:drawing>
      </w:r>
    </w:p>
    <w:p>
      <w:pPr>
        <w:spacing w:after="0" w:line="57" w:lineRule="exact"/>
        <w:rPr>
          <w:sz w:val="20"/>
          <w:szCs w:val="20"/>
          <w:color w:val="auto"/>
        </w:rPr>
      </w:pPr>
    </w:p>
    <w:p>
      <w:pPr>
        <w:ind w:left="5720"/>
        <w:spacing w:after="0"/>
        <w:tabs>
          <w:tab w:leader="none" w:pos="7320" w:val="left"/>
        </w:tabs>
        <w:rPr>
          <w:sz w:val="20"/>
          <w:szCs w:val="20"/>
          <w:color w:val="auto"/>
        </w:rPr>
      </w:pPr>
      <w:r>
        <w:rPr>
          <w:rFonts w:ascii="Arial" w:cs="Arial" w:eastAsia="Arial" w:hAnsi="Arial"/>
          <w:sz w:val="16"/>
          <w:szCs w:val="16"/>
          <w:b w:val="1"/>
          <w:bCs w:val="1"/>
          <w:color w:val="auto"/>
        </w:rPr>
        <w:t>2016</w:t>
      </w:r>
      <w:r>
        <w:rPr>
          <w:sz w:val="20"/>
          <w:szCs w:val="20"/>
          <w:color w:val="auto"/>
        </w:rPr>
        <w:tab/>
      </w:r>
      <w:r>
        <w:rPr>
          <w:rFonts w:ascii="Arial" w:cs="Arial" w:eastAsia="Arial" w:hAnsi="Arial"/>
          <w:sz w:val="16"/>
          <w:szCs w:val="16"/>
          <w:b w:val="1"/>
          <w:bCs w:val="1"/>
          <w:color w:val="auto"/>
        </w:rPr>
        <w:t>2015</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Six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34290</wp:posOffset>
            </wp:positionV>
            <wp:extent cx="19380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57" w:lineRule="exact"/>
        <w:rPr>
          <w:sz w:val="20"/>
          <w:szCs w:val="20"/>
          <w:color w:val="auto"/>
        </w:rPr>
      </w:pPr>
    </w:p>
    <w:p>
      <w:pPr>
        <w:spacing w:after="0"/>
        <w:tabs>
          <w:tab w:leader="none" w:pos="1560" w:val="left"/>
        </w:tabs>
        <w:rPr>
          <w:sz w:val="20"/>
          <w:szCs w:val="20"/>
          <w:color w:val="auto"/>
        </w:rPr>
      </w:pPr>
      <w:r>
        <w:rPr>
          <w:rFonts w:ascii="Arial" w:cs="Arial" w:eastAsia="Arial" w:hAnsi="Arial"/>
          <w:sz w:val="16"/>
          <w:szCs w:val="16"/>
          <w:b w:val="1"/>
          <w:bCs w:val="1"/>
          <w:color w:val="auto"/>
        </w:rPr>
        <w:t>2016</w:t>
      </w:r>
      <w:r>
        <w:rPr>
          <w:sz w:val="20"/>
          <w:szCs w:val="20"/>
          <w:color w:val="auto"/>
        </w:rPr>
        <w:tab/>
      </w:r>
      <w:r>
        <w:rPr>
          <w:rFonts w:ascii="Arial" w:cs="Arial" w:eastAsia="Arial" w:hAnsi="Arial"/>
          <w:sz w:val="16"/>
          <w:szCs w:val="16"/>
          <w:b w:val="1"/>
          <w:bCs w:val="1"/>
          <w:color w:val="auto"/>
        </w:rPr>
        <w:t>2015</w:t>
      </w:r>
    </w:p>
    <w:p>
      <w:pPr>
        <w:spacing w:after="0" w:line="57" w:lineRule="exact"/>
        <w:rPr>
          <w:sz w:val="20"/>
          <w:szCs w:val="20"/>
          <w:color w:val="auto"/>
        </w:rPr>
      </w:pPr>
    </w:p>
    <w:p>
      <w:pPr>
        <w:sectPr>
          <w:pgSz w:w="11900" w:h="16838" w:orient="portrait"/>
          <w:cols w:equalWidth="0" w:num="2">
            <w:col w:w="8200" w:space="720"/>
            <w:col w:w="2500"/>
          </w:cols>
          <w:pgMar w:left="240" w:top="692" w:right="239" w:bottom="1440" w:gutter="0" w:footer="0" w:header="0"/>
          <w:type w:val="continuous"/>
        </w:sectPr>
      </w:pPr>
    </w:p>
    <w:tbl>
      <w:tblPr>
        <w:tblLayout w:type="fixed"/>
        <w:tblInd w:w="0" w:type="dxa"/>
        <w:tblCellMar>
          <w:top w:w="0" w:type="dxa"/>
          <w:left w:w="0" w:type="dxa"/>
          <w:bottom w:w="0" w:type="dxa"/>
          <w:right w:w="0" w:type="dxa"/>
        </w:tblCellMar>
      </w:tblPr>
      <w:tr>
        <w:trPr>
          <w:trHeight w:val="264"/>
        </w:trPr>
        <w:tc>
          <w:tcPr>
            <w:tcW w:w="5160" w:type="dxa"/>
            <w:vAlign w:val="bottom"/>
            <w:tcBorders>
              <w:top w:val="single" w:sz="8" w:color="EAF9E8"/>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Losses on economic hedges</w:t>
            </w:r>
          </w:p>
        </w:tc>
        <w:tc>
          <w:tcPr>
            <w:tcW w:w="580" w:type="dxa"/>
            <w:vAlign w:val="bottom"/>
            <w:tcBorders>
              <w:top w:val="single" w:sz="8" w:color="auto"/>
              <w:bottom w:val="single" w:sz="8" w:color="EAF9E8"/>
            </w:tcBorders>
            <w:shd w:val="clear" w:color="auto" w:fill="EAF9E8"/>
          </w:tcPr>
          <w:p>
            <w:pPr>
              <w:jc w:val="right"/>
              <w:ind w:right="3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(514)</w:t>
            </w:r>
          </w:p>
        </w:tc>
        <w:tc>
          <w:tcPr>
            <w:tcW w:w="120" w:type="dxa"/>
            <w:vAlign w:val="bottom"/>
            <w:tcBorders>
              <w:top w:val="single" w:sz="8" w:color="EAF9E8"/>
              <w:bottom w:val="single" w:sz="8" w:color="EAF9E8"/>
            </w:tcBorders>
            <w:shd w:val="clear" w:color="auto" w:fill="EAF9E8"/>
          </w:tcPr>
          <w:p>
            <w:pPr>
              <w:spacing w:after="0"/>
              <w:rPr>
                <w:sz w:val="22"/>
                <w:szCs w:val="22"/>
                <w:color w:val="auto"/>
              </w:rPr>
            </w:pPr>
          </w:p>
        </w:tc>
        <w:tc>
          <w:tcPr>
            <w:tcW w:w="520" w:type="dxa"/>
            <w:vAlign w:val="bottom"/>
            <w:tcBorders>
              <w:top w:val="single" w:sz="8" w:color="auto"/>
              <w:bottom w:val="single" w:sz="8" w:color="EAF9E8"/>
            </w:tcBorders>
            <w:shd w:val="clear" w:color="auto" w:fill="EAF9E8"/>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Borders>
              <w:top w:val="single" w:sz="8" w:color="EAF9E8"/>
              <w:bottom w:val="single" w:sz="8" w:color="EAF9E8"/>
            </w:tcBorders>
            <w:shd w:val="clear" w:color="auto" w:fill="EAF9E8"/>
          </w:tcPr>
          <w:p>
            <w:pPr>
              <w:spacing w:after="0"/>
              <w:rPr>
                <w:sz w:val="22"/>
                <w:szCs w:val="22"/>
                <w:color w:val="auto"/>
              </w:rPr>
            </w:pPr>
          </w:p>
        </w:tc>
        <w:tc>
          <w:tcPr>
            <w:tcW w:w="520" w:type="dxa"/>
            <w:vAlign w:val="bottom"/>
            <w:tcBorders>
              <w:top w:val="single" w:sz="8" w:color="auto"/>
              <w:bottom w:val="single" w:sz="8" w:color="EAF9E8"/>
            </w:tcBorders>
            <w:shd w:val="clear" w:color="auto" w:fill="EAF9E8"/>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(1,905)</w:t>
            </w:r>
          </w:p>
        </w:tc>
        <w:tc>
          <w:tcPr>
            <w:tcW w:w="580" w:type="dxa"/>
            <w:vAlign w:val="bottom"/>
            <w:tcBorders>
              <w:top w:val="single" w:sz="8" w:color="auto"/>
              <w:bottom w:val="single" w:sz="8" w:color="EAF9E8"/>
            </w:tcBorders>
            <w:shd w:val="clear" w:color="auto" w:fill="EAF9E8"/>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(875)</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w w:val="96"/>
              </w:rPr>
              <w:t>Write-off of losses in AOCL for a discontinued hedge relationship</w:t>
            </w:r>
          </w:p>
        </w:tc>
        <w:tc>
          <w:tcPr>
            <w:tcW w:w="5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(5,950)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(175)</w:t>
            </w:r>
          </w:p>
        </w:tc>
        <w:tc>
          <w:tcPr>
            <w:tcW w:w="5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(6,393)</w:t>
            </w:r>
          </w:p>
        </w:tc>
      </w:tr>
      <w:tr>
        <w:trPr>
          <w:trHeight w:val="27"/>
        </w:trPr>
        <w:tc>
          <w:tcPr>
            <w:tcW w:w="5160" w:type="dxa"/>
            <w:vAlign w:val="bottom"/>
            <w:tcBorders>
              <w:bottom w:val="single" w:sz="8" w:color="EAF9E8"/>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EAF9E8"/>
            </w:tcBorders>
            <w:shd w:val="clear" w:color="auto" w:fill="EAF9E8"/>
          </w:tcPr>
          <w:p>
            <w:pPr>
              <w:spacing w:after="0"/>
              <w:rPr>
                <w:sz w:val="22"/>
                <w:szCs w:val="22"/>
                <w:color w:val="auto"/>
              </w:rPr>
            </w:pPr>
          </w:p>
        </w:tc>
        <w:tc>
          <w:tcPr>
            <w:tcW w:w="580" w:type="dxa"/>
            <w:vAlign w:val="bottom"/>
            <w:tcBorders>
              <w:bottom w:val="single" w:sz="8" w:color="EAF9E8"/>
            </w:tcBorders>
            <w:shd w:val="clear" w:color="auto" w:fill="EAF9E8"/>
          </w:tcPr>
          <w:p>
            <w:pPr>
              <w:jc w:val="right"/>
              <w:ind w:right="3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(584)</w:t>
            </w:r>
          </w:p>
        </w:tc>
        <w:tc>
          <w:tcPr>
            <w:tcW w:w="120" w:type="dxa"/>
            <w:vAlign w:val="bottom"/>
            <w:tcBorders>
              <w:bottom w:val="single" w:sz="8" w:color="EAF9E8"/>
            </w:tcBorders>
            <w:shd w:val="clear" w:color="auto" w:fill="EAF9E8"/>
          </w:tcPr>
          <w:p>
            <w:pPr>
              <w:spacing w:after="0"/>
              <w:rPr>
                <w:sz w:val="22"/>
                <w:szCs w:val="22"/>
                <w:color w:val="auto"/>
              </w:rPr>
            </w:pPr>
          </w:p>
        </w:tc>
        <w:tc>
          <w:tcPr>
            <w:tcW w:w="520" w:type="dxa"/>
            <w:vAlign w:val="bottom"/>
            <w:tcBorders>
              <w:bottom w:val="single" w:sz="8" w:color="EAF9E8"/>
            </w:tcBorders>
            <w:shd w:val="clear" w:color="auto" w:fill="EAF9E8"/>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(6,114)</w:t>
            </w:r>
          </w:p>
        </w:tc>
        <w:tc>
          <w:tcPr>
            <w:tcW w:w="100" w:type="dxa"/>
            <w:vAlign w:val="bottom"/>
            <w:tcBorders>
              <w:bottom w:val="single" w:sz="8" w:color="EAF9E8"/>
            </w:tcBorders>
            <w:shd w:val="clear" w:color="auto" w:fill="EAF9E8"/>
          </w:tcPr>
          <w:p>
            <w:pPr>
              <w:spacing w:after="0"/>
              <w:rPr>
                <w:sz w:val="22"/>
                <w:szCs w:val="22"/>
                <w:color w:val="auto"/>
              </w:rPr>
            </w:pPr>
          </w:p>
        </w:tc>
        <w:tc>
          <w:tcPr>
            <w:tcW w:w="520" w:type="dxa"/>
            <w:vAlign w:val="bottom"/>
            <w:tcBorders>
              <w:bottom w:val="single" w:sz="8" w:color="EAF9E8"/>
            </w:tcBorders>
            <w:shd w:val="clear" w:color="auto" w:fill="EAF9E8"/>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(2,080)</w:t>
            </w:r>
          </w:p>
        </w:tc>
        <w:tc>
          <w:tcPr>
            <w:tcW w:w="580" w:type="dxa"/>
            <w:vAlign w:val="bottom"/>
            <w:tcBorders>
              <w:bottom w:val="single" w:sz="8" w:color="EAF9E8"/>
            </w:tcBorders>
            <w:shd w:val="clear" w:color="auto" w:fill="EAF9E8"/>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(7,268)</w:t>
            </w:r>
          </w:p>
        </w:tc>
      </w:tr>
      <w:tr>
        <w:trPr>
          <w:trHeight w:val="20"/>
        </w:trPr>
        <w:tc>
          <w:tcPr>
            <w:tcW w:w="5160" w:type="dxa"/>
            <w:vAlign w:val="bottom"/>
            <w:tcBorders>
              <w:top w:val="single" w:sz="8" w:color="EAF9E8"/>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Interest Expense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components of interest expense for the periods ended June 30:</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0" w:type="dxa"/>
            <w:vAlign w:val="bottom"/>
            <w:gridSpan w:val="3"/>
          </w:tcPr>
          <w:p>
            <w:pPr>
              <w:jc w:val="right"/>
              <w:spacing w:after="0"/>
              <w:rPr>
                <w:sz w:val="20"/>
                <w:szCs w:val="20"/>
                <w:color w:val="auto"/>
              </w:rPr>
            </w:pPr>
            <w:r>
              <w:rPr>
                <w:rFonts w:ascii="Arial" w:cs="Arial" w:eastAsia="Arial" w:hAnsi="Arial"/>
                <w:sz w:val="18"/>
                <w:szCs w:val="18"/>
                <w:b w:val="1"/>
                <w:bCs w:val="1"/>
                <w:color w:val="auto"/>
              </w:rPr>
              <w:t>Three months</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b w:val="1"/>
                <w:bCs w:val="1"/>
                <w:color w:val="auto"/>
              </w:rPr>
              <w:t>Six Months</w:t>
            </w:r>
          </w:p>
        </w:tc>
        <w:tc>
          <w:tcPr>
            <w:tcW w:w="100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516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Financing liabilities (1) (2)</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52,803</w:t>
            </w:r>
          </w:p>
        </w:tc>
        <w:tc>
          <w:tcPr>
            <w:tcW w:w="12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74,066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120,578</w:t>
            </w:r>
          </w:p>
        </w:tc>
        <w:tc>
          <w:tcPr>
            <w:tcW w:w="100" w:type="dxa"/>
            <w:vAlign w:val="bottom"/>
            <w:tcBorders>
              <w:bottom w:val="single" w:sz="8" w:color="EAF9E8"/>
            </w:tcBorders>
            <w:shd w:val="clear" w:color="auto" w:fill="EAF9E8"/>
          </w:tcPr>
          <w:p>
            <w:pPr>
              <w:spacing w:after="0"/>
              <w:rPr>
                <w:sz w:val="21"/>
                <w:szCs w:val="21"/>
                <w:color w:val="auto"/>
              </w:rPr>
            </w:pPr>
          </w:p>
        </w:tc>
        <w:tc>
          <w:tcPr>
            <w:tcW w:w="480" w:type="dxa"/>
            <w:vAlign w:val="bottom"/>
            <w:tcBorders>
              <w:bottom w:val="single" w:sz="8" w:color="EAF9E8"/>
            </w:tcBorders>
            <w:shd w:val="clear" w:color="auto" w:fill="EAF9E8"/>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147,891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Match funded liabilities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18,133</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15,674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36,307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29,955</w:t>
            </w: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Other secured borrowings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12,715</w:t>
            </w:r>
          </w:p>
        </w:tc>
        <w:tc>
          <w:tcPr>
            <w:tcW w:w="12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25,710</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25,428</w:t>
            </w:r>
          </w:p>
        </w:tc>
        <w:tc>
          <w:tcPr>
            <w:tcW w:w="100" w:type="dxa"/>
            <w:vAlign w:val="bottom"/>
            <w:tcBorders>
              <w:bottom w:val="single" w:sz="8" w:color="EAF9E8"/>
            </w:tcBorders>
            <w:shd w:val="clear" w:color="auto" w:fill="EAF9E8"/>
          </w:tcPr>
          <w:p>
            <w:pPr>
              <w:spacing w:after="0"/>
              <w:rPr>
                <w:sz w:val="21"/>
                <w:szCs w:val="21"/>
                <w:color w:val="auto"/>
              </w:rPr>
            </w:pPr>
          </w:p>
        </w:tc>
        <w:tc>
          <w:tcPr>
            <w:tcW w:w="48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48,625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6.625% Senior unsecured notes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6,129</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6,651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12,270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12,780</w:t>
            </w: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1,253</w:t>
            </w:r>
          </w:p>
        </w:tc>
        <w:tc>
          <w:tcPr>
            <w:tcW w:w="120" w:type="dxa"/>
            <w:vAlign w:val="bottom"/>
            <w:tcBorders>
              <w:bottom w:val="single" w:sz="8" w:color="EAF9E8"/>
            </w:tcBorders>
            <w:shd w:val="clear" w:color="auto" w:fill="EAF9E8"/>
          </w:tcPr>
          <w:p>
            <w:pPr>
              <w:spacing w:after="0"/>
              <w:rPr>
                <w:sz w:val="23"/>
                <w:szCs w:val="23"/>
                <w:color w:val="auto"/>
              </w:rPr>
            </w:pPr>
          </w:p>
        </w:tc>
        <w:tc>
          <w:tcPr>
            <w:tcW w:w="520" w:type="dxa"/>
            <w:vAlign w:val="bottom"/>
            <w:tcBorders>
              <w:bottom w:val="single" w:sz="8" w:color="EAF9E8"/>
            </w:tcBorders>
            <w:shd w:val="clear" w:color="auto" w:fill="EAF9E8"/>
          </w:tcPr>
          <w:p>
            <w:pPr>
              <w:spacing w:after="0"/>
              <w:rPr>
                <w:sz w:val="23"/>
                <w:szCs w:val="23"/>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2,796</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2,539</w:t>
            </w:r>
          </w:p>
        </w:tc>
        <w:tc>
          <w:tcPr>
            <w:tcW w:w="100" w:type="dxa"/>
            <w:vAlign w:val="bottom"/>
            <w:tcBorders>
              <w:bottom w:val="single" w:sz="8" w:color="EAF9E8"/>
            </w:tcBorders>
            <w:shd w:val="clear" w:color="auto" w:fill="EAF9E8"/>
          </w:tcPr>
          <w:p>
            <w:pPr>
              <w:spacing w:after="0"/>
              <w:rPr>
                <w:sz w:val="23"/>
                <w:szCs w:val="23"/>
                <w:color w:val="auto"/>
              </w:rPr>
            </w:pPr>
          </w:p>
        </w:tc>
        <w:tc>
          <w:tcPr>
            <w:tcW w:w="480" w:type="dxa"/>
            <w:vAlign w:val="bottom"/>
            <w:tcBorders>
              <w:bottom w:val="single" w:sz="8" w:color="EAF9E8"/>
            </w:tcBorders>
            <w:shd w:val="clear" w:color="auto" w:fill="EAF9E8"/>
          </w:tcPr>
          <w:p>
            <w:pPr>
              <w:spacing w:after="0"/>
              <w:rPr>
                <w:sz w:val="23"/>
                <w:szCs w:val="23"/>
                <w:color w:val="auto"/>
              </w:rPr>
            </w:pPr>
          </w:p>
        </w:tc>
        <w:tc>
          <w:tcPr>
            <w:tcW w:w="10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5,042</w:t>
            </w:r>
          </w:p>
        </w:tc>
      </w:tr>
      <w:tr>
        <w:trPr>
          <w:trHeight w:val="237"/>
        </w:trPr>
        <w:tc>
          <w:tcPr>
            <w:tcW w:w="516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91,033</w:t>
            </w:r>
          </w:p>
        </w:tc>
        <w:tc>
          <w:tcPr>
            <w:tcW w:w="12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124,897</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197,122</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244,293</w:t>
            </w:r>
          </w:p>
        </w:tc>
      </w:tr>
      <w:tr>
        <w:trPr>
          <w:trHeight w:val="27"/>
        </w:trPr>
        <w:tc>
          <w:tcPr>
            <w:tcW w:w="5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500" w:hanging="492"/>
        <w:spacing w:after="0"/>
        <w:tabs>
          <w:tab w:leader="none" w:pos="5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Includes interest expense related to financing liabilities recorded in connection with the NRZ/HLSS Transactions as indicated in the table below.</w:t>
      </w:r>
    </w:p>
    <w:p>
      <w:pPr>
        <w:spacing w:after="0" w:line="177" w:lineRule="exact"/>
        <w:rPr>
          <w:sz w:val="20"/>
          <w:szCs w:val="20"/>
          <w:color w:val="auto"/>
        </w:rPr>
      </w:pPr>
    </w:p>
    <w:tbl>
      <w:tblPr>
        <w:tblLayout w:type="fixed"/>
        <w:tblInd w:w="500" w:type="dxa"/>
        <w:tblCellMar>
          <w:top w:w="0" w:type="dxa"/>
          <w:left w:w="0" w:type="dxa"/>
          <w:bottom w:w="0" w:type="dxa"/>
          <w:right w:w="0" w:type="dxa"/>
        </w:tblCellMar>
      </w:tblPr>
      <w:tr>
        <w:trPr>
          <w:trHeight w:val="210"/>
        </w:trPr>
        <w:tc>
          <w:tcPr>
            <w:tcW w:w="4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gridSpan w:val="3"/>
          </w:tcPr>
          <w:p>
            <w:pPr>
              <w:jc w:val="right"/>
              <w:spacing w:after="0"/>
              <w:rPr>
                <w:sz w:val="20"/>
                <w:szCs w:val="20"/>
                <w:color w:val="auto"/>
              </w:rPr>
            </w:pPr>
            <w:r>
              <w:rPr>
                <w:rFonts w:ascii="Arial" w:cs="Arial" w:eastAsia="Arial" w:hAnsi="Arial"/>
                <w:sz w:val="16"/>
                <w:szCs w:val="16"/>
                <w:b w:val="1"/>
                <w:bCs w:val="1"/>
                <w:color w:val="auto"/>
              </w:rPr>
              <w:t>Three months</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gridSpan w:val="3"/>
          </w:tcPr>
          <w:p>
            <w:pPr>
              <w:jc w:val="right"/>
              <w:spacing w:after="0"/>
              <w:rPr>
                <w:sz w:val="20"/>
                <w:szCs w:val="20"/>
                <w:color w:val="auto"/>
              </w:rPr>
            </w:pPr>
            <w:r>
              <w:rPr>
                <w:rFonts w:ascii="Arial" w:cs="Arial" w:eastAsia="Arial" w:hAnsi="Arial"/>
                <w:sz w:val="16"/>
                <w:szCs w:val="16"/>
                <w:b w:val="1"/>
                <w:bCs w:val="1"/>
                <w:color w:val="auto"/>
              </w:rPr>
              <w:t>Six Months</w:t>
            </w:r>
          </w:p>
        </w:tc>
        <w:tc>
          <w:tcPr>
            <w:tcW w:w="920" w:type="dxa"/>
            <w:vAlign w:val="bottom"/>
          </w:tcPr>
          <w:p>
            <w:pPr>
              <w:spacing w:after="0"/>
              <w:rPr>
                <w:sz w:val="18"/>
                <w:szCs w:val="18"/>
                <w:color w:val="auto"/>
              </w:rPr>
            </w:pPr>
          </w:p>
        </w:tc>
      </w:tr>
      <w:tr>
        <w:trPr>
          <w:trHeight w:val="33"/>
        </w:trPr>
        <w:tc>
          <w:tcPr>
            <w:tcW w:w="44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1"/>
        </w:trPr>
        <w:tc>
          <w:tcPr>
            <w:tcW w:w="4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47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jc w:val="right"/>
              <w:ind w:right="47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41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ind w:right="439"/>
              <w:spacing w:after="0"/>
              <w:rPr>
                <w:sz w:val="20"/>
                <w:szCs w:val="20"/>
                <w:color w:val="auto"/>
              </w:rPr>
            </w:pPr>
            <w:r>
              <w:rPr>
                <w:rFonts w:ascii="Arial" w:cs="Arial" w:eastAsia="Arial" w:hAnsi="Arial"/>
                <w:sz w:val="16"/>
                <w:szCs w:val="16"/>
                <w:b w:val="1"/>
                <w:bCs w:val="1"/>
                <w:color w:val="auto"/>
              </w:rPr>
              <w:t>2015</w:t>
            </w:r>
          </w:p>
        </w:tc>
      </w:tr>
      <w:tr>
        <w:trPr>
          <w:trHeight w:val="33"/>
        </w:trPr>
        <w:tc>
          <w:tcPr>
            <w:tcW w:w="44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0"/>
        </w:trPr>
        <w:tc>
          <w:tcPr>
            <w:tcW w:w="444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6"/>
                <w:szCs w:val="16"/>
                <w:color w:val="auto"/>
              </w:rPr>
              <w:t>Servicing fees collected on behalf of NRZ/HLSS</w:t>
            </w:r>
          </w:p>
        </w:tc>
        <w:tc>
          <w:tcPr>
            <w:tcW w:w="340" w:type="dxa"/>
            <w:vAlign w:val="bottom"/>
            <w:tcBorders>
              <w:bottom w:val="single" w:sz="8" w:color="EAF9E8"/>
            </w:tcBorders>
            <w:shd w:val="clear" w:color="auto" w:fill="EAF9E8"/>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160,518</w:t>
            </w:r>
          </w:p>
        </w:tc>
        <w:tc>
          <w:tcPr>
            <w:tcW w:w="120" w:type="dxa"/>
            <w:vAlign w:val="bottom"/>
            <w:tcBorders>
              <w:bottom w:val="single" w:sz="8" w:color="EAF9E8"/>
            </w:tcBorders>
            <w:shd w:val="clear" w:color="auto" w:fill="EAF9E8"/>
          </w:tcPr>
          <w:p>
            <w:pPr>
              <w:spacing w:after="0"/>
              <w:rPr>
                <w:sz w:val="20"/>
                <w:szCs w:val="20"/>
                <w:color w:val="auto"/>
              </w:rPr>
            </w:pPr>
          </w:p>
        </w:tc>
        <w:tc>
          <w:tcPr>
            <w:tcW w:w="480" w:type="dxa"/>
            <w:vAlign w:val="bottom"/>
            <w:tcBorders>
              <w:bottom w:val="single" w:sz="8" w:color="EAF9E8"/>
            </w:tcBorders>
            <w:shd w:val="clear" w:color="auto" w:fill="EAF9E8"/>
          </w:tcPr>
          <w:p>
            <w:pPr>
              <w:jc w:val="right"/>
              <w:ind w:right="2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175,108</w:t>
            </w:r>
          </w:p>
        </w:tc>
        <w:tc>
          <w:tcPr>
            <w:tcW w:w="12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322,647</w:t>
            </w:r>
          </w:p>
        </w:tc>
        <w:tc>
          <w:tcPr>
            <w:tcW w:w="120" w:type="dxa"/>
            <w:vAlign w:val="bottom"/>
            <w:tcBorders>
              <w:bottom w:val="single" w:sz="8" w:color="EAF9E8"/>
            </w:tcBorders>
            <w:shd w:val="clear" w:color="auto" w:fill="EAF9E8"/>
          </w:tcPr>
          <w:p>
            <w:pPr>
              <w:spacing w:after="0"/>
              <w:rPr>
                <w:sz w:val="20"/>
                <w:szCs w:val="20"/>
                <w:color w:val="auto"/>
              </w:rPr>
            </w:pPr>
          </w:p>
        </w:tc>
        <w:tc>
          <w:tcPr>
            <w:tcW w:w="420" w:type="dxa"/>
            <w:vAlign w:val="bottom"/>
            <w:tcBorders>
              <w:bottom w:val="single" w:sz="8" w:color="EAF9E8"/>
            </w:tcBorders>
            <w:shd w:val="clear" w:color="auto" w:fill="EAF9E8"/>
          </w:tcPr>
          <w:p>
            <w:pPr>
              <w:jc w:val="right"/>
              <w:ind w:right="23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355,405</w:t>
            </w:r>
          </w:p>
        </w:tc>
      </w:tr>
      <w:tr>
        <w:trPr>
          <w:trHeight w:val="237"/>
        </w:trPr>
        <w:tc>
          <w:tcPr>
            <w:tcW w:w="4440" w:type="dxa"/>
            <w:vAlign w:val="bottom"/>
          </w:tcPr>
          <w:p>
            <w:pPr>
              <w:ind w:left="20"/>
              <w:spacing w:after="0"/>
              <w:rPr>
                <w:sz w:val="20"/>
                <w:szCs w:val="20"/>
                <w:color w:val="auto"/>
              </w:rPr>
            </w:pPr>
            <w:r>
              <w:rPr>
                <w:rFonts w:ascii="Arial" w:cs="Arial" w:eastAsia="Arial" w:hAnsi="Arial"/>
                <w:sz w:val="16"/>
                <w:szCs w:val="16"/>
                <w:color w:val="auto"/>
              </w:rPr>
              <w:t>Less: Subservicing fee retained by Ocwen</w:t>
            </w:r>
          </w:p>
        </w:tc>
        <w:tc>
          <w:tcPr>
            <w:tcW w:w="3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85,532</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89,991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169,902</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181,205</w:t>
            </w:r>
          </w:p>
        </w:tc>
      </w:tr>
      <w:tr>
        <w:trPr>
          <w:trHeight w:val="33"/>
        </w:trPr>
        <w:tc>
          <w:tcPr>
            <w:tcW w:w="44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0"/>
        </w:trPr>
        <w:tc>
          <w:tcPr>
            <w:tcW w:w="4440" w:type="dxa"/>
            <w:vAlign w:val="bottom"/>
            <w:tcBorders>
              <w:bottom w:val="single" w:sz="8" w:color="EAF9E8"/>
            </w:tcBorders>
            <w:shd w:val="clear" w:color="auto" w:fill="EAF9E8"/>
          </w:tcPr>
          <w:p>
            <w:pPr>
              <w:ind w:left="260"/>
              <w:spacing w:after="0"/>
              <w:rPr>
                <w:sz w:val="20"/>
                <w:szCs w:val="20"/>
                <w:color w:val="auto"/>
              </w:rPr>
            </w:pPr>
            <w:r>
              <w:rPr>
                <w:rFonts w:ascii="Arial" w:cs="Arial" w:eastAsia="Arial" w:hAnsi="Arial"/>
                <w:sz w:val="16"/>
                <w:szCs w:val="16"/>
                <w:color w:val="auto"/>
              </w:rPr>
              <w:t>Net servicing fees remitted to NRZ/HLSS</w:t>
            </w:r>
          </w:p>
        </w:tc>
        <w:tc>
          <w:tcPr>
            <w:tcW w:w="340" w:type="dxa"/>
            <w:vAlign w:val="bottom"/>
            <w:tcBorders>
              <w:bottom w:val="single" w:sz="8" w:color="EAF9E8"/>
            </w:tcBorders>
            <w:shd w:val="clear" w:color="auto" w:fill="EAF9E8"/>
          </w:tcPr>
          <w:p>
            <w:pPr>
              <w:spacing w:after="0"/>
              <w:rPr>
                <w:sz w:val="20"/>
                <w:szCs w:val="20"/>
                <w:color w:val="auto"/>
              </w:rPr>
            </w:pPr>
          </w:p>
        </w:tc>
        <w:tc>
          <w:tcPr>
            <w:tcW w:w="110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74,986</w:t>
            </w:r>
          </w:p>
        </w:tc>
        <w:tc>
          <w:tcPr>
            <w:tcW w:w="120" w:type="dxa"/>
            <w:vAlign w:val="bottom"/>
            <w:tcBorders>
              <w:bottom w:val="single" w:sz="8" w:color="EAF9E8"/>
            </w:tcBorders>
            <w:shd w:val="clear" w:color="auto" w:fill="EAF9E8"/>
          </w:tcPr>
          <w:p>
            <w:pPr>
              <w:spacing w:after="0"/>
              <w:rPr>
                <w:sz w:val="20"/>
                <w:szCs w:val="20"/>
                <w:color w:val="auto"/>
              </w:rPr>
            </w:pPr>
          </w:p>
        </w:tc>
        <w:tc>
          <w:tcPr>
            <w:tcW w:w="480" w:type="dxa"/>
            <w:vAlign w:val="bottom"/>
            <w:tcBorders>
              <w:bottom w:val="single" w:sz="8" w:color="EAF9E8"/>
            </w:tcBorders>
            <w:shd w:val="clear" w:color="auto" w:fill="EAF9E8"/>
          </w:tcPr>
          <w:p>
            <w:pPr>
              <w:spacing w:after="0"/>
              <w:rPr>
                <w:sz w:val="20"/>
                <w:szCs w:val="20"/>
                <w:color w:val="auto"/>
              </w:rPr>
            </w:pPr>
          </w:p>
        </w:tc>
        <w:tc>
          <w:tcPr>
            <w:tcW w:w="94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85,117</w:t>
            </w:r>
          </w:p>
        </w:tc>
        <w:tc>
          <w:tcPr>
            <w:tcW w:w="12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spacing w:after="0"/>
              <w:rPr>
                <w:sz w:val="20"/>
                <w:szCs w:val="20"/>
                <w:color w:val="auto"/>
              </w:rPr>
            </w:pPr>
          </w:p>
        </w:tc>
        <w:tc>
          <w:tcPr>
            <w:tcW w:w="10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152,745</w:t>
            </w:r>
          </w:p>
        </w:tc>
        <w:tc>
          <w:tcPr>
            <w:tcW w:w="120" w:type="dxa"/>
            <w:vAlign w:val="bottom"/>
            <w:tcBorders>
              <w:bottom w:val="single" w:sz="8" w:color="EAF9E8"/>
            </w:tcBorders>
            <w:shd w:val="clear" w:color="auto" w:fill="EAF9E8"/>
          </w:tcPr>
          <w:p>
            <w:pPr>
              <w:spacing w:after="0"/>
              <w:rPr>
                <w:sz w:val="20"/>
                <w:szCs w:val="20"/>
                <w:color w:val="auto"/>
              </w:rPr>
            </w:pPr>
          </w:p>
        </w:tc>
        <w:tc>
          <w:tcPr>
            <w:tcW w:w="420" w:type="dxa"/>
            <w:vAlign w:val="bottom"/>
            <w:tcBorders>
              <w:bottom w:val="single" w:sz="8" w:color="EAF9E8"/>
            </w:tcBorders>
            <w:shd w:val="clear" w:color="auto" w:fill="EAF9E8"/>
          </w:tcPr>
          <w:p>
            <w:pPr>
              <w:spacing w:after="0"/>
              <w:rPr>
                <w:sz w:val="20"/>
                <w:szCs w:val="20"/>
                <w:color w:val="auto"/>
              </w:rPr>
            </w:pPr>
          </w:p>
        </w:tc>
        <w:tc>
          <w:tcPr>
            <w:tcW w:w="92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174,200</w:t>
            </w:r>
          </w:p>
        </w:tc>
      </w:tr>
      <w:tr>
        <w:trPr>
          <w:trHeight w:val="237"/>
        </w:trPr>
        <w:tc>
          <w:tcPr>
            <w:tcW w:w="4440" w:type="dxa"/>
            <w:vAlign w:val="bottom"/>
          </w:tcPr>
          <w:p>
            <w:pPr>
              <w:ind w:left="20"/>
              <w:spacing w:after="0"/>
              <w:rPr>
                <w:sz w:val="20"/>
                <w:szCs w:val="20"/>
                <w:color w:val="auto"/>
              </w:rPr>
            </w:pPr>
            <w:r>
              <w:rPr>
                <w:rFonts w:ascii="Arial" w:cs="Arial" w:eastAsia="Arial" w:hAnsi="Arial"/>
                <w:sz w:val="16"/>
                <w:szCs w:val="16"/>
                <w:color w:val="auto"/>
              </w:rPr>
              <w:t>Less: Reduction in financing liability</w:t>
            </w:r>
          </w:p>
        </w:tc>
        <w:tc>
          <w:tcPr>
            <w:tcW w:w="3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27,628</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13,276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45,829</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30,999</w:t>
            </w:r>
          </w:p>
        </w:tc>
      </w:tr>
      <w:tr>
        <w:trPr>
          <w:trHeight w:val="33"/>
        </w:trPr>
        <w:tc>
          <w:tcPr>
            <w:tcW w:w="44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4440" w:type="dxa"/>
            <w:vAlign w:val="bottom"/>
            <w:tcBorders>
              <w:bottom w:val="single" w:sz="8" w:color="EAF9E8"/>
            </w:tcBorders>
            <w:shd w:val="clear" w:color="auto" w:fill="EAF9E8"/>
          </w:tcPr>
          <w:p>
            <w:pPr>
              <w:ind w:left="260"/>
              <w:spacing w:after="0"/>
              <w:rPr>
                <w:sz w:val="20"/>
                <w:szCs w:val="20"/>
                <w:color w:val="auto"/>
              </w:rPr>
            </w:pPr>
            <w:r>
              <w:rPr>
                <w:rFonts w:ascii="Arial" w:cs="Arial" w:eastAsia="Arial" w:hAnsi="Arial"/>
                <w:sz w:val="16"/>
                <w:szCs w:val="16"/>
                <w:color w:val="auto"/>
              </w:rPr>
              <w:t>Interest expense on NRZ/HLSS financing liability</w:t>
            </w:r>
          </w:p>
        </w:tc>
        <w:tc>
          <w:tcPr>
            <w:tcW w:w="340" w:type="dxa"/>
            <w:vAlign w:val="bottom"/>
            <w:tcBorders>
              <w:bottom w:val="single" w:sz="8" w:color="auto"/>
            </w:tcBorders>
            <w:shd w:val="clear" w:color="auto" w:fill="EAF9E8"/>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EAF9E8"/>
          </w:tcPr>
          <w:p>
            <w:pPr>
              <w:jc w:val="right"/>
              <w:ind w:right="19"/>
              <w:spacing w:after="0"/>
              <w:rPr>
                <w:sz w:val="20"/>
                <w:szCs w:val="20"/>
                <w:color w:val="auto"/>
              </w:rPr>
            </w:pPr>
            <w:r>
              <w:rPr>
                <w:rFonts w:ascii="Arial" w:cs="Arial" w:eastAsia="Arial" w:hAnsi="Arial"/>
                <w:sz w:val="16"/>
                <w:szCs w:val="16"/>
                <w:color w:val="auto"/>
              </w:rPr>
              <w:t>47,358</w:t>
            </w:r>
          </w:p>
        </w:tc>
        <w:tc>
          <w:tcPr>
            <w:tcW w:w="120" w:type="dxa"/>
            <w:vAlign w:val="bottom"/>
            <w:tcBorders>
              <w:bottom w:val="single" w:sz="8" w:color="EAF9E8"/>
            </w:tcBorders>
            <w:shd w:val="clear" w:color="auto" w:fill="EAF9E8"/>
          </w:tcPr>
          <w:p>
            <w:pPr>
              <w:spacing w:after="0"/>
              <w:rPr>
                <w:sz w:val="21"/>
                <w:szCs w:val="21"/>
                <w:color w:val="auto"/>
              </w:rPr>
            </w:pPr>
          </w:p>
        </w:tc>
        <w:tc>
          <w:tcPr>
            <w:tcW w:w="480" w:type="dxa"/>
            <w:vAlign w:val="bottom"/>
            <w:tcBorders>
              <w:bottom w:val="single" w:sz="8" w:color="auto"/>
            </w:tcBorders>
            <w:shd w:val="clear" w:color="auto" w:fill="EAF9E8"/>
          </w:tcPr>
          <w:p>
            <w:pPr>
              <w:jc w:val="right"/>
              <w:ind w:right="2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EAF9E8"/>
          </w:tcPr>
          <w:p>
            <w:pPr>
              <w:jc w:val="right"/>
              <w:ind w:right="19"/>
              <w:spacing w:after="0"/>
              <w:rPr>
                <w:sz w:val="20"/>
                <w:szCs w:val="20"/>
                <w:color w:val="auto"/>
              </w:rPr>
            </w:pPr>
            <w:r>
              <w:rPr>
                <w:rFonts w:ascii="Arial" w:cs="Arial" w:eastAsia="Arial" w:hAnsi="Arial"/>
                <w:sz w:val="16"/>
                <w:szCs w:val="16"/>
                <w:color w:val="auto"/>
              </w:rPr>
              <w:t>71,841</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auto"/>
            </w:tcBorders>
            <w:shd w:val="clear" w:color="auto" w:fill="EAF9E8"/>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6"/>
                <w:szCs w:val="16"/>
                <w:color w:val="auto"/>
              </w:rPr>
              <w:t>106,916</w:t>
            </w:r>
          </w:p>
        </w:tc>
        <w:tc>
          <w:tcPr>
            <w:tcW w:w="120" w:type="dxa"/>
            <w:vAlign w:val="bottom"/>
            <w:tcBorders>
              <w:bottom w:val="single" w:sz="8" w:color="EAF9E8"/>
            </w:tcBorders>
            <w:shd w:val="clear" w:color="auto" w:fill="EAF9E8"/>
          </w:tcPr>
          <w:p>
            <w:pPr>
              <w:spacing w:after="0"/>
              <w:rPr>
                <w:sz w:val="21"/>
                <w:szCs w:val="21"/>
                <w:color w:val="auto"/>
              </w:rPr>
            </w:pPr>
          </w:p>
        </w:tc>
        <w:tc>
          <w:tcPr>
            <w:tcW w:w="420" w:type="dxa"/>
            <w:vAlign w:val="bottom"/>
            <w:tcBorders>
              <w:bottom w:val="single" w:sz="8" w:color="auto"/>
            </w:tcBorders>
            <w:shd w:val="clear" w:color="auto" w:fill="EAF9E8"/>
          </w:tcPr>
          <w:p>
            <w:pPr>
              <w:jc w:val="right"/>
              <w:ind w:right="23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EAF9E8"/>
          </w:tcPr>
          <w:p>
            <w:pPr>
              <w:jc w:val="right"/>
              <w:ind w:right="19"/>
              <w:spacing w:after="0"/>
              <w:rPr>
                <w:sz w:val="20"/>
                <w:szCs w:val="20"/>
                <w:color w:val="auto"/>
              </w:rPr>
            </w:pPr>
            <w:r>
              <w:rPr>
                <w:rFonts w:ascii="Arial" w:cs="Arial" w:eastAsia="Arial" w:hAnsi="Arial"/>
                <w:sz w:val="16"/>
                <w:szCs w:val="16"/>
                <w:color w:val="auto"/>
              </w:rPr>
              <w:t>143,201</w:t>
            </w:r>
          </w:p>
        </w:tc>
      </w:tr>
      <w:tr>
        <w:trPr>
          <w:trHeight w:val="20"/>
        </w:trPr>
        <w:tc>
          <w:tcPr>
            <w:tcW w:w="4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ind w:left="500" w:right="360"/>
        <w:spacing w:after="0" w:line="311" w:lineRule="auto"/>
        <w:rPr>
          <w:sz w:val="20"/>
          <w:szCs w:val="20"/>
          <w:color w:val="auto"/>
        </w:rPr>
      </w:pPr>
      <w:r>
        <w:rPr>
          <w:rFonts w:ascii="Arial" w:cs="Arial" w:eastAsia="Arial" w:hAnsi="Arial"/>
          <w:sz w:val="16"/>
          <w:szCs w:val="16"/>
          <w:color w:val="auto"/>
        </w:rPr>
        <w:t>The reduction in the financing liability does not include reimbursements to NRZ/HLSS for the loss of servicing revenues when we were terminated as servicer and where the related Rights to MSRs had been sold to HLSS.</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692" w:right="239" w:bottom="1440" w:gutter="0" w:footer="0" w:header="0"/>
          <w:type w:val="continuous"/>
        </w:sectPr>
      </w:pPr>
    </w:p>
    <w:bookmarkStart w:id="40" w:name="page41"/>
    <w:bookmarkEnd w:id="40"/>
    <w:p>
      <w:pPr>
        <w:jc w:val="both"/>
        <w:ind w:left="500" w:right="520" w:hanging="492"/>
        <w:spacing w:after="0" w:line="261" w:lineRule="auto"/>
        <w:tabs>
          <w:tab w:leader="none" w:pos="5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Includes $4.3 million and $10.5 million of fees incurred during the three and six months ended June 30, 2016, respectively, in connection with our agreement to compensate NRZ/HLSS for certain increased costs associated with its servicing advance financing facilities that are the direct result of a downgrade of our S&amp;P servicer rating.</w:t>
      </w:r>
    </w:p>
    <w:p>
      <w:pPr>
        <w:spacing w:after="0" w:line="7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Interest expense that we expect to be paid on the HMBS-related borrowings is included with net fair value gains in Other revenues.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Basic and Diluted Earnings per Share</w:t>
      </w:r>
    </w:p>
    <w:p>
      <w:pPr>
        <w:spacing w:after="0" w:line="12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Basic earnings per share excludes common stock equivalents and is calculated by dividing net income attributable to Ocwen common stockholders by the weighted average number of common shares outstanding during the year. We calculate diluted earnings per share by dividing net income attributable to Ocwen by the weighted average number of common shares outstanding, including the potential dilutive common shares related to outstanding stock options and restricted stock awards. The following is a reconciliation of the calculation of basic earnings per share to diluted earnings per share for the periods ended June 30:</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80" w:type="dxa"/>
            <w:vAlign w:val="bottom"/>
            <w:gridSpan w:val="5"/>
          </w:tcPr>
          <w:p>
            <w:pPr>
              <w:ind w:left="700"/>
              <w:spacing w:after="0"/>
              <w:rPr>
                <w:sz w:val="20"/>
                <w:szCs w:val="20"/>
                <w:color w:val="auto"/>
              </w:rPr>
            </w:pPr>
            <w:r>
              <w:rPr>
                <w:rFonts w:ascii="Arial" w:cs="Arial" w:eastAsia="Arial" w:hAnsi="Arial"/>
                <w:sz w:val="18"/>
                <w:szCs w:val="18"/>
                <w:b w:val="1"/>
                <w:bCs w:val="1"/>
                <w:color w:val="auto"/>
              </w:rPr>
              <w:t>Three Months</w:t>
            </w:r>
          </w:p>
        </w:tc>
        <w:tc>
          <w:tcPr>
            <w:tcW w:w="280" w:type="dxa"/>
            <w:vAlign w:val="bottom"/>
          </w:tcPr>
          <w:p>
            <w:pPr>
              <w:spacing w:after="0"/>
              <w:rPr>
                <w:sz w:val="20"/>
                <w:szCs w:val="20"/>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b w:val="1"/>
                <w:bCs w:val="1"/>
                <w:color w:val="auto"/>
              </w:rPr>
              <w:t>Six Months</w:t>
            </w:r>
          </w:p>
        </w:tc>
        <w:tc>
          <w:tcPr>
            <w:tcW w:w="104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40" w:type="dxa"/>
            <w:vAlign w:val="bottom"/>
            <w:tcBorders>
              <w:bottom w:val="single" w:sz="8" w:color="EAF9E8"/>
            </w:tcBorders>
          </w:tcPr>
          <w:p>
            <w:pPr>
              <w:spacing w:after="0"/>
              <w:rPr>
                <w:sz w:val="2"/>
                <w:szCs w:val="2"/>
                <w:color w:val="auto"/>
              </w:rPr>
            </w:pPr>
          </w:p>
        </w:tc>
        <w:tc>
          <w:tcPr>
            <w:tcW w:w="1800" w:type="dxa"/>
            <w:vAlign w:val="bottom"/>
            <w:tcBorders>
              <w:bottom w:val="single" w:sz="8" w:color="EAF9E8"/>
            </w:tcBorders>
          </w:tcPr>
          <w:p>
            <w:pPr>
              <w:spacing w:after="0"/>
              <w:rPr>
                <w:sz w:val="2"/>
                <w:szCs w:val="2"/>
                <w:color w:val="auto"/>
              </w:rPr>
            </w:pPr>
          </w:p>
        </w:tc>
        <w:tc>
          <w:tcPr>
            <w:tcW w:w="840" w:type="dxa"/>
            <w:vAlign w:val="bottom"/>
            <w:tcBorders>
              <w:bottom w:val="single" w:sz="8" w:color="EAF9E8"/>
            </w:tcBorders>
          </w:tcPr>
          <w:p>
            <w:pPr>
              <w:spacing w:after="0"/>
              <w:rPr>
                <w:sz w:val="2"/>
                <w:szCs w:val="2"/>
                <w:color w:val="auto"/>
              </w:rPr>
            </w:pPr>
          </w:p>
        </w:tc>
        <w:tc>
          <w:tcPr>
            <w:tcW w:w="244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6"/>
        </w:trPr>
        <w:tc>
          <w:tcPr>
            <w:tcW w:w="5120" w:type="dxa"/>
            <w:vAlign w:val="bottom"/>
            <w:gridSpan w:val="4"/>
            <w:shd w:val="clear" w:color="auto" w:fill="EAF9E8"/>
          </w:tcPr>
          <w:p>
            <w:pPr>
              <w:ind w:left="40"/>
              <w:spacing w:after="0" w:line="196" w:lineRule="exact"/>
              <w:rPr>
                <w:sz w:val="20"/>
                <w:szCs w:val="20"/>
                <w:color w:val="auto"/>
              </w:rPr>
            </w:pPr>
            <w:r>
              <w:rPr>
                <w:rFonts w:ascii="Arial" w:cs="Arial" w:eastAsia="Arial" w:hAnsi="Arial"/>
                <w:sz w:val="18"/>
                <w:szCs w:val="18"/>
                <w:color w:val="auto"/>
              </w:rPr>
              <w:t>Basic earnings per share:</w:t>
            </w:r>
          </w:p>
        </w:tc>
        <w:tc>
          <w:tcPr>
            <w:tcW w:w="280" w:type="dxa"/>
            <w:vAlign w:val="bottom"/>
            <w:shd w:val="clear" w:color="auto" w:fill="EAF9E8"/>
          </w:tcPr>
          <w:p>
            <w:pPr>
              <w:spacing w:after="0"/>
              <w:rPr>
                <w:sz w:val="17"/>
                <w:szCs w:val="17"/>
                <w:color w:val="auto"/>
              </w:rPr>
            </w:pPr>
          </w:p>
        </w:tc>
        <w:tc>
          <w:tcPr>
            <w:tcW w:w="118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280" w:type="dxa"/>
            <w:vAlign w:val="bottom"/>
            <w:shd w:val="clear" w:color="auto" w:fill="EAF9E8"/>
          </w:tcPr>
          <w:p>
            <w:pPr>
              <w:spacing w:after="0"/>
              <w:rPr>
                <w:sz w:val="17"/>
                <w:szCs w:val="17"/>
                <w:color w:val="auto"/>
              </w:rPr>
            </w:pPr>
          </w:p>
        </w:tc>
        <w:tc>
          <w:tcPr>
            <w:tcW w:w="118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280" w:type="dxa"/>
            <w:vAlign w:val="bottom"/>
            <w:shd w:val="clear" w:color="auto" w:fill="EAF9E8"/>
          </w:tcPr>
          <w:p>
            <w:pPr>
              <w:spacing w:after="0"/>
              <w:rPr>
                <w:sz w:val="17"/>
                <w:szCs w:val="17"/>
                <w:color w:val="auto"/>
              </w:rPr>
            </w:pPr>
          </w:p>
        </w:tc>
        <w:tc>
          <w:tcPr>
            <w:tcW w:w="118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420" w:type="dxa"/>
            <w:vAlign w:val="bottom"/>
            <w:shd w:val="clear" w:color="auto" w:fill="EAF9E8"/>
          </w:tcPr>
          <w:p>
            <w:pPr>
              <w:spacing w:after="0"/>
              <w:rPr>
                <w:sz w:val="17"/>
                <w:szCs w:val="17"/>
                <w:color w:val="auto"/>
              </w:rPr>
            </w:pPr>
          </w:p>
        </w:tc>
        <w:tc>
          <w:tcPr>
            <w:tcW w:w="1040" w:type="dxa"/>
            <w:vAlign w:val="bottom"/>
            <w:shd w:val="clear" w:color="auto" w:fill="EAF9E8"/>
          </w:tcPr>
          <w:p>
            <w:pPr>
              <w:spacing w:after="0"/>
              <w:rPr>
                <w:sz w:val="17"/>
                <w:szCs w:val="17"/>
                <w:color w:val="auto"/>
              </w:rPr>
            </w:pPr>
          </w:p>
        </w:tc>
      </w:tr>
      <w:tr>
        <w:trPr>
          <w:trHeight w:val="48"/>
        </w:trPr>
        <w:tc>
          <w:tcPr>
            <w:tcW w:w="40" w:type="dxa"/>
            <w:vAlign w:val="bottom"/>
            <w:tcBorders>
              <w:top w:val="single" w:sz="8" w:color="EAF9E8"/>
            </w:tcBorders>
            <w:shd w:val="clear" w:color="auto" w:fill="EAF9E8"/>
          </w:tcPr>
          <w:p>
            <w:pPr>
              <w:spacing w:after="0"/>
              <w:rPr>
                <w:sz w:val="4"/>
                <w:szCs w:val="4"/>
                <w:color w:val="auto"/>
              </w:rPr>
            </w:pPr>
          </w:p>
        </w:tc>
        <w:tc>
          <w:tcPr>
            <w:tcW w:w="1800" w:type="dxa"/>
            <w:vAlign w:val="bottom"/>
            <w:tcBorders>
              <w:top w:val="single" w:sz="8" w:color="auto"/>
            </w:tcBorders>
            <w:shd w:val="clear" w:color="auto" w:fill="EAF9E8"/>
          </w:tcPr>
          <w:p>
            <w:pPr>
              <w:spacing w:after="0"/>
              <w:rPr>
                <w:sz w:val="4"/>
                <w:szCs w:val="4"/>
                <w:color w:val="auto"/>
              </w:rPr>
            </w:pPr>
          </w:p>
        </w:tc>
        <w:tc>
          <w:tcPr>
            <w:tcW w:w="840" w:type="dxa"/>
            <w:vAlign w:val="bottom"/>
            <w:tcBorders>
              <w:top w:val="single" w:sz="8" w:color="EAF9E8"/>
            </w:tcBorders>
            <w:shd w:val="clear" w:color="auto" w:fill="EAF9E8"/>
          </w:tcPr>
          <w:p>
            <w:pPr>
              <w:spacing w:after="0"/>
              <w:rPr>
                <w:sz w:val="4"/>
                <w:szCs w:val="4"/>
                <w:color w:val="auto"/>
              </w:rPr>
            </w:pPr>
          </w:p>
        </w:tc>
        <w:tc>
          <w:tcPr>
            <w:tcW w:w="2440" w:type="dxa"/>
            <w:vAlign w:val="bottom"/>
            <w:tcBorders>
              <w:top w:val="single" w:sz="8" w:color="EAF9E8"/>
            </w:tcBorders>
            <w:shd w:val="clear" w:color="auto" w:fill="EAF9E8"/>
          </w:tcPr>
          <w:p>
            <w:pPr>
              <w:spacing w:after="0"/>
              <w:rPr>
                <w:sz w:val="4"/>
                <w:szCs w:val="4"/>
                <w:color w:val="auto"/>
              </w:rPr>
            </w:pPr>
          </w:p>
        </w:tc>
        <w:tc>
          <w:tcPr>
            <w:tcW w:w="280" w:type="dxa"/>
            <w:vAlign w:val="bottom"/>
            <w:tcBorders>
              <w:top w:val="single" w:sz="8" w:color="EAF9E8"/>
            </w:tcBorders>
            <w:shd w:val="clear" w:color="auto" w:fill="EAF9E8"/>
          </w:tcPr>
          <w:p>
            <w:pPr>
              <w:spacing w:after="0"/>
              <w:rPr>
                <w:sz w:val="4"/>
                <w:szCs w:val="4"/>
                <w:color w:val="auto"/>
              </w:rPr>
            </w:pPr>
          </w:p>
        </w:tc>
        <w:tc>
          <w:tcPr>
            <w:tcW w:w="1180" w:type="dxa"/>
            <w:vAlign w:val="bottom"/>
            <w:tcBorders>
              <w:top w:val="single" w:sz="8" w:color="EAF9E8"/>
            </w:tcBorders>
            <w:shd w:val="clear" w:color="auto" w:fill="EAF9E8"/>
          </w:tcPr>
          <w:p>
            <w:pPr>
              <w:spacing w:after="0"/>
              <w:rPr>
                <w:sz w:val="4"/>
                <w:szCs w:val="4"/>
                <w:color w:val="auto"/>
              </w:rPr>
            </w:pPr>
          </w:p>
        </w:tc>
        <w:tc>
          <w:tcPr>
            <w:tcW w:w="120" w:type="dxa"/>
            <w:vAlign w:val="bottom"/>
            <w:tcBorders>
              <w:top w:val="single" w:sz="8" w:color="EAF9E8"/>
            </w:tcBorders>
            <w:shd w:val="clear" w:color="auto" w:fill="EAF9E8"/>
          </w:tcPr>
          <w:p>
            <w:pPr>
              <w:spacing w:after="0"/>
              <w:rPr>
                <w:sz w:val="4"/>
                <w:szCs w:val="4"/>
                <w:color w:val="auto"/>
              </w:rPr>
            </w:pPr>
          </w:p>
        </w:tc>
        <w:tc>
          <w:tcPr>
            <w:tcW w:w="280" w:type="dxa"/>
            <w:vAlign w:val="bottom"/>
            <w:tcBorders>
              <w:top w:val="single" w:sz="8" w:color="EAF9E8"/>
            </w:tcBorders>
            <w:shd w:val="clear" w:color="auto" w:fill="EAF9E8"/>
          </w:tcPr>
          <w:p>
            <w:pPr>
              <w:spacing w:after="0"/>
              <w:rPr>
                <w:sz w:val="4"/>
                <w:szCs w:val="4"/>
                <w:color w:val="auto"/>
              </w:rPr>
            </w:pPr>
          </w:p>
        </w:tc>
        <w:tc>
          <w:tcPr>
            <w:tcW w:w="1180" w:type="dxa"/>
            <w:vAlign w:val="bottom"/>
            <w:tcBorders>
              <w:top w:val="single" w:sz="8" w:color="EAF9E8"/>
            </w:tcBorders>
            <w:shd w:val="clear" w:color="auto" w:fill="EAF9E8"/>
          </w:tcPr>
          <w:p>
            <w:pPr>
              <w:spacing w:after="0"/>
              <w:rPr>
                <w:sz w:val="4"/>
                <w:szCs w:val="4"/>
                <w:color w:val="auto"/>
              </w:rPr>
            </w:pPr>
          </w:p>
        </w:tc>
        <w:tc>
          <w:tcPr>
            <w:tcW w:w="120" w:type="dxa"/>
            <w:vAlign w:val="bottom"/>
            <w:tcBorders>
              <w:top w:val="single" w:sz="8" w:color="EAF9E8"/>
            </w:tcBorders>
            <w:shd w:val="clear" w:color="auto" w:fill="EAF9E8"/>
          </w:tcPr>
          <w:p>
            <w:pPr>
              <w:spacing w:after="0"/>
              <w:rPr>
                <w:sz w:val="4"/>
                <w:szCs w:val="4"/>
                <w:color w:val="auto"/>
              </w:rPr>
            </w:pPr>
          </w:p>
        </w:tc>
        <w:tc>
          <w:tcPr>
            <w:tcW w:w="280" w:type="dxa"/>
            <w:vAlign w:val="bottom"/>
            <w:tcBorders>
              <w:top w:val="single" w:sz="8" w:color="EAF9E8"/>
            </w:tcBorders>
            <w:shd w:val="clear" w:color="auto" w:fill="EAF9E8"/>
          </w:tcPr>
          <w:p>
            <w:pPr>
              <w:spacing w:after="0"/>
              <w:rPr>
                <w:sz w:val="4"/>
                <w:szCs w:val="4"/>
                <w:color w:val="auto"/>
              </w:rPr>
            </w:pPr>
          </w:p>
        </w:tc>
        <w:tc>
          <w:tcPr>
            <w:tcW w:w="1180" w:type="dxa"/>
            <w:vAlign w:val="bottom"/>
            <w:tcBorders>
              <w:top w:val="single" w:sz="8" w:color="EAF9E8"/>
            </w:tcBorders>
            <w:shd w:val="clear" w:color="auto" w:fill="EAF9E8"/>
          </w:tcPr>
          <w:p>
            <w:pPr>
              <w:spacing w:after="0"/>
              <w:rPr>
                <w:sz w:val="4"/>
                <w:szCs w:val="4"/>
                <w:color w:val="auto"/>
              </w:rPr>
            </w:pPr>
          </w:p>
        </w:tc>
        <w:tc>
          <w:tcPr>
            <w:tcW w:w="120" w:type="dxa"/>
            <w:vAlign w:val="bottom"/>
            <w:tcBorders>
              <w:top w:val="single" w:sz="8" w:color="EAF9E8"/>
            </w:tcBorders>
            <w:shd w:val="clear" w:color="auto" w:fill="EAF9E8"/>
          </w:tcPr>
          <w:p>
            <w:pPr>
              <w:spacing w:after="0"/>
              <w:rPr>
                <w:sz w:val="4"/>
                <w:szCs w:val="4"/>
                <w:color w:val="auto"/>
              </w:rPr>
            </w:pPr>
          </w:p>
        </w:tc>
        <w:tc>
          <w:tcPr>
            <w:tcW w:w="420" w:type="dxa"/>
            <w:vAlign w:val="bottom"/>
            <w:tcBorders>
              <w:top w:val="single" w:sz="8" w:color="EAF9E8"/>
            </w:tcBorders>
            <w:shd w:val="clear" w:color="auto" w:fill="EAF9E8"/>
          </w:tcPr>
          <w:p>
            <w:pPr>
              <w:spacing w:after="0"/>
              <w:rPr>
                <w:sz w:val="4"/>
                <w:szCs w:val="4"/>
                <w:color w:val="auto"/>
              </w:rPr>
            </w:pPr>
          </w:p>
        </w:tc>
        <w:tc>
          <w:tcPr>
            <w:tcW w:w="1040" w:type="dxa"/>
            <w:vAlign w:val="bottom"/>
            <w:tcBorders>
              <w:top w:val="single" w:sz="8" w:color="EAF9E8"/>
            </w:tcBorders>
            <w:shd w:val="clear" w:color="auto" w:fill="EAF9E8"/>
          </w:tcPr>
          <w:p>
            <w:pPr>
              <w:spacing w:after="0"/>
              <w:rPr>
                <w:sz w:val="4"/>
                <w:szCs w:val="4"/>
                <w:color w:val="auto"/>
              </w:rPr>
            </w:pPr>
          </w:p>
        </w:tc>
      </w:tr>
      <w:tr>
        <w:trPr>
          <w:trHeight w:val="304"/>
        </w:trPr>
        <w:tc>
          <w:tcPr>
            <w:tcW w:w="40" w:type="dxa"/>
            <w:vAlign w:val="bottom"/>
            <w:tcBorders>
              <w:bottom w:val="single" w:sz="8" w:color="EAF9E8"/>
            </w:tcBorders>
          </w:tcPr>
          <w:p>
            <w:pPr>
              <w:spacing w:after="0"/>
              <w:rPr>
                <w:sz w:val="24"/>
                <w:szCs w:val="24"/>
                <w:color w:val="auto"/>
              </w:rPr>
            </w:pPr>
          </w:p>
        </w:tc>
        <w:tc>
          <w:tcPr>
            <w:tcW w:w="5080" w:type="dxa"/>
            <w:vAlign w:val="bottom"/>
            <w:tcBorders>
              <w:bottom w:val="single" w:sz="8" w:color="EAF9E8"/>
            </w:tcBorders>
            <w:gridSpan w:val="3"/>
          </w:tcPr>
          <w:p>
            <w:pPr>
              <w:ind w:left="140"/>
              <w:spacing w:after="0"/>
              <w:rPr>
                <w:sz w:val="20"/>
                <w:szCs w:val="20"/>
                <w:color w:val="auto"/>
              </w:rPr>
            </w:pPr>
            <w:r>
              <w:rPr>
                <w:rFonts w:ascii="Arial" w:cs="Arial" w:eastAsia="Arial" w:hAnsi="Arial"/>
                <w:sz w:val="18"/>
                <w:szCs w:val="18"/>
                <w:color w:val="auto"/>
                <w:w w:val="99"/>
              </w:rPr>
              <w:t>Net income (loss) attributable to Ocwen common stockholders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(87,378)</w:t>
            </w:r>
          </w:p>
        </w:tc>
        <w:tc>
          <w:tcPr>
            <w:tcW w:w="120" w:type="dxa"/>
            <w:vAlign w:val="bottom"/>
            <w:tcBorders>
              <w:bottom w:val="single" w:sz="8" w:color="EAF9E8"/>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9,738</w:t>
            </w:r>
          </w:p>
        </w:tc>
        <w:tc>
          <w:tcPr>
            <w:tcW w:w="120" w:type="dxa"/>
            <w:vAlign w:val="bottom"/>
            <w:tcBorders>
              <w:bottom w:val="single" w:sz="8" w:color="EAF9E8"/>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(198,709)</w:t>
            </w:r>
          </w:p>
        </w:tc>
        <w:tc>
          <w:tcPr>
            <w:tcW w:w="120" w:type="dxa"/>
            <w:vAlign w:val="bottom"/>
            <w:tcBorders>
              <w:bottom w:val="single" w:sz="8" w:color="EAF9E8"/>
            </w:tcBorders>
          </w:tcPr>
          <w:p>
            <w:pPr>
              <w:spacing w:after="0"/>
              <w:rPr>
                <w:sz w:val="24"/>
                <w:szCs w:val="24"/>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44,093</w:t>
            </w:r>
          </w:p>
        </w:tc>
      </w:tr>
      <w:tr>
        <w:trPr>
          <w:trHeight w:val="284"/>
        </w:trPr>
        <w:tc>
          <w:tcPr>
            <w:tcW w:w="40" w:type="dxa"/>
            <w:vAlign w:val="bottom"/>
            <w:shd w:val="clear" w:color="auto" w:fill="EAF9E8"/>
          </w:tcPr>
          <w:p>
            <w:pPr>
              <w:spacing w:after="0"/>
              <w:rPr>
                <w:sz w:val="24"/>
                <w:szCs w:val="24"/>
                <w:color w:val="auto"/>
              </w:rPr>
            </w:pPr>
          </w:p>
        </w:tc>
        <w:tc>
          <w:tcPr>
            <w:tcW w:w="1800" w:type="dxa"/>
            <w:vAlign w:val="bottom"/>
            <w:shd w:val="clear" w:color="auto" w:fill="EAF9E8"/>
          </w:tcPr>
          <w:p>
            <w:pPr>
              <w:spacing w:after="0"/>
              <w:rPr>
                <w:sz w:val="24"/>
                <w:szCs w:val="24"/>
                <w:color w:val="auto"/>
              </w:rPr>
            </w:pPr>
          </w:p>
        </w:tc>
        <w:tc>
          <w:tcPr>
            <w:tcW w:w="840" w:type="dxa"/>
            <w:vAlign w:val="bottom"/>
            <w:shd w:val="clear" w:color="auto" w:fill="EAF9E8"/>
          </w:tcPr>
          <w:p>
            <w:pPr>
              <w:spacing w:after="0"/>
              <w:rPr>
                <w:sz w:val="24"/>
                <w:szCs w:val="24"/>
                <w:color w:val="auto"/>
              </w:rPr>
            </w:pPr>
          </w:p>
        </w:tc>
        <w:tc>
          <w:tcPr>
            <w:tcW w:w="244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420" w:type="dxa"/>
            <w:vAlign w:val="bottom"/>
            <w:shd w:val="clear" w:color="auto" w:fill="EAF9E8"/>
          </w:tcPr>
          <w:p>
            <w:pPr>
              <w:spacing w:after="0"/>
              <w:rPr>
                <w:sz w:val="24"/>
                <w:szCs w:val="24"/>
                <w:color w:val="auto"/>
              </w:rPr>
            </w:pPr>
          </w:p>
        </w:tc>
        <w:tc>
          <w:tcPr>
            <w:tcW w:w="1040" w:type="dxa"/>
            <w:vAlign w:val="bottom"/>
            <w:shd w:val="clear" w:color="auto" w:fill="EAF9E8"/>
          </w:tcPr>
          <w:p>
            <w:pPr>
              <w:spacing w:after="0"/>
              <w:rPr>
                <w:sz w:val="24"/>
                <w:szCs w:val="24"/>
                <w:color w:val="auto"/>
              </w:rPr>
            </w:pPr>
          </w:p>
        </w:tc>
      </w:tr>
      <w:tr>
        <w:trPr>
          <w:trHeight w:val="304"/>
        </w:trPr>
        <w:tc>
          <w:tcPr>
            <w:tcW w:w="40" w:type="dxa"/>
            <w:vAlign w:val="bottom"/>
            <w:tcBorders>
              <w:bottom w:val="single" w:sz="8" w:color="EAF9E8"/>
            </w:tcBorders>
          </w:tcPr>
          <w:p>
            <w:pPr>
              <w:spacing w:after="0"/>
              <w:rPr>
                <w:sz w:val="24"/>
                <w:szCs w:val="24"/>
                <w:color w:val="auto"/>
              </w:rPr>
            </w:pPr>
          </w:p>
        </w:tc>
        <w:tc>
          <w:tcPr>
            <w:tcW w:w="5080" w:type="dxa"/>
            <w:vAlign w:val="bottom"/>
            <w:tcBorders>
              <w:bottom w:val="single" w:sz="8" w:color="EAF9E8"/>
            </w:tcBorders>
            <w:gridSpan w:val="3"/>
          </w:tcPr>
          <w:p>
            <w:pPr>
              <w:ind w:left="140"/>
              <w:spacing w:after="0"/>
              <w:rPr>
                <w:sz w:val="20"/>
                <w:szCs w:val="20"/>
                <w:color w:val="auto"/>
              </w:rPr>
            </w:pPr>
            <w:r>
              <w:rPr>
                <w:rFonts w:ascii="Arial" w:cs="Arial" w:eastAsia="Arial" w:hAnsi="Arial"/>
                <w:sz w:val="18"/>
                <w:szCs w:val="18"/>
                <w:color w:val="auto"/>
              </w:rPr>
              <w:t>Weighted average shares of common stock</w:t>
            </w: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123,893,752</w:t>
            </w:r>
          </w:p>
        </w:tc>
        <w:tc>
          <w:tcPr>
            <w:tcW w:w="120" w:type="dxa"/>
            <w:vAlign w:val="bottom"/>
            <w:tcBorders>
              <w:bottom w:val="single" w:sz="8" w:color="EAF9E8"/>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125,311,133</w:t>
            </w:r>
          </w:p>
        </w:tc>
        <w:tc>
          <w:tcPr>
            <w:tcW w:w="120" w:type="dxa"/>
            <w:vAlign w:val="bottom"/>
            <w:tcBorders>
              <w:bottom w:val="single" w:sz="8" w:color="EAF9E8"/>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123,993,545</w:t>
            </w:r>
          </w:p>
        </w:tc>
        <w:tc>
          <w:tcPr>
            <w:tcW w:w="120" w:type="dxa"/>
            <w:vAlign w:val="bottom"/>
            <w:tcBorders>
              <w:bottom w:val="single" w:sz="8" w:color="EAF9E8"/>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1"/>
              </w:rPr>
              <w:t>125,291,788</w:t>
            </w:r>
          </w:p>
        </w:tc>
      </w:tr>
      <w:tr>
        <w:trPr>
          <w:trHeight w:val="284"/>
        </w:trPr>
        <w:tc>
          <w:tcPr>
            <w:tcW w:w="40" w:type="dxa"/>
            <w:vAlign w:val="bottom"/>
            <w:shd w:val="clear" w:color="auto" w:fill="EAF9E8"/>
          </w:tcPr>
          <w:p>
            <w:pPr>
              <w:spacing w:after="0"/>
              <w:rPr>
                <w:sz w:val="24"/>
                <w:szCs w:val="24"/>
                <w:color w:val="auto"/>
              </w:rPr>
            </w:pPr>
          </w:p>
        </w:tc>
        <w:tc>
          <w:tcPr>
            <w:tcW w:w="1800" w:type="dxa"/>
            <w:vAlign w:val="bottom"/>
            <w:shd w:val="clear" w:color="auto" w:fill="EAF9E8"/>
          </w:tcPr>
          <w:p>
            <w:pPr>
              <w:spacing w:after="0"/>
              <w:rPr>
                <w:sz w:val="24"/>
                <w:szCs w:val="24"/>
                <w:color w:val="auto"/>
              </w:rPr>
            </w:pPr>
          </w:p>
        </w:tc>
        <w:tc>
          <w:tcPr>
            <w:tcW w:w="840" w:type="dxa"/>
            <w:vAlign w:val="bottom"/>
            <w:shd w:val="clear" w:color="auto" w:fill="EAF9E8"/>
          </w:tcPr>
          <w:p>
            <w:pPr>
              <w:spacing w:after="0"/>
              <w:rPr>
                <w:sz w:val="24"/>
                <w:szCs w:val="24"/>
                <w:color w:val="auto"/>
              </w:rPr>
            </w:pPr>
          </w:p>
        </w:tc>
        <w:tc>
          <w:tcPr>
            <w:tcW w:w="244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420" w:type="dxa"/>
            <w:vAlign w:val="bottom"/>
            <w:shd w:val="clear" w:color="auto" w:fill="EAF9E8"/>
          </w:tcPr>
          <w:p>
            <w:pPr>
              <w:spacing w:after="0"/>
              <w:rPr>
                <w:sz w:val="24"/>
                <w:szCs w:val="24"/>
                <w:color w:val="auto"/>
              </w:rPr>
            </w:pPr>
          </w:p>
        </w:tc>
        <w:tc>
          <w:tcPr>
            <w:tcW w:w="1040" w:type="dxa"/>
            <w:vAlign w:val="bottom"/>
            <w:shd w:val="clear" w:color="auto" w:fill="EAF9E8"/>
          </w:tcPr>
          <w:p>
            <w:pPr>
              <w:spacing w:after="0"/>
              <w:rPr>
                <w:sz w:val="24"/>
                <w:szCs w:val="24"/>
                <w:color w:val="auto"/>
              </w:rPr>
            </w:pPr>
          </w:p>
        </w:tc>
      </w:tr>
      <w:tr>
        <w:trPr>
          <w:trHeight w:val="304"/>
        </w:trPr>
        <w:tc>
          <w:tcPr>
            <w:tcW w:w="40" w:type="dxa"/>
            <w:vAlign w:val="bottom"/>
            <w:tcBorders>
              <w:bottom w:val="single" w:sz="8" w:color="EAF9E8"/>
            </w:tcBorders>
          </w:tcPr>
          <w:p>
            <w:pPr>
              <w:spacing w:after="0"/>
              <w:rPr>
                <w:sz w:val="24"/>
                <w:szCs w:val="24"/>
                <w:color w:val="auto"/>
              </w:rPr>
            </w:pPr>
          </w:p>
        </w:tc>
        <w:tc>
          <w:tcPr>
            <w:tcW w:w="5080" w:type="dxa"/>
            <w:vAlign w:val="bottom"/>
            <w:tcBorders>
              <w:bottom w:val="single" w:sz="8" w:color="EAF9E8"/>
            </w:tcBorders>
            <w:gridSpan w:val="3"/>
          </w:tcPr>
          <w:p>
            <w:pPr>
              <w:ind w:left="140"/>
              <w:spacing w:after="0"/>
              <w:rPr>
                <w:sz w:val="20"/>
                <w:szCs w:val="20"/>
                <w:color w:val="auto"/>
              </w:rPr>
            </w:pPr>
            <w:r>
              <w:rPr>
                <w:rFonts w:ascii="Arial" w:cs="Arial" w:eastAsia="Arial" w:hAnsi="Arial"/>
                <w:sz w:val="18"/>
                <w:szCs w:val="18"/>
                <w:color w:val="auto"/>
              </w:rPr>
              <w:t>Basic earnings (loss) per share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(0.71)</w:t>
            </w:r>
          </w:p>
        </w:tc>
        <w:tc>
          <w:tcPr>
            <w:tcW w:w="120" w:type="dxa"/>
            <w:vAlign w:val="bottom"/>
            <w:tcBorders>
              <w:bottom w:val="single" w:sz="8" w:color="EAF9E8"/>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0.08</w:t>
            </w:r>
          </w:p>
        </w:tc>
        <w:tc>
          <w:tcPr>
            <w:tcW w:w="120" w:type="dxa"/>
            <w:vAlign w:val="bottom"/>
            <w:tcBorders>
              <w:bottom w:val="single" w:sz="8" w:color="EAF9E8"/>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Borders>
              <w:bottom w:val="single" w:sz="8" w:color="EAF9E8"/>
            </w:tcBorders>
          </w:tcPr>
          <w:p>
            <w:pPr>
              <w:spacing w:after="0"/>
              <w:rPr>
                <w:sz w:val="24"/>
                <w:szCs w:val="24"/>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0.35</w:t>
            </w:r>
          </w:p>
        </w:tc>
      </w:tr>
      <w:tr>
        <w:trPr>
          <w:trHeight w:val="284"/>
        </w:trPr>
        <w:tc>
          <w:tcPr>
            <w:tcW w:w="40" w:type="dxa"/>
            <w:vAlign w:val="bottom"/>
            <w:shd w:val="clear" w:color="auto" w:fill="EAF9E8"/>
          </w:tcPr>
          <w:p>
            <w:pPr>
              <w:spacing w:after="0"/>
              <w:rPr>
                <w:sz w:val="24"/>
                <w:szCs w:val="24"/>
                <w:color w:val="auto"/>
              </w:rPr>
            </w:pPr>
          </w:p>
        </w:tc>
        <w:tc>
          <w:tcPr>
            <w:tcW w:w="1800" w:type="dxa"/>
            <w:vAlign w:val="bottom"/>
            <w:shd w:val="clear" w:color="auto" w:fill="EAF9E8"/>
          </w:tcPr>
          <w:p>
            <w:pPr>
              <w:spacing w:after="0"/>
              <w:rPr>
                <w:sz w:val="24"/>
                <w:szCs w:val="24"/>
                <w:color w:val="auto"/>
              </w:rPr>
            </w:pPr>
          </w:p>
        </w:tc>
        <w:tc>
          <w:tcPr>
            <w:tcW w:w="840" w:type="dxa"/>
            <w:vAlign w:val="bottom"/>
            <w:shd w:val="clear" w:color="auto" w:fill="EAF9E8"/>
          </w:tcPr>
          <w:p>
            <w:pPr>
              <w:spacing w:after="0"/>
              <w:rPr>
                <w:sz w:val="24"/>
                <w:szCs w:val="24"/>
                <w:color w:val="auto"/>
              </w:rPr>
            </w:pPr>
          </w:p>
        </w:tc>
        <w:tc>
          <w:tcPr>
            <w:tcW w:w="244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420" w:type="dxa"/>
            <w:vAlign w:val="bottom"/>
            <w:shd w:val="clear" w:color="auto" w:fill="EAF9E8"/>
          </w:tcPr>
          <w:p>
            <w:pPr>
              <w:spacing w:after="0"/>
              <w:rPr>
                <w:sz w:val="24"/>
                <w:szCs w:val="24"/>
                <w:color w:val="auto"/>
              </w:rPr>
            </w:pPr>
          </w:p>
        </w:tc>
        <w:tc>
          <w:tcPr>
            <w:tcW w:w="1040" w:type="dxa"/>
            <w:vAlign w:val="bottom"/>
            <w:shd w:val="clear" w:color="auto" w:fill="EAF9E8"/>
          </w:tcPr>
          <w:p>
            <w:pPr>
              <w:spacing w:after="0"/>
              <w:rPr>
                <w:sz w:val="24"/>
                <w:szCs w:val="24"/>
                <w:color w:val="auto"/>
              </w:rPr>
            </w:pPr>
          </w:p>
        </w:tc>
      </w:tr>
      <w:tr>
        <w:trPr>
          <w:trHeight w:val="203"/>
        </w:trPr>
        <w:tc>
          <w:tcPr>
            <w:tcW w:w="512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Diluted earnings (loss) per share (1):</w:t>
            </w: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800" w:type="dxa"/>
            <w:vAlign w:val="bottom"/>
            <w:tcBorders>
              <w:top w:val="single" w:sz="8" w:color="auto"/>
            </w:tcBorders>
          </w:tcPr>
          <w:p>
            <w:pPr>
              <w:spacing w:after="0"/>
              <w:rPr>
                <w:sz w:val="4"/>
                <w:szCs w:val="4"/>
                <w:color w:val="auto"/>
              </w:rPr>
            </w:pPr>
          </w:p>
        </w:tc>
        <w:tc>
          <w:tcPr>
            <w:tcW w:w="840" w:type="dxa"/>
            <w:vAlign w:val="bottom"/>
            <w:tcBorders>
              <w:top w:val="single" w:sz="8" w:color="auto"/>
            </w:tcBorders>
          </w:tcPr>
          <w:p>
            <w:pPr>
              <w:spacing w:after="0"/>
              <w:rPr>
                <w:sz w:val="4"/>
                <w:szCs w:val="4"/>
                <w:color w:val="auto"/>
              </w:rPr>
            </w:pPr>
          </w:p>
        </w:tc>
        <w:tc>
          <w:tcPr>
            <w:tcW w:w="2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64"/>
        </w:trPr>
        <w:tc>
          <w:tcPr>
            <w:tcW w:w="40" w:type="dxa"/>
            <w:vAlign w:val="bottom"/>
            <w:tcBorders>
              <w:bottom w:val="single" w:sz="8" w:color="EAF9E8"/>
            </w:tcBorders>
            <w:shd w:val="clear" w:color="auto" w:fill="EAF9E8"/>
          </w:tcPr>
          <w:p>
            <w:pPr>
              <w:spacing w:after="0"/>
              <w:rPr>
                <w:sz w:val="22"/>
                <w:szCs w:val="22"/>
                <w:color w:val="auto"/>
              </w:rPr>
            </w:pPr>
          </w:p>
        </w:tc>
        <w:tc>
          <w:tcPr>
            <w:tcW w:w="5080" w:type="dxa"/>
            <w:vAlign w:val="bottom"/>
            <w:tcBorders>
              <w:bottom w:val="single" w:sz="8" w:color="EAF9E8"/>
            </w:tcBorders>
            <w:gridSpan w:val="3"/>
            <w:shd w:val="clear" w:color="auto" w:fill="EAF9E8"/>
          </w:tcPr>
          <w:p>
            <w:pPr>
              <w:ind w:left="140"/>
              <w:spacing w:after="0"/>
              <w:rPr>
                <w:sz w:val="20"/>
                <w:szCs w:val="20"/>
                <w:color w:val="auto"/>
              </w:rPr>
            </w:pPr>
            <w:r>
              <w:rPr>
                <w:rFonts w:ascii="Arial" w:cs="Arial" w:eastAsia="Arial" w:hAnsi="Arial"/>
                <w:sz w:val="18"/>
                <w:szCs w:val="18"/>
                <w:color w:val="auto"/>
                <w:w w:val="99"/>
              </w:rPr>
              <w:t>Net income (loss) attributable to Ocwen common stockholders</w:t>
            </w:r>
          </w:p>
        </w:tc>
        <w:tc>
          <w:tcPr>
            <w:tcW w:w="280" w:type="dxa"/>
            <w:vAlign w:val="bottom"/>
            <w:tcBorders>
              <w:bottom w:val="single" w:sz="8" w:color="auto"/>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(87,378)</w:t>
            </w:r>
          </w:p>
        </w:tc>
        <w:tc>
          <w:tcPr>
            <w:tcW w:w="12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auto"/>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9,738</w:t>
            </w:r>
          </w:p>
        </w:tc>
        <w:tc>
          <w:tcPr>
            <w:tcW w:w="12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auto"/>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(198,709)</w:t>
            </w:r>
          </w:p>
        </w:tc>
        <w:tc>
          <w:tcPr>
            <w:tcW w:w="120" w:type="dxa"/>
            <w:vAlign w:val="bottom"/>
            <w:tcBorders>
              <w:bottom w:val="single" w:sz="8" w:color="EAF9E8"/>
            </w:tcBorders>
            <w:shd w:val="clear" w:color="auto" w:fill="EAF9E8"/>
          </w:tcPr>
          <w:p>
            <w:pPr>
              <w:spacing w:after="0"/>
              <w:rPr>
                <w:sz w:val="22"/>
                <w:szCs w:val="22"/>
                <w:color w:val="auto"/>
              </w:rPr>
            </w:pPr>
          </w:p>
        </w:tc>
        <w:tc>
          <w:tcPr>
            <w:tcW w:w="420" w:type="dxa"/>
            <w:vAlign w:val="bottom"/>
            <w:tcBorders>
              <w:bottom w:val="single" w:sz="8" w:color="auto"/>
            </w:tcBorders>
            <w:shd w:val="clear" w:color="auto" w:fill="EAF9E8"/>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44,093</w:t>
            </w:r>
          </w:p>
        </w:tc>
      </w:tr>
      <w:tr>
        <w:trPr>
          <w:trHeight w:val="20"/>
        </w:trPr>
        <w:tc>
          <w:tcPr>
            <w:tcW w:w="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84"/>
        </w:trPr>
        <w:tc>
          <w:tcPr>
            <w:tcW w:w="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5080" w:type="dxa"/>
            <w:vAlign w:val="bottom"/>
            <w:tcBorders>
              <w:bottom w:val="single" w:sz="8" w:color="EAF9E8"/>
            </w:tcBorders>
            <w:gridSpan w:val="3"/>
            <w:shd w:val="clear" w:color="auto" w:fill="EAF9E8"/>
          </w:tcPr>
          <w:p>
            <w:pPr>
              <w:ind w:left="140"/>
              <w:spacing w:after="0"/>
              <w:rPr>
                <w:sz w:val="20"/>
                <w:szCs w:val="20"/>
                <w:color w:val="auto"/>
              </w:rPr>
            </w:pPr>
            <w:r>
              <w:rPr>
                <w:rFonts w:ascii="Arial" w:cs="Arial" w:eastAsia="Arial" w:hAnsi="Arial"/>
                <w:sz w:val="18"/>
                <w:szCs w:val="18"/>
                <w:color w:val="auto"/>
              </w:rPr>
              <w:t>Weighted average shares of common stock</w:t>
            </w:r>
          </w:p>
        </w:tc>
        <w:tc>
          <w:tcPr>
            <w:tcW w:w="28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123,893,752</w:t>
            </w: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125,311,133</w:t>
            </w: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123,993,545</w:t>
            </w:r>
          </w:p>
        </w:tc>
        <w:tc>
          <w:tcPr>
            <w:tcW w:w="120" w:type="dxa"/>
            <w:vAlign w:val="bottom"/>
            <w:tcBorders>
              <w:bottom w:val="single" w:sz="8" w:color="EAF9E8"/>
            </w:tcBorders>
            <w:shd w:val="clear" w:color="auto" w:fill="EAF9E8"/>
          </w:tcPr>
          <w:p>
            <w:pPr>
              <w:spacing w:after="0"/>
              <w:rPr>
                <w:sz w:val="21"/>
                <w:szCs w:val="21"/>
                <w:color w:val="auto"/>
              </w:rPr>
            </w:pPr>
          </w:p>
        </w:tc>
        <w:tc>
          <w:tcPr>
            <w:tcW w:w="4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1"/>
              </w:rPr>
              <w:t>125,291,788</w:t>
            </w:r>
          </w:p>
        </w:tc>
      </w:tr>
      <w:tr>
        <w:trPr>
          <w:trHeight w:val="243"/>
        </w:trPr>
        <w:tc>
          <w:tcPr>
            <w:tcW w:w="40" w:type="dxa"/>
            <w:vAlign w:val="bottom"/>
          </w:tcPr>
          <w:p>
            <w:pPr>
              <w:spacing w:after="0"/>
              <w:rPr>
                <w:sz w:val="21"/>
                <w:szCs w:val="21"/>
                <w:color w:val="auto"/>
              </w:rPr>
            </w:pPr>
          </w:p>
        </w:tc>
        <w:tc>
          <w:tcPr>
            <w:tcW w:w="5080" w:type="dxa"/>
            <w:vAlign w:val="bottom"/>
            <w:gridSpan w:val="3"/>
          </w:tcPr>
          <w:p>
            <w:pPr>
              <w:ind w:left="140"/>
              <w:spacing w:after="0"/>
              <w:rPr>
                <w:sz w:val="20"/>
                <w:szCs w:val="20"/>
                <w:color w:val="auto"/>
              </w:rPr>
            </w:pPr>
            <w:r>
              <w:rPr>
                <w:rFonts w:ascii="Arial" w:cs="Arial" w:eastAsia="Arial" w:hAnsi="Arial"/>
                <w:sz w:val="18"/>
                <w:szCs w:val="18"/>
                <w:color w:val="auto"/>
              </w:rPr>
              <w:t>Effect of dilutive elements (1):</w:t>
            </w: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5080" w:type="dxa"/>
            <w:vAlign w:val="bottom"/>
            <w:tcBorders>
              <w:bottom w:val="single" w:sz="8" w:color="EAF9E8"/>
            </w:tcBorders>
            <w:gridSpan w:val="3"/>
            <w:shd w:val="clear" w:color="auto" w:fill="EAF9E8"/>
          </w:tcPr>
          <w:p>
            <w:pPr>
              <w:ind w:left="240"/>
              <w:spacing w:after="0"/>
              <w:rPr>
                <w:sz w:val="20"/>
                <w:szCs w:val="20"/>
                <w:color w:val="auto"/>
              </w:rPr>
            </w:pPr>
            <w:r>
              <w:rPr>
                <w:rFonts w:ascii="Arial" w:cs="Arial" w:eastAsia="Arial" w:hAnsi="Arial"/>
                <w:sz w:val="18"/>
                <w:szCs w:val="18"/>
                <w:color w:val="auto"/>
              </w:rPr>
              <w:t>Stock option awards</w:t>
            </w:r>
          </w:p>
        </w:tc>
        <w:tc>
          <w:tcPr>
            <w:tcW w:w="2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1,830,496</w:t>
            </w: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1,777,888</w:t>
            </w:r>
          </w:p>
        </w:tc>
      </w:tr>
      <w:tr>
        <w:trPr>
          <w:trHeight w:val="243"/>
        </w:trPr>
        <w:tc>
          <w:tcPr>
            <w:tcW w:w="40" w:type="dxa"/>
            <w:vAlign w:val="bottom"/>
          </w:tcPr>
          <w:p>
            <w:pPr>
              <w:spacing w:after="0"/>
              <w:rPr>
                <w:sz w:val="21"/>
                <w:szCs w:val="21"/>
                <w:color w:val="auto"/>
              </w:rPr>
            </w:pPr>
          </w:p>
        </w:tc>
        <w:tc>
          <w:tcPr>
            <w:tcW w:w="5080" w:type="dxa"/>
            <w:vAlign w:val="bottom"/>
            <w:gridSpan w:val="3"/>
          </w:tcPr>
          <w:p>
            <w:pPr>
              <w:ind w:left="240"/>
              <w:spacing w:after="0"/>
              <w:rPr>
                <w:sz w:val="20"/>
                <w:szCs w:val="20"/>
                <w:color w:val="auto"/>
              </w:rPr>
            </w:pPr>
            <w:r>
              <w:rPr>
                <w:rFonts w:ascii="Arial" w:cs="Arial" w:eastAsia="Arial" w:hAnsi="Arial"/>
                <w:sz w:val="18"/>
                <w:szCs w:val="18"/>
                <w:color w:val="auto"/>
              </w:rPr>
              <w:t>Common stock awards</w:t>
            </w:r>
          </w:p>
        </w:tc>
        <w:tc>
          <w:tcPr>
            <w:tcW w:w="2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10,850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6,502</w:t>
            </w:r>
          </w:p>
        </w:tc>
      </w:tr>
      <w:tr>
        <w:trPr>
          <w:trHeight w:val="27"/>
        </w:trPr>
        <w:tc>
          <w:tcPr>
            <w:tcW w:w="40" w:type="dxa"/>
            <w:vAlign w:val="bottom"/>
            <w:tcBorders>
              <w:bottom w:val="single" w:sz="8" w:color="EAF9E8"/>
            </w:tcBorders>
          </w:tcPr>
          <w:p>
            <w:pPr>
              <w:spacing w:after="0"/>
              <w:rPr>
                <w:sz w:val="2"/>
                <w:szCs w:val="2"/>
                <w:color w:val="auto"/>
              </w:rPr>
            </w:pPr>
          </w:p>
        </w:tc>
        <w:tc>
          <w:tcPr>
            <w:tcW w:w="1800" w:type="dxa"/>
            <w:vAlign w:val="bottom"/>
            <w:tcBorders>
              <w:bottom w:val="single" w:sz="8" w:color="EAF9E8"/>
            </w:tcBorders>
          </w:tcPr>
          <w:p>
            <w:pPr>
              <w:spacing w:after="0"/>
              <w:rPr>
                <w:sz w:val="2"/>
                <w:szCs w:val="2"/>
                <w:color w:val="auto"/>
              </w:rPr>
            </w:pPr>
          </w:p>
        </w:tc>
        <w:tc>
          <w:tcPr>
            <w:tcW w:w="840" w:type="dxa"/>
            <w:vAlign w:val="bottom"/>
            <w:tcBorders>
              <w:bottom w:val="single" w:sz="8" w:color="EAF9E8"/>
            </w:tcBorders>
          </w:tcPr>
          <w:p>
            <w:pPr>
              <w:spacing w:after="0"/>
              <w:rPr>
                <w:sz w:val="2"/>
                <w:szCs w:val="2"/>
                <w:color w:val="auto"/>
              </w:rPr>
            </w:pPr>
          </w:p>
        </w:tc>
        <w:tc>
          <w:tcPr>
            <w:tcW w:w="244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40" w:type="dxa"/>
            <w:vAlign w:val="bottom"/>
            <w:tcBorders>
              <w:bottom w:val="single" w:sz="8" w:color="EAF9E8"/>
            </w:tcBorders>
            <w:shd w:val="clear" w:color="auto" w:fill="EAF9E8"/>
          </w:tcPr>
          <w:p>
            <w:pPr>
              <w:spacing w:after="0"/>
              <w:rPr>
                <w:sz w:val="22"/>
                <w:szCs w:val="22"/>
                <w:color w:val="auto"/>
              </w:rPr>
            </w:pPr>
          </w:p>
        </w:tc>
        <w:tc>
          <w:tcPr>
            <w:tcW w:w="5080" w:type="dxa"/>
            <w:vAlign w:val="bottom"/>
            <w:tcBorders>
              <w:bottom w:val="single" w:sz="8" w:color="EAF9E8"/>
            </w:tcBorders>
            <w:gridSpan w:val="3"/>
            <w:shd w:val="clear" w:color="auto" w:fill="EAF9E8"/>
          </w:tcPr>
          <w:p>
            <w:pPr>
              <w:ind w:left="140"/>
              <w:spacing w:after="0"/>
              <w:rPr>
                <w:sz w:val="20"/>
                <w:szCs w:val="20"/>
                <w:color w:val="auto"/>
              </w:rPr>
            </w:pPr>
            <w:r>
              <w:rPr>
                <w:rFonts w:ascii="Arial" w:cs="Arial" w:eastAsia="Arial" w:hAnsi="Arial"/>
                <w:sz w:val="18"/>
                <w:szCs w:val="18"/>
                <w:color w:val="auto"/>
              </w:rPr>
              <w:t>Dilutive weighted average shares of common stock</w:t>
            </w:r>
          </w:p>
        </w:tc>
        <w:tc>
          <w:tcPr>
            <w:tcW w:w="280" w:type="dxa"/>
            <w:vAlign w:val="bottom"/>
            <w:tcBorders>
              <w:bottom w:val="single" w:sz="8" w:color="auto"/>
            </w:tcBorders>
            <w:shd w:val="clear" w:color="auto" w:fill="EAF9E8"/>
          </w:tcPr>
          <w:p>
            <w:pPr>
              <w:spacing w:after="0"/>
              <w:rPr>
                <w:sz w:val="22"/>
                <w:szCs w:val="22"/>
                <w:color w:val="auto"/>
              </w:rPr>
            </w:pPr>
          </w:p>
        </w:tc>
        <w:tc>
          <w:tcPr>
            <w:tcW w:w="11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123,893,752</w:t>
            </w:r>
          </w:p>
        </w:tc>
        <w:tc>
          <w:tcPr>
            <w:tcW w:w="12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auto"/>
            </w:tcBorders>
            <w:shd w:val="clear" w:color="auto" w:fill="EAF9E8"/>
          </w:tcPr>
          <w:p>
            <w:pPr>
              <w:spacing w:after="0"/>
              <w:rPr>
                <w:sz w:val="22"/>
                <w:szCs w:val="22"/>
                <w:color w:val="auto"/>
              </w:rPr>
            </w:pPr>
          </w:p>
        </w:tc>
        <w:tc>
          <w:tcPr>
            <w:tcW w:w="11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127,152,479</w:t>
            </w:r>
          </w:p>
        </w:tc>
        <w:tc>
          <w:tcPr>
            <w:tcW w:w="12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auto"/>
            </w:tcBorders>
            <w:shd w:val="clear" w:color="auto" w:fill="EAF9E8"/>
          </w:tcPr>
          <w:p>
            <w:pPr>
              <w:spacing w:after="0"/>
              <w:rPr>
                <w:sz w:val="22"/>
                <w:szCs w:val="22"/>
                <w:color w:val="auto"/>
              </w:rPr>
            </w:pPr>
          </w:p>
        </w:tc>
        <w:tc>
          <w:tcPr>
            <w:tcW w:w="11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123,993,545</w:t>
            </w:r>
          </w:p>
        </w:tc>
        <w:tc>
          <w:tcPr>
            <w:tcW w:w="120" w:type="dxa"/>
            <w:vAlign w:val="bottom"/>
            <w:tcBorders>
              <w:bottom w:val="single" w:sz="8" w:color="EAF9E8"/>
            </w:tcBorders>
            <w:shd w:val="clear" w:color="auto" w:fill="EAF9E8"/>
          </w:tcPr>
          <w:p>
            <w:pPr>
              <w:spacing w:after="0"/>
              <w:rPr>
                <w:sz w:val="22"/>
                <w:szCs w:val="22"/>
                <w:color w:val="auto"/>
              </w:rPr>
            </w:pPr>
          </w:p>
        </w:tc>
        <w:tc>
          <w:tcPr>
            <w:tcW w:w="420" w:type="dxa"/>
            <w:vAlign w:val="bottom"/>
            <w:tcBorders>
              <w:bottom w:val="single" w:sz="8" w:color="auto"/>
            </w:tcBorders>
            <w:shd w:val="clear" w:color="auto" w:fill="EAF9E8"/>
          </w:tcPr>
          <w:p>
            <w:pPr>
              <w:spacing w:after="0"/>
              <w:rPr>
                <w:sz w:val="22"/>
                <w:szCs w:val="22"/>
                <w:color w:val="auto"/>
              </w:rPr>
            </w:pPr>
          </w:p>
        </w:tc>
        <w:tc>
          <w:tcPr>
            <w:tcW w:w="10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w w:val="91"/>
              </w:rPr>
              <w:t>127,076,178</w:t>
            </w:r>
          </w:p>
        </w:tc>
      </w:tr>
      <w:tr>
        <w:trPr>
          <w:trHeight w:val="20"/>
        </w:trPr>
        <w:tc>
          <w:tcPr>
            <w:tcW w:w="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84"/>
        </w:trPr>
        <w:tc>
          <w:tcPr>
            <w:tcW w:w="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64"/>
        </w:trPr>
        <w:tc>
          <w:tcPr>
            <w:tcW w:w="40" w:type="dxa"/>
            <w:vAlign w:val="bottom"/>
            <w:tcBorders>
              <w:bottom w:val="single" w:sz="8" w:color="EAF9E8"/>
            </w:tcBorders>
            <w:shd w:val="clear" w:color="auto" w:fill="EAF9E8"/>
          </w:tcPr>
          <w:p>
            <w:pPr>
              <w:spacing w:after="0"/>
              <w:rPr>
                <w:sz w:val="22"/>
                <w:szCs w:val="22"/>
                <w:color w:val="auto"/>
              </w:rPr>
            </w:pPr>
          </w:p>
        </w:tc>
        <w:tc>
          <w:tcPr>
            <w:tcW w:w="5080" w:type="dxa"/>
            <w:vAlign w:val="bottom"/>
            <w:tcBorders>
              <w:bottom w:val="single" w:sz="8" w:color="EAF9E8"/>
            </w:tcBorders>
            <w:gridSpan w:val="3"/>
            <w:shd w:val="clear" w:color="auto" w:fill="EAF9E8"/>
          </w:tcPr>
          <w:p>
            <w:pPr>
              <w:ind w:left="140"/>
              <w:spacing w:after="0"/>
              <w:rPr>
                <w:sz w:val="20"/>
                <w:szCs w:val="20"/>
                <w:color w:val="auto"/>
              </w:rPr>
            </w:pPr>
            <w:r>
              <w:rPr>
                <w:rFonts w:ascii="Arial" w:cs="Arial" w:eastAsia="Arial" w:hAnsi="Arial"/>
                <w:sz w:val="18"/>
                <w:szCs w:val="18"/>
                <w:color w:val="auto"/>
              </w:rPr>
              <w:t>Diluted earnings (loss) per share</w:t>
            </w:r>
          </w:p>
        </w:tc>
        <w:tc>
          <w:tcPr>
            <w:tcW w:w="280" w:type="dxa"/>
            <w:vAlign w:val="bottom"/>
            <w:tcBorders>
              <w:bottom w:val="single" w:sz="8" w:color="auto"/>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(0.71)</w:t>
            </w:r>
          </w:p>
        </w:tc>
        <w:tc>
          <w:tcPr>
            <w:tcW w:w="12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auto"/>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0.08</w:t>
            </w:r>
          </w:p>
        </w:tc>
        <w:tc>
          <w:tcPr>
            <w:tcW w:w="12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auto"/>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Borders>
              <w:bottom w:val="single" w:sz="8" w:color="EAF9E8"/>
            </w:tcBorders>
            <w:shd w:val="clear" w:color="auto" w:fill="EAF9E8"/>
          </w:tcPr>
          <w:p>
            <w:pPr>
              <w:spacing w:after="0"/>
              <w:rPr>
                <w:sz w:val="22"/>
                <w:szCs w:val="22"/>
                <w:color w:val="auto"/>
              </w:rPr>
            </w:pPr>
          </w:p>
        </w:tc>
        <w:tc>
          <w:tcPr>
            <w:tcW w:w="420" w:type="dxa"/>
            <w:vAlign w:val="bottom"/>
            <w:tcBorders>
              <w:bottom w:val="single" w:sz="8" w:color="auto"/>
            </w:tcBorders>
            <w:shd w:val="clear" w:color="auto" w:fill="EAF9E8"/>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0.35</w:t>
            </w:r>
          </w:p>
        </w:tc>
      </w:tr>
      <w:tr>
        <w:trPr>
          <w:trHeight w:val="20"/>
        </w:trPr>
        <w:tc>
          <w:tcPr>
            <w:tcW w:w="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84"/>
        </w:trPr>
        <w:tc>
          <w:tcPr>
            <w:tcW w:w="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29"/>
        </w:trPr>
        <w:tc>
          <w:tcPr>
            <w:tcW w:w="5120" w:type="dxa"/>
            <w:vAlign w:val="bottom"/>
            <w:gridSpan w:val="4"/>
            <w:shd w:val="clear" w:color="auto" w:fill="EAF9E8"/>
          </w:tcPr>
          <w:p>
            <w:pPr>
              <w:ind w:left="40"/>
              <w:spacing w:after="0"/>
              <w:rPr>
                <w:sz w:val="20"/>
                <w:szCs w:val="20"/>
                <w:color w:val="auto"/>
              </w:rPr>
            </w:pPr>
            <w:r>
              <w:rPr>
                <w:rFonts w:ascii="Arial" w:cs="Arial" w:eastAsia="Arial" w:hAnsi="Arial"/>
                <w:sz w:val="18"/>
                <w:szCs w:val="18"/>
                <w:color w:val="auto"/>
              </w:rPr>
              <w:t>Stock options and common stock awards excluded from the</w:t>
            </w:r>
          </w:p>
        </w:tc>
        <w:tc>
          <w:tcPr>
            <w:tcW w:w="28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420" w:type="dxa"/>
            <w:vAlign w:val="bottom"/>
            <w:shd w:val="clear" w:color="auto" w:fill="EAF9E8"/>
          </w:tcPr>
          <w:p>
            <w:pPr>
              <w:spacing w:after="0"/>
              <w:rPr>
                <w:sz w:val="19"/>
                <w:szCs w:val="19"/>
                <w:color w:val="auto"/>
              </w:rPr>
            </w:pPr>
          </w:p>
        </w:tc>
        <w:tc>
          <w:tcPr>
            <w:tcW w:w="1040" w:type="dxa"/>
            <w:vAlign w:val="bottom"/>
            <w:shd w:val="clear" w:color="auto" w:fill="EAF9E8"/>
          </w:tcPr>
          <w:p>
            <w:pPr>
              <w:spacing w:after="0"/>
              <w:rPr>
                <w:sz w:val="19"/>
                <w:szCs w:val="19"/>
                <w:color w:val="auto"/>
              </w:rPr>
            </w:pPr>
          </w:p>
        </w:tc>
      </w:tr>
      <w:tr>
        <w:trPr>
          <w:trHeight w:val="237"/>
        </w:trPr>
        <w:tc>
          <w:tcPr>
            <w:tcW w:w="40" w:type="dxa"/>
            <w:vAlign w:val="bottom"/>
            <w:tcBorders>
              <w:bottom w:val="single" w:sz="8" w:color="EAF9E8"/>
            </w:tcBorders>
            <w:shd w:val="clear" w:color="auto" w:fill="EAF9E8"/>
          </w:tcPr>
          <w:p>
            <w:pPr>
              <w:spacing w:after="0"/>
              <w:rPr>
                <w:sz w:val="20"/>
                <w:szCs w:val="20"/>
                <w:color w:val="auto"/>
              </w:rPr>
            </w:pPr>
          </w:p>
        </w:tc>
        <w:tc>
          <w:tcPr>
            <w:tcW w:w="5080" w:type="dxa"/>
            <w:vAlign w:val="bottom"/>
            <w:tcBorders>
              <w:bottom w:val="single" w:sz="8" w:color="EAF9E8"/>
            </w:tcBorders>
            <w:gridSpan w:val="3"/>
            <w:shd w:val="clear" w:color="auto" w:fill="EAF9E8"/>
          </w:tcPr>
          <w:p>
            <w:pPr>
              <w:ind w:left="160"/>
              <w:spacing w:after="0"/>
              <w:rPr>
                <w:sz w:val="20"/>
                <w:szCs w:val="20"/>
                <w:color w:val="auto"/>
              </w:rPr>
            </w:pPr>
            <w:r>
              <w:rPr>
                <w:rFonts w:ascii="Arial" w:cs="Arial" w:eastAsia="Arial" w:hAnsi="Arial"/>
                <w:sz w:val="18"/>
                <w:szCs w:val="18"/>
                <w:color w:val="auto"/>
              </w:rPr>
              <w:t>computation of diluted earnings per share:</w:t>
            </w:r>
          </w:p>
        </w:tc>
        <w:tc>
          <w:tcPr>
            <w:tcW w:w="280" w:type="dxa"/>
            <w:vAlign w:val="bottom"/>
            <w:tcBorders>
              <w:bottom w:val="single" w:sz="8" w:color="EAF9E8"/>
            </w:tcBorders>
            <w:shd w:val="clear" w:color="auto" w:fill="EAF9E8"/>
          </w:tcPr>
          <w:p>
            <w:pPr>
              <w:spacing w:after="0"/>
              <w:rPr>
                <w:sz w:val="20"/>
                <w:szCs w:val="20"/>
                <w:color w:val="auto"/>
              </w:rPr>
            </w:pPr>
          </w:p>
        </w:tc>
        <w:tc>
          <w:tcPr>
            <w:tcW w:w="118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280" w:type="dxa"/>
            <w:vAlign w:val="bottom"/>
            <w:tcBorders>
              <w:bottom w:val="single" w:sz="8" w:color="EAF9E8"/>
            </w:tcBorders>
            <w:shd w:val="clear" w:color="auto" w:fill="EAF9E8"/>
          </w:tcPr>
          <w:p>
            <w:pPr>
              <w:spacing w:after="0"/>
              <w:rPr>
                <w:sz w:val="20"/>
                <w:szCs w:val="20"/>
                <w:color w:val="auto"/>
              </w:rPr>
            </w:pPr>
          </w:p>
        </w:tc>
        <w:tc>
          <w:tcPr>
            <w:tcW w:w="118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280" w:type="dxa"/>
            <w:vAlign w:val="bottom"/>
            <w:tcBorders>
              <w:bottom w:val="single" w:sz="8" w:color="EAF9E8"/>
            </w:tcBorders>
            <w:shd w:val="clear" w:color="auto" w:fill="EAF9E8"/>
          </w:tcPr>
          <w:p>
            <w:pPr>
              <w:spacing w:after="0"/>
              <w:rPr>
                <w:sz w:val="20"/>
                <w:szCs w:val="20"/>
                <w:color w:val="auto"/>
              </w:rPr>
            </w:pPr>
          </w:p>
        </w:tc>
        <w:tc>
          <w:tcPr>
            <w:tcW w:w="118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420" w:type="dxa"/>
            <w:vAlign w:val="bottom"/>
            <w:tcBorders>
              <w:bottom w:val="single" w:sz="8" w:color="EAF9E8"/>
            </w:tcBorders>
            <w:shd w:val="clear" w:color="auto" w:fill="EAF9E8"/>
          </w:tcPr>
          <w:p>
            <w:pPr>
              <w:spacing w:after="0"/>
              <w:rPr>
                <w:sz w:val="20"/>
                <w:szCs w:val="20"/>
                <w:color w:val="auto"/>
              </w:rPr>
            </w:pPr>
          </w:p>
        </w:tc>
        <w:tc>
          <w:tcPr>
            <w:tcW w:w="1040" w:type="dxa"/>
            <w:vAlign w:val="bottom"/>
            <w:tcBorders>
              <w:bottom w:val="single" w:sz="8" w:color="EAF9E8"/>
            </w:tcBorders>
            <w:shd w:val="clear" w:color="auto" w:fill="EAF9E8"/>
          </w:tcPr>
          <w:p>
            <w:pPr>
              <w:spacing w:after="0"/>
              <w:rPr>
                <w:sz w:val="20"/>
                <w:szCs w:val="20"/>
                <w:color w:val="auto"/>
              </w:rPr>
            </w:pPr>
          </w:p>
        </w:tc>
      </w:tr>
      <w:tr>
        <w:trPr>
          <w:trHeight w:val="243"/>
        </w:trPr>
        <w:tc>
          <w:tcPr>
            <w:tcW w:w="40" w:type="dxa"/>
            <w:vAlign w:val="bottom"/>
          </w:tcPr>
          <w:p>
            <w:pPr>
              <w:spacing w:after="0"/>
              <w:rPr>
                <w:sz w:val="21"/>
                <w:szCs w:val="21"/>
                <w:color w:val="auto"/>
              </w:rPr>
            </w:pPr>
          </w:p>
        </w:tc>
        <w:tc>
          <w:tcPr>
            <w:tcW w:w="5080" w:type="dxa"/>
            <w:vAlign w:val="bottom"/>
            <w:gridSpan w:val="3"/>
          </w:tcPr>
          <w:p>
            <w:pPr>
              <w:ind w:left="140"/>
              <w:spacing w:after="0"/>
              <w:rPr>
                <w:sz w:val="20"/>
                <w:szCs w:val="20"/>
                <w:color w:val="auto"/>
              </w:rPr>
            </w:pPr>
            <w:r>
              <w:rPr>
                <w:rFonts w:ascii="Arial" w:cs="Arial" w:eastAsia="Arial" w:hAnsi="Arial"/>
                <w:sz w:val="18"/>
                <w:szCs w:val="18"/>
                <w:color w:val="auto"/>
              </w:rPr>
              <w:t>Anti-dilutive (2)</w:t>
            </w:r>
          </w:p>
        </w:tc>
        <w:tc>
          <w:tcPr>
            <w:tcW w:w="2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7,979,821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1,846,374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7,482,868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1,928,638</w:t>
            </w:r>
          </w:p>
        </w:tc>
      </w:tr>
      <w:tr>
        <w:trPr>
          <w:trHeight w:val="27"/>
        </w:trPr>
        <w:tc>
          <w:tcPr>
            <w:tcW w:w="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40" w:type="dxa"/>
            <w:vAlign w:val="bottom"/>
            <w:shd w:val="clear" w:color="auto" w:fill="EAF9E8"/>
          </w:tcPr>
          <w:p>
            <w:pPr>
              <w:spacing w:after="0"/>
              <w:rPr>
                <w:sz w:val="21"/>
                <w:szCs w:val="21"/>
                <w:color w:val="auto"/>
              </w:rPr>
            </w:pPr>
          </w:p>
        </w:tc>
        <w:tc>
          <w:tcPr>
            <w:tcW w:w="5080" w:type="dxa"/>
            <w:vAlign w:val="bottom"/>
            <w:gridSpan w:val="3"/>
            <w:shd w:val="clear" w:color="auto" w:fill="EAF9E8"/>
          </w:tcPr>
          <w:p>
            <w:pPr>
              <w:ind w:left="140"/>
              <w:spacing w:after="0"/>
              <w:rPr>
                <w:sz w:val="20"/>
                <w:szCs w:val="20"/>
                <w:color w:val="auto"/>
              </w:rPr>
            </w:pPr>
            <w:r>
              <w:rPr>
                <w:rFonts w:ascii="Arial" w:cs="Arial" w:eastAsia="Arial" w:hAnsi="Arial"/>
                <w:sz w:val="18"/>
                <w:szCs w:val="18"/>
                <w:color w:val="auto"/>
              </w:rPr>
              <w:t>Market-based (3)</w:t>
            </w:r>
          </w:p>
        </w:tc>
        <w:tc>
          <w:tcPr>
            <w:tcW w:w="280" w:type="dxa"/>
            <w:vAlign w:val="bottom"/>
            <w:shd w:val="clear" w:color="auto" w:fill="EAF9E8"/>
          </w:tcPr>
          <w:p>
            <w:pPr>
              <w:spacing w:after="0"/>
              <w:rPr>
                <w:sz w:val="21"/>
                <w:szCs w:val="21"/>
                <w:color w:val="auto"/>
              </w:rPr>
            </w:pPr>
          </w:p>
        </w:tc>
        <w:tc>
          <w:tcPr>
            <w:tcW w:w="118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2,045,725</w:t>
            </w:r>
          </w:p>
        </w:tc>
        <w:tc>
          <w:tcPr>
            <w:tcW w:w="12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18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924,438</w:t>
            </w:r>
          </w:p>
        </w:tc>
        <w:tc>
          <w:tcPr>
            <w:tcW w:w="12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18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2,045,725</w:t>
            </w:r>
          </w:p>
        </w:tc>
        <w:tc>
          <w:tcPr>
            <w:tcW w:w="120" w:type="dxa"/>
            <w:vAlign w:val="bottom"/>
            <w:shd w:val="clear" w:color="auto" w:fill="EAF9E8"/>
          </w:tcPr>
          <w:p>
            <w:pPr>
              <w:spacing w:after="0"/>
              <w:rPr>
                <w:sz w:val="21"/>
                <w:szCs w:val="21"/>
                <w:color w:val="auto"/>
              </w:rPr>
            </w:pPr>
          </w:p>
        </w:tc>
        <w:tc>
          <w:tcPr>
            <w:tcW w:w="420" w:type="dxa"/>
            <w:vAlign w:val="bottom"/>
            <w:shd w:val="clear" w:color="auto" w:fill="EAF9E8"/>
          </w:tcPr>
          <w:p>
            <w:pPr>
              <w:spacing w:after="0"/>
              <w:rPr>
                <w:sz w:val="21"/>
                <w:szCs w:val="21"/>
                <w:color w:val="auto"/>
              </w:rPr>
            </w:pPr>
          </w:p>
        </w:tc>
        <w:tc>
          <w:tcPr>
            <w:tcW w:w="104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924,438</w:t>
            </w:r>
          </w:p>
        </w:tc>
      </w:tr>
      <w:tr>
        <w:trPr>
          <w:trHeight w:val="27"/>
        </w:trPr>
        <w:tc>
          <w:tcPr>
            <w:tcW w:w="40" w:type="dxa"/>
            <w:vAlign w:val="bottom"/>
            <w:shd w:val="clear" w:color="auto" w:fill="EAF9E8"/>
          </w:tcPr>
          <w:p>
            <w:pPr>
              <w:spacing w:after="0"/>
              <w:rPr>
                <w:sz w:val="2"/>
                <w:szCs w:val="2"/>
                <w:color w:val="auto"/>
              </w:rPr>
            </w:pPr>
          </w:p>
        </w:tc>
        <w:tc>
          <w:tcPr>
            <w:tcW w:w="1800" w:type="dxa"/>
            <w:vAlign w:val="bottom"/>
            <w:shd w:val="clear" w:color="auto" w:fill="EAF9E8"/>
          </w:tcPr>
          <w:p>
            <w:pPr>
              <w:spacing w:after="0"/>
              <w:rPr>
                <w:sz w:val="2"/>
                <w:szCs w:val="2"/>
                <w:color w:val="auto"/>
              </w:rPr>
            </w:pPr>
          </w:p>
        </w:tc>
        <w:tc>
          <w:tcPr>
            <w:tcW w:w="840" w:type="dxa"/>
            <w:vAlign w:val="bottom"/>
            <w:shd w:val="clear" w:color="auto" w:fill="EAF9E8"/>
          </w:tcPr>
          <w:p>
            <w:pPr>
              <w:spacing w:after="0"/>
              <w:rPr>
                <w:sz w:val="2"/>
                <w:szCs w:val="2"/>
                <w:color w:val="auto"/>
              </w:rPr>
            </w:pPr>
          </w:p>
        </w:tc>
        <w:tc>
          <w:tcPr>
            <w:tcW w:w="2440" w:type="dxa"/>
            <w:vAlign w:val="bottom"/>
            <w:shd w:val="clear" w:color="auto" w:fill="EAF9E8"/>
          </w:tcPr>
          <w:p>
            <w:pPr>
              <w:spacing w:after="0"/>
              <w:rPr>
                <w:sz w:val="2"/>
                <w:szCs w:val="2"/>
                <w:color w:val="auto"/>
              </w:rPr>
            </w:pPr>
          </w:p>
        </w:tc>
        <w:tc>
          <w:tcPr>
            <w:tcW w:w="280" w:type="dxa"/>
            <w:vAlign w:val="bottom"/>
            <w:shd w:val="clear" w:color="auto" w:fill="EAF9E8"/>
          </w:tcPr>
          <w:p>
            <w:pPr>
              <w:spacing w:after="0"/>
              <w:rPr>
                <w:sz w:val="2"/>
                <w:szCs w:val="2"/>
                <w:color w:val="auto"/>
              </w:rPr>
            </w:pPr>
          </w:p>
        </w:tc>
        <w:tc>
          <w:tcPr>
            <w:tcW w:w="118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280" w:type="dxa"/>
            <w:vAlign w:val="bottom"/>
            <w:shd w:val="clear" w:color="auto" w:fill="EAF9E8"/>
          </w:tcPr>
          <w:p>
            <w:pPr>
              <w:spacing w:after="0"/>
              <w:rPr>
                <w:sz w:val="2"/>
                <w:szCs w:val="2"/>
                <w:color w:val="auto"/>
              </w:rPr>
            </w:pPr>
          </w:p>
        </w:tc>
        <w:tc>
          <w:tcPr>
            <w:tcW w:w="118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280" w:type="dxa"/>
            <w:vAlign w:val="bottom"/>
            <w:shd w:val="clear" w:color="auto" w:fill="EAF9E8"/>
          </w:tcPr>
          <w:p>
            <w:pPr>
              <w:spacing w:after="0"/>
              <w:rPr>
                <w:sz w:val="2"/>
                <w:szCs w:val="2"/>
                <w:color w:val="auto"/>
              </w:rPr>
            </w:pPr>
          </w:p>
        </w:tc>
        <w:tc>
          <w:tcPr>
            <w:tcW w:w="118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420" w:type="dxa"/>
            <w:vAlign w:val="bottom"/>
            <w:shd w:val="clear" w:color="auto" w:fill="EAF9E8"/>
          </w:tcPr>
          <w:p>
            <w:pPr>
              <w:spacing w:after="0"/>
              <w:rPr>
                <w:sz w:val="2"/>
                <w:szCs w:val="2"/>
                <w:color w:val="auto"/>
              </w:rPr>
            </w:pPr>
          </w:p>
        </w:tc>
        <w:tc>
          <w:tcPr>
            <w:tcW w:w="1040" w:type="dxa"/>
            <w:vAlign w:val="bottom"/>
            <w:shd w:val="clear" w:color="auto" w:fill="EAF9E8"/>
          </w:tcPr>
          <w:p>
            <w:pPr>
              <w:spacing w:after="0"/>
              <w:rPr>
                <w:sz w:val="2"/>
                <w:szCs w:val="2"/>
                <w:color w:val="auto"/>
              </w:rPr>
            </w:pPr>
          </w:p>
        </w:tc>
      </w:tr>
    </w:tbl>
    <w:p>
      <w:pPr>
        <w:spacing w:after="0" w:line="314" w:lineRule="exact"/>
        <w:rPr>
          <w:sz w:val="20"/>
          <w:szCs w:val="20"/>
          <w:color w:val="auto"/>
        </w:rPr>
      </w:pPr>
    </w:p>
    <w:p>
      <w:pPr>
        <w:ind w:left="500" w:hanging="492"/>
        <w:spacing w:after="0" w:line="255" w:lineRule="auto"/>
        <w:tabs>
          <w:tab w:leader="none" w:pos="5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For the three and six months ended June 30, 2016, we have excluded the effect of stock options and common stock awards from the computation of diluted earnings per share because of the anti-dilutive effect of our reported net loss.</w:t>
      </w:r>
    </w:p>
    <w:p>
      <w:pPr>
        <w:spacing w:after="0" w:line="1" w:lineRule="exact"/>
        <w:rPr>
          <w:rFonts w:ascii="Arial" w:cs="Arial" w:eastAsia="Arial" w:hAnsi="Arial"/>
          <w:sz w:val="16"/>
          <w:szCs w:val="16"/>
          <w:color w:val="auto"/>
        </w:rPr>
      </w:pPr>
    </w:p>
    <w:p>
      <w:pPr>
        <w:ind w:left="500" w:hanging="492"/>
        <w:spacing w:after="0"/>
        <w:tabs>
          <w:tab w:leader="none" w:pos="5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These stock options were anti-dilutive because their exercise price was greater than the average market price of Ocwen’s stock.</w:t>
      </w:r>
    </w:p>
    <w:p>
      <w:pPr>
        <w:spacing w:after="0" w:line="5" w:lineRule="exact"/>
        <w:rPr>
          <w:rFonts w:ascii="Arial" w:cs="Arial" w:eastAsia="Arial" w:hAnsi="Arial"/>
          <w:sz w:val="16"/>
          <w:szCs w:val="16"/>
          <w:color w:val="auto"/>
        </w:rPr>
      </w:pPr>
    </w:p>
    <w:p>
      <w:pPr>
        <w:ind w:left="500" w:hanging="492"/>
        <w:spacing w:after="0"/>
        <w:tabs>
          <w:tab w:leader="none" w:pos="5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Shares that are issuable upon the achievement of certain market-based performance criteria related to Ocwen’s stock price.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Business Segment Reporting</w:t>
      </w:r>
    </w:p>
    <w:p>
      <w:pPr>
        <w:spacing w:after="0" w:line="121" w:lineRule="exact"/>
        <w:rPr>
          <w:sz w:val="20"/>
          <w:szCs w:val="20"/>
          <w:color w:val="auto"/>
        </w:rPr>
      </w:pPr>
    </w:p>
    <w:p>
      <w:pPr>
        <w:ind w:right="700" w:firstLine="324"/>
        <w:spacing w:after="0" w:line="277" w:lineRule="auto"/>
        <w:rPr>
          <w:sz w:val="20"/>
          <w:szCs w:val="20"/>
          <w:color w:val="auto"/>
        </w:rPr>
      </w:pPr>
      <w:r>
        <w:rPr>
          <w:rFonts w:ascii="Arial" w:cs="Arial" w:eastAsia="Arial" w:hAnsi="Arial"/>
          <w:sz w:val="18"/>
          <w:szCs w:val="18"/>
          <w:color w:val="auto"/>
        </w:rPr>
        <w:t>Our business segments reflect the internal reporting that we use to evaluate operating performance of services and to assess the allocation of our resources. A brief description of our current business segments is as follows:</w:t>
      </w:r>
    </w:p>
    <w:p>
      <w:pPr>
        <w:spacing w:after="0" w:line="62" w:lineRule="exact"/>
        <w:rPr>
          <w:sz w:val="20"/>
          <w:szCs w:val="20"/>
          <w:color w:val="auto"/>
        </w:rPr>
      </w:pPr>
    </w:p>
    <w:p>
      <w:pPr>
        <w:ind w:right="320" w:firstLine="324"/>
        <w:spacing w:after="0" w:line="259" w:lineRule="auto"/>
        <w:rPr>
          <w:sz w:val="20"/>
          <w:szCs w:val="20"/>
          <w:color w:val="auto"/>
        </w:rPr>
      </w:pPr>
      <w:r>
        <w:rPr>
          <w:rFonts w:ascii="Arial" w:cs="Arial" w:eastAsia="Arial" w:hAnsi="Arial"/>
          <w:sz w:val="18"/>
          <w:szCs w:val="18"/>
          <w:i w:val="1"/>
          <w:iCs w:val="1"/>
          <w:color w:val="auto"/>
        </w:rPr>
        <w:t xml:space="preserve">Servicing. </w:t>
      </w:r>
      <w:r>
        <w:rPr>
          <w:rFonts w:ascii="Arial" w:cs="Arial" w:eastAsia="Arial" w:hAnsi="Arial"/>
          <w:sz w:val="18"/>
          <w:szCs w:val="18"/>
          <w:color w:val="auto"/>
        </w:rPr>
        <w:t>This segment is primarily comprised of our core residential servicing business. We provide residential and commercial mortgage loan</w:t>
      </w:r>
      <w:r>
        <w:rPr>
          <w:rFonts w:ascii="Arial" w:cs="Arial" w:eastAsia="Arial" w:hAnsi="Arial"/>
          <w:sz w:val="18"/>
          <w:szCs w:val="18"/>
          <w:i w:val="1"/>
          <w:iCs w:val="1"/>
          <w:color w:val="auto"/>
        </w:rPr>
        <w:t xml:space="preserve"> </w:t>
      </w:r>
      <w:r>
        <w:rPr>
          <w:rFonts w:ascii="Arial" w:cs="Arial" w:eastAsia="Arial" w:hAnsi="Arial"/>
          <w:sz w:val="18"/>
          <w:szCs w:val="18"/>
          <w:color w:val="auto"/>
        </w:rPr>
        <w:t>servicing, special servicing and asset management services. We earn fees for providing these services to owners of the mortgage loans and foreclosed real estate. In most cases, we provide these services either because we purchased the MSRs from the owner of the mortgage, retained the MSRs on the sale of residential mortgage loans or because</w:t>
      </w:r>
    </w:p>
    <w:p>
      <w:pPr>
        <w:sectPr>
          <w:pgSz w:w="11900" w:h="16838" w:orient="portrait"/>
          <w:cols w:equalWidth="0" w:num="1">
            <w:col w:w="11400"/>
          </w:cols>
          <w:pgMar w:left="240" w:top="697" w:right="259" w:bottom="1440" w:gutter="0" w:footer="0" w:header="0"/>
        </w:sect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00"/>
          </w:cols>
          <w:pgMar w:left="240" w:top="697" w:right="259" w:bottom="1440" w:gutter="0" w:footer="0" w:header="0"/>
          <w:type w:val="continuous"/>
        </w:sectPr>
      </w:pPr>
    </w:p>
    <w:bookmarkStart w:id="41" w:name="page42"/>
    <w:bookmarkEnd w:id="41"/>
    <w:p>
      <w:pPr>
        <w:ind w:right="100"/>
        <w:spacing w:after="0" w:line="264" w:lineRule="auto"/>
        <w:rPr>
          <w:sz w:val="20"/>
          <w:szCs w:val="20"/>
          <w:color w:val="auto"/>
        </w:rPr>
      </w:pPr>
      <w:r>
        <w:rPr>
          <w:rFonts w:ascii="Arial" w:cs="Arial" w:eastAsia="Arial" w:hAnsi="Arial"/>
          <w:sz w:val="18"/>
          <w:szCs w:val="18"/>
          <w:color w:val="auto"/>
        </w:rPr>
        <w:t>we entered into a subservicing or special servicing agreement with the entity that owns the MSR. Our residential servicing portfolio includes conventional, government-insured and non-Agency loans. Non-Agency loans include subprime loans, which represent residential loans that generally did not qualify under GSE guidelines or have subsequently become delinquent.</w:t>
      </w:r>
    </w:p>
    <w:p>
      <w:pPr>
        <w:spacing w:after="0" w:line="73"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i w:val="1"/>
          <w:iCs w:val="1"/>
          <w:color w:val="auto"/>
        </w:rPr>
        <w:t xml:space="preserve">Lending. </w:t>
      </w:r>
      <w:r>
        <w:rPr>
          <w:rFonts w:ascii="Arial" w:cs="Arial" w:eastAsia="Arial" w:hAnsi="Arial"/>
          <w:sz w:val="18"/>
          <w:szCs w:val="18"/>
          <w:color w:val="auto"/>
        </w:rPr>
        <w:t>The Lending segment is focused on originating and purchasing conventional and government-insured residential forward and reverse mortgage</w:t>
      </w:r>
      <w:r>
        <w:rPr>
          <w:rFonts w:ascii="Arial" w:cs="Arial" w:eastAsia="Arial" w:hAnsi="Arial"/>
          <w:sz w:val="18"/>
          <w:szCs w:val="18"/>
          <w:i w:val="1"/>
          <w:iCs w:val="1"/>
          <w:color w:val="auto"/>
        </w:rPr>
        <w:t xml:space="preserve"> </w:t>
      </w:r>
      <w:r>
        <w:rPr>
          <w:rFonts w:ascii="Arial" w:cs="Arial" w:eastAsia="Arial" w:hAnsi="Arial"/>
          <w:sz w:val="18"/>
          <w:szCs w:val="18"/>
          <w:color w:val="auto"/>
        </w:rPr>
        <w:t>loans mainly through our correspondent lending arrangements, broker relationships and directly with mortgage customers. The loans are typically sold shortly after origination into a liquid market on a servicing retained basis.</w:t>
      </w:r>
    </w:p>
    <w:p>
      <w:pPr>
        <w:spacing w:after="0" w:line="73"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i w:val="1"/>
          <w:iCs w:val="1"/>
          <w:color w:val="auto"/>
        </w:rPr>
        <w:t xml:space="preserve">Corporate Items and Other. </w:t>
      </w:r>
      <w:r>
        <w:rPr>
          <w:rFonts w:ascii="Arial" w:cs="Arial" w:eastAsia="Arial" w:hAnsi="Arial"/>
          <w:sz w:val="18"/>
          <w:szCs w:val="18"/>
          <w:color w:val="auto"/>
        </w:rPr>
        <w:t>Corporate Items and Other includes revenues and expenses that are not directly related to other reportable segments,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activities that are individually insignificant, interest income on short-term investments of cash, interest expense on corporate debt and certain corporate expenses. New business activities that are currently insignificant include providing short-term inventory-secured floor plan loans to independent used car dealerships through our ACS venture and providing mortgage loans to investors to refinance existing rental properties or purchase foreclosed single-family homes and apartments for lease through our Liberty Rental Finance venture. In addition, Ocwen recently formed a wholly-owned captive reinsurance entity, CR Limited (CRL) and signed a quota share re-insurance agreement with a third-party insurer related to coverage on foreclosed real estate properties owned or serviced by Ocwen.</w:t>
      </w:r>
    </w:p>
    <w:p>
      <w:pPr>
        <w:spacing w:after="0" w:line="81"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We allocate interest income and expense to each business segment for funds raised or for funding of investments made, including interest earned on cash balances and short-term investments and interest incurred on corporate debt. We also allocate expenses generated by corporate support services to each business segment.</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Financial information for our segments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b w:val="1"/>
                <w:bCs w:val="1"/>
                <w:color w:val="auto"/>
                <w:w w:val="82"/>
              </w:rPr>
              <w:t>Business</w:t>
            </w:r>
          </w:p>
        </w:tc>
      </w:tr>
      <w:tr>
        <w:trPr>
          <w:trHeight w:val="216"/>
        </w:trPr>
        <w:tc>
          <w:tcPr>
            <w:tcW w:w="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Corporate Items</w:t>
            </w: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Corporate</w:t>
            </w: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3"/>
              </w:rPr>
              <w:t>Segments</w:t>
            </w:r>
          </w:p>
        </w:tc>
      </w:tr>
      <w:tr>
        <w:trPr>
          <w:trHeight w:val="234"/>
        </w:trPr>
        <w:tc>
          <w:tcPr>
            <w:tcW w:w="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gridSpan w:val="2"/>
          </w:tcPr>
          <w:p>
            <w:pPr>
              <w:ind w:left="140"/>
              <w:spacing w:after="0"/>
              <w:rPr>
                <w:sz w:val="20"/>
                <w:szCs w:val="20"/>
                <w:color w:val="auto"/>
              </w:rPr>
            </w:pPr>
            <w:r>
              <w:rPr>
                <w:rFonts w:ascii="Arial" w:cs="Arial" w:eastAsia="Arial" w:hAnsi="Arial"/>
                <w:sz w:val="18"/>
                <w:szCs w:val="18"/>
                <w:b w:val="1"/>
                <w:bCs w:val="1"/>
                <w:color w:val="auto"/>
              </w:rPr>
              <w:t>Servicing</w:t>
            </w:r>
          </w:p>
        </w:tc>
        <w:tc>
          <w:tcPr>
            <w:tcW w:w="280" w:type="dxa"/>
            <w:vAlign w:val="bottom"/>
          </w:tcPr>
          <w:p>
            <w:pPr>
              <w:spacing w:after="0"/>
              <w:rPr>
                <w:sz w:val="20"/>
                <w:szCs w:val="20"/>
                <w:color w:val="auto"/>
              </w:rPr>
            </w:pPr>
          </w:p>
        </w:tc>
        <w:tc>
          <w:tcPr>
            <w:tcW w:w="1320" w:type="dxa"/>
            <w:vAlign w:val="bottom"/>
            <w:gridSpan w:val="2"/>
          </w:tcPr>
          <w:p>
            <w:pPr>
              <w:ind w:left="160"/>
              <w:spacing w:after="0"/>
              <w:rPr>
                <w:sz w:val="20"/>
                <w:szCs w:val="20"/>
                <w:color w:val="auto"/>
              </w:rPr>
            </w:pPr>
            <w:r>
              <w:rPr>
                <w:rFonts w:ascii="Arial" w:cs="Arial" w:eastAsia="Arial" w:hAnsi="Arial"/>
                <w:sz w:val="18"/>
                <w:szCs w:val="18"/>
                <w:b w:val="1"/>
                <w:bCs w:val="1"/>
                <w:color w:val="auto"/>
              </w:rPr>
              <w:t>Lending</w:t>
            </w:r>
          </w:p>
        </w:tc>
        <w:tc>
          <w:tcPr>
            <w:tcW w:w="240" w:type="dxa"/>
            <w:vAlign w:val="bottom"/>
          </w:tcPr>
          <w:p>
            <w:pPr>
              <w:spacing w:after="0"/>
              <w:rPr>
                <w:sz w:val="20"/>
                <w:szCs w:val="20"/>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and Other</w:t>
            </w:r>
          </w:p>
        </w:tc>
        <w:tc>
          <w:tcPr>
            <w:tcW w:w="18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Eliminations</w:t>
            </w:r>
          </w:p>
        </w:tc>
        <w:tc>
          <w:tcPr>
            <w:tcW w:w="180" w:type="dxa"/>
            <w:vAlign w:val="bottom"/>
          </w:tcPr>
          <w:p>
            <w:pPr>
              <w:spacing w:after="0"/>
              <w:rPr>
                <w:sz w:val="20"/>
                <w:szCs w:val="20"/>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Consolidated</w:t>
            </w:r>
          </w:p>
        </w:tc>
      </w:tr>
      <w:tr>
        <w:trPr>
          <w:trHeight w:val="27"/>
        </w:trPr>
        <w:tc>
          <w:tcPr>
            <w:tcW w:w="40" w:type="dxa"/>
            <w:vAlign w:val="bottom"/>
            <w:tcBorders>
              <w:bottom w:val="single" w:sz="8" w:color="EAF9E8"/>
            </w:tcBorders>
          </w:tcPr>
          <w:p>
            <w:pPr>
              <w:spacing w:after="0"/>
              <w:rPr>
                <w:sz w:val="2"/>
                <w:szCs w:val="2"/>
                <w:color w:val="auto"/>
              </w:rPr>
            </w:pPr>
          </w:p>
        </w:tc>
        <w:tc>
          <w:tcPr>
            <w:tcW w:w="2660" w:type="dxa"/>
            <w:vAlign w:val="bottom"/>
            <w:tcBorders>
              <w:bottom w:val="single" w:sz="8" w:color="EAF9E8"/>
            </w:tcBorders>
          </w:tcPr>
          <w:p>
            <w:pPr>
              <w:spacing w:after="0"/>
              <w:rPr>
                <w:sz w:val="2"/>
                <w:szCs w:val="2"/>
                <w:color w:val="auto"/>
              </w:rPr>
            </w:pPr>
          </w:p>
        </w:tc>
        <w:tc>
          <w:tcPr>
            <w:tcW w:w="84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EAF9E8"/>
            </w:tcBorders>
            <w:gridSpan w:val="3"/>
            <w:shd w:val="clear" w:color="auto" w:fill="EAF9E8"/>
          </w:tcPr>
          <w:p>
            <w:pPr>
              <w:ind w:left="40"/>
              <w:spacing w:after="0"/>
              <w:rPr>
                <w:sz w:val="20"/>
                <w:szCs w:val="20"/>
                <w:color w:val="auto"/>
              </w:rPr>
            </w:pPr>
            <w:r>
              <w:rPr>
                <w:rFonts w:ascii="Arial" w:cs="Arial" w:eastAsia="Arial" w:hAnsi="Arial"/>
                <w:sz w:val="18"/>
                <w:szCs w:val="18"/>
                <w:b w:val="1"/>
                <w:bCs w:val="1"/>
                <w:color w:val="auto"/>
              </w:rPr>
              <w:t>Results of Operations</w:t>
            </w:r>
          </w:p>
        </w:tc>
        <w:tc>
          <w:tcPr>
            <w:tcW w:w="2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r>
      <w:tr>
        <w:trPr>
          <w:trHeight w:val="203"/>
        </w:trPr>
        <w:tc>
          <w:tcPr>
            <w:tcW w:w="3540" w:type="dxa"/>
            <w:vAlign w:val="bottom"/>
            <w:gridSpan w:val="3"/>
          </w:tcPr>
          <w:p>
            <w:pPr>
              <w:ind w:left="40"/>
              <w:spacing w:after="0" w:line="202" w:lineRule="exact"/>
              <w:rPr>
                <w:sz w:val="20"/>
                <w:szCs w:val="20"/>
                <w:color w:val="auto"/>
              </w:rPr>
            </w:pPr>
            <w:r>
              <w:rPr>
                <w:rFonts w:ascii="Arial" w:cs="Arial" w:eastAsia="Arial" w:hAnsi="Arial"/>
                <w:sz w:val="18"/>
                <w:szCs w:val="18"/>
                <w:b w:val="1"/>
                <w:bCs w:val="1"/>
                <w:color w:val="auto"/>
              </w:rPr>
              <w:t>Three months ended June 30, 2016</w:t>
            </w: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2660" w:type="dxa"/>
            <w:vAlign w:val="bottom"/>
            <w:tcBorders>
              <w:top w:val="single" w:sz="8" w:color="auto"/>
            </w:tcBorders>
          </w:tcPr>
          <w:p>
            <w:pPr>
              <w:spacing w:after="0"/>
              <w:rPr>
                <w:sz w:val="4"/>
                <w:szCs w:val="4"/>
                <w:color w:val="auto"/>
              </w:rPr>
            </w:pPr>
          </w:p>
        </w:tc>
        <w:tc>
          <w:tcPr>
            <w:tcW w:w="8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70"/>
        </w:trPr>
        <w:tc>
          <w:tcPr>
            <w:tcW w:w="40" w:type="dxa"/>
            <w:vAlign w:val="bottom"/>
            <w:tcBorders>
              <w:bottom w:val="single" w:sz="8" w:color="EAF9E8"/>
            </w:tcBorders>
            <w:shd w:val="clear" w:color="auto" w:fill="EAF9E8"/>
          </w:tcPr>
          <w:p>
            <w:pPr>
              <w:spacing w:after="0"/>
              <w:rPr>
                <w:sz w:val="23"/>
                <w:szCs w:val="23"/>
                <w:color w:val="auto"/>
              </w:rPr>
            </w:pPr>
          </w:p>
        </w:tc>
        <w:tc>
          <w:tcPr>
            <w:tcW w:w="3500" w:type="dxa"/>
            <w:vAlign w:val="bottom"/>
            <w:tcBorders>
              <w:bottom w:val="single" w:sz="8" w:color="EAF9E8"/>
            </w:tcBorders>
            <w:gridSpan w:val="2"/>
            <w:shd w:val="clear" w:color="auto" w:fill="EAF9E8"/>
          </w:tcPr>
          <w:p>
            <w:pPr>
              <w:ind w:left="140"/>
              <w:spacing w:after="0"/>
              <w:rPr>
                <w:sz w:val="20"/>
                <w:szCs w:val="20"/>
                <w:color w:val="auto"/>
              </w:rPr>
            </w:pPr>
            <w:r>
              <w:rPr>
                <w:rFonts w:ascii="Arial" w:cs="Arial" w:eastAsia="Arial" w:hAnsi="Arial"/>
                <w:sz w:val="18"/>
                <w:szCs w:val="18"/>
                <w:color w:val="auto"/>
              </w:rPr>
              <w:t>Revenue (1)</w:t>
            </w:r>
          </w:p>
        </w:tc>
        <w:tc>
          <w:tcPr>
            <w:tcW w:w="26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325,120</w:t>
            </w:r>
          </w:p>
        </w:tc>
        <w:tc>
          <w:tcPr>
            <w:tcW w:w="12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35,376</w:t>
            </w:r>
          </w:p>
        </w:tc>
        <w:tc>
          <w:tcPr>
            <w:tcW w:w="100" w:type="dxa"/>
            <w:vAlign w:val="bottom"/>
            <w:tcBorders>
              <w:bottom w:val="single" w:sz="8" w:color="EAF9E8"/>
            </w:tcBorders>
            <w:shd w:val="clear" w:color="auto" w:fill="EAF9E8"/>
          </w:tcPr>
          <w:p>
            <w:pPr>
              <w:spacing w:after="0"/>
              <w:rPr>
                <w:sz w:val="23"/>
                <w:szCs w:val="23"/>
                <w:color w:val="auto"/>
              </w:rPr>
            </w:pPr>
          </w:p>
        </w:tc>
        <w:tc>
          <w:tcPr>
            <w:tcW w:w="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12,558</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373,054</w:t>
            </w:r>
          </w:p>
        </w:tc>
      </w:tr>
      <w:tr>
        <w:trPr>
          <w:trHeight w:val="291"/>
        </w:trPr>
        <w:tc>
          <w:tcPr>
            <w:tcW w:w="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r>
      <w:tr>
        <w:trPr>
          <w:trHeight w:val="270"/>
        </w:trPr>
        <w:tc>
          <w:tcPr>
            <w:tcW w:w="40" w:type="dxa"/>
            <w:vAlign w:val="bottom"/>
            <w:tcBorders>
              <w:bottom w:val="single" w:sz="8" w:color="EAF9E8"/>
            </w:tcBorders>
            <w:shd w:val="clear" w:color="auto" w:fill="EAF9E8"/>
          </w:tcPr>
          <w:p>
            <w:pPr>
              <w:spacing w:after="0"/>
              <w:rPr>
                <w:sz w:val="23"/>
                <w:szCs w:val="23"/>
                <w:color w:val="auto"/>
              </w:rPr>
            </w:pPr>
          </w:p>
        </w:tc>
        <w:tc>
          <w:tcPr>
            <w:tcW w:w="3500" w:type="dxa"/>
            <w:vAlign w:val="bottom"/>
            <w:tcBorders>
              <w:bottom w:val="single" w:sz="8" w:color="EAF9E8"/>
            </w:tcBorders>
            <w:gridSpan w:val="2"/>
            <w:shd w:val="clear" w:color="auto" w:fill="EAF9E8"/>
          </w:tcPr>
          <w:p>
            <w:pPr>
              <w:ind w:left="140"/>
              <w:spacing w:after="0"/>
              <w:rPr>
                <w:sz w:val="20"/>
                <w:szCs w:val="20"/>
                <w:color w:val="auto"/>
              </w:rPr>
            </w:pPr>
            <w:r>
              <w:rPr>
                <w:rFonts w:ascii="Arial" w:cs="Arial" w:eastAsia="Arial" w:hAnsi="Arial"/>
                <w:sz w:val="18"/>
                <w:szCs w:val="18"/>
                <w:color w:val="auto"/>
              </w:rPr>
              <w:t>Expenses (1) (2)</w:t>
            </w:r>
          </w:p>
        </w:tc>
        <w:tc>
          <w:tcPr>
            <w:tcW w:w="26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260,275</w:t>
            </w:r>
          </w:p>
        </w:tc>
        <w:tc>
          <w:tcPr>
            <w:tcW w:w="12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28,657</w:t>
            </w:r>
          </w:p>
        </w:tc>
        <w:tc>
          <w:tcPr>
            <w:tcW w:w="100" w:type="dxa"/>
            <w:vAlign w:val="bottom"/>
            <w:tcBorders>
              <w:bottom w:val="single" w:sz="8" w:color="EAF9E8"/>
            </w:tcBorders>
            <w:shd w:val="clear" w:color="auto" w:fill="EAF9E8"/>
          </w:tcPr>
          <w:p>
            <w:pPr>
              <w:spacing w:after="0"/>
              <w:rPr>
                <w:sz w:val="23"/>
                <w:szCs w:val="23"/>
                <w:color w:val="auto"/>
              </w:rPr>
            </w:pPr>
          </w:p>
        </w:tc>
        <w:tc>
          <w:tcPr>
            <w:tcW w:w="24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96,086</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4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385,018</w:t>
            </w:r>
          </w:p>
        </w:tc>
      </w:tr>
      <w:tr>
        <w:trPr>
          <w:trHeight w:val="291"/>
        </w:trPr>
        <w:tc>
          <w:tcPr>
            <w:tcW w:w="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3500" w:type="dxa"/>
            <w:vAlign w:val="bottom"/>
            <w:tcBorders>
              <w:bottom w:val="single" w:sz="8" w:color="EAF9E8"/>
            </w:tcBorders>
            <w:gridSpan w:val="2"/>
            <w:shd w:val="clear" w:color="auto" w:fill="EAF9E8"/>
          </w:tcPr>
          <w:p>
            <w:pPr>
              <w:ind w:left="140"/>
              <w:spacing w:after="0"/>
              <w:rPr>
                <w:sz w:val="20"/>
                <w:szCs w:val="20"/>
                <w:color w:val="auto"/>
              </w:rPr>
            </w:pPr>
            <w:r>
              <w:rPr>
                <w:rFonts w:ascii="Arial" w:cs="Arial" w:eastAsia="Arial" w:hAnsi="Arial"/>
                <w:sz w:val="18"/>
                <w:szCs w:val="18"/>
                <w:color w:val="auto"/>
              </w:rPr>
              <w:t>Other income (expense):</w:t>
            </w:r>
          </w:p>
        </w:tc>
        <w:tc>
          <w:tcPr>
            <w:tcW w:w="2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3500" w:type="dxa"/>
            <w:vAlign w:val="bottom"/>
            <w:gridSpan w:val="2"/>
          </w:tcPr>
          <w:p>
            <w:pPr>
              <w:ind w:left="240"/>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4,204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5,140</w:t>
            </w:r>
          </w:p>
        </w:tc>
      </w:tr>
      <w:tr>
        <w:trPr>
          <w:trHeight w:val="27"/>
        </w:trPr>
        <w:tc>
          <w:tcPr>
            <w:tcW w:w="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3500" w:type="dxa"/>
            <w:vAlign w:val="bottom"/>
            <w:tcBorders>
              <w:bottom w:val="single" w:sz="8" w:color="EAF9E8"/>
            </w:tcBorders>
            <w:gridSpan w:val="2"/>
            <w:shd w:val="clear" w:color="auto" w:fill="EAF9E8"/>
          </w:tcPr>
          <w:p>
            <w:pPr>
              <w:ind w:left="24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(81,197)</w:t>
            </w: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(3,697)</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(6,139)</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(91,033)</w:t>
            </w:r>
          </w:p>
        </w:tc>
      </w:tr>
      <w:tr>
        <w:trPr>
          <w:trHeight w:val="229"/>
        </w:trPr>
        <w:tc>
          <w:tcPr>
            <w:tcW w:w="40" w:type="dxa"/>
            <w:vAlign w:val="bottom"/>
          </w:tcPr>
          <w:p>
            <w:pPr>
              <w:spacing w:after="0"/>
              <w:rPr>
                <w:sz w:val="19"/>
                <w:szCs w:val="19"/>
                <w:color w:val="auto"/>
              </w:rPr>
            </w:pPr>
          </w:p>
        </w:tc>
        <w:tc>
          <w:tcPr>
            <w:tcW w:w="3500" w:type="dxa"/>
            <w:vAlign w:val="bottom"/>
            <w:gridSpan w:val="2"/>
          </w:tcPr>
          <w:p>
            <w:pPr>
              <w:ind w:left="240"/>
              <w:spacing w:after="0"/>
              <w:rPr>
                <w:sz w:val="20"/>
                <w:szCs w:val="20"/>
                <w:color w:val="auto"/>
              </w:rPr>
            </w:pPr>
            <w:r>
              <w:rPr>
                <w:rFonts w:ascii="Arial" w:cs="Arial" w:eastAsia="Arial" w:hAnsi="Arial"/>
                <w:sz w:val="18"/>
                <w:szCs w:val="18"/>
                <w:color w:val="auto"/>
                <w:w w:val="97"/>
              </w:rPr>
              <w:t>Gain on sale of mortgage servicing rights,</w:t>
            </w: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3500" w:type="dxa"/>
            <w:vAlign w:val="bottom"/>
            <w:gridSpan w:val="2"/>
          </w:tcPr>
          <w:p>
            <w:pPr>
              <w:ind w:left="400"/>
              <w:spacing w:after="0"/>
              <w:rPr>
                <w:sz w:val="20"/>
                <w:szCs w:val="20"/>
                <w:color w:val="auto"/>
              </w:rPr>
            </w:pPr>
            <w:r>
              <w:rPr>
                <w:rFonts w:ascii="Arial" w:cs="Arial" w:eastAsia="Arial" w:hAnsi="Arial"/>
                <w:sz w:val="18"/>
                <w:szCs w:val="18"/>
                <w:color w:val="auto"/>
              </w:rPr>
              <w:t>net</w:t>
            </w:r>
          </w:p>
        </w:tc>
        <w:tc>
          <w:tcPr>
            <w:tcW w:w="260" w:type="dxa"/>
            <w:vAlign w:val="bottom"/>
          </w:tcPr>
          <w:p>
            <w:pPr>
              <w:spacing w:after="0"/>
              <w:rPr>
                <w:sz w:val="20"/>
                <w:szCs w:val="20"/>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853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853</w:t>
            </w:r>
          </w:p>
        </w:tc>
      </w:tr>
      <w:tr>
        <w:trPr>
          <w:trHeight w:val="27"/>
        </w:trPr>
        <w:tc>
          <w:tcPr>
            <w:tcW w:w="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0" w:type="dxa"/>
            <w:vAlign w:val="bottom"/>
            <w:tcBorders>
              <w:bottom w:val="single" w:sz="8" w:color="EAF9E8"/>
            </w:tcBorders>
            <w:shd w:val="clear" w:color="auto" w:fill="EAF9E8"/>
          </w:tcPr>
          <w:p>
            <w:pPr>
              <w:spacing w:after="0"/>
              <w:rPr>
                <w:sz w:val="23"/>
                <w:szCs w:val="23"/>
                <w:color w:val="auto"/>
              </w:rPr>
            </w:pPr>
          </w:p>
        </w:tc>
        <w:tc>
          <w:tcPr>
            <w:tcW w:w="3500" w:type="dxa"/>
            <w:vAlign w:val="bottom"/>
            <w:tcBorders>
              <w:bottom w:val="single" w:sz="8" w:color="EAF9E8"/>
            </w:tcBorders>
            <w:gridSpan w:val="2"/>
            <w:shd w:val="clear" w:color="auto" w:fill="EAF9E8"/>
          </w:tcPr>
          <w:p>
            <w:pPr>
              <w:ind w:left="240"/>
              <w:spacing w:after="0"/>
              <w:rPr>
                <w:sz w:val="20"/>
                <w:szCs w:val="20"/>
                <w:color w:val="auto"/>
              </w:rPr>
            </w:pPr>
            <w:r>
              <w:rPr>
                <w:rFonts w:ascii="Arial" w:cs="Arial" w:eastAsia="Arial" w:hAnsi="Arial"/>
                <w:sz w:val="18"/>
                <w:szCs w:val="18"/>
                <w:color w:val="auto"/>
              </w:rPr>
              <w:t>Other (1)</w:t>
            </w:r>
          </w:p>
        </w:tc>
        <w:tc>
          <w:tcPr>
            <w:tcW w:w="26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806</w:t>
            </w:r>
          </w:p>
        </w:tc>
        <w:tc>
          <w:tcPr>
            <w:tcW w:w="12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308</w:t>
            </w:r>
          </w:p>
        </w:tc>
        <w:tc>
          <w:tcPr>
            <w:tcW w:w="100" w:type="dxa"/>
            <w:vAlign w:val="bottom"/>
            <w:tcBorders>
              <w:bottom w:val="single" w:sz="8" w:color="EAF9E8"/>
            </w:tcBorders>
            <w:shd w:val="clear" w:color="auto" w:fill="EAF9E8"/>
          </w:tcPr>
          <w:p>
            <w:pPr>
              <w:spacing w:after="0"/>
              <w:rPr>
                <w:sz w:val="23"/>
                <w:szCs w:val="23"/>
                <w:color w:val="auto"/>
              </w:rPr>
            </w:pPr>
          </w:p>
        </w:tc>
        <w:tc>
          <w:tcPr>
            <w:tcW w:w="24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(508)</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4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606</w:t>
            </w:r>
          </w:p>
        </w:tc>
      </w:tr>
      <w:tr>
        <w:trPr>
          <w:trHeight w:val="237"/>
        </w:trPr>
        <w:tc>
          <w:tcPr>
            <w:tcW w:w="40" w:type="dxa"/>
            <w:vAlign w:val="bottom"/>
          </w:tcPr>
          <w:p>
            <w:pPr>
              <w:spacing w:after="0"/>
              <w:rPr>
                <w:sz w:val="20"/>
                <w:szCs w:val="20"/>
                <w:color w:val="auto"/>
              </w:rPr>
            </w:pPr>
          </w:p>
        </w:tc>
        <w:tc>
          <w:tcPr>
            <w:tcW w:w="3500" w:type="dxa"/>
            <w:vAlign w:val="bottom"/>
            <w:gridSpan w:val="2"/>
          </w:tcPr>
          <w:p>
            <w:pPr>
              <w:ind w:left="340"/>
              <w:spacing w:after="0"/>
              <w:rPr>
                <w:sz w:val="20"/>
                <w:szCs w:val="20"/>
                <w:color w:val="auto"/>
              </w:rPr>
            </w:pPr>
            <w:r>
              <w:rPr>
                <w:rFonts w:ascii="Arial" w:cs="Arial" w:eastAsia="Arial" w:hAnsi="Arial"/>
                <w:sz w:val="18"/>
                <w:szCs w:val="18"/>
                <w:color w:val="auto"/>
              </w:rPr>
              <w:t>Other income (expense), net</w:t>
            </w:r>
          </w:p>
        </w:tc>
        <w:tc>
          <w:tcPr>
            <w:tcW w:w="2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(79,553)</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815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(5,696)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(84,434)</w:t>
            </w:r>
          </w:p>
        </w:tc>
      </w:tr>
      <w:tr>
        <w:trPr>
          <w:trHeight w:val="27"/>
        </w:trPr>
        <w:tc>
          <w:tcPr>
            <w:tcW w:w="40" w:type="dxa"/>
            <w:vAlign w:val="bottom"/>
            <w:tcBorders>
              <w:bottom w:val="single" w:sz="8" w:color="EAF9E8"/>
            </w:tcBorders>
          </w:tcPr>
          <w:p>
            <w:pPr>
              <w:spacing w:after="0"/>
              <w:rPr>
                <w:sz w:val="2"/>
                <w:szCs w:val="2"/>
                <w:color w:val="auto"/>
              </w:rPr>
            </w:pPr>
          </w:p>
        </w:tc>
        <w:tc>
          <w:tcPr>
            <w:tcW w:w="2660" w:type="dxa"/>
            <w:vAlign w:val="bottom"/>
            <w:tcBorders>
              <w:bottom w:val="single" w:sz="8" w:color="EAF9E8"/>
            </w:tcBorders>
          </w:tcPr>
          <w:p>
            <w:pPr>
              <w:spacing w:after="0"/>
              <w:rPr>
                <w:sz w:val="2"/>
                <w:szCs w:val="2"/>
                <w:color w:val="auto"/>
              </w:rPr>
            </w:pPr>
          </w:p>
        </w:tc>
        <w:tc>
          <w:tcPr>
            <w:tcW w:w="84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83"/>
        </w:trPr>
        <w:tc>
          <w:tcPr>
            <w:tcW w:w="40" w:type="dxa"/>
            <w:vAlign w:val="bottom"/>
            <w:shd w:val="clear" w:color="auto" w:fill="EAF9E8"/>
          </w:tcPr>
          <w:p>
            <w:pPr>
              <w:spacing w:after="0"/>
              <w:rPr>
                <w:sz w:val="15"/>
                <w:szCs w:val="15"/>
                <w:color w:val="auto"/>
              </w:rPr>
            </w:pPr>
          </w:p>
        </w:tc>
        <w:tc>
          <w:tcPr>
            <w:tcW w:w="2660" w:type="dxa"/>
            <w:vAlign w:val="bottom"/>
            <w:shd w:val="clear" w:color="auto" w:fill="EAF9E8"/>
          </w:tcPr>
          <w:p>
            <w:pPr>
              <w:spacing w:after="0"/>
              <w:rPr>
                <w:sz w:val="15"/>
                <w:szCs w:val="15"/>
                <w:color w:val="auto"/>
              </w:rPr>
            </w:pPr>
          </w:p>
        </w:tc>
        <w:tc>
          <w:tcPr>
            <w:tcW w:w="840" w:type="dxa"/>
            <w:vAlign w:val="bottom"/>
            <w:shd w:val="clear" w:color="auto" w:fill="EAF9E8"/>
          </w:tcPr>
          <w:p>
            <w:pPr>
              <w:spacing w:after="0"/>
              <w:rPr>
                <w:sz w:val="15"/>
                <w:szCs w:val="15"/>
                <w:color w:val="auto"/>
              </w:rPr>
            </w:pPr>
          </w:p>
        </w:tc>
        <w:tc>
          <w:tcPr>
            <w:tcW w:w="260" w:type="dxa"/>
            <w:vAlign w:val="bottom"/>
            <w:shd w:val="clear" w:color="auto" w:fill="EAF9E8"/>
          </w:tcPr>
          <w:p>
            <w:pPr>
              <w:spacing w:after="0"/>
              <w:rPr>
                <w:sz w:val="15"/>
                <w:szCs w:val="15"/>
                <w:color w:val="auto"/>
              </w:rPr>
            </w:pPr>
          </w:p>
        </w:tc>
        <w:tc>
          <w:tcPr>
            <w:tcW w:w="1260" w:type="dxa"/>
            <w:vAlign w:val="bottom"/>
            <w:shd w:val="clear" w:color="auto" w:fill="EAF9E8"/>
          </w:tcPr>
          <w:p>
            <w:pPr>
              <w:spacing w:after="0"/>
              <w:rPr>
                <w:sz w:val="15"/>
                <w:szCs w:val="15"/>
                <w:color w:val="auto"/>
              </w:rPr>
            </w:pPr>
          </w:p>
        </w:tc>
        <w:tc>
          <w:tcPr>
            <w:tcW w:w="120" w:type="dxa"/>
            <w:vAlign w:val="bottom"/>
            <w:shd w:val="clear" w:color="auto" w:fill="EAF9E8"/>
          </w:tcPr>
          <w:p>
            <w:pPr>
              <w:spacing w:after="0"/>
              <w:rPr>
                <w:sz w:val="15"/>
                <w:szCs w:val="15"/>
                <w:color w:val="auto"/>
              </w:rPr>
            </w:pPr>
          </w:p>
        </w:tc>
        <w:tc>
          <w:tcPr>
            <w:tcW w:w="280" w:type="dxa"/>
            <w:vAlign w:val="bottom"/>
            <w:shd w:val="clear" w:color="auto" w:fill="EAF9E8"/>
          </w:tcPr>
          <w:p>
            <w:pPr>
              <w:spacing w:after="0"/>
              <w:rPr>
                <w:sz w:val="15"/>
                <w:szCs w:val="15"/>
                <w:color w:val="auto"/>
              </w:rPr>
            </w:pPr>
          </w:p>
        </w:tc>
        <w:tc>
          <w:tcPr>
            <w:tcW w:w="122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240" w:type="dxa"/>
            <w:vAlign w:val="bottom"/>
            <w:shd w:val="clear" w:color="auto" w:fill="EAF9E8"/>
          </w:tcPr>
          <w:p>
            <w:pPr>
              <w:spacing w:after="0"/>
              <w:rPr>
                <w:sz w:val="15"/>
                <w:szCs w:val="15"/>
                <w:color w:val="auto"/>
              </w:rPr>
            </w:pPr>
          </w:p>
        </w:tc>
        <w:tc>
          <w:tcPr>
            <w:tcW w:w="124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180" w:type="dxa"/>
            <w:vAlign w:val="bottom"/>
            <w:shd w:val="clear" w:color="auto" w:fill="EAF9E8"/>
          </w:tcPr>
          <w:p>
            <w:pPr>
              <w:spacing w:after="0"/>
              <w:rPr>
                <w:sz w:val="15"/>
                <w:szCs w:val="15"/>
                <w:color w:val="auto"/>
              </w:rPr>
            </w:pPr>
          </w:p>
        </w:tc>
        <w:tc>
          <w:tcPr>
            <w:tcW w:w="130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180" w:type="dxa"/>
            <w:vAlign w:val="bottom"/>
            <w:shd w:val="clear" w:color="auto" w:fill="EAF9E8"/>
          </w:tcPr>
          <w:p>
            <w:pPr>
              <w:spacing w:after="0"/>
              <w:rPr>
                <w:sz w:val="15"/>
                <w:szCs w:val="15"/>
                <w:color w:val="auto"/>
              </w:rPr>
            </w:pPr>
          </w:p>
        </w:tc>
        <w:tc>
          <w:tcPr>
            <w:tcW w:w="1300" w:type="dxa"/>
            <w:vAlign w:val="bottom"/>
            <w:shd w:val="clear" w:color="auto" w:fill="EAF9E8"/>
          </w:tcPr>
          <w:p>
            <w:pPr>
              <w:spacing w:after="0"/>
              <w:rPr>
                <w:sz w:val="15"/>
                <w:szCs w:val="15"/>
                <w:color w:val="auto"/>
              </w:rPr>
            </w:pPr>
          </w:p>
        </w:tc>
      </w:tr>
      <w:tr>
        <w:trPr>
          <w:trHeight w:val="304"/>
        </w:trPr>
        <w:tc>
          <w:tcPr>
            <w:tcW w:w="40" w:type="dxa"/>
            <w:vAlign w:val="bottom"/>
          </w:tcPr>
          <w:p>
            <w:pPr>
              <w:spacing w:after="0"/>
              <w:rPr>
                <w:sz w:val="24"/>
                <w:szCs w:val="24"/>
                <w:color w:val="auto"/>
              </w:rPr>
            </w:pPr>
          </w:p>
        </w:tc>
        <w:tc>
          <w:tcPr>
            <w:tcW w:w="3500" w:type="dxa"/>
            <w:vAlign w:val="bottom"/>
            <w:gridSpan w:val="2"/>
          </w:tcPr>
          <w:p>
            <w:pPr>
              <w:ind w:left="140"/>
              <w:spacing w:after="0"/>
              <w:rPr>
                <w:sz w:val="20"/>
                <w:szCs w:val="20"/>
                <w:color w:val="auto"/>
              </w:rPr>
            </w:pPr>
            <w:r>
              <w:rPr>
                <w:rFonts w:ascii="Arial" w:cs="Arial" w:eastAsia="Arial" w:hAnsi="Arial"/>
                <w:sz w:val="18"/>
                <w:szCs w:val="18"/>
                <w:color w:val="auto"/>
              </w:rPr>
              <w:t>Income (loss) before income taxes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(14,708)</w:t>
            </w:r>
          </w:p>
        </w:tc>
        <w:tc>
          <w:tcPr>
            <w:tcW w:w="12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7,534</w:t>
            </w:r>
          </w:p>
        </w:tc>
        <w:tc>
          <w:tcPr>
            <w:tcW w:w="1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(89,224)</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(96,398)</w:t>
            </w:r>
          </w:p>
        </w:tc>
      </w:tr>
      <w:tr>
        <w:trPr>
          <w:trHeight w:val="163"/>
        </w:trPr>
        <w:tc>
          <w:tcPr>
            <w:tcW w:w="40" w:type="dxa"/>
            <w:vAlign w:val="bottom"/>
            <w:tcBorders>
              <w:top w:val="single" w:sz="8" w:color="EAF9E8"/>
            </w:tcBorders>
            <w:shd w:val="clear" w:color="auto" w:fill="EAF9E8"/>
          </w:tcPr>
          <w:p>
            <w:pPr>
              <w:spacing w:after="0"/>
              <w:rPr>
                <w:sz w:val="14"/>
                <w:szCs w:val="14"/>
                <w:color w:val="auto"/>
              </w:rPr>
            </w:pPr>
          </w:p>
        </w:tc>
        <w:tc>
          <w:tcPr>
            <w:tcW w:w="2660" w:type="dxa"/>
            <w:vAlign w:val="bottom"/>
            <w:tcBorders>
              <w:top w:val="single" w:sz="8" w:color="EAF9E8"/>
            </w:tcBorders>
            <w:shd w:val="clear" w:color="auto" w:fill="EAF9E8"/>
          </w:tcPr>
          <w:p>
            <w:pPr>
              <w:spacing w:after="0"/>
              <w:rPr>
                <w:sz w:val="14"/>
                <w:szCs w:val="14"/>
                <w:color w:val="auto"/>
              </w:rPr>
            </w:pPr>
          </w:p>
        </w:tc>
        <w:tc>
          <w:tcPr>
            <w:tcW w:w="840" w:type="dxa"/>
            <w:vAlign w:val="bottom"/>
            <w:tcBorders>
              <w:top w:val="single" w:sz="8" w:color="EAF9E8"/>
            </w:tcBorders>
            <w:shd w:val="clear" w:color="auto" w:fill="EAF9E8"/>
          </w:tcPr>
          <w:p>
            <w:pPr>
              <w:spacing w:after="0"/>
              <w:rPr>
                <w:sz w:val="14"/>
                <w:szCs w:val="14"/>
                <w:color w:val="auto"/>
              </w:rPr>
            </w:pPr>
          </w:p>
        </w:tc>
        <w:tc>
          <w:tcPr>
            <w:tcW w:w="260" w:type="dxa"/>
            <w:vAlign w:val="bottom"/>
            <w:tcBorders>
              <w:top w:val="single" w:sz="8" w:color="auto"/>
            </w:tcBorders>
            <w:shd w:val="clear" w:color="auto" w:fill="EAF9E8"/>
          </w:tcPr>
          <w:p>
            <w:pPr>
              <w:spacing w:after="0"/>
              <w:rPr>
                <w:sz w:val="14"/>
                <w:szCs w:val="14"/>
                <w:color w:val="auto"/>
              </w:rPr>
            </w:pPr>
          </w:p>
        </w:tc>
        <w:tc>
          <w:tcPr>
            <w:tcW w:w="1260" w:type="dxa"/>
            <w:vAlign w:val="bottom"/>
            <w:tcBorders>
              <w:top w:val="single" w:sz="8" w:color="auto"/>
            </w:tcBorders>
            <w:shd w:val="clear" w:color="auto" w:fill="EAF9E8"/>
          </w:tcPr>
          <w:p>
            <w:pPr>
              <w:spacing w:after="0"/>
              <w:rPr>
                <w:sz w:val="14"/>
                <w:szCs w:val="14"/>
                <w:color w:val="auto"/>
              </w:rPr>
            </w:pPr>
          </w:p>
        </w:tc>
        <w:tc>
          <w:tcPr>
            <w:tcW w:w="120" w:type="dxa"/>
            <w:vAlign w:val="bottom"/>
            <w:tcBorders>
              <w:top w:val="single" w:sz="8" w:color="EAF9E8"/>
            </w:tcBorders>
            <w:shd w:val="clear" w:color="auto" w:fill="EAF9E8"/>
          </w:tcPr>
          <w:p>
            <w:pPr>
              <w:spacing w:after="0"/>
              <w:rPr>
                <w:sz w:val="14"/>
                <w:szCs w:val="14"/>
                <w:color w:val="auto"/>
              </w:rPr>
            </w:pPr>
          </w:p>
        </w:tc>
        <w:tc>
          <w:tcPr>
            <w:tcW w:w="280" w:type="dxa"/>
            <w:vAlign w:val="bottom"/>
            <w:tcBorders>
              <w:top w:val="single" w:sz="8" w:color="auto"/>
            </w:tcBorders>
            <w:shd w:val="clear" w:color="auto" w:fill="EAF9E8"/>
          </w:tcPr>
          <w:p>
            <w:pPr>
              <w:spacing w:after="0"/>
              <w:rPr>
                <w:sz w:val="14"/>
                <w:szCs w:val="14"/>
                <w:color w:val="auto"/>
              </w:rPr>
            </w:pPr>
          </w:p>
        </w:tc>
        <w:tc>
          <w:tcPr>
            <w:tcW w:w="1220" w:type="dxa"/>
            <w:vAlign w:val="bottom"/>
            <w:tcBorders>
              <w:top w:val="single" w:sz="8" w:color="auto"/>
            </w:tcBorders>
            <w:shd w:val="clear" w:color="auto" w:fill="EAF9E8"/>
          </w:tcPr>
          <w:p>
            <w:pPr>
              <w:spacing w:after="0"/>
              <w:rPr>
                <w:sz w:val="14"/>
                <w:szCs w:val="14"/>
                <w:color w:val="auto"/>
              </w:rPr>
            </w:pPr>
          </w:p>
        </w:tc>
        <w:tc>
          <w:tcPr>
            <w:tcW w:w="100" w:type="dxa"/>
            <w:vAlign w:val="bottom"/>
            <w:tcBorders>
              <w:top w:val="single" w:sz="8" w:color="EAF9E8"/>
            </w:tcBorders>
            <w:shd w:val="clear" w:color="auto" w:fill="EAF9E8"/>
          </w:tcPr>
          <w:p>
            <w:pPr>
              <w:spacing w:after="0"/>
              <w:rPr>
                <w:sz w:val="14"/>
                <w:szCs w:val="14"/>
                <w:color w:val="auto"/>
              </w:rPr>
            </w:pPr>
          </w:p>
        </w:tc>
        <w:tc>
          <w:tcPr>
            <w:tcW w:w="240" w:type="dxa"/>
            <w:vAlign w:val="bottom"/>
            <w:tcBorders>
              <w:top w:val="single" w:sz="8" w:color="auto"/>
            </w:tcBorders>
            <w:shd w:val="clear" w:color="auto" w:fill="EAF9E8"/>
          </w:tcPr>
          <w:p>
            <w:pPr>
              <w:spacing w:after="0"/>
              <w:rPr>
                <w:sz w:val="14"/>
                <w:szCs w:val="14"/>
                <w:color w:val="auto"/>
              </w:rPr>
            </w:pPr>
          </w:p>
        </w:tc>
        <w:tc>
          <w:tcPr>
            <w:tcW w:w="1240" w:type="dxa"/>
            <w:vAlign w:val="bottom"/>
            <w:tcBorders>
              <w:top w:val="single" w:sz="8" w:color="auto"/>
            </w:tcBorders>
            <w:shd w:val="clear" w:color="auto" w:fill="EAF9E8"/>
          </w:tcPr>
          <w:p>
            <w:pPr>
              <w:spacing w:after="0"/>
              <w:rPr>
                <w:sz w:val="14"/>
                <w:szCs w:val="14"/>
                <w:color w:val="auto"/>
              </w:rPr>
            </w:pPr>
          </w:p>
        </w:tc>
        <w:tc>
          <w:tcPr>
            <w:tcW w:w="100" w:type="dxa"/>
            <w:vAlign w:val="bottom"/>
            <w:tcBorders>
              <w:top w:val="single" w:sz="8" w:color="EAF9E8"/>
            </w:tcBorders>
            <w:shd w:val="clear" w:color="auto" w:fill="EAF9E8"/>
          </w:tcPr>
          <w:p>
            <w:pPr>
              <w:spacing w:after="0"/>
              <w:rPr>
                <w:sz w:val="14"/>
                <w:szCs w:val="14"/>
                <w:color w:val="auto"/>
              </w:rPr>
            </w:pPr>
          </w:p>
        </w:tc>
        <w:tc>
          <w:tcPr>
            <w:tcW w:w="180" w:type="dxa"/>
            <w:vAlign w:val="bottom"/>
            <w:tcBorders>
              <w:top w:val="single" w:sz="8" w:color="auto"/>
            </w:tcBorders>
            <w:shd w:val="clear" w:color="auto" w:fill="EAF9E8"/>
          </w:tcPr>
          <w:p>
            <w:pPr>
              <w:spacing w:after="0"/>
              <w:rPr>
                <w:sz w:val="14"/>
                <w:szCs w:val="14"/>
                <w:color w:val="auto"/>
              </w:rPr>
            </w:pPr>
          </w:p>
        </w:tc>
        <w:tc>
          <w:tcPr>
            <w:tcW w:w="1300" w:type="dxa"/>
            <w:vAlign w:val="bottom"/>
            <w:tcBorders>
              <w:top w:val="single" w:sz="8" w:color="auto"/>
            </w:tcBorders>
            <w:shd w:val="clear" w:color="auto" w:fill="EAF9E8"/>
          </w:tcPr>
          <w:p>
            <w:pPr>
              <w:spacing w:after="0"/>
              <w:rPr>
                <w:sz w:val="14"/>
                <w:szCs w:val="14"/>
                <w:color w:val="auto"/>
              </w:rPr>
            </w:pPr>
          </w:p>
        </w:tc>
        <w:tc>
          <w:tcPr>
            <w:tcW w:w="100" w:type="dxa"/>
            <w:vAlign w:val="bottom"/>
            <w:tcBorders>
              <w:top w:val="single" w:sz="8" w:color="EAF9E8"/>
            </w:tcBorders>
            <w:shd w:val="clear" w:color="auto" w:fill="EAF9E8"/>
          </w:tcPr>
          <w:p>
            <w:pPr>
              <w:spacing w:after="0"/>
              <w:rPr>
                <w:sz w:val="14"/>
                <w:szCs w:val="14"/>
                <w:color w:val="auto"/>
              </w:rPr>
            </w:pPr>
          </w:p>
        </w:tc>
        <w:tc>
          <w:tcPr>
            <w:tcW w:w="180" w:type="dxa"/>
            <w:vAlign w:val="bottom"/>
            <w:tcBorders>
              <w:top w:val="single" w:sz="8" w:color="auto"/>
            </w:tcBorders>
            <w:shd w:val="clear" w:color="auto" w:fill="EAF9E8"/>
          </w:tcPr>
          <w:p>
            <w:pPr>
              <w:spacing w:after="0"/>
              <w:rPr>
                <w:sz w:val="14"/>
                <w:szCs w:val="14"/>
                <w:color w:val="auto"/>
              </w:rPr>
            </w:pPr>
          </w:p>
        </w:tc>
        <w:tc>
          <w:tcPr>
            <w:tcW w:w="1300" w:type="dxa"/>
            <w:vAlign w:val="bottom"/>
            <w:tcBorders>
              <w:top w:val="single" w:sz="8" w:color="auto"/>
            </w:tcBorders>
            <w:shd w:val="clear" w:color="auto" w:fill="EAF9E8"/>
          </w:tcPr>
          <w:p>
            <w:pPr>
              <w:spacing w:after="0"/>
              <w:rPr>
                <w:sz w:val="14"/>
                <w:szCs w:val="14"/>
                <w:color w:val="auto"/>
              </w:rPr>
            </w:pPr>
          </w:p>
        </w:tc>
      </w:tr>
      <w:tr>
        <w:trPr>
          <w:trHeight w:val="203"/>
        </w:trPr>
        <w:tc>
          <w:tcPr>
            <w:tcW w:w="3540" w:type="dxa"/>
            <w:vAlign w:val="bottom"/>
            <w:gridSpan w:val="3"/>
          </w:tcPr>
          <w:p>
            <w:pPr>
              <w:ind w:left="40"/>
              <w:spacing w:after="0" w:line="202" w:lineRule="exact"/>
              <w:rPr>
                <w:sz w:val="20"/>
                <w:szCs w:val="20"/>
                <w:color w:val="auto"/>
              </w:rPr>
            </w:pPr>
            <w:r>
              <w:rPr>
                <w:rFonts w:ascii="Arial" w:cs="Arial" w:eastAsia="Arial" w:hAnsi="Arial"/>
                <w:sz w:val="18"/>
                <w:szCs w:val="18"/>
                <w:b w:val="1"/>
                <w:bCs w:val="1"/>
                <w:color w:val="auto"/>
              </w:rPr>
              <w:t>Three months ended June 30, 2015</w:t>
            </w: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2660" w:type="dxa"/>
            <w:vAlign w:val="bottom"/>
            <w:tcBorders>
              <w:top w:val="single" w:sz="8" w:color="auto"/>
            </w:tcBorders>
          </w:tcPr>
          <w:p>
            <w:pPr>
              <w:spacing w:after="0"/>
              <w:rPr>
                <w:sz w:val="4"/>
                <w:szCs w:val="4"/>
                <w:color w:val="auto"/>
              </w:rPr>
            </w:pPr>
          </w:p>
        </w:tc>
        <w:tc>
          <w:tcPr>
            <w:tcW w:w="8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70"/>
        </w:trPr>
        <w:tc>
          <w:tcPr>
            <w:tcW w:w="40" w:type="dxa"/>
            <w:vAlign w:val="bottom"/>
            <w:tcBorders>
              <w:bottom w:val="single" w:sz="8" w:color="EAF9E8"/>
            </w:tcBorders>
            <w:shd w:val="clear" w:color="auto" w:fill="EAF9E8"/>
          </w:tcPr>
          <w:p>
            <w:pPr>
              <w:spacing w:after="0"/>
              <w:rPr>
                <w:sz w:val="23"/>
                <w:szCs w:val="23"/>
                <w:color w:val="auto"/>
              </w:rPr>
            </w:pPr>
          </w:p>
        </w:tc>
        <w:tc>
          <w:tcPr>
            <w:tcW w:w="3500" w:type="dxa"/>
            <w:vAlign w:val="bottom"/>
            <w:tcBorders>
              <w:bottom w:val="single" w:sz="8" w:color="EAF9E8"/>
            </w:tcBorders>
            <w:gridSpan w:val="2"/>
            <w:shd w:val="clear" w:color="auto" w:fill="EAF9E8"/>
          </w:tcPr>
          <w:p>
            <w:pPr>
              <w:ind w:left="140"/>
              <w:spacing w:after="0"/>
              <w:rPr>
                <w:sz w:val="20"/>
                <w:szCs w:val="20"/>
                <w:color w:val="auto"/>
              </w:rPr>
            </w:pPr>
            <w:r>
              <w:rPr>
                <w:rFonts w:ascii="Arial" w:cs="Arial" w:eastAsia="Arial" w:hAnsi="Arial"/>
                <w:sz w:val="18"/>
                <w:szCs w:val="18"/>
                <w:color w:val="auto"/>
              </w:rPr>
              <w:t>Revenue (1)</w:t>
            </w:r>
          </w:p>
        </w:tc>
        <w:tc>
          <w:tcPr>
            <w:tcW w:w="26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423,207</w:t>
            </w:r>
          </w:p>
        </w:tc>
        <w:tc>
          <w:tcPr>
            <w:tcW w:w="12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39,312</w:t>
            </w:r>
          </w:p>
        </w:tc>
        <w:tc>
          <w:tcPr>
            <w:tcW w:w="100" w:type="dxa"/>
            <w:vAlign w:val="bottom"/>
            <w:tcBorders>
              <w:bottom w:val="single" w:sz="8" w:color="EAF9E8"/>
            </w:tcBorders>
            <w:shd w:val="clear" w:color="auto" w:fill="EAF9E8"/>
          </w:tcPr>
          <w:p>
            <w:pPr>
              <w:spacing w:after="0"/>
              <w:rPr>
                <w:sz w:val="23"/>
                <w:szCs w:val="23"/>
                <w:color w:val="auto"/>
              </w:rPr>
            </w:pPr>
          </w:p>
        </w:tc>
        <w:tc>
          <w:tcPr>
            <w:tcW w:w="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755</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463,251</w:t>
            </w:r>
          </w:p>
        </w:tc>
      </w:tr>
      <w:tr>
        <w:trPr>
          <w:trHeight w:val="291"/>
        </w:trPr>
        <w:tc>
          <w:tcPr>
            <w:tcW w:w="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r>
      <w:tr>
        <w:trPr>
          <w:trHeight w:val="270"/>
        </w:trPr>
        <w:tc>
          <w:tcPr>
            <w:tcW w:w="40" w:type="dxa"/>
            <w:vAlign w:val="bottom"/>
            <w:tcBorders>
              <w:bottom w:val="single" w:sz="8" w:color="EAF9E8"/>
            </w:tcBorders>
            <w:shd w:val="clear" w:color="auto" w:fill="EAF9E8"/>
          </w:tcPr>
          <w:p>
            <w:pPr>
              <w:spacing w:after="0"/>
              <w:rPr>
                <w:sz w:val="23"/>
                <w:szCs w:val="23"/>
                <w:color w:val="auto"/>
              </w:rPr>
            </w:pPr>
          </w:p>
        </w:tc>
        <w:tc>
          <w:tcPr>
            <w:tcW w:w="3500" w:type="dxa"/>
            <w:vAlign w:val="bottom"/>
            <w:tcBorders>
              <w:bottom w:val="single" w:sz="8" w:color="EAF9E8"/>
            </w:tcBorders>
            <w:gridSpan w:val="2"/>
            <w:shd w:val="clear" w:color="auto" w:fill="EAF9E8"/>
          </w:tcPr>
          <w:p>
            <w:pPr>
              <w:ind w:left="140"/>
              <w:spacing w:after="0"/>
              <w:rPr>
                <w:sz w:val="20"/>
                <w:szCs w:val="20"/>
                <w:color w:val="auto"/>
              </w:rPr>
            </w:pPr>
            <w:r>
              <w:rPr>
                <w:rFonts w:ascii="Arial" w:cs="Arial" w:eastAsia="Arial" w:hAnsi="Arial"/>
                <w:sz w:val="18"/>
                <w:szCs w:val="18"/>
                <w:color w:val="auto"/>
              </w:rPr>
              <w:t>Expenses (1) (2)</w:t>
            </w:r>
          </w:p>
        </w:tc>
        <w:tc>
          <w:tcPr>
            <w:tcW w:w="26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284,413</w:t>
            </w:r>
          </w:p>
        </w:tc>
        <w:tc>
          <w:tcPr>
            <w:tcW w:w="12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26,586</w:t>
            </w:r>
          </w:p>
        </w:tc>
        <w:tc>
          <w:tcPr>
            <w:tcW w:w="100" w:type="dxa"/>
            <w:vAlign w:val="bottom"/>
            <w:tcBorders>
              <w:bottom w:val="single" w:sz="8" w:color="EAF9E8"/>
            </w:tcBorders>
            <w:shd w:val="clear" w:color="auto" w:fill="EAF9E8"/>
          </w:tcPr>
          <w:p>
            <w:pPr>
              <w:spacing w:after="0"/>
              <w:rPr>
                <w:sz w:val="23"/>
                <w:szCs w:val="23"/>
                <w:color w:val="auto"/>
              </w:rPr>
            </w:pPr>
          </w:p>
        </w:tc>
        <w:tc>
          <w:tcPr>
            <w:tcW w:w="24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41,276</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352,252</w:t>
            </w:r>
          </w:p>
        </w:tc>
      </w:tr>
      <w:tr>
        <w:trPr>
          <w:trHeight w:val="264"/>
        </w:trPr>
        <w:tc>
          <w:tcPr>
            <w:tcW w:w="40" w:type="dxa"/>
            <w:vAlign w:val="bottom"/>
          </w:tcPr>
          <w:p>
            <w:pPr>
              <w:spacing w:after="0"/>
              <w:rPr>
                <w:sz w:val="22"/>
                <w:szCs w:val="22"/>
                <w:color w:val="auto"/>
              </w:rPr>
            </w:pPr>
          </w:p>
        </w:tc>
        <w:tc>
          <w:tcPr>
            <w:tcW w:w="26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spacing w:after="0"/>
              <w:rPr>
                <w:sz w:val="22"/>
                <w:szCs w:val="22"/>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3500" w:type="dxa"/>
            <w:vAlign w:val="bottom"/>
            <w:tcBorders>
              <w:bottom w:val="single" w:sz="8" w:color="EAF9E8"/>
            </w:tcBorders>
            <w:gridSpan w:val="2"/>
            <w:shd w:val="clear" w:color="auto" w:fill="EAF9E8"/>
          </w:tcPr>
          <w:p>
            <w:pPr>
              <w:ind w:left="140"/>
              <w:spacing w:after="0"/>
              <w:rPr>
                <w:sz w:val="20"/>
                <w:szCs w:val="20"/>
                <w:color w:val="auto"/>
              </w:rPr>
            </w:pPr>
            <w:r>
              <w:rPr>
                <w:rFonts w:ascii="Arial" w:cs="Arial" w:eastAsia="Arial" w:hAnsi="Arial"/>
                <w:sz w:val="18"/>
                <w:szCs w:val="18"/>
                <w:color w:val="auto"/>
              </w:rPr>
              <w:t>Other income (expense):</w:t>
            </w:r>
          </w:p>
        </w:tc>
        <w:tc>
          <w:tcPr>
            <w:tcW w:w="2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3500" w:type="dxa"/>
            <w:vAlign w:val="bottom"/>
            <w:gridSpan w:val="2"/>
          </w:tcPr>
          <w:p>
            <w:pPr>
              <w:ind w:left="240"/>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686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3,547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5,038</w:t>
            </w:r>
          </w:p>
        </w:tc>
      </w:tr>
      <w:tr>
        <w:trPr>
          <w:trHeight w:val="27"/>
        </w:trPr>
        <w:tc>
          <w:tcPr>
            <w:tcW w:w="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3500" w:type="dxa"/>
            <w:vAlign w:val="bottom"/>
            <w:tcBorders>
              <w:bottom w:val="single" w:sz="8" w:color="EAF9E8"/>
            </w:tcBorders>
            <w:gridSpan w:val="2"/>
            <w:shd w:val="clear" w:color="auto" w:fill="EAF9E8"/>
          </w:tcPr>
          <w:p>
            <w:pPr>
              <w:ind w:left="24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(116,101)</w:t>
            </w: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(2,163)</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(6,633)</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(124,897)</w:t>
            </w:r>
          </w:p>
        </w:tc>
      </w:tr>
      <w:tr>
        <w:trPr>
          <w:trHeight w:val="229"/>
        </w:trPr>
        <w:tc>
          <w:tcPr>
            <w:tcW w:w="40" w:type="dxa"/>
            <w:vAlign w:val="bottom"/>
          </w:tcPr>
          <w:p>
            <w:pPr>
              <w:spacing w:after="0"/>
              <w:rPr>
                <w:sz w:val="19"/>
                <w:szCs w:val="19"/>
                <w:color w:val="auto"/>
              </w:rPr>
            </w:pPr>
          </w:p>
        </w:tc>
        <w:tc>
          <w:tcPr>
            <w:tcW w:w="3500" w:type="dxa"/>
            <w:vAlign w:val="bottom"/>
            <w:gridSpan w:val="2"/>
          </w:tcPr>
          <w:p>
            <w:pPr>
              <w:ind w:left="240"/>
              <w:spacing w:after="0"/>
              <w:rPr>
                <w:sz w:val="20"/>
                <w:szCs w:val="20"/>
                <w:color w:val="auto"/>
              </w:rPr>
            </w:pPr>
            <w:r>
              <w:rPr>
                <w:rFonts w:ascii="Arial" w:cs="Arial" w:eastAsia="Arial" w:hAnsi="Arial"/>
                <w:sz w:val="18"/>
                <w:szCs w:val="18"/>
                <w:color w:val="auto"/>
                <w:w w:val="97"/>
              </w:rPr>
              <w:t>Gain on sale of mortgage servicing rights,</w:t>
            </w: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3500" w:type="dxa"/>
            <w:vAlign w:val="bottom"/>
            <w:gridSpan w:val="2"/>
          </w:tcPr>
          <w:p>
            <w:pPr>
              <w:ind w:left="400"/>
              <w:spacing w:after="0"/>
              <w:rPr>
                <w:sz w:val="20"/>
                <w:szCs w:val="20"/>
                <w:color w:val="auto"/>
              </w:rPr>
            </w:pPr>
            <w:r>
              <w:rPr>
                <w:rFonts w:ascii="Arial" w:cs="Arial" w:eastAsia="Arial" w:hAnsi="Arial"/>
                <w:sz w:val="18"/>
                <w:szCs w:val="18"/>
                <w:color w:val="auto"/>
              </w:rPr>
              <w:t>net</w:t>
            </w:r>
          </w:p>
        </w:tc>
        <w:tc>
          <w:tcPr>
            <w:tcW w:w="260" w:type="dxa"/>
            <w:vAlign w:val="bottom"/>
          </w:tcPr>
          <w:p>
            <w:pPr>
              <w:spacing w:after="0"/>
              <w:rPr>
                <w:sz w:val="20"/>
                <w:szCs w:val="20"/>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30,306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30,306</w:t>
            </w:r>
          </w:p>
        </w:tc>
      </w:tr>
      <w:tr>
        <w:trPr>
          <w:trHeight w:val="27"/>
        </w:trPr>
        <w:tc>
          <w:tcPr>
            <w:tcW w:w="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0" w:type="dxa"/>
            <w:vAlign w:val="bottom"/>
            <w:tcBorders>
              <w:bottom w:val="single" w:sz="8" w:color="EAF9E8"/>
            </w:tcBorders>
            <w:shd w:val="clear" w:color="auto" w:fill="EAF9E8"/>
          </w:tcPr>
          <w:p>
            <w:pPr>
              <w:spacing w:after="0"/>
              <w:rPr>
                <w:sz w:val="23"/>
                <w:szCs w:val="23"/>
                <w:color w:val="auto"/>
              </w:rPr>
            </w:pPr>
          </w:p>
        </w:tc>
        <w:tc>
          <w:tcPr>
            <w:tcW w:w="3500" w:type="dxa"/>
            <w:vAlign w:val="bottom"/>
            <w:tcBorders>
              <w:bottom w:val="single" w:sz="8" w:color="EAF9E8"/>
            </w:tcBorders>
            <w:gridSpan w:val="2"/>
            <w:shd w:val="clear" w:color="auto" w:fill="EAF9E8"/>
          </w:tcPr>
          <w:p>
            <w:pPr>
              <w:ind w:left="240"/>
              <w:spacing w:after="0"/>
              <w:rPr>
                <w:sz w:val="20"/>
                <w:szCs w:val="20"/>
                <w:color w:val="auto"/>
              </w:rPr>
            </w:pPr>
            <w:r>
              <w:rPr>
                <w:rFonts w:ascii="Arial" w:cs="Arial" w:eastAsia="Arial" w:hAnsi="Arial"/>
                <w:sz w:val="18"/>
                <w:szCs w:val="18"/>
                <w:color w:val="auto"/>
              </w:rPr>
              <w:t>Other (1)</w:t>
            </w:r>
          </w:p>
        </w:tc>
        <w:tc>
          <w:tcPr>
            <w:tcW w:w="26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(9,106)</w:t>
            </w:r>
          </w:p>
        </w:tc>
        <w:tc>
          <w:tcPr>
            <w:tcW w:w="12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335</w:t>
            </w:r>
          </w:p>
        </w:tc>
        <w:tc>
          <w:tcPr>
            <w:tcW w:w="100" w:type="dxa"/>
            <w:vAlign w:val="bottom"/>
            <w:tcBorders>
              <w:bottom w:val="single" w:sz="8" w:color="EAF9E8"/>
            </w:tcBorders>
            <w:shd w:val="clear" w:color="auto" w:fill="EAF9E8"/>
          </w:tcPr>
          <w:p>
            <w:pPr>
              <w:spacing w:after="0"/>
              <w:rPr>
                <w:sz w:val="23"/>
                <w:szCs w:val="23"/>
                <w:color w:val="auto"/>
              </w:rPr>
            </w:pPr>
          </w:p>
        </w:tc>
        <w:tc>
          <w:tcPr>
            <w:tcW w:w="24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4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(8,946)</w:t>
            </w:r>
          </w:p>
        </w:tc>
      </w:tr>
      <w:tr>
        <w:trPr>
          <w:trHeight w:val="237"/>
        </w:trPr>
        <w:tc>
          <w:tcPr>
            <w:tcW w:w="40" w:type="dxa"/>
            <w:vAlign w:val="bottom"/>
          </w:tcPr>
          <w:p>
            <w:pPr>
              <w:spacing w:after="0"/>
              <w:rPr>
                <w:sz w:val="20"/>
                <w:szCs w:val="20"/>
                <w:color w:val="auto"/>
              </w:rPr>
            </w:pPr>
          </w:p>
        </w:tc>
        <w:tc>
          <w:tcPr>
            <w:tcW w:w="3500" w:type="dxa"/>
            <w:vAlign w:val="bottom"/>
            <w:gridSpan w:val="2"/>
          </w:tcPr>
          <w:p>
            <w:pPr>
              <w:ind w:left="340"/>
              <w:spacing w:after="0"/>
              <w:rPr>
                <w:sz w:val="20"/>
                <w:szCs w:val="20"/>
                <w:color w:val="auto"/>
              </w:rPr>
            </w:pPr>
            <w:r>
              <w:rPr>
                <w:rFonts w:ascii="Arial" w:cs="Arial" w:eastAsia="Arial" w:hAnsi="Arial"/>
                <w:sz w:val="18"/>
                <w:szCs w:val="18"/>
                <w:color w:val="auto"/>
              </w:rPr>
              <w:t>Other income (expense), net</w:t>
            </w:r>
          </w:p>
        </w:tc>
        <w:tc>
          <w:tcPr>
            <w:tcW w:w="2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(94,215)</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1,719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(6,003)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(98,499)</w:t>
            </w:r>
          </w:p>
        </w:tc>
      </w:tr>
      <w:tr>
        <w:trPr>
          <w:trHeight w:val="27"/>
        </w:trPr>
        <w:tc>
          <w:tcPr>
            <w:tcW w:w="40" w:type="dxa"/>
            <w:vAlign w:val="bottom"/>
            <w:tcBorders>
              <w:bottom w:val="single" w:sz="8" w:color="EAF9E8"/>
            </w:tcBorders>
          </w:tcPr>
          <w:p>
            <w:pPr>
              <w:spacing w:after="0"/>
              <w:rPr>
                <w:sz w:val="2"/>
                <w:szCs w:val="2"/>
                <w:color w:val="auto"/>
              </w:rPr>
            </w:pPr>
          </w:p>
        </w:tc>
        <w:tc>
          <w:tcPr>
            <w:tcW w:w="2660" w:type="dxa"/>
            <w:vAlign w:val="bottom"/>
            <w:tcBorders>
              <w:bottom w:val="single" w:sz="8" w:color="EAF9E8"/>
            </w:tcBorders>
          </w:tcPr>
          <w:p>
            <w:pPr>
              <w:spacing w:after="0"/>
              <w:rPr>
                <w:sz w:val="2"/>
                <w:szCs w:val="2"/>
                <w:color w:val="auto"/>
              </w:rPr>
            </w:pPr>
          </w:p>
        </w:tc>
        <w:tc>
          <w:tcPr>
            <w:tcW w:w="84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83"/>
        </w:trPr>
        <w:tc>
          <w:tcPr>
            <w:tcW w:w="40" w:type="dxa"/>
            <w:vAlign w:val="bottom"/>
            <w:shd w:val="clear" w:color="auto" w:fill="EAF9E8"/>
          </w:tcPr>
          <w:p>
            <w:pPr>
              <w:spacing w:after="0"/>
              <w:rPr>
                <w:sz w:val="15"/>
                <w:szCs w:val="15"/>
                <w:color w:val="auto"/>
              </w:rPr>
            </w:pPr>
          </w:p>
        </w:tc>
        <w:tc>
          <w:tcPr>
            <w:tcW w:w="2660" w:type="dxa"/>
            <w:vAlign w:val="bottom"/>
            <w:shd w:val="clear" w:color="auto" w:fill="EAF9E8"/>
          </w:tcPr>
          <w:p>
            <w:pPr>
              <w:spacing w:after="0"/>
              <w:rPr>
                <w:sz w:val="15"/>
                <w:szCs w:val="15"/>
                <w:color w:val="auto"/>
              </w:rPr>
            </w:pPr>
          </w:p>
        </w:tc>
        <w:tc>
          <w:tcPr>
            <w:tcW w:w="840" w:type="dxa"/>
            <w:vAlign w:val="bottom"/>
            <w:shd w:val="clear" w:color="auto" w:fill="EAF9E8"/>
          </w:tcPr>
          <w:p>
            <w:pPr>
              <w:spacing w:after="0"/>
              <w:rPr>
                <w:sz w:val="15"/>
                <w:szCs w:val="15"/>
                <w:color w:val="auto"/>
              </w:rPr>
            </w:pPr>
          </w:p>
        </w:tc>
        <w:tc>
          <w:tcPr>
            <w:tcW w:w="260" w:type="dxa"/>
            <w:vAlign w:val="bottom"/>
            <w:shd w:val="clear" w:color="auto" w:fill="EAF9E8"/>
          </w:tcPr>
          <w:p>
            <w:pPr>
              <w:spacing w:after="0"/>
              <w:rPr>
                <w:sz w:val="15"/>
                <w:szCs w:val="15"/>
                <w:color w:val="auto"/>
              </w:rPr>
            </w:pPr>
          </w:p>
        </w:tc>
        <w:tc>
          <w:tcPr>
            <w:tcW w:w="1260" w:type="dxa"/>
            <w:vAlign w:val="bottom"/>
            <w:shd w:val="clear" w:color="auto" w:fill="EAF9E8"/>
          </w:tcPr>
          <w:p>
            <w:pPr>
              <w:spacing w:after="0"/>
              <w:rPr>
                <w:sz w:val="15"/>
                <w:szCs w:val="15"/>
                <w:color w:val="auto"/>
              </w:rPr>
            </w:pPr>
          </w:p>
        </w:tc>
        <w:tc>
          <w:tcPr>
            <w:tcW w:w="120" w:type="dxa"/>
            <w:vAlign w:val="bottom"/>
            <w:shd w:val="clear" w:color="auto" w:fill="EAF9E8"/>
          </w:tcPr>
          <w:p>
            <w:pPr>
              <w:spacing w:after="0"/>
              <w:rPr>
                <w:sz w:val="15"/>
                <w:szCs w:val="15"/>
                <w:color w:val="auto"/>
              </w:rPr>
            </w:pPr>
          </w:p>
        </w:tc>
        <w:tc>
          <w:tcPr>
            <w:tcW w:w="280" w:type="dxa"/>
            <w:vAlign w:val="bottom"/>
            <w:shd w:val="clear" w:color="auto" w:fill="EAF9E8"/>
          </w:tcPr>
          <w:p>
            <w:pPr>
              <w:spacing w:after="0"/>
              <w:rPr>
                <w:sz w:val="15"/>
                <w:szCs w:val="15"/>
                <w:color w:val="auto"/>
              </w:rPr>
            </w:pPr>
          </w:p>
        </w:tc>
        <w:tc>
          <w:tcPr>
            <w:tcW w:w="122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240" w:type="dxa"/>
            <w:vAlign w:val="bottom"/>
            <w:shd w:val="clear" w:color="auto" w:fill="EAF9E8"/>
          </w:tcPr>
          <w:p>
            <w:pPr>
              <w:spacing w:after="0"/>
              <w:rPr>
                <w:sz w:val="15"/>
                <w:szCs w:val="15"/>
                <w:color w:val="auto"/>
              </w:rPr>
            </w:pPr>
          </w:p>
        </w:tc>
        <w:tc>
          <w:tcPr>
            <w:tcW w:w="124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180" w:type="dxa"/>
            <w:vAlign w:val="bottom"/>
            <w:shd w:val="clear" w:color="auto" w:fill="EAF9E8"/>
          </w:tcPr>
          <w:p>
            <w:pPr>
              <w:spacing w:after="0"/>
              <w:rPr>
                <w:sz w:val="15"/>
                <w:szCs w:val="15"/>
                <w:color w:val="auto"/>
              </w:rPr>
            </w:pPr>
          </w:p>
        </w:tc>
        <w:tc>
          <w:tcPr>
            <w:tcW w:w="130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180" w:type="dxa"/>
            <w:vAlign w:val="bottom"/>
            <w:shd w:val="clear" w:color="auto" w:fill="EAF9E8"/>
          </w:tcPr>
          <w:p>
            <w:pPr>
              <w:spacing w:after="0"/>
              <w:rPr>
                <w:sz w:val="15"/>
                <w:szCs w:val="15"/>
                <w:color w:val="auto"/>
              </w:rPr>
            </w:pPr>
          </w:p>
        </w:tc>
        <w:tc>
          <w:tcPr>
            <w:tcW w:w="1300" w:type="dxa"/>
            <w:vAlign w:val="bottom"/>
            <w:shd w:val="clear" w:color="auto" w:fill="EAF9E8"/>
          </w:tcPr>
          <w:p>
            <w:pPr>
              <w:spacing w:after="0"/>
              <w:rPr>
                <w:sz w:val="15"/>
                <w:szCs w:val="15"/>
                <w:color w:val="auto"/>
              </w:rPr>
            </w:pPr>
          </w:p>
        </w:tc>
      </w:tr>
      <w:tr>
        <w:trPr>
          <w:trHeight w:val="304"/>
        </w:trPr>
        <w:tc>
          <w:tcPr>
            <w:tcW w:w="40" w:type="dxa"/>
            <w:vAlign w:val="bottom"/>
          </w:tcPr>
          <w:p>
            <w:pPr>
              <w:spacing w:after="0"/>
              <w:rPr>
                <w:sz w:val="24"/>
                <w:szCs w:val="24"/>
                <w:color w:val="auto"/>
              </w:rPr>
            </w:pPr>
          </w:p>
        </w:tc>
        <w:tc>
          <w:tcPr>
            <w:tcW w:w="3500" w:type="dxa"/>
            <w:vAlign w:val="bottom"/>
            <w:gridSpan w:val="2"/>
          </w:tcPr>
          <w:p>
            <w:pPr>
              <w:ind w:left="140"/>
              <w:spacing w:after="0"/>
              <w:rPr>
                <w:sz w:val="20"/>
                <w:szCs w:val="20"/>
                <w:color w:val="auto"/>
              </w:rPr>
            </w:pPr>
            <w:r>
              <w:rPr>
                <w:rFonts w:ascii="Arial" w:cs="Arial" w:eastAsia="Arial" w:hAnsi="Arial"/>
                <w:sz w:val="18"/>
                <w:szCs w:val="18"/>
                <w:color w:val="auto"/>
              </w:rPr>
              <w:t>Income (loss) before income taxes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44,579</w:t>
            </w:r>
          </w:p>
        </w:tc>
        <w:tc>
          <w:tcPr>
            <w:tcW w:w="12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14,445</w:t>
            </w:r>
          </w:p>
        </w:tc>
        <w:tc>
          <w:tcPr>
            <w:tcW w:w="1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(46,524)</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12,500</w:t>
            </w:r>
          </w:p>
        </w:tc>
      </w:tr>
      <w:tr>
        <w:trPr>
          <w:trHeight w:val="163"/>
        </w:trPr>
        <w:tc>
          <w:tcPr>
            <w:tcW w:w="40" w:type="dxa"/>
            <w:vAlign w:val="bottom"/>
            <w:tcBorders>
              <w:top w:val="single" w:sz="8" w:color="EAF9E8"/>
            </w:tcBorders>
            <w:shd w:val="clear" w:color="auto" w:fill="EAF9E8"/>
          </w:tcPr>
          <w:p>
            <w:pPr>
              <w:spacing w:after="0"/>
              <w:rPr>
                <w:sz w:val="14"/>
                <w:szCs w:val="14"/>
                <w:color w:val="auto"/>
              </w:rPr>
            </w:pPr>
          </w:p>
        </w:tc>
        <w:tc>
          <w:tcPr>
            <w:tcW w:w="2660" w:type="dxa"/>
            <w:vAlign w:val="bottom"/>
            <w:tcBorders>
              <w:top w:val="single" w:sz="8" w:color="EAF9E8"/>
            </w:tcBorders>
            <w:shd w:val="clear" w:color="auto" w:fill="EAF9E8"/>
          </w:tcPr>
          <w:p>
            <w:pPr>
              <w:spacing w:after="0"/>
              <w:rPr>
                <w:sz w:val="14"/>
                <w:szCs w:val="14"/>
                <w:color w:val="auto"/>
              </w:rPr>
            </w:pPr>
          </w:p>
        </w:tc>
        <w:tc>
          <w:tcPr>
            <w:tcW w:w="840" w:type="dxa"/>
            <w:vAlign w:val="bottom"/>
            <w:tcBorders>
              <w:top w:val="single" w:sz="8" w:color="EAF9E8"/>
            </w:tcBorders>
            <w:shd w:val="clear" w:color="auto" w:fill="EAF9E8"/>
          </w:tcPr>
          <w:p>
            <w:pPr>
              <w:spacing w:after="0"/>
              <w:rPr>
                <w:sz w:val="14"/>
                <w:szCs w:val="14"/>
                <w:color w:val="auto"/>
              </w:rPr>
            </w:pPr>
          </w:p>
        </w:tc>
        <w:tc>
          <w:tcPr>
            <w:tcW w:w="260" w:type="dxa"/>
            <w:vAlign w:val="bottom"/>
            <w:tcBorders>
              <w:top w:val="single" w:sz="8" w:color="auto"/>
            </w:tcBorders>
            <w:shd w:val="clear" w:color="auto" w:fill="EAF9E8"/>
          </w:tcPr>
          <w:p>
            <w:pPr>
              <w:spacing w:after="0"/>
              <w:rPr>
                <w:sz w:val="14"/>
                <w:szCs w:val="14"/>
                <w:color w:val="auto"/>
              </w:rPr>
            </w:pPr>
          </w:p>
        </w:tc>
        <w:tc>
          <w:tcPr>
            <w:tcW w:w="1260" w:type="dxa"/>
            <w:vAlign w:val="bottom"/>
            <w:tcBorders>
              <w:top w:val="single" w:sz="8" w:color="auto"/>
            </w:tcBorders>
            <w:shd w:val="clear" w:color="auto" w:fill="EAF9E8"/>
          </w:tcPr>
          <w:p>
            <w:pPr>
              <w:spacing w:after="0"/>
              <w:rPr>
                <w:sz w:val="14"/>
                <w:szCs w:val="14"/>
                <w:color w:val="auto"/>
              </w:rPr>
            </w:pPr>
          </w:p>
        </w:tc>
        <w:tc>
          <w:tcPr>
            <w:tcW w:w="120" w:type="dxa"/>
            <w:vAlign w:val="bottom"/>
            <w:tcBorders>
              <w:top w:val="single" w:sz="8" w:color="EAF9E8"/>
            </w:tcBorders>
            <w:shd w:val="clear" w:color="auto" w:fill="EAF9E8"/>
          </w:tcPr>
          <w:p>
            <w:pPr>
              <w:spacing w:after="0"/>
              <w:rPr>
                <w:sz w:val="14"/>
                <w:szCs w:val="14"/>
                <w:color w:val="auto"/>
              </w:rPr>
            </w:pPr>
          </w:p>
        </w:tc>
        <w:tc>
          <w:tcPr>
            <w:tcW w:w="280" w:type="dxa"/>
            <w:vAlign w:val="bottom"/>
            <w:tcBorders>
              <w:top w:val="single" w:sz="8" w:color="auto"/>
            </w:tcBorders>
            <w:shd w:val="clear" w:color="auto" w:fill="EAF9E8"/>
          </w:tcPr>
          <w:p>
            <w:pPr>
              <w:spacing w:after="0"/>
              <w:rPr>
                <w:sz w:val="14"/>
                <w:szCs w:val="14"/>
                <w:color w:val="auto"/>
              </w:rPr>
            </w:pPr>
          </w:p>
        </w:tc>
        <w:tc>
          <w:tcPr>
            <w:tcW w:w="1220" w:type="dxa"/>
            <w:vAlign w:val="bottom"/>
            <w:tcBorders>
              <w:top w:val="single" w:sz="8" w:color="auto"/>
            </w:tcBorders>
            <w:shd w:val="clear" w:color="auto" w:fill="EAF9E8"/>
          </w:tcPr>
          <w:p>
            <w:pPr>
              <w:spacing w:after="0"/>
              <w:rPr>
                <w:sz w:val="14"/>
                <w:szCs w:val="14"/>
                <w:color w:val="auto"/>
              </w:rPr>
            </w:pPr>
          </w:p>
        </w:tc>
        <w:tc>
          <w:tcPr>
            <w:tcW w:w="100" w:type="dxa"/>
            <w:vAlign w:val="bottom"/>
            <w:tcBorders>
              <w:top w:val="single" w:sz="8" w:color="EAF9E8"/>
            </w:tcBorders>
            <w:shd w:val="clear" w:color="auto" w:fill="EAF9E8"/>
          </w:tcPr>
          <w:p>
            <w:pPr>
              <w:spacing w:after="0"/>
              <w:rPr>
                <w:sz w:val="14"/>
                <w:szCs w:val="14"/>
                <w:color w:val="auto"/>
              </w:rPr>
            </w:pPr>
          </w:p>
        </w:tc>
        <w:tc>
          <w:tcPr>
            <w:tcW w:w="240" w:type="dxa"/>
            <w:vAlign w:val="bottom"/>
            <w:tcBorders>
              <w:top w:val="single" w:sz="8" w:color="auto"/>
            </w:tcBorders>
            <w:shd w:val="clear" w:color="auto" w:fill="EAF9E8"/>
          </w:tcPr>
          <w:p>
            <w:pPr>
              <w:spacing w:after="0"/>
              <w:rPr>
                <w:sz w:val="14"/>
                <w:szCs w:val="14"/>
                <w:color w:val="auto"/>
              </w:rPr>
            </w:pPr>
          </w:p>
        </w:tc>
        <w:tc>
          <w:tcPr>
            <w:tcW w:w="1240" w:type="dxa"/>
            <w:vAlign w:val="bottom"/>
            <w:tcBorders>
              <w:top w:val="single" w:sz="8" w:color="auto"/>
            </w:tcBorders>
            <w:shd w:val="clear" w:color="auto" w:fill="EAF9E8"/>
          </w:tcPr>
          <w:p>
            <w:pPr>
              <w:spacing w:after="0"/>
              <w:rPr>
                <w:sz w:val="14"/>
                <w:szCs w:val="14"/>
                <w:color w:val="auto"/>
              </w:rPr>
            </w:pPr>
          </w:p>
        </w:tc>
        <w:tc>
          <w:tcPr>
            <w:tcW w:w="100" w:type="dxa"/>
            <w:vAlign w:val="bottom"/>
            <w:tcBorders>
              <w:top w:val="single" w:sz="8" w:color="EAF9E8"/>
            </w:tcBorders>
            <w:shd w:val="clear" w:color="auto" w:fill="EAF9E8"/>
          </w:tcPr>
          <w:p>
            <w:pPr>
              <w:spacing w:after="0"/>
              <w:rPr>
                <w:sz w:val="14"/>
                <w:szCs w:val="14"/>
                <w:color w:val="auto"/>
              </w:rPr>
            </w:pPr>
          </w:p>
        </w:tc>
        <w:tc>
          <w:tcPr>
            <w:tcW w:w="180" w:type="dxa"/>
            <w:vAlign w:val="bottom"/>
            <w:tcBorders>
              <w:top w:val="single" w:sz="8" w:color="auto"/>
            </w:tcBorders>
            <w:shd w:val="clear" w:color="auto" w:fill="EAF9E8"/>
          </w:tcPr>
          <w:p>
            <w:pPr>
              <w:spacing w:after="0"/>
              <w:rPr>
                <w:sz w:val="14"/>
                <w:szCs w:val="14"/>
                <w:color w:val="auto"/>
              </w:rPr>
            </w:pPr>
          </w:p>
        </w:tc>
        <w:tc>
          <w:tcPr>
            <w:tcW w:w="1300" w:type="dxa"/>
            <w:vAlign w:val="bottom"/>
            <w:tcBorders>
              <w:top w:val="single" w:sz="8" w:color="auto"/>
            </w:tcBorders>
            <w:shd w:val="clear" w:color="auto" w:fill="EAF9E8"/>
          </w:tcPr>
          <w:p>
            <w:pPr>
              <w:spacing w:after="0"/>
              <w:rPr>
                <w:sz w:val="14"/>
                <w:szCs w:val="14"/>
                <w:color w:val="auto"/>
              </w:rPr>
            </w:pPr>
          </w:p>
        </w:tc>
        <w:tc>
          <w:tcPr>
            <w:tcW w:w="100" w:type="dxa"/>
            <w:vAlign w:val="bottom"/>
            <w:tcBorders>
              <w:top w:val="single" w:sz="8" w:color="EAF9E8"/>
            </w:tcBorders>
            <w:shd w:val="clear" w:color="auto" w:fill="EAF9E8"/>
          </w:tcPr>
          <w:p>
            <w:pPr>
              <w:spacing w:after="0"/>
              <w:rPr>
                <w:sz w:val="14"/>
                <w:szCs w:val="14"/>
                <w:color w:val="auto"/>
              </w:rPr>
            </w:pPr>
          </w:p>
        </w:tc>
        <w:tc>
          <w:tcPr>
            <w:tcW w:w="180" w:type="dxa"/>
            <w:vAlign w:val="bottom"/>
            <w:tcBorders>
              <w:top w:val="single" w:sz="8" w:color="auto"/>
            </w:tcBorders>
            <w:shd w:val="clear" w:color="auto" w:fill="EAF9E8"/>
          </w:tcPr>
          <w:p>
            <w:pPr>
              <w:spacing w:after="0"/>
              <w:rPr>
                <w:sz w:val="14"/>
                <w:szCs w:val="14"/>
                <w:color w:val="auto"/>
              </w:rPr>
            </w:pPr>
          </w:p>
        </w:tc>
        <w:tc>
          <w:tcPr>
            <w:tcW w:w="1300" w:type="dxa"/>
            <w:vAlign w:val="bottom"/>
            <w:tcBorders>
              <w:top w:val="single" w:sz="8" w:color="auto"/>
            </w:tcBorders>
            <w:shd w:val="clear" w:color="auto" w:fill="EAF9E8"/>
          </w:tcPr>
          <w:p>
            <w:pPr>
              <w:spacing w:after="0"/>
              <w:rPr>
                <w:sz w:val="14"/>
                <w:szCs w:val="14"/>
                <w:color w:val="auto"/>
              </w:rPr>
            </w:pPr>
          </w:p>
        </w:tc>
      </w:tr>
    </w:tbl>
    <w:p>
      <w:pPr>
        <w:spacing w:after="0" w:line="200" w:lineRule="exact"/>
        <w:rPr>
          <w:sz w:val="20"/>
          <w:szCs w:val="20"/>
          <w:color w:val="auto"/>
        </w:rPr>
      </w:pPr>
    </w:p>
    <w:p>
      <w:pPr>
        <w:sectPr>
          <w:pgSz w:w="11900" w:h="16838" w:orient="portrait"/>
          <w:cols w:equalWidth="0" w:num="1">
            <w:col w:w="11420"/>
          </w:cols>
          <w:pgMar w:left="240" w:top="692"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692" w:right="239" w:bottom="1440" w:gutter="0" w:footer="0" w:header="0"/>
          <w:type w:val="continuous"/>
        </w:sectPr>
      </w:pPr>
    </w:p>
    <w:bookmarkStart w:id="42" w:name="page43"/>
    <w:bookmarkEnd w:id="42"/>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b w:val="1"/>
                <w:bCs w:val="1"/>
                <w:color w:val="auto"/>
                <w:w w:val="82"/>
              </w:rPr>
              <w:t>Business</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Corporate Items</w:t>
            </w: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Corporate</w:t>
            </w: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3"/>
              </w:rPr>
              <w:t>Segments</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gridSpan w:val="2"/>
          </w:tcPr>
          <w:p>
            <w:pPr>
              <w:ind w:left="140"/>
              <w:spacing w:after="0"/>
              <w:rPr>
                <w:sz w:val="20"/>
                <w:szCs w:val="20"/>
                <w:color w:val="auto"/>
              </w:rPr>
            </w:pPr>
            <w:r>
              <w:rPr>
                <w:rFonts w:ascii="Arial" w:cs="Arial" w:eastAsia="Arial" w:hAnsi="Arial"/>
                <w:sz w:val="18"/>
                <w:szCs w:val="18"/>
                <w:b w:val="1"/>
                <w:bCs w:val="1"/>
                <w:color w:val="auto"/>
              </w:rPr>
              <w:t>Servicing</w:t>
            </w:r>
          </w:p>
        </w:tc>
        <w:tc>
          <w:tcPr>
            <w:tcW w:w="280" w:type="dxa"/>
            <w:vAlign w:val="bottom"/>
          </w:tcPr>
          <w:p>
            <w:pPr>
              <w:spacing w:after="0"/>
              <w:rPr>
                <w:sz w:val="20"/>
                <w:szCs w:val="20"/>
                <w:color w:val="auto"/>
              </w:rPr>
            </w:pPr>
          </w:p>
        </w:tc>
        <w:tc>
          <w:tcPr>
            <w:tcW w:w="1320" w:type="dxa"/>
            <w:vAlign w:val="bottom"/>
            <w:gridSpan w:val="2"/>
          </w:tcPr>
          <w:p>
            <w:pPr>
              <w:ind w:left="160"/>
              <w:spacing w:after="0"/>
              <w:rPr>
                <w:sz w:val="20"/>
                <w:szCs w:val="20"/>
                <w:color w:val="auto"/>
              </w:rPr>
            </w:pPr>
            <w:r>
              <w:rPr>
                <w:rFonts w:ascii="Arial" w:cs="Arial" w:eastAsia="Arial" w:hAnsi="Arial"/>
                <w:sz w:val="18"/>
                <w:szCs w:val="18"/>
                <w:b w:val="1"/>
                <w:bCs w:val="1"/>
                <w:color w:val="auto"/>
              </w:rPr>
              <w:t>Lending</w:t>
            </w:r>
          </w:p>
        </w:tc>
        <w:tc>
          <w:tcPr>
            <w:tcW w:w="240" w:type="dxa"/>
            <w:vAlign w:val="bottom"/>
          </w:tcPr>
          <w:p>
            <w:pPr>
              <w:spacing w:after="0"/>
              <w:rPr>
                <w:sz w:val="20"/>
                <w:szCs w:val="20"/>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and Other</w:t>
            </w:r>
          </w:p>
        </w:tc>
        <w:tc>
          <w:tcPr>
            <w:tcW w:w="18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Eliminations</w:t>
            </w:r>
          </w:p>
        </w:tc>
        <w:tc>
          <w:tcPr>
            <w:tcW w:w="180" w:type="dxa"/>
            <w:vAlign w:val="bottom"/>
          </w:tcPr>
          <w:p>
            <w:pPr>
              <w:spacing w:after="0"/>
              <w:rPr>
                <w:sz w:val="20"/>
                <w:szCs w:val="20"/>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Consolidated</w:t>
            </w:r>
          </w:p>
        </w:tc>
        <w:tc>
          <w:tcPr>
            <w:tcW w:w="0" w:type="dxa"/>
            <w:vAlign w:val="bottom"/>
          </w:tcPr>
          <w:p>
            <w:pPr>
              <w:spacing w:after="0"/>
              <w:rPr>
                <w:sz w:val="1"/>
                <w:szCs w:val="1"/>
                <w:color w:val="auto"/>
              </w:rPr>
            </w:pPr>
          </w:p>
        </w:tc>
      </w:tr>
      <w:tr>
        <w:trPr>
          <w:trHeight w:val="27"/>
        </w:trPr>
        <w:tc>
          <w:tcPr>
            <w:tcW w:w="354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Six months ended June 30, 2016</w:t>
            </w: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3540" w:type="dxa"/>
            <w:vAlign w:val="bottom"/>
            <w:gridSpan w:val="3"/>
            <w:vMerge w:val="continue"/>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2440" w:type="dxa"/>
            <w:vAlign w:val="bottom"/>
            <w:tcBorders>
              <w:top w:val="single" w:sz="8" w:color="auto"/>
            </w:tcBorders>
          </w:tcPr>
          <w:p>
            <w:pPr>
              <w:spacing w:after="0"/>
              <w:rPr>
                <w:sz w:val="4"/>
                <w:szCs w:val="4"/>
                <w:color w:val="auto"/>
              </w:rPr>
            </w:pPr>
          </w:p>
        </w:tc>
        <w:tc>
          <w:tcPr>
            <w:tcW w:w="10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0" w:type="dxa"/>
            <w:vAlign w:val="bottom"/>
            <w:tcBorders>
              <w:bottom w:val="single" w:sz="8" w:color="EAF9E8"/>
            </w:tcBorders>
            <w:shd w:val="clear" w:color="auto" w:fill="EAF9E8"/>
          </w:tcPr>
          <w:p>
            <w:pPr>
              <w:spacing w:after="0"/>
              <w:rPr>
                <w:sz w:val="23"/>
                <w:szCs w:val="23"/>
                <w:color w:val="auto"/>
              </w:rPr>
            </w:pPr>
          </w:p>
        </w:tc>
        <w:tc>
          <w:tcPr>
            <w:tcW w:w="3500" w:type="dxa"/>
            <w:vAlign w:val="bottom"/>
            <w:tcBorders>
              <w:bottom w:val="single" w:sz="8" w:color="EAF9E8"/>
            </w:tcBorders>
            <w:gridSpan w:val="2"/>
            <w:shd w:val="clear" w:color="auto" w:fill="EAF9E8"/>
          </w:tcPr>
          <w:p>
            <w:pPr>
              <w:ind w:left="240"/>
              <w:spacing w:after="0"/>
              <w:rPr>
                <w:sz w:val="20"/>
                <w:szCs w:val="20"/>
                <w:color w:val="auto"/>
              </w:rPr>
            </w:pPr>
            <w:r>
              <w:rPr>
                <w:rFonts w:ascii="Arial" w:cs="Arial" w:eastAsia="Arial" w:hAnsi="Arial"/>
                <w:sz w:val="18"/>
                <w:szCs w:val="18"/>
                <w:color w:val="auto"/>
              </w:rPr>
              <w:t>Revenue (1)</w:t>
            </w:r>
          </w:p>
        </w:tc>
        <w:tc>
          <w:tcPr>
            <w:tcW w:w="26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632,547</w:t>
            </w:r>
          </w:p>
        </w:tc>
        <w:tc>
          <w:tcPr>
            <w:tcW w:w="12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58,660</w:t>
            </w:r>
          </w:p>
        </w:tc>
        <w:tc>
          <w:tcPr>
            <w:tcW w:w="100" w:type="dxa"/>
            <w:vAlign w:val="bottom"/>
            <w:tcBorders>
              <w:bottom w:val="single" w:sz="8" w:color="EAF9E8"/>
            </w:tcBorders>
            <w:shd w:val="clear" w:color="auto" w:fill="EAF9E8"/>
          </w:tcPr>
          <w:p>
            <w:pPr>
              <w:spacing w:after="0"/>
              <w:rPr>
                <w:sz w:val="23"/>
                <w:szCs w:val="23"/>
                <w:color w:val="auto"/>
              </w:rPr>
            </w:pPr>
          </w:p>
        </w:tc>
        <w:tc>
          <w:tcPr>
            <w:tcW w:w="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12,604</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703,811</w:t>
            </w:r>
          </w:p>
        </w:tc>
        <w:tc>
          <w:tcPr>
            <w:tcW w:w="0" w:type="dxa"/>
            <w:vAlign w:val="bottom"/>
          </w:tcPr>
          <w:p>
            <w:pPr>
              <w:spacing w:after="0"/>
              <w:rPr>
                <w:sz w:val="1"/>
                <w:szCs w:val="1"/>
                <w:color w:val="auto"/>
              </w:rPr>
            </w:pPr>
          </w:p>
        </w:tc>
      </w:tr>
      <w:tr>
        <w:trPr>
          <w:trHeight w:val="318"/>
        </w:trPr>
        <w:tc>
          <w:tcPr>
            <w:tcW w:w="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Borders>
              <w:bottom w:val="single" w:sz="8" w:color="EAF9E8"/>
            </w:tcBorders>
            <w:shd w:val="clear" w:color="auto" w:fill="EAF9E8"/>
          </w:tcPr>
          <w:p>
            <w:pPr>
              <w:spacing w:after="0"/>
              <w:rPr>
                <w:sz w:val="23"/>
                <w:szCs w:val="23"/>
                <w:color w:val="auto"/>
              </w:rPr>
            </w:pPr>
          </w:p>
        </w:tc>
        <w:tc>
          <w:tcPr>
            <w:tcW w:w="3500" w:type="dxa"/>
            <w:vAlign w:val="bottom"/>
            <w:tcBorders>
              <w:bottom w:val="single" w:sz="8" w:color="EAF9E8"/>
            </w:tcBorders>
            <w:gridSpan w:val="2"/>
            <w:shd w:val="clear" w:color="auto" w:fill="EAF9E8"/>
          </w:tcPr>
          <w:p>
            <w:pPr>
              <w:ind w:left="240"/>
              <w:spacing w:after="0"/>
              <w:rPr>
                <w:sz w:val="20"/>
                <w:szCs w:val="20"/>
                <w:color w:val="auto"/>
              </w:rPr>
            </w:pPr>
            <w:r>
              <w:rPr>
                <w:rFonts w:ascii="Arial" w:cs="Arial" w:eastAsia="Arial" w:hAnsi="Arial"/>
                <w:sz w:val="18"/>
                <w:szCs w:val="18"/>
                <w:color w:val="auto"/>
              </w:rPr>
              <w:t>Expenses (1) (2)</w:t>
            </w:r>
          </w:p>
        </w:tc>
        <w:tc>
          <w:tcPr>
            <w:tcW w:w="26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537,171</w:t>
            </w:r>
          </w:p>
        </w:tc>
        <w:tc>
          <w:tcPr>
            <w:tcW w:w="12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50,457</w:t>
            </w:r>
          </w:p>
        </w:tc>
        <w:tc>
          <w:tcPr>
            <w:tcW w:w="100" w:type="dxa"/>
            <w:vAlign w:val="bottom"/>
            <w:tcBorders>
              <w:bottom w:val="single" w:sz="8" w:color="EAF9E8"/>
            </w:tcBorders>
            <w:shd w:val="clear" w:color="auto" w:fill="EAF9E8"/>
          </w:tcPr>
          <w:p>
            <w:pPr>
              <w:spacing w:after="0"/>
              <w:rPr>
                <w:sz w:val="23"/>
                <w:szCs w:val="23"/>
                <w:color w:val="auto"/>
              </w:rPr>
            </w:pPr>
          </w:p>
        </w:tc>
        <w:tc>
          <w:tcPr>
            <w:tcW w:w="24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126,047</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4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713,675</w:t>
            </w:r>
          </w:p>
        </w:tc>
        <w:tc>
          <w:tcPr>
            <w:tcW w:w="0" w:type="dxa"/>
            <w:vAlign w:val="bottom"/>
          </w:tcPr>
          <w:p>
            <w:pPr>
              <w:spacing w:after="0"/>
              <w:rPr>
                <w:sz w:val="1"/>
                <w:szCs w:val="1"/>
                <w:color w:val="auto"/>
              </w:rPr>
            </w:pPr>
          </w:p>
        </w:tc>
      </w:tr>
      <w:tr>
        <w:trPr>
          <w:trHeight w:val="318"/>
        </w:trPr>
        <w:tc>
          <w:tcPr>
            <w:tcW w:w="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3500" w:type="dxa"/>
            <w:vAlign w:val="bottom"/>
            <w:tcBorders>
              <w:bottom w:val="single" w:sz="8" w:color="EAF9E8"/>
            </w:tcBorders>
            <w:gridSpan w:val="2"/>
            <w:shd w:val="clear" w:color="auto" w:fill="EAF9E8"/>
          </w:tcPr>
          <w:p>
            <w:pPr>
              <w:ind w:left="240"/>
              <w:spacing w:after="0"/>
              <w:rPr>
                <w:sz w:val="20"/>
                <w:szCs w:val="20"/>
                <w:color w:val="auto"/>
              </w:rPr>
            </w:pPr>
            <w:r>
              <w:rPr>
                <w:rFonts w:ascii="Arial" w:cs="Arial" w:eastAsia="Arial" w:hAnsi="Arial"/>
                <w:sz w:val="18"/>
                <w:szCs w:val="18"/>
                <w:color w:val="auto"/>
              </w:rPr>
              <w:t>Other income (expense):</w:t>
            </w:r>
          </w:p>
        </w:tc>
        <w:tc>
          <w:tcPr>
            <w:tcW w:w="2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500" w:type="dxa"/>
            <w:vAlign w:val="bottom"/>
            <w:gridSpan w:val="2"/>
          </w:tcPr>
          <w:p>
            <w:pPr>
              <w:ind w:left="460"/>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7,815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1,676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9,330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3500" w:type="dxa"/>
            <w:vAlign w:val="bottom"/>
            <w:tcBorders>
              <w:bottom w:val="single" w:sz="8" w:color="EAF9E8"/>
            </w:tcBorders>
            <w:gridSpan w:val="2"/>
            <w:shd w:val="clear" w:color="auto" w:fill="EAF9E8"/>
          </w:tcPr>
          <w:p>
            <w:pPr>
              <w:ind w:left="46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(177,670)</w:t>
            </w: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(7,145)</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(12,307)</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(197,122)</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500" w:type="dxa"/>
            <w:vAlign w:val="bottom"/>
            <w:gridSpan w:val="2"/>
          </w:tcPr>
          <w:p>
            <w:pPr>
              <w:ind w:left="460"/>
              <w:spacing w:after="0"/>
              <w:rPr>
                <w:sz w:val="20"/>
                <w:szCs w:val="20"/>
                <w:color w:val="auto"/>
              </w:rPr>
            </w:pPr>
            <w:r>
              <w:rPr>
                <w:rFonts w:ascii="Arial" w:cs="Arial" w:eastAsia="Arial" w:hAnsi="Arial"/>
                <w:sz w:val="18"/>
                <w:szCs w:val="18"/>
                <w:color w:val="auto"/>
                <w:w w:val="90"/>
              </w:rPr>
              <w:t>Gain on sale of mortgage servicing rights,</w:t>
            </w: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3500" w:type="dxa"/>
            <w:vAlign w:val="bottom"/>
            <w:gridSpan w:val="2"/>
          </w:tcPr>
          <w:p>
            <w:pPr>
              <w:ind w:left="620"/>
              <w:spacing w:after="0"/>
              <w:rPr>
                <w:sz w:val="20"/>
                <w:szCs w:val="20"/>
                <w:color w:val="auto"/>
              </w:rPr>
            </w:pPr>
            <w:r>
              <w:rPr>
                <w:rFonts w:ascii="Arial" w:cs="Arial" w:eastAsia="Arial" w:hAnsi="Arial"/>
                <w:sz w:val="18"/>
                <w:szCs w:val="18"/>
                <w:color w:val="auto"/>
              </w:rPr>
              <w:t>net</w:t>
            </w:r>
          </w:p>
        </w:tc>
        <w:tc>
          <w:tcPr>
            <w:tcW w:w="260" w:type="dxa"/>
            <w:vAlign w:val="bottom"/>
          </w:tcPr>
          <w:p>
            <w:pPr>
              <w:spacing w:after="0"/>
              <w:rPr>
                <w:sz w:val="20"/>
                <w:szCs w:val="20"/>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2,028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2,028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EAF9E8"/>
            </w:tcBorders>
            <w:shd w:val="clear" w:color="auto" w:fill="EAF9E8"/>
          </w:tcPr>
          <w:p>
            <w:pPr>
              <w:spacing w:after="0"/>
              <w:rPr>
                <w:sz w:val="23"/>
                <w:szCs w:val="23"/>
                <w:color w:val="auto"/>
              </w:rPr>
            </w:pPr>
          </w:p>
        </w:tc>
        <w:tc>
          <w:tcPr>
            <w:tcW w:w="3500" w:type="dxa"/>
            <w:vAlign w:val="bottom"/>
            <w:tcBorders>
              <w:bottom w:val="single" w:sz="8" w:color="EAF9E8"/>
            </w:tcBorders>
            <w:gridSpan w:val="2"/>
            <w:shd w:val="clear" w:color="auto" w:fill="EAF9E8"/>
          </w:tcPr>
          <w:p>
            <w:pPr>
              <w:ind w:left="460"/>
              <w:spacing w:after="0"/>
              <w:rPr>
                <w:sz w:val="20"/>
                <w:szCs w:val="20"/>
                <w:color w:val="auto"/>
              </w:rPr>
            </w:pPr>
            <w:r>
              <w:rPr>
                <w:rFonts w:ascii="Arial" w:cs="Arial" w:eastAsia="Arial" w:hAnsi="Arial"/>
                <w:sz w:val="18"/>
                <w:szCs w:val="18"/>
                <w:color w:val="auto"/>
              </w:rPr>
              <w:t>Other (1)</w:t>
            </w:r>
          </w:p>
        </w:tc>
        <w:tc>
          <w:tcPr>
            <w:tcW w:w="26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(2,537)</w:t>
            </w:r>
          </w:p>
        </w:tc>
        <w:tc>
          <w:tcPr>
            <w:tcW w:w="12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659</w:t>
            </w:r>
          </w:p>
        </w:tc>
        <w:tc>
          <w:tcPr>
            <w:tcW w:w="100" w:type="dxa"/>
            <w:vAlign w:val="bottom"/>
            <w:tcBorders>
              <w:bottom w:val="single" w:sz="8" w:color="EAF9E8"/>
            </w:tcBorders>
            <w:shd w:val="clear" w:color="auto" w:fill="EAF9E8"/>
          </w:tcPr>
          <w:p>
            <w:pPr>
              <w:spacing w:after="0"/>
              <w:rPr>
                <w:sz w:val="23"/>
                <w:szCs w:val="23"/>
                <w:color w:val="auto"/>
              </w:rPr>
            </w:pPr>
          </w:p>
        </w:tc>
        <w:tc>
          <w:tcPr>
            <w:tcW w:w="24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(1,017)</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4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(2,895)</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500" w:type="dxa"/>
            <w:vAlign w:val="bottom"/>
            <w:gridSpan w:val="2"/>
          </w:tcPr>
          <w:p>
            <w:pPr>
              <w:ind w:left="680"/>
              <w:spacing w:after="0"/>
              <w:rPr>
                <w:sz w:val="20"/>
                <w:szCs w:val="20"/>
                <w:color w:val="auto"/>
              </w:rPr>
            </w:pPr>
            <w:r>
              <w:rPr>
                <w:rFonts w:ascii="Arial" w:cs="Arial" w:eastAsia="Arial" w:hAnsi="Arial"/>
                <w:sz w:val="18"/>
                <w:szCs w:val="18"/>
                <w:color w:val="auto"/>
              </w:rPr>
              <w:t>Other income (expense), net</w:t>
            </w:r>
          </w:p>
        </w:tc>
        <w:tc>
          <w:tcPr>
            <w:tcW w:w="2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(178,340)</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1,329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(11,648)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(188,659)</w:t>
            </w:r>
          </w:p>
        </w:tc>
        <w:tc>
          <w:tcPr>
            <w:tcW w:w="0" w:type="dxa"/>
            <w:vAlign w:val="bottom"/>
          </w:tcPr>
          <w:p>
            <w:pPr>
              <w:spacing w:after="0"/>
              <w:rPr>
                <w:sz w:val="1"/>
                <w:szCs w:val="1"/>
                <w:color w:val="auto"/>
              </w:rPr>
            </w:pPr>
          </w:p>
        </w:tc>
      </w:tr>
      <w:tr>
        <w:trPr>
          <w:trHeight w:val="27"/>
        </w:trPr>
        <w:tc>
          <w:tcPr>
            <w:tcW w:w="40" w:type="dxa"/>
            <w:vAlign w:val="bottom"/>
            <w:tcBorders>
              <w:bottom w:val="single" w:sz="8" w:color="EAF9E8"/>
            </w:tcBorders>
          </w:tcPr>
          <w:p>
            <w:pPr>
              <w:spacing w:after="0"/>
              <w:rPr>
                <w:sz w:val="2"/>
                <w:szCs w:val="2"/>
                <w:color w:val="auto"/>
              </w:rPr>
            </w:pPr>
          </w:p>
        </w:tc>
        <w:tc>
          <w:tcPr>
            <w:tcW w:w="2440" w:type="dxa"/>
            <w:vAlign w:val="bottom"/>
            <w:tcBorders>
              <w:bottom w:val="single" w:sz="8" w:color="EAF9E8"/>
            </w:tcBorders>
          </w:tcPr>
          <w:p>
            <w:pPr>
              <w:spacing w:after="0"/>
              <w:rPr>
                <w:sz w:val="2"/>
                <w:szCs w:val="2"/>
                <w:color w:val="auto"/>
              </w:rPr>
            </w:pPr>
          </w:p>
        </w:tc>
        <w:tc>
          <w:tcPr>
            <w:tcW w:w="106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0" w:type="dxa"/>
            <w:vAlign w:val="bottom"/>
            <w:shd w:val="clear" w:color="auto" w:fill="EAF9E8"/>
          </w:tcPr>
          <w:p>
            <w:pPr>
              <w:spacing w:after="0"/>
              <w:rPr>
                <w:sz w:val="15"/>
                <w:szCs w:val="15"/>
                <w:color w:val="auto"/>
              </w:rPr>
            </w:pPr>
          </w:p>
        </w:tc>
        <w:tc>
          <w:tcPr>
            <w:tcW w:w="2440" w:type="dxa"/>
            <w:vAlign w:val="bottom"/>
            <w:shd w:val="clear" w:color="auto" w:fill="EAF9E8"/>
          </w:tcPr>
          <w:p>
            <w:pPr>
              <w:spacing w:after="0"/>
              <w:rPr>
                <w:sz w:val="15"/>
                <w:szCs w:val="15"/>
                <w:color w:val="auto"/>
              </w:rPr>
            </w:pPr>
          </w:p>
        </w:tc>
        <w:tc>
          <w:tcPr>
            <w:tcW w:w="1060" w:type="dxa"/>
            <w:vAlign w:val="bottom"/>
            <w:shd w:val="clear" w:color="auto" w:fill="EAF9E8"/>
          </w:tcPr>
          <w:p>
            <w:pPr>
              <w:spacing w:after="0"/>
              <w:rPr>
                <w:sz w:val="15"/>
                <w:szCs w:val="15"/>
                <w:color w:val="auto"/>
              </w:rPr>
            </w:pPr>
          </w:p>
        </w:tc>
        <w:tc>
          <w:tcPr>
            <w:tcW w:w="260" w:type="dxa"/>
            <w:vAlign w:val="bottom"/>
            <w:shd w:val="clear" w:color="auto" w:fill="EAF9E8"/>
          </w:tcPr>
          <w:p>
            <w:pPr>
              <w:spacing w:after="0"/>
              <w:rPr>
                <w:sz w:val="15"/>
                <w:szCs w:val="15"/>
                <w:color w:val="auto"/>
              </w:rPr>
            </w:pPr>
          </w:p>
        </w:tc>
        <w:tc>
          <w:tcPr>
            <w:tcW w:w="1260" w:type="dxa"/>
            <w:vAlign w:val="bottom"/>
            <w:shd w:val="clear" w:color="auto" w:fill="EAF9E8"/>
          </w:tcPr>
          <w:p>
            <w:pPr>
              <w:spacing w:after="0"/>
              <w:rPr>
                <w:sz w:val="15"/>
                <w:szCs w:val="15"/>
                <w:color w:val="auto"/>
              </w:rPr>
            </w:pPr>
          </w:p>
        </w:tc>
        <w:tc>
          <w:tcPr>
            <w:tcW w:w="120" w:type="dxa"/>
            <w:vAlign w:val="bottom"/>
            <w:shd w:val="clear" w:color="auto" w:fill="EAF9E8"/>
          </w:tcPr>
          <w:p>
            <w:pPr>
              <w:spacing w:after="0"/>
              <w:rPr>
                <w:sz w:val="15"/>
                <w:szCs w:val="15"/>
                <w:color w:val="auto"/>
              </w:rPr>
            </w:pPr>
          </w:p>
        </w:tc>
        <w:tc>
          <w:tcPr>
            <w:tcW w:w="280" w:type="dxa"/>
            <w:vAlign w:val="bottom"/>
            <w:shd w:val="clear" w:color="auto" w:fill="EAF9E8"/>
          </w:tcPr>
          <w:p>
            <w:pPr>
              <w:spacing w:after="0"/>
              <w:rPr>
                <w:sz w:val="15"/>
                <w:szCs w:val="15"/>
                <w:color w:val="auto"/>
              </w:rPr>
            </w:pPr>
          </w:p>
        </w:tc>
        <w:tc>
          <w:tcPr>
            <w:tcW w:w="122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240" w:type="dxa"/>
            <w:vAlign w:val="bottom"/>
            <w:shd w:val="clear" w:color="auto" w:fill="EAF9E8"/>
          </w:tcPr>
          <w:p>
            <w:pPr>
              <w:spacing w:after="0"/>
              <w:rPr>
                <w:sz w:val="15"/>
                <w:szCs w:val="15"/>
                <w:color w:val="auto"/>
              </w:rPr>
            </w:pPr>
          </w:p>
        </w:tc>
        <w:tc>
          <w:tcPr>
            <w:tcW w:w="124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180" w:type="dxa"/>
            <w:vAlign w:val="bottom"/>
            <w:shd w:val="clear" w:color="auto" w:fill="EAF9E8"/>
          </w:tcPr>
          <w:p>
            <w:pPr>
              <w:spacing w:after="0"/>
              <w:rPr>
                <w:sz w:val="15"/>
                <w:szCs w:val="15"/>
                <w:color w:val="auto"/>
              </w:rPr>
            </w:pPr>
          </w:p>
        </w:tc>
        <w:tc>
          <w:tcPr>
            <w:tcW w:w="130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180" w:type="dxa"/>
            <w:vAlign w:val="bottom"/>
            <w:shd w:val="clear" w:color="auto" w:fill="EAF9E8"/>
          </w:tcPr>
          <w:p>
            <w:pPr>
              <w:spacing w:after="0"/>
              <w:rPr>
                <w:sz w:val="15"/>
                <w:szCs w:val="15"/>
                <w:color w:val="auto"/>
              </w:rPr>
            </w:pPr>
          </w:p>
        </w:tc>
        <w:tc>
          <w:tcPr>
            <w:tcW w:w="1300" w:type="dxa"/>
            <w:vAlign w:val="bottom"/>
            <w:shd w:val="clear" w:color="auto" w:fill="EAF9E8"/>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40" w:type="dxa"/>
            <w:vAlign w:val="bottom"/>
          </w:tcPr>
          <w:p>
            <w:pPr>
              <w:spacing w:after="0"/>
              <w:rPr>
                <w:sz w:val="24"/>
                <w:szCs w:val="24"/>
                <w:color w:val="auto"/>
              </w:rPr>
            </w:pPr>
          </w:p>
        </w:tc>
        <w:tc>
          <w:tcPr>
            <w:tcW w:w="3500" w:type="dxa"/>
            <w:vAlign w:val="bottom"/>
            <w:gridSpan w:val="2"/>
          </w:tcPr>
          <w:p>
            <w:pPr>
              <w:ind w:left="240"/>
              <w:spacing w:after="0"/>
              <w:rPr>
                <w:sz w:val="20"/>
                <w:szCs w:val="20"/>
                <w:color w:val="auto"/>
              </w:rPr>
            </w:pPr>
            <w:r>
              <w:rPr>
                <w:rFonts w:ascii="Arial" w:cs="Arial" w:eastAsia="Arial" w:hAnsi="Arial"/>
                <w:sz w:val="18"/>
                <w:szCs w:val="18"/>
                <w:color w:val="auto"/>
              </w:rPr>
              <w:t>Income (loss) before income taxes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(82,964)</w:t>
            </w:r>
          </w:p>
        </w:tc>
        <w:tc>
          <w:tcPr>
            <w:tcW w:w="12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9,532</w:t>
            </w:r>
          </w:p>
        </w:tc>
        <w:tc>
          <w:tcPr>
            <w:tcW w:w="1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(125,091)</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(198,523)</w:t>
            </w:r>
          </w:p>
        </w:tc>
        <w:tc>
          <w:tcPr>
            <w:tcW w:w="0" w:type="dxa"/>
            <w:vAlign w:val="bottom"/>
          </w:tcPr>
          <w:p>
            <w:pPr>
              <w:spacing w:after="0"/>
              <w:rPr>
                <w:sz w:val="1"/>
                <w:szCs w:val="1"/>
                <w:color w:val="auto"/>
              </w:rPr>
            </w:pPr>
          </w:p>
        </w:tc>
      </w:tr>
      <w:tr>
        <w:trPr>
          <w:trHeight w:val="163"/>
        </w:trPr>
        <w:tc>
          <w:tcPr>
            <w:tcW w:w="40" w:type="dxa"/>
            <w:vAlign w:val="bottom"/>
            <w:tcBorders>
              <w:top w:val="single" w:sz="8" w:color="EAF9E8"/>
            </w:tcBorders>
            <w:shd w:val="clear" w:color="auto" w:fill="EAF9E8"/>
          </w:tcPr>
          <w:p>
            <w:pPr>
              <w:spacing w:after="0"/>
              <w:rPr>
                <w:sz w:val="14"/>
                <w:szCs w:val="14"/>
                <w:color w:val="auto"/>
              </w:rPr>
            </w:pPr>
          </w:p>
        </w:tc>
        <w:tc>
          <w:tcPr>
            <w:tcW w:w="2440" w:type="dxa"/>
            <w:vAlign w:val="bottom"/>
            <w:tcBorders>
              <w:top w:val="single" w:sz="8" w:color="EAF9E8"/>
            </w:tcBorders>
            <w:shd w:val="clear" w:color="auto" w:fill="EAF9E8"/>
          </w:tcPr>
          <w:p>
            <w:pPr>
              <w:spacing w:after="0"/>
              <w:rPr>
                <w:sz w:val="14"/>
                <w:szCs w:val="14"/>
                <w:color w:val="auto"/>
              </w:rPr>
            </w:pPr>
          </w:p>
        </w:tc>
        <w:tc>
          <w:tcPr>
            <w:tcW w:w="1060" w:type="dxa"/>
            <w:vAlign w:val="bottom"/>
            <w:tcBorders>
              <w:top w:val="single" w:sz="8" w:color="EAF9E8"/>
            </w:tcBorders>
            <w:shd w:val="clear" w:color="auto" w:fill="EAF9E8"/>
          </w:tcPr>
          <w:p>
            <w:pPr>
              <w:spacing w:after="0"/>
              <w:rPr>
                <w:sz w:val="14"/>
                <w:szCs w:val="14"/>
                <w:color w:val="auto"/>
              </w:rPr>
            </w:pPr>
          </w:p>
        </w:tc>
        <w:tc>
          <w:tcPr>
            <w:tcW w:w="260" w:type="dxa"/>
            <w:vAlign w:val="bottom"/>
            <w:tcBorders>
              <w:top w:val="single" w:sz="8" w:color="auto"/>
            </w:tcBorders>
            <w:shd w:val="clear" w:color="auto" w:fill="EAF9E8"/>
          </w:tcPr>
          <w:p>
            <w:pPr>
              <w:spacing w:after="0"/>
              <w:rPr>
                <w:sz w:val="14"/>
                <w:szCs w:val="14"/>
                <w:color w:val="auto"/>
              </w:rPr>
            </w:pPr>
          </w:p>
        </w:tc>
        <w:tc>
          <w:tcPr>
            <w:tcW w:w="1260" w:type="dxa"/>
            <w:vAlign w:val="bottom"/>
            <w:tcBorders>
              <w:top w:val="single" w:sz="8" w:color="auto"/>
            </w:tcBorders>
            <w:shd w:val="clear" w:color="auto" w:fill="EAF9E8"/>
          </w:tcPr>
          <w:p>
            <w:pPr>
              <w:spacing w:after="0"/>
              <w:rPr>
                <w:sz w:val="14"/>
                <w:szCs w:val="14"/>
                <w:color w:val="auto"/>
              </w:rPr>
            </w:pPr>
          </w:p>
        </w:tc>
        <w:tc>
          <w:tcPr>
            <w:tcW w:w="120" w:type="dxa"/>
            <w:vAlign w:val="bottom"/>
            <w:tcBorders>
              <w:top w:val="single" w:sz="8" w:color="EAF9E8"/>
            </w:tcBorders>
            <w:shd w:val="clear" w:color="auto" w:fill="EAF9E8"/>
          </w:tcPr>
          <w:p>
            <w:pPr>
              <w:spacing w:after="0"/>
              <w:rPr>
                <w:sz w:val="14"/>
                <w:szCs w:val="14"/>
                <w:color w:val="auto"/>
              </w:rPr>
            </w:pPr>
          </w:p>
        </w:tc>
        <w:tc>
          <w:tcPr>
            <w:tcW w:w="280" w:type="dxa"/>
            <w:vAlign w:val="bottom"/>
            <w:tcBorders>
              <w:top w:val="single" w:sz="8" w:color="auto"/>
            </w:tcBorders>
            <w:shd w:val="clear" w:color="auto" w:fill="EAF9E8"/>
          </w:tcPr>
          <w:p>
            <w:pPr>
              <w:spacing w:after="0"/>
              <w:rPr>
                <w:sz w:val="14"/>
                <w:szCs w:val="14"/>
                <w:color w:val="auto"/>
              </w:rPr>
            </w:pPr>
          </w:p>
        </w:tc>
        <w:tc>
          <w:tcPr>
            <w:tcW w:w="1220" w:type="dxa"/>
            <w:vAlign w:val="bottom"/>
            <w:tcBorders>
              <w:top w:val="single" w:sz="8" w:color="auto"/>
            </w:tcBorders>
            <w:shd w:val="clear" w:color="auto" w:fill="EAF9E8"/>
          </w:tcPr>
          <w:p>
            <w:pPr>
              <w:spacing w:after="0"/>
              <w:rPr>
                <w:sz w:val="14"/>
                <w:szCs w:val="14"/>
                <w:color w:val="auto"/>
              </w:rPr>
            </w:pPr>
          </w:p>
        </w:tc>
        <w:tc>
          <w:tcPr>
            <w:tcW w:w="100" w:type="dxa"/>
            <w:vAlign w:val="bottom"/>
            <w:tcBorders>
              <w:top w:val="single" w:sz="8" w:color="EAF9E8"/>
            </w:tcBorders>
            <w:shd w:val="clear" w:color="auto" w:fill="EAF9E8"/>
          </w:tcPr>
          <w:p>
            <w:pPr>
              <w:spacing w:after="0"/>
              <w:rPr>
                <w:sz w:val="14"/>
                <w:szCs w:val="14"/>
                <w:color w:val="auto"/>
              </w:rPr>
            </w:pPr>
          </w:p>
        </w:tc>
        <w:tc>
          <w:tcPr>
            <w:tcW w:w="240" w:type="dxa"/>
            <w:vAlign w:val="bottom"/>
            <w:tcBorders>
              <w:top w:val="single" w:sz="8" w:color="auto"/>
            </w:tcBorders>
            <w:shd w:val="clear" w:color="auto" w:fill="EAF9E8"/>
          </w:tcPr>
          <w:p>
            <w:pPr>
              <w:spacing w:after="0"/>
              <w:rPr>
                <w:sz w:val="14"/>
                <w:szCs w:val="14"/>
                <w:color w:val="auto"/>
              </w:rPr>
            </w:pPr>
          </w:p>
        </w:tc>
        <w:tc>
          <w:tcPr>
            <w:tcW w:w="1240" w:type="dxa"/>
            <w:vAlign w:val="bottom"/>
            <w:tcBorders>
              <w:top w:val="single" w:sz="8" w:color="auto"/>
            </w:tcBorders>
            <w:shd w:val="clear" w:color="auto" w:fill="EAF9E8"/>
          </w:tcPr>
          <w:p>
            <w:pPr>
              <w:spacing w:after="0"/>
              <w:rPr>
                <w:sz w:val="14"/>
                <w:szCs w:val="14"/>
                <w:color w:val="auto"/>
              </w:rPr>
            </w:pPr>
          </w:p>
        </w:tc>
        <w:tc>
          <w:tcPr>
            <w:tcW w:w="100" w:type="dxa"/>
            <w:vAlign w:val="bottom"/>
            <w:tcBorders>
              <w:top w:val="single" w:sz="8" w:color="EAF9E8"/>
            </w:tcBorders>
            <w:shd w:val="clear" w:color="auto" w:fill="EAF9E8"/>
          </w:tcPr>
          <w:p>
            <w:pPr>
              <w:spacing w:after="0"/>
              <w:rPr>
                <w:sz w:val="14"/>
                <w:szCs w:val="14"/>
                <w:color w:val="auto"/>
              </w:rPr>
            </w:pPr>
          </w:p>
        </w:tc>
        <w:tc>
          <w:tcPr>
            <w:tcW w:w="180" w:type="dxa"/>
            <w:vAlign w:val="bottom"/>
            <w:tcBorders>
              <w:top w:val="single" w:sz="8" w:color="auto"/>
            </w:tcBorders>
            <w:shd w:val="clear" w:color="auto" w:fill="EAF9E8"/>
          </w:tcPr>
          <w:p>
            <w:pPr>
              <w:spacing w:after="0"/>
              <w:rPr>
                <w:sz w:val="14"/>
                <w:szCs w:val="14"/>
                <w:color w:val="auto"/>
              </w:rPr>
            </w:pPr>
          </w:p>
        </w:tc>
        <w:tc>
          <w:tcPr>
            <w:tcW w:w="1300" w:type="dxa"/>
            <w:vAlign w:val="bottom"/>
            <w:tcBorders>
              <w:top w:val="single" w:sz="8" w:color="auto"/>
            </w:tcBorders>
            <w:shd w:val="clear" w:color="auto" w:fill="EAF9E8"/>
          </w:tcPr>
          <w:p>
            <w:pPr>
              <w:spacing w:after="0"/>
              <w:rPr>
                <w:sz w:val="14"/>
                <w:szCs w:val="14"/>
                <w:color w:val="auto"/>
              </w:rPr>
            </w:pPr>
          </w:p>
        </w:tc>
        <w:tc>
          <w:tcPr>
            <w:tcW w:w="100" w:type="dxa"/>
            <w:vAlign w:val="bottom"/>
            <w:tcBorders>
              <w:top w:val="single" w:sz="8" w:color="EAF9E8"/>
            </w:tcBorders>
            <w:shd w:val="clear" w:color="auto" w:fill="EAF9E8"/>
          </w:tcPr>
          <w:p>
            <w:pPr>
              <w:spacing w:after="0"/>
              <w:rPr>
                <w:sz w:val="14"/>
                <w:szCs w:val="14"/>
                <w:color w:val="auto"/>
              </w:rPr>
            </w:pPr>
          </w:p>
        </w:tc>
        <w:tc>
          <w:tcPr>
            <w:tcW w:w="180" w:type="dxa"/>
            <w:vAlign w:val="bottom"/>
            <w:tcBorders>
              <w:top w:val="single" w:sz="8" w:color="auto"/>
            </w:tcBorders>
            <w:shd w:val="clear" w:color="auto" w:fill="EAF9E8"/>
          </w:tcPr>
          <w:p>
            <w:pPr>
              <w:spacing w:after="0"/>
              <w:rPr>
                <w:sz w:val="14"/>
                <w:szCs w:val="14"/>
                <w:color w:val="auto"/>
              </w:rPr>
            </w:pPr>
          </w:p>
        </w:tc>
        <w:tc>
          <w:tcPr>
            <w:tcW w:w="1300" w:type="dxa"/>
            <w:vAlign w:val="bottom"/>
            <w:tcBorders>
              <w:top w:val="single" w:sz="8" w:color="auto"/>
            </w:tcBorders>
            <w:shd w:val="clear" w:color="auto" w:fill="EAF9E8"/>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540" w:type="dxa"/>
            <w:vAlign w:val="bottom"/>
            <w:gridSpan w:val="3"/>
          </w:tcPr>
          <w:p>
            <w:pPr>
              <w:ind w:left="40"/>
              <w:spacing w:after="0" w:line="202" w:lineRule="exact"/>
              <w:rPr>
                <w:sz w:val="20"/>
                <w:szCs w:val="20"/>
                <w:color w:val="auto"/>
              </w:rPr>
            </w:pPr>
            <w:r>
              <w:rPr>
                <w:rFonts w:ascii="Arial" w:cs="Arial" w:eastAsia="Arial" w:hAnsi="Arial"/>
                <w:sz w:val="18"/>
                <w:szCs w:val="18"/>
                <w:b w:val="1"/>
                <w:bCs w:val="1"/>
                <w:color w:val="auto"/>
              </w:rPr>
              <w:t>Six months ended June 30, 2015</w:t>
            </w: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2440" w:type="dxa"/>
            <w:vAlign w:val="bottom"/>
            <w:tcBorders>
              <w:top w:val="single" w:sz="8" w:color="auto"/>
            </w:tcBorders>
          </w:tcPr>
          <w:p>
            <w:pPr>
              <w:spacing w:after="0"/>
              <w:rPr>
                <w:sz w:val="4"/>
                <w:szCs w:val="4"/>
                <w:color w:val="auto"/>
              </w:rPr>
            </w:pPr>
          </w:p>
        </w:tc>
        <w:tc>
          <w:tcPr>
            <w:tcW w:w="10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0" w:type="dxa"/>
            <w:vAlign w:val="bottom"/>
            <w:tcBorders>
              <w:bottom w:val="single" w:sz="8" w:color="EAF9E8"/>
            </w:tcBorders>
            <w:shd w:val="clear" w:color="auto" w:fill="EAF9E8"/>
          </w:tcPr>
          <w:p>
            <w:pPr>
              <w:spacing w:after="0"/>
              <w:rPr>
                <w:sz w:val="23"/>
                <w:szCs w:val="23"/>
                <w:color w:val="auto"/>
              </w:rPr>
            </w:pPr>
          </w:p>
        </w:tc>
        <w:tc>
          <w:tcPr>
            <w:tcW w:w="3500" w:type="dxa"/>
            <w:vAlign w:val="bottom"/>
            <w:tcBorders>
              <w:bottom w:val="single" w:sz="8" w:color="EAF9E8"/>
            </w:tcBorders>
            <w:gridSpan w:val="2"/>
            <w:shd w:val="clear" w:color="auto" w:fill="EAF9E8"/>
          </w:tcPr>
          <w:p>
            <w:pPr>
              <w:ind w:left="240"/>
              <w:spacing w:after="0"/>
              <w:rPr>
                <w:sz w:val="20"/>
                <w:szCs w:val="20"/>
                <w:color w:val="auto"/>
              </w:rPr>
            </w:pPr>
            <w:r>
              <w:rPr>
                <w:rFonts w:ascii="Arial" w:cs="Arial" w:eastAsia="Arial" w:hAnsi="Arial"/>
                <w:sz w:val="18"/>
                <w:szCs w:val="18"/>
                <w:color w:val="auto"/>
              </w:rPr>
              <w:t>Revenue (1)</w:t>
            </w:r>
          </w:p>
        </w:tc>
        <w:tc>
          <w:tcPr>
            <w:tcW w:w="26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894,332</w:t>
            </w:r>
          </w:p>
        </w:tc>
        <w:tc>
          <w:tcPr>
            <w:tcW w:w="12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77,059</w:t>
            </w:r>
          </w:p>
        </w:tc>
        <w:tc>
          <w:tcPr>
            <w:tcW w:w="100" w:type="dxa"/>
            <w:vAlign w:val="bottom"/>
            <w:tcBorders>
              <w:bottom w:val="single" w:sz="8" w:color="EAF9E8"/>
            </w:tcBorders>
            <w:shd w:val="clear" w:color="auto" w:fill="EAF9E8"/>
          </w:tcPr>
          <w:p>
            <w:pPr>
              <w:spacing w:after="0"/>
              <w:rPr>
                <w:sz w:val="23"/>
                <w:szCs w:val="23"/>
                <w:color w:val="auto"/>
              </w:rPr>
            </w:pPr>
          </w:p>
        </w:tc>
        <w:tc>
          <w:tcPr>
            <w:tcW w:w="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2,362</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973,695</w:t>
            </w:r>
          </w:p>
        </w:tc>
        <w:tc>
          <w:tcPr>
            <w:tcW w:w="0" w:type="dxa"/>
            <w:vAlign w:val="bottom"/>
          </w:tcPr>
          <w:p>
            <w:pPr>
              <w:spacing w:after="0"/>
              <w:rPr>
                <w:sz w:val="1"/>
                <w:szCs w:val="1"/>
                <w:color w:val="auto"/>
              </w:rPr>
            </w:pPr>
          </w:p>
        </w:tc>
      </w:tr>
      <w:tr>
        <w:trPr>
          <w:trHeight w:val="318"/>
        </w:trPr>
        <w:tc>
          <w:tcPr>
            <w:tcW w:w="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Borders>
              <w:bottom w:val="single" w:sz="8" w:color="EAF9E8"/>
            </w:tcBorders>
            <w:shd w:val="clear" w:color="auto" w:fill="EAF9E8"/>
          </w:tcPr>
          <w:p>
            <w:pPr>
              <w:spacing w:after="0"/>
              <w:rPr>
                <w:sz w:val="23"/>
                <w:szCs w:val="23"/>
                <w:color w:val="auto"/>
              </w:rPr>
            </w:pPr>
          </w:p>
        </w:tc>
        <w:tc>
          <w:tcPr>
            <w:tcW w:w="3500" w:type="dxa"/>
            <w:vAlign w:val="bottom"/>
            <w:tcBorders>
              <w:bottom w:val="single" w:sz="8" w:color="EAF9E8"/>
            </w:tcBorders>
            <w:gridSpan w:val="2"/>
            <w:shd w:val="clear" w:color="auto" w:fill="EAF9E8"/>
          </w:tcPr>
          <w:p>
            <w:pPr>
              <w:ind w:left="240"/>
              <w:spacing w:after="0"/>
              <w:rPr>
                <w:sz w:val="20"/>
                <w:szCs w:val="20"/>
                <w:color w:val="auto"/>
              </w:rPr>
            </w:pPr>
            <w:r>
              <w:rPr>
                <w:rFonts w:ascii="Arial" w:cs="Arial" w:eastAsia="Arial" w:hAnsi="Arial"/>
                <w:sz w:val="18"/>
                <w:szCs w:val="18"/>
                <w:color w:val="auto"/>
              </w:rPr>
              <w:t>Expenses (1) (2)</w:t>
            </w:r>
          </w:p>
        </w:tc>
        <w:tc>
          <w:tcPr>
            <w:tcW w:w="26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622,325</w:t>
            </w:r>
          </w:p>
        </w:tc>
        <w:tc>
          <w:tcPr>
            <w:tcW w:w="12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50,372</w:t>
            </w:r>
          </w:p>
        </w:tc>
        <w:tc>
          <w:tcPr>
            <w:tcW w:w="100" w:type="dxa"/>
            <w:vAlign w:val="bottom"/>
            <w:tcBorders>
              <w:bottom w:val="single" w:sz="8" w:color="EAF9E8"/>
            </w:tcBorders>
            <w:shd w:val="clear" w:color="auto" w:fill="EAF9E8"/>
          </w:tcPr>
          <w:p>
            <w:pPr>
              <w:spacing w:after="0"/>
              <w:rPr>
                <w:sz w:val="23"/>
                <w:szCs w:val="23"/>
                <w:color w:val="auto"/>
              </w:rPr>
            </w:pPr>
          </w:p>
        </w:tc>
        <w:tc>
          <w:tcPr>
            <w:tcW w:w="24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57,971</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730,610</w:t>
            </w:r>
          </w:p>
        </w:tc>
        <w:tc>
          <w:tcPr>
            <w:tcW w:w="0" w:type="dxa"/>
            <w:vAlign w:val="bottom"/>
          </w:tcPr>
          <w:p>
            <w:pPr>
              <w:spacing w:after="0"/>
              <w:rPr>
                <w:sz w:val="1"/>
                <w:szCs w:val="1"/>
                <w:color w:val="auto"/>
              </w:rPr>
            </w:pPr>
          </w:p>
        </w:tc>
      </w:tr>
      <w:tr>
        <w:trPr>
          <w:trHeight w:val="318"/>
        </w:trPr>
        <w:tc>
          <w:tcPr>
            <w:tcW w:w="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3500" w:type="dxa"/>
            <w:vAlign w:val="bottom"/>
            <w:tcBorders>
              <w:bottom w:val="single" w:sz="8" w:color="EAF9E8"/>
            </w:tcBorders>
            <w:gridSpan w:val="2"/>
            <w:shd w:val="clear" w:color="auto" w:fill="EAF9E8"/>
          </w:tcPr>
          <w:p>
            <w:pPr>
              <w:ind w:left="240"/>
              <w:spacing w:after="0"/>
              <w:rPr>
                <w:sz w:val="20"/>
                <w:szCs w:val="20"/>
                <w:color w:val="auto"/>
              </w:rPr>
            </w:pPr>
            <w:r>
              <w:rPr>
                <w:rFonts w:ascii="Arial" w:cs="Arial" w:eastAsia="Arial" w:hAnsi="Arial"/>
                <w:sz w:val="18"/>
                <w:szCs w:val="18"/>
                <w:color w:val="auto"/>
              </w:rPr>
              <w:t>Other income (expense):</w:t>
            </w:r>
          </w:p>
        </w:tc>
        <w:tc>
          <w:tcPr>
            <w:tcW w:w="2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500" w:type="dxa"/>
            <w:vAlign w:val="bottom"/>
            <w:gridSpan w:val="2"/>
          </w:tcPr>
          <w:p>
            <w:pPr>
              <w:ind w:left="460"/>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2,057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7,143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1,413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10,613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3500" w:type="dxa"/>
            <w:vAlign w:val="bottom"/>
            <w:tcBorders>
              <w:bottom w:val="single" w:sz="8" w:color="EAF9E8"/>
            </w:tcBorders>
            <w:gridSpan w:val="2"/>
            <w:shd w:val="clear" w:color="auto" w:fill="EAF9E8"/>
          </w:tcPr>
          <w:p>
            <w:pPr>
              <w:ind w:left="46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(226,730)</w:t>
            </w: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(4,802)</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(12,761)</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(244,293)</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500" w:type="dxa"/>
            <w:vAlign w:val="bottom"/>
            <w:gridSpan w:val="2"/>
          </w:tcPr>
          <w:p>
            <w:pPr>
              <w:ind w:left="460"/>
              <w:spacing w:after="0"/>
              <w:rPr>
                <w:sz w:val="20"/>
                <w:szCs w:val="20"/>
                <w:color w:val="auto"/>
              </w:rPr>
            </w:pPr>
            <w:r>
              <w:rPr>
                <w:rFonts w:ascii="Arial" w:cs="Arial" w:eastAsia="Arial" w:hAnsi="Arial"/>
                <w:sz w:val="18"/>
                <w:szCs w:val="18"/>
                <w:color w:val="auto"/>
                <w:w w:val="90"/>
              </w:rPr>
              <w:t>Gain on sale of mortgage servicing rights,</w:t>
            </w: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3500" w:type="dxa"/>
            <w:vAlign w:val="bottom"/>
            <w:gridSpan w:val="2"/>
          </w:tcPr>
          <w:p>
            <w:pPr>
              <w:ind w:left="620"/>
              <w:spacing w:after="0"/>
              <w:rPr>
                <w:sz w:val="20"/>
                <w:szCs w:val="20"/>
                <w:color w:val="auto"/>
              </w:rPr>
            </w:pPr>
            <w:r>
              <w:rPr>
                <w:rFonts w:ascii="Arial" w:cs="Arial" w:eastAsia="Arial" w:hAnsi="Arial"/>
                <w:sz w:val="18"/>
                <w:szCs w:val="18"/>
                <w:color w:val="auto"/>
              </w:rPr>
              <w:t>net</w:t>
            </w:r>
          </w:p>
        </w:tc>
        <w:tc>
          <w:tcPr>
            <w:tcW w:w="260" w:type="dxa"/>
            <w:vAlign w:val="bottom"/>
          </w:tcPr>
          <w:p>
            <w:pPr>
              <w:spacing w:after="0"/>
              <w:rPr>
                <w:sz w:val="20"/>
                <w:szCs w:val="20"/>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56,712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56,712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EAF9E8"/>
            </w:tcBorders>
            <w:shd w:val="clear" w:color="auto" w:fill="EAF9E8"/>
          </w:tcPr>
          <w:p>
            <w:pPr>
              <w:spacing w:after="0"/>
              <w:rPr>
                <w:sz w:val="23"/>
                <w:szCs w:val="23"/>
                <w:color w:val="auto"/>
              </w:rPr>
            </w:pPr>
          </w:p>
        </w:tc>
        <w:tc>
          <w:tcPr>
            <w:tcW w:w="3500" w:type="dxa"/>
            <w:vAlign w:val="bottom"/>
            <w:tcBorders>
              <w:bottom w:val="single" w:sz="8" w:color="EAF9E8"/>
            </w:tcBorders>
            <w:gridSpan w:val="2"/>
            <w:shd w:val="clear" w:color="auto" w:fill="EAF9E8"/>
          </w:tcPr>
          <w:p>
            <w:pPr>
              <w:ind w:left="460"/>
              <w:spacing w:after="0"/>
              <w:rPr>
                <w:sz w:val="20"/>
                <w:szCs w:val="20"/>
                <w:color w:val="auto"/>
              </w:rPr>
            </w:pPr>
            <w:r>
              <w:rPr>
                <w:rFonts w:ascii="Arial" w:cs="Arial" w:eastAsia="Arial" w:hAnsi="Arial"/>
                <w:sz w:val="18"/>
                <w:szCs w:val="18"/>
                <w:color w:val="auto"/>
              </w:rPr>
              <w:t>Other (1)</w:t>
            </w:r>
          </w:p>
        </w:tc>
        <w:tc>
          <w:tcPr>
            <w:tcW w:w="26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(12,746)</w:t>
            </w:r>
          </w:p>
        </w:tc>
        <w:tc>
          <w:tcPr>
            <w:tcW w:w="12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1,401</w:t>
            </w:r>
          </w:p>
        </w:tc>
        <w:tc>
          <w:tcPr>
            <w:tcW w:w="100" w:type="dxa"/>
            <w:vAlign w:val="bottom"/>
            <w:tcBorders>
              <w:bottom w:val="single" w:sz="8" w:color="EAF9E8"/>
            </w:tcBorders>
            <w:shd w:val="clear" w:color="auto" w:fill="EAF9E8"/>
          </w:tcPr>
          <w:p>
            <w:pPr>
              <w:spacing w:after="0"/>
              <w:rPr>
                <w:sz w:val="23"/>
                <w:szCs w:val="23"/>
                <w:color w:val="auto"/>
              </w:rPr>
            </w:pPr>
          </w:p>
        </w:tc>
        <w:tc>
          <w:tcPr>
            <w:tcW w:w="24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557</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4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(10,788)</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500" w:type="dxa"/>
            <w:vAlign w:val="bottom"/>
            <w:gridSpan w:val="2"/>
          </w:tcPr>
          <w:p>
            <w:pPr>
              <w:ind w:left="680"/>
              <w:spacing w:after="0"/>
              <w:rPr>
                <w:sz w:val="20"/>
                <w:szCs w:val="20"/>
                <w:color w:val="auto"/>
              </w:rPr>
            </w:pPr>
            <w:r>
              <w:rPr>
                <w:rFonts w:ascii="Arial" w:cs="Arial" w:eastAsia="Arial" w:hAnsi="Arial"/>
                <w:sz w:val="18"/>
                <w:szCs w:val="18"/>
                <w:color w:val="auto"/>
              </w:rPr>
              <w:t>Other income (expense), net</w:t>
            </w:r>
          </w:p>
        </w:tc>
        <w:tc>
          <w:tcPr>
            <w:tcW w:w="2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(180,707)</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3,742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(10,791)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(187,756)</w:t>
            </w:r>
          </w:p>
        </w:tc>
        <w:tc>
          <w:tcPr>
            <w:tcW w:w="0" w:type="dxa"/>
            <w:vAlign w:val="bottom"/>
          </w:tcPr>
          <w:p>
            <w:pPr>
              <w:spacing w:after="0"/>
              <w:rPr>
                <w:sz w:val="1"/>
                <w:szCs w:val="1"/>
                <w:color w:val="auto"/>
              </w:rPr>
            </w:pPr>
          </w:p>
        </w:tc>
      </w:tr>
      <w:tr>
        <w:trPr>
          <w:trHeight w:val="27"/>
        </w:trPr>
        <w:tc>
          <w:tcPr>
            <w:tcW w:w="40" w:type="dxa"/>
            <w:vAlign w:val="bottom"/>
            <w:tcBorders>
              <w:bottom w:val="single" w:sz="8" w:color="EAF9E8"/>
            </w:tcBorders>
          </w:tcPr>
          <w:p>
            <w:pPr>
              <w:spacing w:after="0"/>
              <w:rPr>
                <w:sz w:val="2"/>
                <w:szCs w:val="2"/>
                <w:color w:val="auto"/>
              </w:rPr>
            </w:pPr>
          </w:p>
        </w:tc>
        <w:tc>
          <w:tcPr>
            <w:tcW w:w="2440" w:type="dxa"/>
            <w:vAlign w:val="bottom"/>
            <w:tcBorders>
              <w:bottom w:val="single" w:sz="8" w:color="EAF9E8"/>
            </w:tcBorders>
          </w:tcPr>
          <w:p>
            <w:pPr>
              <w:spacing w:after="0"/>
              <w:rPr>
                <w:sz w:val="2"/>
                <w:szCs w:val="2"/>
                <w:color w:val="auto"/>
              </w:rPr>
            </w:pPr>
          </w:p>
        </w:tc>
        <w:tc>
          <w:tcPr>
            <w:tcW w:w="106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0" w:type="dxa"/>
            <w:vAlign w:val="bottom"/>
            <w:shd w:val="clear" w:color="auto" w:fill="EAF9E8"/>
          </w:tcPr>
          <w:p>
            <w:pPr>
              <w:spacing w:after="0"/>
              <w:rPr>
                <w:sz w:val="15"/>
                <w:szCs w:val="15"/>
                <w:color w:val="auto"/>
              </w:rPr>
            </w:pPr>
          </w:p>
        </w:tc>
        <w:tc>
          <w:tcPr>
            <w:tcW w:w="2440" w:type="dxa"/>
            <w:vAlign w:val="bottom"/>
            <w:shd w:val="clear" w:color="auto" w:fill="EAF9E8"/>
          </w:tcPr>
          <w:p>
            <w:pPr>
              <w:spacing w:after="0"/>
              <w:rPr>
                <w:sz w:val="15"/>
                <w:szCs w:val="15"/>
                <w:color w:val="auto"/>
              </w:rPr>
            </w:pPr>
          </w:p>
        </w:tc>
        <w:tc>
          <w:tcPr>
            <w:tcW w:w="1060" w:type="dxa"/>
            <w:vAlign w:val="bottom"/>
            <w:shd w:val="clear" w:color="auto" w:fill="EAF9E8"/>
          </w:tcPr>
          <w:p>
            <w:pPr>
              <w:spacing w:after="0"/>
              <w:rPr>
                <w:sz w:val="15"/>
                <w:szCs w:val="15"/>
                <w:color w:val="auto"/>
              </w:rPr>
            </w:pPr>
          </w:p>
        </w:tc>
        <w:tc>
          <w:tcPr>
            <w:tcW w:w="260" w:type="dxa"/>
            <w:vAlign w:val="bottom"/>
            <w:shd w:val="clear" w:color="auto" w:fill="EAF9E8"/>
          </w:tcPr>
          <w:p>
            <w:pPr>
              <w:spacing w:after="0"/>
              <w:rPr>
                <w:sz w:val="15"/>
                <w:szCs w:val="15"/>
                <w:color w:val="auto"/>
              </w:rPr>
            </w:pPr>
          </w:p>
        </w:tc>
        <w:tc>
          <w:tcPr>
            <w:tcW w:w="1260" w:type="dxa"/>
            <w:vAlign w:val="bottom"/>
            <w:shd w:val="clear" w:color="auto" w:fill="EAF9E8"/>
          </w:tcPr>
          <w:p>
            <w:pPr>
              <w:spacing w:after="0"/>
              <w:rPr>
                <w:sz w:val="15"/>
                <w:szCs w:val="15"/>
                <w:color w:val="auto"/>
              </w:rPr>
            </w:pPr>
          </w:p>
        </w:tc>
        <w:tc>
          <w:tcPr>
            <w:tcW w:w="120" w:type="dxa"/>
            <w:vAlign w:val="bottom"/>
            <w:shd w:val="clear" w:color="auto" w:fill="EAF9E8"/>
          </w:tcPr>
          <w:p>
            <w:pPr>
              <w:spacing w:after="0"/>
              <w:rPr>
                <w:sz w:val="15"/>
                <w:szCs w:val="15"/>
                <w:color w:val="auto"/>
              </w:rPr>
            </w:pPr>
          </w:p>
        </w:tc>
        <w:tc>
          <w:tcPr>
            <w:tcW w:w="280" w:type="dxa"/>
            <w:vAlign w:val="bottom"/>
            <w:shd w:val="clear" w:color="auto" w:fill="EAF9E8"/>
          </w:tcPr>
          <w:p>
            <w:pPr>
              <w:spacing w:after="0"/>
              <w:rPr>
                <w:sz w:val="15"/>
                <w:szCs w:val="15"/>
                <w:color w:val="auto"/>
              </w:rPr>
            </w:pPr>
          </w:p>
        </w:tc>
        <w:tc>
          <w:tcPr>
            <w:tcW w:w="122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240" w:type="dxa"/>
            <w:vAlign w:val="bottom"/>
            <w:shd w:val="clear" w:color="auto" w:fill="EAF9E8"/>
          </w:tcPr>
          <w:p>
            <w:pPr>
              <w:spacing w:after="0"/>
              <w:rPr>
                <w:sz w:val="15"/>
                <w:szCs w:val="15"/>
                <w:color w:val="auto"/>
              </w:rPr>
            </w:pPr>
          </w:p>
        </w:tc>
        <w:tc>
          <w:tcPr>
            <w:tcW w:w="124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180" w:type="dxa"/>
            <w:vAlign w:val="bottom"/>
            <w:shd w:val="clear" w:color="auto" w:fill="EAF9E8"/>
          </w:tcPr>
          <w:p>
            <w:pPr>
              <w:spacing w:after="0"/>
              <w:rPr>
                <w:sz w:val="15"/>
                <w:szCs w:val="15"/>
                <w:color w:val="auto"/>
              </w:rPr>
            </w:pPr>
          </w:p>
        </w:tc>
        <w:tc>
          <w:tcPr>
            <w:tcW w:w="130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180" w:type="dxa"/>
            <w:vAlign w:val="bottom"/>
            <w:shd w:val="clear" w:color="auto" w:fill="EAF9E8"/>
          </w:tcPr>
          <w:p>
            <w:pPr>
              <w:spacing w:after="0"/>
              <w:rPr>
                <w:sz w:val="15"/>
                <w:szCs w:val="15"/>
                <w:color w:val="auto"/>
              </w:rPr>
            </w:pPr>
          </w:p>
        </w:tc>
        <w:tc>
          <w:tcPr>
            <w:tcW w:w="1300" w:type="dxa"/>
            <w:vAlign w:val="bottom"/>
            <w:shd w:val="clear" w:color="auto" w:fill="EAF9E8"/>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40" w:type="dxa"/>
            <w:vAlign w:val="bottom"/>
          </w:tcPr>
          <w:p>
            <w:pPr>
              <w:spacing w:after="0"/>
              <w:rPr>
                <w:sz w:val="24"/>
                <w:szCs w:val="24"/>
                <w:color w:val="auto"/>
              </w:rPr>
            </w:pPr>
          </w:p>
        </w:tc>
        <w:tc>
          <w:tcPr>
            <w:tcW w:w="3500" w:type="dxa"/>
            <w:vAlign w:val="bottom"/>
            <w:gridSpan w:val="2"/>
          </w:tcPr>
          <w:p>
            <w:pPr>
              <w:ind w:left="240"/>
              <w:spacing w:after="0"/>
              <w:rPr>
                <w:sz w:val="20"/>
                <w:szCs w:val="20"/>
                <w:color w:val="auto"/>
              </w:rPr>
            </w:pPr>
            <w:r>
              <w:rPr>
                <w:rFonts w:ascii="Arial" w:cs="Arial" w:eastAsia="Arial" w:hAnsi="Arial"/>
                <w:sz w:val="18"/>
                <w:szCs w:val="18"/>
                <w:color w:val="auto"/>
              </w:rPr>
              <w:t>Income (loss) before income taxes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91,300</w:t>
            </w:r>
          </w:p>
        </w:tc>
        <w:tc>
          <w:tcPr>
            <w:tcW w:w="12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30,429</w:t>
            </w:r>
          </w:p>
        </w:tc>
        <w:tc>
          <w:tcPr>
            <w:tcW w:w="1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(66,400)</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55,329</w:t>
            </w:r>
          </w:p>
        </w:tc>
        <w:tc>
          <w:tcPr>
            <w:tcW w:w="0" w:type="dxa"/>
            <w:vAlign w:val="bottom"/>
          </w:tcPr>
          <w:p>
            <w:pPr>
              <w:spacing w:after="0"/>
              <w:rPr>
                <w:sz w:val="1"/>
                <w:szCs w:val="1"/>
                <w:color w:val="auto"/>
              </w:rPr>
            </w:pPr>
          </w:p>
        </w:tc>
      </w:tr>
      <w:tr>
        <w:trPr>
          <w:trHeight w:val="284"/>
        </w:trPr>
        <w:tc>
          <w:tcPr>
            <w:tcW w:w="40" w:type="dxa"/>
            <w:vAlign w:val="bottom"/>
            <w:tcBorders>
              <w:top w:val="single" w:sz="8" w:color="EAF9E8"/>
            </w:tcBorders>
            <w:shd w:val="clear" w:color="auto" w:fill="EAF9E8"/>
          </w:tcPr>
          <w:p>
            <w:pPr>
              <w:spacing w:after="0"/>
              <w:rPr>
                <w:sz w:val="24"/>
                <w:szCs w:val="24"/>
                <w:color w:val="auto"/>
              </w:rPr>
            </w:pPr>
          </w:p>
        </w:tc>
        <w:tc>
          <w:tcPr>
            <w:tcW w:w="2440" w:type="dxa"/>
            <w:vAlign w:val="bottom"/>
            <w:tcBorders>
              <w:top w:val="single" w:sz="8" w:color="EAF9E8"/>
            </w:tcBorders>
            <w:shd w:val="clear" w:color="auto" w:fill="EAF9E8"/>
          </w:tcPr>
          <w:p>
            <w:pPr>
              <w:spacing w:after="0"/>
              <w:rPr>
                <w:sz w:val="24"/>
                <w:szCs w:val="24"/>
                <w:color w:val="auto"/>
              </w:rPr>
            </w:pPr>
          </w:p>
        </w:tc>
        <w:tc>
          <w:tcPr>
            <w:tcW w:w="1060" w:type="dxa"/>
            <w:vAlign w:val="bottom"/>
            <w:tcBorders>
              <w:top w:val="single" w:sz="8" w:color="EAF9E8"/>
            </w:tcBorders>
            <w:shd w:val="clear" w:color="auto" w:fill="EAF9E8"/>
          </w:tcPr>
          <w:p>
            <w:pPr>
              <w:spacing w:after="0"/>
              <w:rPr>
                <w:sz w:val="24"/>
                <w:szCs w:val="24"/>
                <w:color w:val="auto"/>
              </w:rPr>
            </w:pPr>
          </w:p>
        </w:tc>
        <w:tc>
          <w:tcPr>
            <w:tcW w:w="260" w:type="dxa"/>
            <w:vAlign w:val="bottom"/>
            <w:tcBorders>
              <w:top w:val="single" w:sz="8" w:color="auto"/>
            </w:tcBorders>
            <w:shd w:val="clear" w:color="auto" w:fill="EAF9E8"/>
          </w:tcPr>
          <w:p>
            <w:pPr>
              <w:spacing w:after="0"/>
              <w:rPr>
                <w:sz w:val="24"/>
                <w:szCs w:val="24"/>
                <w:color w:val="auto"/>
              </w:rPr>
            </w:pPr>
          </w:p>
        </w:tc>
        <w:tc>
          <w:tcPr>
            <w:tcW w:w="1260" w:type="dxa"/>
            <w:vAlign w:val="bottom"/>
            <w:tcBorders>
              <w:top w:val="single" w:sz="8" w:color="auto"/>
            </w:tcBorders>
            <w:shd w:val="clear" w:color="auto" w:fill="EAF9E8"/>
          </w:tcPr>
          <w:p>
            <w:pPr>
              <w:spacing w:after="0"/>
              <w:rPr>
                <w:sz w:val="24"/>
                <w:szCs w:val="24"/>
                <w:color w:val="auto"/>
              </w:rPr>
            </w:pPr>
          </w:p>
        </w:tc>
        <w:tc>
          <w:tcPr>
            <w:tcW w:w="120" w:type="dxa"/>
            <w:vAlign w:val="bottom"/>
            <w:tcBorders>
              <w:top w:val="single" w:sz="8" w:color="EAF9E8"/>
            </w:tcBorders>
            <w:shd w:val="clear" w:color="auto" w:fill="EAF9E8"/>
          </w:tcPr>
          <w:p>
            <w:pPr>
              <w:spacing w:after="0"/>
              <w:rPr>
                <w:sz w:val="24"/>
                <w:szCs w:val="24"/>
                <w:color w:val="auto"/>
              </w:rPr>
            </w:pPr>
          </w:p>
        </w:tc>
        <w:tc>
          <w:tcPr>
            <w:tcW w:w="280" w:type="dxa"/>
            <w:vAlign w:val="bottom"/>
            <w:tcBorders>
              <w:top w:val="single" w:sz="8" w:color="auto"/>
            </w:tcBorders>
            <w:shd w:val="clear" w:color="auto" w:fill="EAF9E8"/>
          </w:tcPr>
          <w:p>
            <w:pPr>
              <w:spacing w:after="0"/>
              <w:rPr>
                <w:sz w:val="24"/>
                <w:szCs w:val="24"/>
                <w:color w:val="auto"/>
              </w:rPr>
            </w:pPr>
          </w:p>
        </w:tc>
        <w:tc>
          <w:tcPr>
            <w:tcW w:w="1220" w:type="dxa"/>
            <w:vAlign w:val="bottom"/>
            <w:tcBorders>
              <w:top w:val="single" w:sz="8" w:color="auto"/>
            </w:tcBorders>
            <w:shd w:val="clear" w:color="auto" w:fill="EAF9E8"/>
          </w:tcPr>
          <w:p>
            <w:pPr>
              <w:spacing w:after="0"/>
              <w:rPr>
                <w:sz w:val="24"/>
                <w:szCs w:val="24"/>
                <w:color w:val="auto"/>
              </w:rPr>
            </w:pPr>
          </w:p>
        </w:tc>
        <w:tc>
          <w:tcPr>
            <w:tcW w:w="100" w:type="dxa"/>
            <w:vAlign w:val="bottom"/>
            <w:tcBorders>
              <w:top w:val="single" w:sz="8" w:color="EAF9E8"/>
            </w:tcBorders>
            <w:shd w:val="clear" w:color="auto" w:fill="EAF9E8"/>
          </w:tcPr>
          <w:p>
            <w:pPr>
              <w:spacing w:after="0"/>
              <w:rPr>
                <w:sz w:val="24"/>
                <w:szCs w:val="24"/>
                <w:color w:val="auto"/>
              </w:rPr>
            </w:pPr>
          </w:p>
        </w:tc>
        <w:tc>
          <w:tcPr>
            <w:tcW w:w="240" w:type="dxa"/>
            <w:vAlign w:val="bottom"/>
            <w:tcBorders>
              <w:top w:val="single" w:sz="8" w:color="auto"/>
            </w:tcBorders>
            <w:shd w:val="clear" w:color="auto" w:fill="EAF9E8"/>
          </w:tcPr>
          <w:p>
            <w:pPr>
              <w:spacing w:after="0"/>
              <w:rPr>
                <w:sz w:val="24"/>
                <w:szCs w:val="24"/>
                <w:color w:val="auto"/>
              </w:rPr>
            </w:pPr>
          </w:p>
        </w:tc>
        <w:tc>
          <w:tcPr>
            <w:tcW w:w="1240" w:type="dxa"/>
            <w:vAlign w:val="bottom"/>
            <w:tcBorders>
              <w:top w:val="single" w:sz="8" w:color="auto"/>
            </w:tcBorders>
            <w:shd w:val="clear" w:color="auto" w:fill="EAF9E8"/>
          </w:tcPr>
          <w:p>
            <w:pPr>
              <w:spacing w:after="0"/>
              <w:rPr>
                <w:sz w:val="24"/>
                <w:szCs w:val="24"/>
                <w:color w:val="auto"/>
              </w:rPr>
            </w:pPr>
          </w:p>
        </w:tc>
        <w:tc>
          <w:tcPr>
            <w:tcW w:w="100" w:type="dxa"/>
            <w:vAlign w:val="bottom"/>
            <w:tcBorders>
              <w:top w:val="single" w:sz="8" w:color="EAF9E8"/>
            </w:tcBorders>
            <w:shd w:val="clear" w:color="auto" w:fill="EAF9E8"/>
          </w:tcPr>
          <w:p>
            <w:pPr>
              <w:spacing w:after="0"/>
              <w:rPr>
                <w:sz w:val="24"/>
                <w:szCs w:val="24"/>
                <w:color w:val="auto"/>
              </w:rPr>
            </w:pPr>
          </w:p>
        </w:tc>
        <w:tc>
          <w:tcPr>
            <w:tcW w:w="180" w:type="dxa"/>
            <w:vAlign w:val="bottom"/>
            <w:tcBorders>
              <w:top w:val="single" w:sz="8" w:color="auto"/>
            </w:tcBorders>
            <w:shd w:val="clear" w:color="auto" w:fill="EAF9E8"/>
          </w:tcPr>
          <w:p>
            <w:pPr>
              <w:spacing w:after="0"/>
              <w:rPr>
                <w:sz w:val="24"/>
                <w:szCs w:val="24"/>
                <w:color w:val="auto"/>
              </w:rPr>
            </w:pPr>
          </w:p>
        </w:tc>
        <w:tc>
          <w:tcPr>
            <w:tcW w:w="1300" w:type="dxa"/>
            <w:vAlign w:val="bottom"/>
            <w:tcBorders>
              <w:top w:val="single" w:sz="8" w:color="auto"/>
            </w:tcBorders>
            <w:shd w:val="clear" w:color="auto" w:fill="EAF9E8"/>
          </w:tcPr>
          <w:p>
            <w:pPr>
              <w:spacing w:after="0"/>
              <w:rPr>
                <w:sz w:val="24"/>
                <w:szCs w:val="24"/>
                <w:color w:val="auto"/>
              </w:rPr>
            </w:pPr>
          </w:p>
        </w:tc>
        <w:tc>
          <w:tcPr>
            <w:tcW w:w="100" w:type="dxa"/>
            <w:vAlign w:val="bottom"/>
            <w:tcBorders>
              <w:top w:val="single" w:sz="8" w:color="EAF9E8"/>
            </w:tcBorders>
            <w:shd w:val="clear" w:color="auto" w:fill="EAF9E8"/>
          </w:tcPr>
          <w:p>
            <w:pPr>
              <w:spacing w:after="0"/>
              <w:rPr>
                <w:sz w:val="24"/>
                <w:szCs w:val="24"/>
                <w:color w:val="auto"/>
              </w:rPr>
            </w:pPr>
          </w:p>
        </w:tc>
        <w:tc>
          <w:tcPr>
            <w:tcW w:w="180" w:type="dxa"/>
            <w:vAlign w:val="bottom"/>
            <w:tcBorders>
              <w:top w:val="single" w:sz="8" w:color="auto"/>
            </w:tcBorders>
            <w:shd w:val="clear" w:color="auto" w:fill="EAF9E8"/>
          </w:tcPr>
          <w:p>
            <w:pPr>
              <w:spacing w:after="0"/>
              <w:rPr>
                <w:sz w:val="24"/>
                <w:szCs w:val="24"/>
                <w:color w:val="auto"/>
              </w:rPr>
            </w:pPr>
          </w:p>
        </w:tc>
        <w:tc>
          <w:tcPr>
            <w:tcW w:w="1300" w:type="dxa"/>
            <w:vAlign w:val="bottom"/>
            <w:tcBorders>
              <w:top w:val="single" w:sz="8" w:color="auto"/>
            </w:tcBorders>
            <w:shd w:val="clear" w:color="auto" w:fill="EAF9E8"/>
          </w:tcPr>
          <w:p>
            <w:pPr>
              <w:spacing w:after="0"/>
              <w:rPr>
                <w:sz w:val="24"/>
                <w:szCs w:val="24"/>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b w:val="1"/>
                <w:bCs w:val="1"/>
                <w:color w:val="auto"/>
                <w:w w:val="82"/>
              </w:rPr>
              <w:t>Business</w:t>
            </w:r>
          </w:p>
        </w:tc>
      </w:tr>
      <w:tr>
        <w:trPr>
          <w:trHeight w:val="216"/>
        </w:trPr>
        <w:tc>
          <w:tcPr>
            <w:tcW w:w="3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Corporate Items</w:t>
            </w: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Corporate</w:t>
            </w: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3"/>
              </w:rPr>
              <w:t>Segments</w:t>
            </w:r>
          </w:p>
        </w:tc>
      </w:tr>
      <w:tr>
        <w:trPr>
          <w:trHeight w:val="234"/>
        </w:trPr>
        <w:tc>
          <w:tcPr>
            <w:tcW w:w="3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gridSpan w:val="2"/>
          </w:tcPr>
          <w:p>
            <w:pPr>
              <w:ind w:left="140"/>
              <w:spacing w:after="0"/>
              <w:rPr>
                <w:sz w:val="20"/>
                <w:szCs w:val="20"/>
                <w:color w:val="auto"/>
              </w:rPr>
            </w:pPr>
            <w:r>
              <w:rPr>
                <w:rFonts w:ascii="Arial" w:cs="Arial" w:eastAsia="Arial" w:hAnsi="Arial"/>
                <w:sz w:val="18"/>
                <w:szCs w:val="18"/>
                <w:b w:val="1"/>
                <w:bCs w:val="1"/>
                <w:color w:val="auto"/>
              </w:rPr>
              <w:t>Servicing</w:t>
            </w:r>
          </w:p>
        </w:tc>
        <w:tc>
          <w:tcPr>
            <w:tcW w:w="280" w:type="dxa"/>
            <w:vAlign w:val="bottom"/>
          </w:tcPr>
          <w:p>
            <w:pPr>
              <w:spacing w:after="0"/>
              <w:rPr>
                <w:sz w:val="20"/>
                <w:szCs w:val="20"/>
                <w:color w:val="auto"/>
              </w:rPr>
            </w:pPr>
          </w:p>
        </w:tc>
        <w:tc>
          <w:tcPr>
            <w:tcW w:w="1320" w:type="dxa"/>
            <w:vAlign w:val="bottom"/>
            <w:gridSpan w:val="2"/>
          </w:tcPr>
          <w:p>
            <w:pPr>
              <w:ind w:left="160"/>
              <w:spacing w:after="0"/>
              <w:rPr>
                <w:sz w:val="20"/>
                <w:szCs w:val="20"/>
                <w:color w:val="auto"/>
              </w:rPr>
            </w:pPr>
            <w:r>
              <w:rPr>
                <w:rFonts w:ascii="Arial" w:cs="Arial" w:eastAsia="Arial" w:hAnsi="Arial"/>
                <w:sz w:val="18"/>
                <w:szCs w:val="18"/>
                <w:b w:val="1"/>
                <w:bCs w:val="1"/>
                <w:color w:val="auto"/>
              </w:rPr>
              <w:t>Lending</w:t>
            </w:r>
          </w:p>
        </w:tc>
        <w:tc>
          <w:tcPr>
            <w:tcW w:w="240" w:type="dxa"/>
            <w:vAlign w:val="bottom"/>
          </w:tcPr>
          <w:p>
            <w:pPr>
              <w:spacing w:after="0"/>
              <w:rPr>
                <w:sz w:val="20"/>
                <w:szCs w:val="20"/>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and Other</w:t>
            </w:r>
          </w:p>
        </w:tc>
        <w:tc>
          <w:tcPr>
            <w:tcW w:w="18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Eliminations</w:t>
            </w:r>
          </w:p>
        </w:tc>
        <w:tc>
          <w:tcPr>
            <w:tcW w:w="180" w:type="dxa"/>
            <w:vAlign w:val="bottom"/>
          </w:tcPr>
          <w:p>
            <w:pPr>
              <w:spacing w:after="0"/>
              <w:rPr>
                <w:sz w:val="20"/>
                <w:szCs w:val="20"/>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Consolidated</w:t>
            </w:r>
          </w:p>
        </w:tc>
      </w:tr>
      <w:tr>
        <w:trPr>
          <w:trHeight w:val="27"/>
        </w:trPr>
        <w:tc>
          <w:tcPr>
            <w:tcW w:w="354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r>
      <w:tr>
        <w:trPr>
          <w:trHeight w:val="243"/>
        </w:trPr>
        <w:tc>
          <w:tcPr>
            <w:tcW w:w="3540" w:type="dxa"/>
            <w:vAlign w:val="bottom"/>
          </w:tcPr>
          <w:p>
            <w:pPr>
              <w:ind w:left="280"/>
              <w:spacing w:after="0"/>
              <w:rPr>
                <w:sz w:val="20"/>
                <w:szCs w:val="20"/>
                <w:color w:val="auto"/>
              </w:rPr>
            </w:pPr>
            <w:r>
              <w:rPr>
                <w:rFonts w:ascii="Arial" w:cs="Arial" w:eastAsia="Arial" w:hAnsi="Arial"/>
                <w:sz w:val="18"/>
                <w:szCs w:val="18"/>
                <w:color w:val="auto"/>
              </w:rPr>
              <w:t>June 30, 2016</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3,630,920</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3,424,801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432,531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7,488,252</w:t>
            </w:r>
          </w:p>
        </w:tc>
      </w:tr>
      <w:tr>
        <w:trPr>
          <w:trHeight w:val="27"/>
        </w:trPr>
        <w:tc>
          <w:tcPr>
            <w:tcW w:w="3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97"/>
        </w:trPr>
        <w:tc>
          <w:tcPr>
            <w:tcW w:w="3540" w:type="dxa"/>
            <w:vAlign w:val="bottom"/>
            <w:shd w:val="clear" w:color="auto" w:fill="EAF9E8"/>
          </w:tcPr>
          <w:p>
            <w:pPr>
              <w:spacing w:after="0"/>
              <w:rPr>
                <w:sz w:val="24"/>
                <w:szCs w:val="24"/>
                <w:color w:val="auto"/>
              </w:rPr>
            </w:pPr>
          </w:p>
        </w:tc>
        <w:tc>
          <w:tcPr>
            <w:tcW w:w="26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12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40" w:type="dxa"/>
            <w:vAlign w:val="bottom"/>
            <w:shd w:val="clear" w:color="auto" w:fill="EAF9E8"/>
          </w:tcPr>
          <w:p>
            <w:pPr>
              <w:spacing w:after="0"/>
              <w:rPr>
                <w:sz w:val="24"/>
                <w:szCs w:val="24"/>
                <w:color w:val="auto"/>
              </w:rPr>
            </w:pPr>
          </w:p>
        </w:tc>
        <w:tc>
          <w:tcPr>
            <w:tcW w:w="12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r>
      <w:tr>
        <w:trPr>
          <w:trHeight w:val="243"/>
        </w:trPr>
        <w:tc>
          <w:tcPr>
            <w:tcW w:w="3540" w:type="dxa"/>
            <w:vAlign w:val="bottom"/>
          </w:tcPr>
          <w:p>
            <w:pPr>
              <w:ind w:left="280"/>
              <w:spacing w:after="0"/>
              <w:rPr>
                <w:sz w:val="20"/>
                <w:szCs w:val="20"/>
                <w:color w:val="auto"/>
              </w:rPr>
            </w:pPr>
            <w:r>
              <w:rPr>
                <w:rFonts w:ascii="Arial" w:cs="Arial" w:eastAsia="Arial" w:hAnsi="Arial"/>
                <w:sz w:val="18"/>
                <w:szCs w:val="18"/>
                <w:color w:val="auto"/>
              </w:rPr>
              <w:t>December 31, 2015</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4,089,064</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2,811,154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480,090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7,380,308</w:t>
            </w:r>
          </w:p>
        </w:tc>
      </w:tr>
      <w:tr>
        <w:trPr>
          <w:trHeight w:val="27"/>
        </w:trPr>
        <w:tc>
          <w:tcPr>
            <w:tcW w:w="3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97"/>
        </w:trPr>
        <w:tc>
          <w:tcPr>
            <w:tcW w:w="3540" w:type="dxa"/>
            <w:vAlign w:val="bottom"/>
            <w:shd w:val="clear" w:color="auto" w:fill="EAF9E8"/>
          </w:tcPr>
          <w:p>
            <w:pPr>
              <w:spacing w:after="0"/>
              <w:rPr>
                <w:sz w:val="24"/>
                <w:szCs w:val="24"/>
                <w:color w:val="auto"/>
              </w:rPr>
            </w:pPr>
          </w:p>
        </w:tc>
        <w:tc>
          <w:tcPr>
            <w:tcW w:w="26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12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40" w:type="dxa"/>
            <w:vAlign w:val="bottom"/>
            <w:shd w:val="clear" w:color="auto" w:fill="EAF9E8"/>
          </w:tcPr>
          <w:p>
            <w:pPr>
              <w:spacing w:after="0"/>
              <w:rPr>
                <w:sz w:val="24"/>
                <w:szCs w:val="24"/>
                <w:color w:val="auto"/>
              </w:rPr>
            </w:pPr>
          </w:p>
        </w:tc>
        <w:tc>
          <w:tcPr>
            <w:tcW w:w="12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r>
      <w:tr>
        <w:trPr>
          <w:trHeight w:val="243"/>
        </w:trPr>
        <w:tc>
          <w:tcPr>
            <w:tcW w:w="3540" w:type="dxa"/>
            <w:vAlign w:val="bottom"/>
          </w:tcPr>
          <w:p>
            <w:pPr>
              <w:ind w:left="280"/>
              <w:spacing w:after="0"/>
              <w:rPr>
                <w:sz w:val="20"/>
                <w:szCs w:val="20"/>
                <w:color w:val="auto"/>
              </w:rPr>
            </w:pPr>
            <w:r>
              <w:rPr>
                <w:rFonts w:ascii="Arial" w:cs="Arial" w:eastAsia="Arial" w:hAnsi="Arial"/>
                <w:sz w:val="18"/>
                <w:szCs w:val="18"/>
                <w:color w:val="auto"/>
              </w:rPr>
              <w:t>June 30, 2015</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5,003,108</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2,381,119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585,023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7,969,250</w:t>
            </w:r>
          </w:p>
        </w:tc>
      </w:tr>
    </w:tbl>
    <w:p>
      <w:pPr>
        <w:spacing w:after="0" w:line="125" w:lineRule="exact"/>
        <w:rPr>
          <w:sz w:val="20"/>
          <w:szCs w:val="20"/>
          <w:color w:val="auto"/>
        </w:rPr>
      </w:pPr>
    </w:p>
    <w:p>
      <w:pPr>
        <w:ind w:left="500" w:right="180" w:hanging="492"/>
        <w:spacing w:after="0" w:line="275" w:lineRule="auto"/>
        <w:tabs>
          <w:tab w:leader="none" w:pos="5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Inter-segment billings for services rendered to other segments are recorded as revenues, as contra-expense or as other income, depending on the type of service that is rendered.</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742" w:right="239" w:bottom="1440" w:gutter="0" w:footer="0" w:header="0"/>
        </w:sectPr>
      </w:pPr>
    </w:p>
    <w:bookmarkStart w:id="43" w:name="page44"/>
    <w:bookmarkEnd w:id="43"/>
    <w:p>
      <w:pPr>
        <w:ind w:left="500" w:hanging="492"/>
        <w:spacing w:after="0"/>
        <w:tabs>
          <w:tab w:leader="none" w:pos="5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Depreciation and amortization expense are as follows:</w:t>
      </w:r>
    </w:p>
    <w:p>
      <w:pPr>
        <w:spacing w:after="0" w:line="163" w:lineRule="exact"/>
        <w:rPr>
          <w:sz w:val="20"/>
          <w:szCs w:val="20"/>
          <w:color w:val="auto"/>
        </w:rPr>
      </w:pPr>
    </w:p>
    <w:tbl>
      <w:tblPr>
        <w:tblLayout w:type="fixed"/>
        <w:tblInd w:w="500" w:type="dxa"/>
        <w:tblCellMar>
          <w:top w:w="0" w:type="dxa"/>
          <w:left w:w="0" w:type="dxa"/>
          <w:bottom w:w="0" w:type="dxa"/>
          <w:right w:w="0" w:type="dxa"/>
        </w:tblCellMar>
      </w:tblPr>
      <w:tr>
        <w:trPr>
          <w:trHeight w:val="203"/>
        </w:trPr>
        <w:tc>
          <w:tcPr>
            <w:tcW w:w="4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Corporate Items</w:t>
            </w:r>
          </w:p>
        </w:tc>
        <w:tc>
          <w:tcPr>
            <w:tcW w:w="1440" w:type="dxa"/>
            <w:vAlign w:val="bottom"/>
            <w:gridSpan w:val="2"/>
          </w:tcPr>
          <w:p>
            <w:pPr>
              <w:jc w:val="right"/>
              <w:spacing w:after="0"/>
              <w:rPr>
                <w:sz w:val="20"/>
                <w:szCs w:val="20"/>
                <w:color w:val="auto"/>
              </w:rPr>
            </w:pPr>
            <w:r>
              <w:rPr>
                <w:rFonts w:ascii="Arial" w:cs="Arial" w:eastAsia="Arial" w:hAnsi="Arial"/>
                <w:sz w:val="16"/>
                <w:szCs w:val="16"/>
                <w:b w:val="1"/>
                <w:bCs w:val="1"/>
                <w:color w:val="auto"/>
                <w:w w:val="88"/>
              </w:rPr>
              <w:t>Business Segments</w:t>
            </w:r>
          </w:p>
        </w:tc>
      </w:tr>
      <w:tr>
        <w:trPr>
          <w:trHeight w:val="210"/>
        </w:trPr>
        <w:tc>
          <w:tcPr>
            <w:tcW w:w="4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ind w:left="160"/>
              <w:spacing w:after="0"/>
              <w:rPr>
                <w:sz w:val="20"/>
                <w:szCs w:val="20"/>
                <w:color w:val="auto"/>
              </w:rPr>
            </w:pPr>
            <w:r>
              <w:rPr>
                <w:rFonts w:ascii="Arial" w:cs="Arial" w:eastAsia="Arial" w:hAnsi="Arial"/>
                <w:sz w:val="16"/>
                <w:szCs w:val="16"/>
                <w:b w:val="1"/>
                <w:bCs w:val="1"/>
                <w:color w:val="auto"/>
              </w:rPr>
              <w:t>Servicing</w:t>
            </w:r>
          </w:p>
        </w:tc>
        <w:tc>
          <w:tcPr>
            <w:tcW w:w="280" w:type="dxa"/>
            <w:vAlign w:val="bottom"/>
          </w:tcPr>
          <w:p>
            <w:pPr>
              <w:spacing w:after="0"/>
              <w:rPr>
                <w:sz w:val="18"/>
                <w:szCs w:val="18"/>
                <w:color w:val="auto"/>
              </w:rPr>
            </w:pPr>
          </w:p>
        </w:tc>
        <w:tc>
          <w:tcPr>
            <w:tcW w:w="1260" w:type="dxa"/>
            <w:vAlign w:val="bottom"/>
            <w:gridSpan w:val="2"/>
          </w:tcPr>
          <w:p>
            <w:pPr>
              <w:ind w:left="160"/>
              <w:spacing w:after="0"/>
              <w:rPr>
                <w:sz w:val="20"/>
                <w:szCs w:val="20"/>
                <w:color w:val="auto"/>
              </w:rPr>
            </w:pPr>
            <w:r>
              <w:rPr>
                <w:rFonts w:ascii="Arial" w:cs="Arial" w:eastAsia="Arial" w:hAnsi="Arial"/>
                <w:sz w:val="16"/>
                <w:szCs w:val="16"/>
                <w:b w:val="1"/>
                <w:bCs w:val="1"/>
                <w:color w:val="auto"/>
              </w:rPr>
              <w:t>Lending</w:t>
            </w:r>
          </w:p>
        </w:tc>
        <w:tc>
          <w:tcPr>
            <w:tcW w:w="14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and Other</w:t>
            </w:r>
          </w:p>
        </w:tc>
        <w:tc>
          <w:tcPr>
            <w:tcW w:w="200" w:type="dxa"/>
            <w:vAlign w:val="bottom"/>
          </w:tcPr>
          <w:p>
            <w:pPr>
              <w:spacing w:after="0"/>
              <w:rPr>
                <w:sz w:val="18"/>
                <w:szCs w:val="18"/>
                <w:color w:val="auto"/>
              </w:rPr>
            </w:pPr>
          </w:p>
        </w:tc>
        <w:tc>
          <w:tcPr>
            <w:tcW w:w="1240" w:type="dxa"/>
            <w:vAlign w:val="bottom"/>
          </w:tcPr>
          <w:p>
            <w:pPr>
              <w:jc w:val="right"/>
              <w:ind w:right="179"/>
              <w:spacing w:after="0"/>
              <w:rPr>
                <w:sz w:val="20"/>
                <w:szCs w:val="20"/>
                <w:color w:val="auto"/>
              </w:rPr>
            </w:pPr>
            <w:r>
              <w:rPr>
                <w:rFonts w:ascii="Arial" w:cs="Arial" w:eastAsia="Arial" w:hAnsi="Arial"/>
                <w:sz w:val="16"/>
                <w:szCs w:val="16"/>
                <w:b w:val="1"/>
                <w:bCs w:val="1"/>
                <w:color w:val="auto"/>
                <w:w w:val="94"/>
              </w:rPr>
              <w:t>Consolidated</w:t>
            </w:r>
          </w:p>
        </w:tc>
      </w:tr>
      <w:tr>
        <w:trPr>
          <w:trHeight w:val="33"/>
        </w:trPr>
        <w:tc>
          <w:tcPr>
            <w:tcW w:w="424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7"/>
        </w:trPr>
        <w:tc>
          <w:tcPr>
            <w:tcW w:w="424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6"/>
                <w:szCs w:val="16"/>
                <w:b w:val="1"/>
                <w:bCs w:val="1"/>
                <w:color w:val="auto"/>
              </w:rPr>
              <w:t>For the three months ended June 30, 2016</w:t>
            </w:r>
          </w:p>
        </w:tc>
        <w:tc>
          <w:tcPr>
            <w:tcW w:w="260" w:type="dxa"/>
            <w:vAlign w:val="bottom"/>
            <w:tcBorders>
              <w:bottom w:val="single" w:sz="8" w:color="EAF9E8"/>
            </w:tcBorders>
            <w:shd w:val="clear" w:color="auto" w:fill="EAF9E8"/>
          </w:tcPr>
          <w:p>
            <w:pPr>
              <w:spacing w:after="0"/>
              <w:rPr>
                <w:sz w:val="18"/>
                <w:szCs w:val="18"/>
                <w:color w:val="auto"/>
              </w:rPr>
            </w:pPr>
          </w:p>
        </w:tc>
        <w:tc>
          <w:tcPr>
            <w:tcW w:w="1220" w:type="dxa"/>
            <w:vAlign w:val="bottom"/>
            <w:tcBorders>
              <w:bottom w:val="single" w:sz="8" w:color="EAF9E8"/>
            </w:tcBorders>
            <w:shd w:val="clear" w:color="auto" w:fill="EAF9E8"/>
          </w:tcPr>
          <w:p>
            <w:pPr>
              <w:spacing w:after="0"/>
              <w:rPr>
                <w:sz w:val="18"/>
                <w:szCs w:val="18"/>
                <w:color w:val="auto"/>
              </w:rPr>
            </w:pPr>
          </w:p>
        </w:tc>
        <w:tc>
          <w:tcPr>
            <w:tcW w:w="100" w:type="dxa"/>
            <w:vAlign w:val="bottom"/>
            <w:tcBorders>
              <w:bottom w:val="single" w:sz="8" w:color="EAF9E8"/>
            </w:tcBorders>
            <w:shd w:val="clear" w:color="auto" w:fill="EAF9E8"/>
          </w:tcPr>
          <w:p>
            <w:pPr>
              <w:spacing w:after="0"/>
              <w:rPr>
                <w:sz w:val="18"/>
                <w:szCs w:val="18"/>
                <w:color w:val="auto"/>
              </w:rPr>
            </w:pPr>
          </w:p>
        </w:tc>
        <w:tc>
          <w:tcPr>
            <w:tcW w:w="280" w:type="dxa"/>
            <w:vAlign w:val="bottom"/>
            <w:tcBorders>
              <w:bottom w:val="single" w:sz="8" w:color="EAF9E8"/>
            </w:tcBorders>
            <w:shd w:val="clear" w:color="auto" w:fill="EAF9E8"/>
          </w:tcPr>
          <w:p>
            <w:pPr>
              <w:spacing w:after="0"/>
              <w:rPr>
                <w:sz w:val="18"/>
                <w:szCs w:val="18"/>
                <w:color w:val="auto"/>
              </w:rPr>
            </w:pPr>
          </w:p>
        </w:tc>
        <w:tc>
          <w:tcPr>
            <w:tcW w:w="1160" w:type="dxa"/>
            <w:vAlign w:val="bottom"/>
            <w:tcBorders>
              <w:bottom w:val="single" w:sz="8" w:color="EAF9E8"/>
            </w:tcBorders>
            <w:shd w:val="clear" w:color="auto" w:fill="EAF9E8"/>
          </w:tcPr>
          <w:p>
            <w:pPr>
              <w:spacing w:after="0"/>
              <w:rPr>
                <w:sz w:val="18"/>
                <w:szCs w:val="18"/>
                <w:color w:val="auto"/>
              </w:rPr>
            </w:pPr>
          </w:p>
        </w:tc>
        <w:tc>
          <w:tcPr>
            <w:tcW w:w="100" w:type="dxa"/>
            <w:vAlign w:val="bottom"/>
            <w:tcBorders>
              <w:bottom w:val="single" w:sz="8" w:color="EAF9E8"/>
            </w:tcBorders>
            <w:shd w:val="clear" w:color="auto" w:fill="EAF9E8"/>
          </w:tcPr>
          <w:p>
            <w:pPr>
              <w:spacing w:after="0"/>
              <w:rPr>
                <w:sz w:val="18"/>
                <w:szCs w:val="18"/>
                <w:color w:val="auto"/>
              </w:rPr>
            </w:pPr>
          </w:p>
        </w:tc>
        <w:tc>
          <w:tcPr>
            <w:tcW w:w="140" w:type="dxa"/>
            <w:vAlign w:val="bottom"/>
            <w:tcBorders>
              <w:bottom w:val="single" w:sz="8" w:color="EAF9E8"/>
            </w:tcBorders>
            <w:shd w:val="clear" w:color="auto" w:fill="EAF9E8"/>
          </w:tcPr>
          <w:p>
            <w:pPr>
              <w:spacing w:after="0"/>
              <w:rPr>
                <w:sz w:val="18"/>
                <w:szCs w:val="18"/>
                <w:color w:val="auto"/>
              </w:rPr>
            </w:pPr>
          </w:p>
        </w:tc>
        <w:tc>
          <w:tcPr>
            <w:tcW w:w="1300" w:type="dxa"/>
            <w:vAlign w:val="bottom"/>
            <w:tcBorders>
              <w:bottom w:val="single" w:sz="8" w:color="EAF9E8"/>
            </w:tcBorders>
            <w:shd w:val="clear" w:color="auto" w:fill="EAF9E8"/>
          </w:tcPr>
          <w:p>
            <w:pPr>
              <w:spacing w:after="0"/>
              <w:rPr>
                <w:sz w:val="18"/>
                <w:szCs w:val="18"/>
                <w:color w:val="auto"/>
              </w:rPr>
            </w:pPr>
          </w:p>
        </w:tc>
        <w:tc>
          <w:tcPr>
            <w:tcW w:w="100" w:type="dxa"/>
            <w:vAlign w:val="bottom"/>
            <w:tcBorders>
              <w:bottom w:val="single" w:sz="8" w:color="EAF9E8"/>
            </w:tcBorders>
            <w:shd w:val="clear" w:color="auto" w:fill="EAF9E8"/>
          </w:tcPr>
          <w:p>
            <w:pPr>
              <w:spacing w:after="0"/>
              <w:rPr>
                <w:sz w:val="18"/>
                <w:szCs w:val="18"/>
                <w:color w:val="auto"/>
              </w:rPr>
            </w:pPr>
          </w:p>
        </w:tc>
        <w:tc>
          <w:tcPr>
            <w:tcW w:w="200" w:type="dxa"/>
            <w:vAlign w:val="bottom"/>
            <w:tcBorders>
              <w:bottom w:val="single" w:sz="8" w:color="EAF9E8"/>
            </w:tcBorders>
            <w:shd w:val="clear" w:color="auto" w:fill="EAF9E8"/>
          </w:tcPr>
          <w:p>
            <w:pPr>
              <w:spacing w:after="0"/>
              <w:rPr>
                <w:sz w:val="18"/>
                <w:szCs w:val="18"/>
                <w:color w:val="auto"/>
              </w:rPr>
            </w:pPr>
          </w:p>
        </w:tc>
        <w:tc>
          <w:tcPr>
            <w:tcW w:w="1240" w:type="dxa"/>
            <w:vAlign w:val="bottom"/>
            <w:tcBorders>
              <w:bottom w:val="single" w:sz="8" w:color="EAF9E8"/>
            </w:tcBorders>
            <w:shd w:val="clear" w:color="auto" w:fill="EAF9E8"/>
          </w:tcPr>
          <w:p>
            <w:pPr>
              <w:spacing w:after="0"/>
              <w:rPr>
                <w:sz w:val="18"/>
                <w:szCs w:val="18"/>
                <w:color w:val="auto"/>
              </w:rPr>
            </w:pPr>
          </w:p>
        </w:tc>
      </w:tr>
      <w:tr>
        <w:trPr>
          <w:trHeight w:val="237"/>
        </w:trPr>
        <w:tc>
          <w:tcPr>
            <w:tcW w:w="4240" w:type="dxa"/>
            <w:vAlign w:val="bottom"/>
          </w:tcPr>
          <w:p>
            <w:pPr>
              <w:ind w:left="260"/>
              <w:spacing w:after="0"/>
              <w:rPr>
                <w:sz w:val="20"/>
                <w:szCs w:val="20"/>
                <w:color w:val="auto"/>
              </w:rPr>
            </w:pPr>
            <w:r>
              <w:rPr>
                <w:rFonts w:ascii="Arial" w:cs="Arial" w:eastAsia="Arial" w:hAnsi="Arial"/>
                <w:sz w:val="16"/>
                <w:szCs w:val="16"/>
                <w:color w:val="auto"/>
              </w:rPr>
              <w:t>Depreciation expense</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1,206</w:t>
            </w:r>
          </w:p>
        </w:tc>
        <w:tc>
          <w:tcPr>
            <w:tcW w:w="1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5,539</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6,810</w:t>
            </w:r>
          </w:p>
        </w:tc>
      </w:tr>
      <w:tr>
        <w:trPr>
          <w:trHeight w:val="33"/>
        </w:trPr>
        <w:tc>
          <w:tcPr>
            <w:tcW w:w="4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240" w:type="dxa"/>
            <w:vAlign w:val="bottom"/>
            <w:tcBorders>
              <w:bottom w:val="single" w:sz="8" w:color="EAF9E8"/>
            </w:tcBorders>
            <w:shd w:val="clear" w:color="auto" w:fill="EAF9E8"/>
          </w:tcPr>
          <w:p>
            <w:pPr>
              <w:ind w:left="260"/>
              <w:spacing w:after="0"/>
              <w:rPr>
                <w:sz w:val="20"/>
                <w:szCs w:val="20"/>
                <w:color w:val="auto"/>
              </w:rPr>
            </w:pPr>
            <w:r>
              <w:rPr>
                <w:rFonts w:ascii="Arial" w:cs="Arial" w:eastAsia="Arial" w:hAnsi="Arial"/>
                <w:sz w:val="16"/>
                <w:szCs w:val="16"/>
                <w:color w:val="auto"/>
              </w:rPr>
              <w:t>Amortization of mortgage servicing rights</w:t>
            </w: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8,269</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78</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8,347</w:t>
            </w:r>
          </w:p>
        </w:tc>
      </w:tr>
      <w:tr>
        <w:trPr>
          <w:trHeight w:val="237"/>
        </w:trPr>
        <w:tc>
          <w:tcPr>
            <w:tcW w:w="4240" w:type="dxa"/>
            <w:vAlign w:val="bottom"/>
          </w:tcPr>
          <w:p>
            <w:pPr>
              <w:ind w:left="260"/>
              <w:spacing w:after="0"/>
              <w:rPr>
                <w:sz w:val="20"/>
                <w:szCs w:val="20"/>
                <w:color w:val="auto"/>
              </w:rPr>
            </w:pPr>
            <w:r>
              <w:rPr>
                <w:rFonts w:ascii="Arial" w:cs="Arial" w:eastAsia="Arial" w:hAnsi="Arial"/>
                <w:sz w:val="16"/>
                <w:szCs w:val="16"/>
                <w:color w:val="auto"/>
              </w:rPr>
              <w:t>Amortization of debt discount</w:t>
            </w:r>
          </w:p>
        </w:tc>
        <w:tc>
          <w:tcPr>
            <w:tcW w:w="2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178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178</w:t>
            </w:r>
          </w:p>
        </w:tc>
      </w:tr>
      <w:tr>
        <w:trPr>
          <w:trHeight w:val="33"/>
        </w:trPr>
        <w:tc>
          <w:tcPr>
            <w:tcW w:w="4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240" w:type="dxa"/>
            <w:vAlign w:val="bottom"/>
            <w:tcBorders>
              <w:bottom w:val="single" w:sz="8" w:color="EAF9E8"/>
            </w:tcBorders>
            <w:shd w:val="clear" w:color="auto" w:fill="EAF9E8"/>
          </w:tcPr>
          <w:p>
            <w:pPr>
              <w:ind w:left="260"/>
              <w:spacing w:after="0"/>
              <w:rPr>
                <w:sz w:val="20"/>
                <w:szCs w:val="20"/>
                <w:color w:val="auto"/>
              </w:rPr>
            </w:pPr>
            <w:r>
              <w:rPr>
                <w:rFonts w:ascii="Arial" w:cs="Arial" w:eastAsia="Arial" w:hAnsi="Arial"/>
                <w:sz w:val="16"/>
                <w:szCs w:val="16"/>
                <w:color w:val="auto"/>
              </w:rPr>
              <w:t>Amortization of debt issuance costs</w:t>
            </w: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2,889</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332</w:t>
            </w: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3,221</w:t>
            </w:r>
          </w:p>
        </w:tc>
      </w:tr>
      <w:tr>
        <w:trPr>
          <w:trHeight w:val="297"/>
        </w:trPr>
        <w:tc>
          <w:tcPr>
            <w:tcW w:w="4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37"/>
        </w:trPr>
        <w:tc>
          <w:tcPr>
            <w:tcW w:w="424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6"/>
                <w:szCs w:val="16"/>
                <w:b w:val="1"/>
                <w:bCs w:val="1"/>
                <w:color w:val="auto"/>
              </w:rPr>
              <w:t>For the three months ended June 30, 2015</w:t>
            </w:r>
          </w:p>
        </w:tc>
        <w:tc>
          <w:tcPr>
            <w:tcW w:w="260" w:type="dxa"/>
            <w:vAlign w:val="bottom"/>
            <w:tcBorders>
              <w:bottom w:val="single" w:sz="8" w:color="EAF9E8"/>
            </w:tcBorders>
            <w:shd w:val="clear" w:color="auto" w:fill="EAF9E8"/>
          </w:tcPr>
          <w:p>
            <w:pPr>
              <w:spacing w:after="0"/>
              <w:rPr>
                <w:sz w:val="20"/>
                <w:szCs w:val="20"/>
                <w:color w:val="auto"/>
              </w:rPr>
            </w:pPr>
          </w:p>
        </w:tc>
        <w:tc>
          <w:tcPr>
            <w:tcW w:w="122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280" w:type="dxa"/>
            <w:vAlign w:val="bottom"/>
            <w:tcBorders>
              <w:bottom w:val="single" w:sz="8" w:color="EAF9E8"/>
            </w:tcBorders>
            <w:shd w:val="clear" w:color="auto" w:fill="EAF9E8"/>
          </w:tcPr>
          <w:p>
            <w:pPr>
              <w:spacing w:after="0"/>
              <w:rPr>
                <w:sz w:val="20"/>
                <w:szCs w:val="20"/>
                <w:color w:val="auto"/>
              </w:rPr>
            </w:pPr>
          </w:p>
        </w:tc>
        <w:tc>
          <w:tcPr>
            <w:tcW w:w="116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140" w:type="dxa"/>
            <w:vAlign w:val="bottom"/>
            <w:tcBorders>
              <w:bottom w:val="single" w:sz="8" w:color="EAF9E8"/>
            </w:tcBorders>
            <w:shd w:val="clear" w:color="auto" w:fill="EAF9E8"/>
          </w:tcPr>
          <w:p>
            <w:pPr>
              <w:spacing w:after="0"/>
              <w:rPr>
                <w:sz w:val="20"/>
                <w:szCs w:val="20"/>
                <w:color w:val="auto"/>
              </w:rPr>
            </w:pPr>
          </w:p>
        </w:tc>
        <w:tc>
          <w:tcPr>
            <w:tcW w:w="130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200" w:type="dxa"/>
            <w:vAlign w:val="bottom"/>
            <w:tcBorders>
              <w:bottom w:val="single" w:sz="8" w:color="EAF9E8"/>
            </w:tcBorders>
            <w:shd w:val="clear" w:color="auto" w:fill="EAF9E8"/>
          </w:tcPr>
          <w:p>
            <w:pPr>
              <w:spacing w:after="0"/>
              <w:rPr>
                <w:sz w:val="20"/>
                <w:szCs w:val="20"/>
                <w:color w:val="auto"/>
              </w:rPr>
            </w:pPr>
          </w:p>
        </w:tc>
        <w:tc>
          <w:tcPr>
            <w:tcW w:w="1240" w:type="dxa"/>
            <w:vAlign w:val="bottom"/>
            <w:tcBorders>
              <w:bottom w:val="single" w:sz="8" w:color="EAF9E8"/>
            </w:tcBorders>
            <w:shd w:val="clear" w:color="auto" w:fill="EAF9E8"/>
          </w:tcPr>
          <w:p>
            <w:pPr>
              <w:spacing w:after="0"/>
              <w:rPr>
                <w:sz w:val="20"/>
                <w:szCs w:val="20"/>
                <w:color w:val="auto"/>
              </w:rPr>
            </w:pPr>
          </w:p>
        </w:tc>
      </w:tr>
      <w:tr>
        <w:trPr>
          <w:trHeight w:val="237"/>
        </w:trPr>
        <w:tc>
          <w:tcPr>
            <w:tcW w:w="4240" w:type="dxa"/>
            <w:vAlign w:val="bottom"/>
          </w:tcPr>
          <w:p>
            <w:pPr>
              <w:ind w:left="260"/>
              <w:spacing w:after="0"/>
              <w:rPr>
                <w:sz w:val="20"/>
                <w:szCs w:val="20"/>
                <w:color w:val="auto"/>
              </w:rPr>
            </w:pPr>
            <w:r>
              <w:rPr>
                <w:rFonts w:ascii="Arial" w:cs="Arial" w:eastAsia="Arial" w:hAnsi="Arial"/>
                <w:sz w:val="16"/>
                <w:szCs w:val="16"/>
                <w:color w:val="auto"/>
              </w:rPr>
              <w:t>Depreciation expense</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513</w:t>
            </w:r>
          </w:p>
        </w:tc>
        <w:tc>
          <w:tcPr>
            <w:tcW w:w="1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3,470</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4,075</w:t>
            </w:r>
          </w:p>
        </w:tc>
      </w:tr>
      <w:tr>
        <w:trPr>
          <w:trHeight w:val="33"/>
        </w:trPr>
        <w:tc>
          <w:tcPr>
            <w:tcW w:w="4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240" w:type="dxa"/>
            <w:vAlign w:val="bottom"/>
            <w:tcBorders>
              <w:bottom w:val="single" w:sz="8" w:color="EAF9E8"/>
            </w:tcBorders>
            <w:shd w:val="clear" w:color="auto" w:fill="EAF9E8"/>
          </w:tcPr>
          <w:p>
            <w:pPr>
              <w:ind w:left="260"/>
              <w:spacing w:after="0"/>
              <w:rPr>
                <w:sz w:val="20"/>
                <w:szCs w:val="20"/>
                <w:color w:val="auto"/>
              </w:rPr>
            </w:pPr>
            <w:r>
              <w:rPr>
                <w:rFonts w:ascii="Arial" w:cs="Arial" w:eastAsia="Arial" w:hAnsi="Arial"/>
                <w:sz w:val="16"/>
                <w:szCs w:val="16"/>
                <w:color w:val="auto"/>
              </w:rPr>
              <w:t>Amortization of mortgage servicing rights</w:t>
            </w: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31,499</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87</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31,586</w:t>
            </w:r>
          </w:p>
        </w:tc>
      </w:tr>
      <w:tr>
        <w:trPr>
          <w:trHeight w:val="237"/>
        </w:trPr>
        <w:tc>
          <w:tcPr>
            <w:tcW w:w="4240" w:type="dxa"/>
            <w:vAlign w:val="bottom"/>
          </w:tcPr>
          <w:p>
            <w:pPr>
              <w:ind w:left="260"/>
              <w:spacing w:after="0"/>
              <w:rPr>
                <w:sz w:val="20"/>
                <w:szCs w:val="20"/>
                <w:color w:val="auto"/>
              </w:rPr>
            </w:pPr>
            <w:r>
              <w:rPr>
                <w:rFonts w:ascii="Arial" w:cs="Arial" w:eastAsia="Arial" w:hAnsi="Arial"/>
                <w:sz w:val="16"/>
                <w:szCs w:val="16"/>
                <w:color w:val="auto"/>
              </w:rPr>
              <w:t>Amortization of debt discount</w:t>
            </w:r>
          </w:p>
        </w:tc>
        <w:tc>
          <w:tcPr>
            <w:tcW w:w="2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337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337</w:t>
            </w:r>
          </w:p>
        </w:tc>
      </w:tr>
      <w:tr>
        <w:trPr>
          <w:trHeight w:val="33"/>
        </w:trPr>
        <w:tc>
          <w:tcPr>
            <w:tcW w:w="4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240" w:type="dxa"/>
            <w:vAlign w:val="bottom"/>
            <w:tcBorders>
              <w:bottom w:val="single" w:sz="8" w:color="EAF9E8"/>
            </w:tcBorders>
            <w:shd w:val="clear" w:color="auto" w:fill="EAF9E8"/>
          </w:tcPr>
          <w:p>
            <w:pPr>
              <w:ind w:left="260"/>
              <w:spacing w:after="0"/>
              <w:rPr>
                <w:sz w:val="20"/>
                <w:szCs w:val="20"/>
                <w:color w:val="auto"/>
              </w:rPr>
            </w:pPr>
            <w:r>
              <w:rPr>
                <w:rFonts w:ascii="Arial" w:cs="Arial" w:eastAsia="Arial" w:hAnsi="Arial"/>
                <w:sz w:val="16"/>
                <w:szCs w:val="16"/>
                <w:color w:val="auto"/>
              </w:rPr>
              <w:t>Amortization of debt issuance costs</w:t>
            </w: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3,183</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373</w:t>
            </w: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3,556</w:t>
            </w:r>
          </w:p>
        </w:tc>
      </w:tr>
      <w:tr>
        <w:trPr>
          <w:trHeight w:val="297"/>
        </w:trPr>
        <w:tc>
          <w:tcPr>
            <w:tcW w:w="4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37"/>
        </w:trPr>
        <w:tc>
          <w:tcPr>
            <w:tcW w:w="424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6"/>
                <w:szCs w:val="16"/>
                <w:b w:val="1"/>
                <w:bCs w:val="1"/>
                <w:color w:val="auto"/>
              </w:rPr>
              <w:t>For the six months ended June 30, 2016</w:t>
            </w:r>
          </w:p>
        </w:tc>
        <w:tc>
          <w:tcPr>
            <w:tcW w:w="260" w:type="dxa"/>
            <w:vAlign w:val="bottom"/>
            <w:tcBorders>
              <w:bottom w:val="single" w:sz="8" w:color="EAF9E8"/>
            </w:tcBorders>
            <w:shd w:val="clear" w:color="auto" w:fill="EAF9E8"/>
          </w:tcPr>
          <w:p>
            <w:pPr>
              <w:spacing w:after="0"/>
              <w:rPr>
                <w:sz w:val="20"/>
                <w:szCs w:val="20"/>
                <w:color w:val="auto"/>
              </w:rPr>
            </w:pPr>
          </w:p>
        </w:tc>
        <w:tc>
          <w:tcPr>
            <w:tcW w:w="122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280" w:type="dxa"/>
            <w:vAlign w:val="bottom"/>
            <w:tcBorders>
              <w:bottom w:val="single" w:sz="8" w:color="EAF9E8"/>
            </w:tcBorders>
            <w:shd w:val="clear" w:color="auto" w:fill="EAF9E8"/>
          </w:tcPr>
          <w:p>
            <w:pPr>
              <w:spacing w:after="0"/>
              <w:rPr>
                <w:sz w:val="20"/>
                <w:szCs w:val="20"/>
                <w:color w:val="auto"/>
              </w:rPr>
            </w:pPr>
          </w:p>
        </w:tc>
        <w:tc>
          <w:tcPr>
            <w:tcW w:w="116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140" w:type="dxa"/>
            <w:vAlign w:val="bottom"/>
            <w:tcBorders>
              <w:bottom w:val="single" w:sz="8" w:color="EAF9E8"/>
            </w:tcBorders>
            <w:shd w:val="clear" w:color="auto" w:fill="EAF9E8"/>
          </w:tcPr>
          <w:p>
            <w:pPr>
              <w:spacing w:after="0"/>
              <w:rPr>
                <w:sz w:val="20"/>
                <w:szCs w:val="20"/>
                <w:color w:val="auto"/>
              </w:rPr>
            </w:pPr>
          </w:p>
        </w:tc>
        <w:tc>
          <w:tcPr>
            <w:tcW w:w="130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200" w:type="dxa"/>
            <w:vAlign w:val="bottom"/>
            <w:tcBorders>
              <w:bottom w:val="single" w:sz="8" w:color="EAF9E8"/>
            </w:tcBorders>
            <w:shd w:val="clear" w:color="auto" w:fill="EAF9E8"/>
          </w:tcPr>
          <w:p>
            <w:pPr>
              <w:spacing w:after="0"/>
              <w:rPr>
                <w:sz w:val="20"/>
                <w:szCs w:val="20"/>
                <w:color w:val="auto"/>
              </w:rPr>
            </w:pPr>
          </w:p>
        </w:tc>
        <w:tc>
          <w:tcPr>
            <w:tcW w:w="1240" w:type="dxa"/>
            <w:vAlign w:val="bottom"/>
            <w:tcBorders>
              <w:bottom w:val="single" w:sz="8" w:color="EAF9E8"/>
            </w:tcBorders>
            <w:shd w:val="clear" w:color="auto" w:fill="EAF9E8"/>
          </w:tcPr>
          <w:p>
            <w:pPr>
              <w:spacing w:after="0"/>
              <w:rPr>
                <w:sz w:val="20"/>
                <w:szCs w:val="20"/>
                <w:color w:val="auto"/>
              </w:rPr>
            </w:pPr>
          </w:p>
        </w:tc>
      </w:tr>
      <w:tr>
        <w:trPr>
          <w:trHeight w:val="237"/>
        </w:trPr>
        <w:tc>
          <w:tcPr>
            <w:tcW w:w="4240" w:type="dxa"/>
            <w:vAlign w:val="bottom"/>
          </w:tcPr>
          <w:p>
            <w:pPr>
              <w:ind w:left="260"/>
              <w:spacing w:after="0"/>
              <w:rPr>
                <w:sz w:val="20"/>
                <w:szCs w:val="20"/>
                <w:color w:val="auto"/>
              </w:rPr>
            </w:pPr>
            <w:r>
              <w:rPr>
                <w:rFonts w:ascii="Arial" w:cs="Arial" w:eastAsia="Arial" w:hAnsi="Arial"/>
                <w:sz w:val="16"/>
                <w:szCs w:val="16"/>
                <w:color w:val="auto"/>
              </w:rPr>
              <w:t>Depreciation expense</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2,340</w:t>
            </w:r>
          </w:p>
        </w:tc>
        <w:tc>
          <w:tcPr>
            <w:tcW w:w="1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136</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9,374</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11,850</w:t>
            </w:r>
          </w:p>
        </w:tc>
      </w:tr>
      <w:tr>
        <w:trPr>
          <w:trHeight w:val="33"/>
        </w:trPr>
        <w:tc>
          <w:tcPr>
            <w:tcW w:w="4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240" w:type="dxa"/>
            <w:vAlign w:val="bottom"/>
            <w:tcBorders>
              <w:bottom w:val="single" w:sz="8" w:color="EAF9E8"/>
            </w:tcBorders>
            <w:shd w:val="clear" w:color="auto" w:fill="EAF9E8"/>
          </w:tcPr>
          <w:p>
            <w:pPr>
              <w:ind w:left="260"/>
              <w:spacing w:after="0"/>
              <w:rPr>
                <w:sz w:val="20"/>
                <w:szCs w:val="20"/>
                <w:color w:val="auto"/>
              </w:rPr>
            </w:pPr>
            <w:r>
              <w:rPr>
                <w:rFonts w:ascii="Arial" w:cs="Arial" w:eastAsia="Arial" w:hAnsi="Arial"/>
                <w:sz w:val="16"/>
                <w:szCs w:val="16"/>
                <w:color w:val="auto"/>
              </w:rPr>
              <w:t>Amortization of mortgage servicing rights</w:t>
            </w: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20,994</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159</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21,153</w:t>
            </w:r>
          </w:p>
        </w:tc>
      </w:tr>
      <w:tr>
        <w:trPr>
          <w:trHeight w:val="237"/>
        </w:trPr>
        <w:tc>
          <w:tcPr>
            <w:tcW w:w="4240" w:type="dxa"/>
            <w:vAlign w:val="bottom"/>
          </w:tcPr>
          <w:p>
            <w:pPr>
              <w:ind w:left="260"/>
              <w:spacing w:after="0"/>
              <w:rPr>
                <w:sz w:val="20"/>
                <w:szCs w:val="20"/>
                <w:color w:val="auto"/>
              </w:rPr>
            </w:pPr>
            <w:r>
              <w:rPr>
                <w:rFonts w:ascii="Arial" w:cs="Arial" w:eastAsia="Arial" w:hAnsi="Arial"/>
                <w:sz w:val="16"/>
                <w:szCs w:val="16"/>
                <w:color w:val="auto"/>
              </w:rPr>
              <w:t>Amortization of debt discount</w:t>
            </w:r>
          </w:p>
        </w:tc>
        <w:tc>
          <w:tcPr>
            <w:tcW w:w="2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383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383</w:t>
            </w:r>
          </w:p>
        </w:tc>
      </w:tr>
      <w:tr>
        <w:trPr>
          <w:trHeight w:val="33"/>
        </w:trPr>
        <w:tc>
          <w:tcPr>
            <w:tcW w:w="4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240" w:type="dxa"/>
            <w:vAlign w:val="bottom"/>
            <w:tcBorders>
              <w:bottom w:val="single" w:sz="8" w:color="EAF9E8"/>
            </w:tcBorders>
            <w:shd w:val="clear" w:color="auto" w:fill="EAF9E8"/>
          </w:tcPr>
          <w:p>
            <w:pPr>
              <w:ind w:left="260"/>
              <w:spacing w:after="0"/>
              <w:rPr>
                <w:sz w:val="20"/>
                <w:szCs w:val="20"/>
                <w:color w:val="auto"/>
              </w:rPr>
            </w:pPr>
            <w:r>
              <w:rPr>
                <w:rFonts w:ascii="Arial" w:cs="Arial" w:eastAsia="Arial" w:hAnsi="Arial"/>
                <w:sz w:val="16"/>
                <w:szCs w:val="16"/>
                <w:color w:val="auto"/>
              </w:rPr>
              <w:t>Amortization of debt issuance costs</w:t>
            </w: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5,822</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676</w:t>
            </w: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6,498</w:t>
            </w:r>
          </w:p>
        </w:tc>
      </w:tr>
      <w:tr>
        <w:trPr>
          <w:trHeight w:val="297"/>
        </w:trPr>
        <w:tc>
          <w:tcPr>
            <w:tcW w:w="4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37"/>
        </w:trPr>
        <w:tc>
          <w:tcPr>
            <w:tcW w:w="424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6"/>
                <w:szCs w:val="16"/>
                <w:b w:val="1"/>
                <w:bCs w:val="1"/>
                <w:color w:val="auto"/>
              </w:rPr>
              <w:t>For the six months ended June 30, 2015</w:t>
            </w:r>
          </w:p>
        </w:tc>
        <w:tc>
          <w:tcPr>
            <w:tcW w:w="260" w:type="dxa"/>
            <w:vAlign w:val="bottom"/>
            <w:tcBorders>
              <w:bottom w:val="single" w:sz="8" w:color="EAF9E8"/>
            </w:tcBorders>
            <w:shd w:val="clear" w:color="auto" w:fill="EAF9E8"/>
          </w:tcPr>
          <w:p>
            <w:pPr>
              <w:spacing w:after="0"/>
              <w:rPr>
                <w:sz w:val="20"/>
                <w:szCs w:val="20"/>
                <w:color w:val="auto"/>
              </w:rPr>
            </w:pPr>
          </w:p>
        </w:tc>
        <w:tc>
          <w:tcPr>
            <w:tcW w:w="122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280" w:type="dxa"/>
            <w:vAlign w:val="bottom"/>
            <w:tcBorders>
              <w:bottom w:val="single" w:sz="8" w:color="EAF9E8"/>
            </w:tcBorders>
            <w:shd w:val="clear" w:color="auto" w:fill="EAF9E8"/>
          </w:tcPr>
          <w:p>
            <w:pPr>
              <w:spacing w:after="0"/>
              <w:rPr>
                <w:sz w:val="20"/>
                <w:szCs w:val="20"/>
                <w:color w:val="auto"/>
              </w:rPr>
            </w:pPr>
          </w:p>
        </w:tc>
        <w:tc>
          <w:tcPr>
            <w:tcW w:w="116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140" w:type="dxa"/>
            <w:vAlign w:val="bottom"/>
            <w:tcBorders>
              <w:bottom w:val="single" w:sz="8" w:color="EAF9E8"/>
            </w:tcBorders>
            <w:shd w:val="clear" w:color="auto" w:fill="EAF9E8"/>
          </w:tcPr>
          <w:p>
            <w:pPr>
              <w:spacing w:after="0"/>
              <w:rPr>
                <w:sz w:val="20"/>
                <w:szCs w:val="20"/>
                <w:color w:val="auto"/>
              </w:rPr>
            </w:pPr>
          </w:p>
        </w:tc>
        <w:tc>
          <w:tcPr>
            <w:tcW w:w="130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200" w:type="dxa"/>
            <w:vAlign w:val="bottom"/>
            <w:tcBorders>
              <w:bottom w:val="single" w:sz="8" w:color="EAF9E8"/>
            </w:tcBorders>
            <w:shd w:val="clear" w:color="auto" w:fill="EAF9E8"/>
          </w:tcPr>
          <w:p>
            <w:pPr>
              <w:spacing w:after="0"/>
              <w:rPr>
                <w:sz w:val="20"/>
                <w:szCs w:val="20"/>
                <w:color w:val="auto"/>
              </w:rPr>
            </w:pPr>
          </w:p>
        </w:tc>
        <w:tc>
          <w:tcPr>
            <w:tcW w:w="1240" w:type="dxa"/>
            <w:vAlign w:val="bottom"/>
            <w:tcBorders>
              <w:bottom w:val="single" w:sz="8" w:color="EAF9E8"/>
            </w:tcBorders>
            <w:shd w:val="clear" w:color="auto" w:fill="EAF9E8"/>
          </w:tcPr>
          <w:p>
            <w:pPr>
              <w:spacing w:after="0"/>
              <w:rPr>
                <w:sz w:val="20"/>
                <w:szCs w:val="20"/>
                <w:color w:val="auto"/>
              </w:rPr>
            </w:pPr>
          </w:p>
        </w:tc>
      </w:tr>
      <w:tr>
        <w:trPr>
          <w:trHeight w:val="237"/>
        </w:trPr>
        <w:tc>
          <w:tcPr>
            <w:tcW w:w="4240" w:type="dxa"/>
            <w:vAlign w:val="bottom"/>
          </w:tcPr>
          <w:p>
            <w:pPr>
              <w:ind w:left="260"/>
              <w:spacing w:after="0"/>
              <w:rPr>
                <w:sz w:val="20"/>
                <w:szCs w:val="20"/>
                <w:color w:val="auto"/>
              </w:rPr>
            </w:pPr>
            <w:r>
              <w:rPr>
                <w:rFonts w:ascii="Arial" w:cs="Arial" w:eastAsia="Arial" w:hAnsi="Arial"/>
                <w:sz w:val="16"/>
                <w:szCs w:val="16"/>
                <w:color w:val="auto"/>
              </w:rPr>
              <w:t>Depreciation expense</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1,042</w:t>
            </w:r>
          </w:p>
        </w:tc>
        <w:tc>
          <w:tcPr>
            <w:tcW w:w="1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197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7,181</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8,420</w:t>
            </w:r>
          </w:p>
        </w:tc>
      </w:tr>
      <w:tr>
        <w:trPr>
          <w:trHeight w:val="33"/>
        </w:trPr>
        <w:tc>
          <w:tcPr>
            <w:tcW w:w="4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240" w:type="dxa"/>
            <w:vAlign w:val="bottom"/>
            <w:tcBorders>
              <w:bottom w:val="single" w:sz="8" w:color="EAF9E8"/>
            </w:tcBorders>
            <w:shd w:val="clear" w:color="auto" w:fill="EAF9E8"/>
          </w:tcPr>
          <w:p>
            <w:pPr>
              <w:ind w:left="260"/>
              <w:spacing w:after="0"/>
              <w:rPr>
                <w:sz w:val="20"/>
                <w:szCs w:val="20"/>
                <w:color w:val="auto"/>
              </w:rPr>
            </w:pPr>
            <w:r>
              <w:rPr>
                <w:rFonts w:ascii="Arial" w:cs="Arial" w:eastAsia="Arial" w:hAnsi="Arial"/>
                <w:sz w:val="16"/>
                <w:szCs w:val="16"/>
                <w:color w:val="auto"/>
              </w:rPr>
              <w:t>Amortization of mortgage servicing rights</w:t>
            </w: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69,903</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177</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70,080</w:t>
            </w:r>
          </w:p>
        </w:tc>
      </w:tr>
      <w:tr>
        <w:trPr>
          <w:trHeight w:val="237"/>
        </w:trPr>
        <w:tc>
          <w:tcPr>
            <w:tcW w:w="4240" w:type="dxa"/>
            <w:vAlign w:val="bottom"/>
          </w:tcPr>
          <w:p>
            <w:pPr>
              <w:ind w:left="260"/>
              <w:spacing w:after="0"/>
              <w:rPr>
                <w:sz w:val="20"/>
                <w:szCs w:val="20"/>
                <w:color w:val="auto"/>
              </w:rPr>
            </w:pPr>
            <w:r>
              <w:rPr>
                <w:rFonts w:ascii="Arial" w:cs="Arial" w:eastAsia="Arial" w:hAnsi="Arial"/>
                <w:sz w:val="16"/>
                <w:szCs w:val="16"/>
                <w:color w:val="auto"/>
              </w:rPr>
              <w:t>Amortization of debt discount</w:t>
            </w:r>
          </w:p>
        </w:tc>
        <w:tc>
          <w:tcPr>
            <w:tcW w:w="2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693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693</w:t>
            </w:r>
          </w:p>
        </w:tc>
      </w:tr>
      <w:tr>
        <w:trPr>
          <w:trHeight w:val="33"/>
        </w:trPr>
        <w:tc>
          <w:tcPr>
            <w:tcW w:w="4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7"/>
        </w:trPr>
        <w:tc>
          <w:tcPr>
            <w:tcW w:w="4240" w:type="dxa"/>
            <w:vAlign w:val="bottom"/>
            <w:shd w:val="clear" w:color="auto" w:fill="EAF9E8"/>
          </w:tcPr>
          <w:p>
            <w:pPr>
              <w:ind w:left="260"/>
              <w:spacing w:after="0"/>
              <w:rPr>
                <w:sz w:val="20"/>
                <w:szCs w:val="20"/>
                <w:color w:val="auto"/>
              </w:rPr>
            </w:pPr>
            <w:r>
              <w:rPr>
                <w:rFonts w:ascii="Arial" w:cs="Arial" w:eastAsia="Arial" w:hAnsi="Arial"/>
                <w:sz w:val="16"/>
                <w:szCs w:val="16"/>
                <w:color w:val="auto"/>
              </w:rPr>
              <w:t>Amortization of debt issuance costs</w:t>
            </w:r>
          </w:p>
        </w:tc>
        <w:tc>
          <w:tcPr>
            <w:tcW w:w="260" w:type="dxa"/>
            <w:vAlign w:val="bottom"/>
            <w:shd w:val="clear" w:color="auto" w:fill="EAF9E8"/>
          </w:tcPr>
          <w:p>
            <w:pPr>
              <w:spacing w:after="0"/>
              <w:rPr>
                <w:sz w:val="20"/>
                <w:szCs w:val="20"/>
                <w:color w:val="auto"/>
              </w:rPr>
            </w:pPr>
          </w:p>
        </w:tc>
        <w:tc>
          <w:tcPr>
            <w:tcW w:w="1220" w:type="dxa"/>
            <w:vAlign w:val="bottom"/>
            <w:shd w:val="clear" w:color="auto" w:fill="EAF9E8"/>
          </w:tcPr>
          <w:p>
            <w:pPr>
              <w:jc w:val="right"/>
              <w:ind w:right="19"/>
              <w:spacing w:after="0"/>
              <w:rPr>
                <w:sz w:val="20"/>
                <w:szCs w:val="20"/>
                <w:color w:val="auto"/>
              </w:rPr>
            </w:pPr>
            <w:r>
              <w:rPr>
                <w:rFonts w:ascii="Arial" w:cs="Arial" w:eastAsia="Arial" w:hAnsi="Arial"/>
                <w:sz w:val="16"/>
                <w:szCs w:val="16"/>
                <w:color w:val="auto"/>
              </w:rPr>
              <w:t>6,606</w:t>
            </w:r>
          </w:p>
        </w:tc>
        <w:tc>
          <w:tcPr>
            <w:tcW w:w="100" w:type="dxa"/>
            <w:vAlign w:val="bottom"/>
            <w:shd w:val="clear" w:color="auto" w:fill="EAF9E8"/>
          </w:tcPr>
          <w:p>
            <w:pPr>
              <w:spacing w:after="0"/>
              <w:rPr>
                <w:sz w:val="20"/>
                <w:szCs w:val="20"/>
                <w:color w:val="auto"/>
              </w:rPr>
            </w:pPr>
          </w:p>
        </w:tc>
        <w:tc>
          <w:tcPr>
            <w:tcW w:w="280" w:type="dxa"/>
            <w:vAlign w:val="bottom"/>
            <w:shd w:val="clear" w:color="auto" w:fill="EAF9E8"/>
          </w:tcPr>
          <w:p>
            <w:pPr>
              <w:spacing w:after="0"/>
              <w:rPr>
                <w:sz w:val="20"/>
                <w:szCs w:val="20"/>
                <w:color w:val="auto"/>
              </w:rPr>
            </w:pPr>
          </w:p>
        </w:tc>
        <w:tc>
          <w:tcPr>
            <w:tcW w:w="1260" w:type="dxa"/>
            <w:vAlign w:val="bottom"/>
            <w:gridSpan w:val="2"/>
            <w:shd w:val="clear" w:color="auto" w:fill="EAF9E8"/>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EAF9E8"/>
          </w:tcPr>
          <w:p>
            <w:pPr>
              <w:spacing w:after="0"/>
              <w:rPr>
                <w:sz w:val="20"/>
                <w:szCs w:val="20"/>
                <w:color w:val="auto"/>
              </w:rPr>
            </w:pPr>
          </w:p>
        </w:tc>
        <w:tc>
          <w:tcPr>
            <w:tcW w:w="1300" w:type="dxa"/>
            <w:vAlign w:val="bottom"/>
            <w:shd w:val="clear" w:color="auto" w:fill="EAF9E8"/>
          </w:tcPr>
          <w:p>
            <w:pPr>
              <w:jc w:val="right"/>
              <w:ind w:right="19"/>
              <w:spacing w:after="0"/>
              <w:rPr>
                <w:sz w:val="20"/>
                <w:szCs w:val="20"/>
                <w:color w:val="auto"/>
              </w:rPr>
            </w:pPr>
            <w:r>
              <w:rPr>
                <w:rFonts w:ascii="Arial" w:cs="Arial" w:eastAsia="Arial" w:hAnsi="Arial"/>
                <w:sz w:val="16"/>
                <w:szCs w:val="16"/>
                <w:color w:val="auto"/>
              </w:rPr>
              <w:t>705</w:t>
            </w:r>
          </w:p>
        </w:tc>
        <w:tc>
          <w:tcPr>
            <w:tcW w:w="100" w:type="dxa"/>
            <w:vAlign w:val="bottom"/>
            <w:shd w:val="clear" w:color="auto" w:fill="EAF9E8"/>
          </w:tcPr>
          <w:p>
            <w:pPr>
              <w:spacing w:after="0"/>
              <w:rPr>
                <w:sz w:val="20"/>
                <w:szCs w:val="20"/>
                <w:color w:val="auto"/>
              </w:rPr>
            </w:pPr>
          </w:p>
        </w:tc>
        <w:tc>
          <w:tcPr>
            <w:tcW w:w="200" w:type="dxa"/>
            <w:vAlign w:val="bottom"/>
            <w:shd w:val="clear" w:color="auto" w:fill="EAF9E8"/>
          </w:tcPr>
          <w:p>
            <w:pPr>
              <w:spacing w:after="0"/>
              <w:rPr>
                <w:sz w:val="20"/>
                <w:szCs w:val="20"/>
                <w:color w:val="auto"/>
              </w:rPr>
            </w:pPr>
          </w:p>
        </w:tc>
        <w:tc>
          <w:tcPr>
            <w:tcW w:w="1240" w:type="dxa"/>
            <w:vAlign w:val="bottom"/>
            <w:shd w:val="clear" w:color="auto" w:fill="EAF9E8"/>
          </w:tcPr>
          <w:p>
            <w:pPr>
              <w:jc w:val="right"/>
              <w:ind w:right="19"/>
              <w:spacing w:after="0"/>
              <w:rPr>
                <w:sz w:val="20"/>
                <w:szCs w:val="20"/>
                <w:color w:val="auto"/>
              </w:rPr>
            </w:pPr>
            <w:r>
              <w:rPr>
                <w:rFonts w:ascii="Arial" w:cs="Arial" w:eastAsia="Arial" w:hAnsi="Arial"/>
                <w:sz w:val="16"/>
                <w:szCs w:val="16"/>
                <w:color w:val="auto"/>
              </w:rPr>
              <w:t>7,311</w:t>
            </w:r>
          </w:p>
        </w:tc>
      </w:tr>
      <w:tr>
        <w:trPr>
          <w:trHeight w:val="33"/>
        </w:trPr>
        <w:tc>
          <w:tcPr>
            <w:tcW w:w="4240" w:type="dxa"/>
            <w:vAlign w:val="bottom"/>
            <w:shd w:val="clear" w:color="auto" w:fill="EAF9E8"/>
          </w:tcPr>
          <w:p>
            <w:pPr>
              <w:spacing w:after="0"/>
              <w:rPr>
                <w:sz w:val="2"/>
                <w:szCs w:val="2"/>
                <w:color w:val="auto"/>
              </w:rPr>
            </w:pPr>
          </w:p>
        </w:tc>
        <w:tc>
          <w:tcPr>
            <w:tcW w:w="260" w:type="dxa"/>
            <w:vAlign w:val="bottom"/>
            <w:shd w:val="clear" w:color="auto" w:fill="EAF9E8"/>
          </w:tcPr>
          <w:p>
            <w:pPr>
              <w:spacing w:after="0"/>
              <w:rPr>
                <w:sz w:val="2"/>
                <w:szCs w:val="2"/>
                <w:color w:val="auto"/>
              </w:rPr>
            </w:pPr>
          </w:p>
        </w:tc>
        <w:tc>
          <w:tcPr>
            <w:tcW w:w="122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280" w:type="dxa"/>
            <w:vAlign w:val="bottom"/>
            <w:shd w:val="clear" w:color="auto" w:fill="EAF9E8"/>
          </w:tcPr>
          <w:p>
            <w:pPr>
              <w:spacing w:after="0"/>
              <w:rPr>
                <w:sz w:val="2"/>
                <w:szCs w:val="2"/>
                <w:color w:val="auto"/>
              </w:rPr>
            </w:pPr>
          </w:p>
        </w:tc>
        <w:tc>
          <w:tcPr>
            <w:tcW w:w="116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140" w:type="dxa"/>
            <w:vAlign w:val="bottom"/>
            <w:shd w:val="clear" w:color="auto" w:fill="EAF9E8"/>
          </w:tcPr>
          <w:p>
            <w:pPr>
              <w:spacing w:after="0"/>
              <w:rPr>
                <w:sz w:val="2"/>
                <w:szCs w:val="2"/>
                <w:color w:val="auto"/>
              </w:rPr>
            </w:pPr>
          </w:p>
        </w:tc>
        <w:tc>
          <w:tcPr>
            <w:tcW w:w="130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1240" w:type="dxa"/>
            <w:vAlign w:val="bottom"/>
            <w:shd w:val="clear" w:color="auto" w:fill="EAF9E8"/>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Regulatory Requirements</w:t>
      </w:r>
    </w:p>
    <w:p>
      <w:pPr>
        <w:spacing w:after="0" w:line="121"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Our business is subject to extensive regulation by federal, state and local governmental authorities, including the Consumer Financial Protection Bureau (CFPB), the Department of Housing and Urban Development (HUD), the SEC and various state agencies that license, audit and conduct examinations of our loan servicing, origination and collection activities. In addition, we operate under a number of regulatory settlements that subject us to ongoing monitoring or reporting. From time to time, we also receive requests from federal, state and local agencies for records, documents and information relating to the policies, procedures and practices of our loan servicing, origination and collection activities. The GSEs and their conservator, the Federal Housing Finance Authority (FHFA), Ginnie Mae, the United States Treasury Department, various investors, non-Agency securitization trustees and others also subject us to periodic reviews and audits.</w:t>
      </w:r>
    </w:p>
    <w:p>
      <w:pPr>
        <w:spacing w:after="0" w:line="81"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In the current regulatory environment, we have faced and expect to continue to face increased regulatory and public scrutiny as an organization as well as stricter and more comprehensive regulation of the entire mortgage sector. We continue to work diligently to assess and understand the implications of the regulatory environment in which we operate and to meet the requirements of the changing environment in which we operate. We devote substantial resources to regulatory compliance, while, at the same time, striving to meet the needs and expectations of our customers, clients and other stakeholders. Our failure to comply with applicable federal, state and local laws, regulations and licensing requirements could lead to any of the following (i) loss of our licenses and approvals to engage in our servicing and lending businesses, (ii) governmental investigations and enforcement actions, (iii) administrative fines and penalties and litigation, (iv) civil and criminal liability, including class action lawsuits and actions to recover incentive and other payments made by governmental entities, (v) breaches of covenants and representations under our servicing, debt or other agreements, (vi) damage to our reputation, (vii) inability to raise capital or (viii) inability to execute on our business strategy. In addition to amounts paid to resolve regulatory matters, we could be required to pay for the costs of third party firms to monitor our compliance with such resolutions. We have recognized $147.5 million in such third party monitoring costs from January 1, 2014 through June 30, 2016 in connection with our settlements with the California Department of Business Oversight (CA DBO) and the New York Department of Financial Services (NY DFS) and in connection with our National Mortgage Settlement.</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697" w:right="279" w:bottom="1440" w:gutter="0" w:footer="0" w:header="0"/>
        </w:sectPr>
      </w:pPr>
    </w:p>
    <w:bookmarkStart w:id="44" w:name="page45"/>
    <w:bookmarkEnd w:id="44"/>
    <w:p>
      <w:pPr>
        <w:ind w:firstLine="324"/>
        <w:spacing w:after="0" w:line="270" w:lineRule="auto"/>
        <w:rPr>
          <w:sz w:val="20"/>
          <w:szCs w:val="20"/>
          <w:color w:val="auto"/>
        </w:rPr>
      </w:pPr>
      <w:r>
        <w:rPr>
          <w:rFonts w:ascii="Arial" w:cs="Arial" w:eastAsia="Arial" w:hAnsi="Arial"/>
          <w:sz w:val="17"/>
          <w:szCs w:val="17"/>
          <w:color w:val="auto"/>
        </w:rPr>
        <w:t>We must comply with a large number of federal, state and local consumer protection laws including, among others, the Gramm-Leach-Bliley Act, the Fair Debt Collection Practices Act, the Real Estate Settlement Procedures Act (RESPA), the Truth in Lending Act (TILA), the Fair Credit Reporting Act, the Servicemembers Civil Relief Act, the Homeowners Protection Act, the Federal Trade Commission Act, the Telephone Consumer Protection Act, the Equal Credit Opportunity Act, the Dodd-Frank Wall Street Reform and Consumer Protection Act and state foreclosure laws. These statutes apply to many facets of our business, including loan origination, default servicing and collections, use of credit reports, safeguarding of non-public personally identifiable information about our customers, foreclosure and claims handling, investment of and interest payments on escrow balances and escrow payment features, and mandate certain disclosures and notices to borrowers. These requirements can and do change as statutes and regulations are enacted, promulgated, amended, interpreted and enforced. The recent trend among federal, state and local lawmakers and regulators has been toward increasing laws, regulations and investigative proceedings with regard to residential real estate lenders and servicers.</w:t>
      </w:r>
    </w:p>
    <w:p>
      <w:pPr>
        <w:spacing w:after="0" w:line="74"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The CFPB directly affects the regulation of residential mortgage servicing in a number of ways. First, the CFPB has rule making authority with respect to many of the federal consumer protection laws applicable to mortgage lenders and servicers, including TILA and RESPA, as reflected in the new rules for servicing and origination that went into effect in 2014, and the TILA/RESPA Integrated Disclosure rules, also known as TRID. Second, the CFPB has supervision, examination and enforcement authority over consumer financial products and services offered by certain non-depository institutions and large insured depository institutions. The CFPB’s jurisdiction includes those persons originating, brokering or servicing residential mortgage loans and those persons performing loan modification or foreclosure relief services in connection with such loans. Accordingly, we are subject to supervision, examination and enforcement by the CFPB. As previously disclosed, Ocwen has received several Civil Investigative Demands or investigative subpoenas from the CFPB seeking information about our servicing practices to which we have responded. Recently, we received a Notice and Opportunity to Respond and Advise (“NORA”) letter from the CFPB under which the CFPB has (1) notified us that the CFPB’s Office of Enforcement is considering recommending that the CFPB take legal action against us relating to compliance with federal laws pertaining to our servicing practices and (2) provided us with the opportunity to make a NORA submission, which is a written statement setting forth reasons of law, policy and fact as to why we do not believe such action is appropriate. We understand that a NORA letter from the CFPB staff is intended to ensure that potential subjects of enforcement actions have the opportunity to present their positions to the CFPB before an enforcement action is recommended or commenced. We intend to submit a NORA submission detailing why such action would not be appropriate and we are committed to resolving any potential concerns of the CFPB. If the CFPB were to bring an enforcement action against us, the resolutions of such action could have a material adverse impact on our business, reputation, financial condition and results of operations.</w:t>
      </w:r>
    </w:p>
    <w:p>
      <w:pPr>
        <w:spacing w:after="0" w:line="169" w:lineRule="exact"/>
        <w:rPr>
          <w:sz w:val="20"/>
          <w:szCs w:val="20"/>
          <w:color w:val="auto"/>
        </w:rPr>
      </w:pPr>
    </w:p>
    <w:p>
      <w:pPr>
        <w:ind w:right="340" w:firstLine="324"/>
        <w:spacing w:after="0" w:line="264" w:lineRule="auto"/>
        <w:rPr>
          <w:sz w:val="20"/>
          <w:szCs w:val="20"/>
          <w:color w:val="auto"/>
        </w:rPr>
      </w:pPr>
      <w:r>
        <w:rPr>
          <w:rFonts w:ascii="Arial" w:cs="Arial" w:eastAsia="Arial" w:hAnsi="Arial"/>
          <w:sz w:val="18"/>
          <w:szCs w:val="18"/>
          <w:color w:val="auto"/>
        </w:rPr>
        <w:t>We expect to continue to invest significantly in our operational platform and risk and compliance management systems in order to comply with these laws and regulations. Furthermore, there may be additional federal or state laws enacted that place additional obligations on servicers and originators of residential mortgage loans.</w:t>
      </w:r>
    </w:p>
    <w:p>
      <w:pPr>
        <w:spacing w:after="0" w:line="73"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Ocwen has various subsidiaries, including OLS, Homeward and Liberty, that are licensed to originate and/or service forward and reverse mortgage loans in the jurisdictions in which they operate. Our licensed entities are required to renew their licenses, typically on an annual basis, and to do so they must satisfy the license renewal requirements of each jurisdiction, which generally include financial requirements such as providing audited financial statements or satisfying minimum net worth requirements and non-financial requirements such as examinations as to the licensee’s compliance with applicable laws and regulations. Failure to satisfy any of the requirements to which our licensed entities are subject could result in a variety of regulatory actions ranging from a fine, a directive requiring a certain step to be taken, a suspension or ultimately a revocation of a license, any of which could have a material adverse impact on our results of operations and financial condition. The minimum net worth requirements to which our licensed entities are subject are unique to each state and type of license. The most restrictive of these net worth requirements is based on the outstanding UPB of the owned and subserviced portfolio of OLS and was $500.6 million at June 30, 2016. We believe our licensed entities are currently in compliance with all of their minimum net worth requirements.</w:t>
      </w:r>
    </w:p>
    <w:p>
      <w:pPr>
        <w:spacing w:after="0" w:line="59"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OLS, Homeward and Liberty are also parties to seller/servicer agreements and/or subject to guidelines and regulations (collectively, seller/servicer obligations) with one or more of the GSEs, HUD, FHA, VA and Ginnie Mae. These seller/servicer obligations include financial covenants that include capital requirements related to tangible net worth, as defined by the applicable agency, an obligation to provide audited consolidated financial statements within 90 days of the applicable entity’s fiscal year end as well as extensive requirements regarding servicing, selling and other matters. To the extent that these requirements are not met or waived, the applicable agency may, at its option, utilize a variety of remedies including requirements to deposit funds as security for our obligations, sanctions, suspension or even termination of approved seller/servicer status, which would prohibit future originations or securitizations of forward or reverse mortgage loans or servicing for the applicable agency. To date, none of these counterparties has communicated any material sanction, suspension or prohibition in connection with our seller/servicer obligations. We believe we were in compliance with the related net worth requirements at June 30, 2016. Our non-Agency servicing agreements also contain requirements regarding servicing practices and other matters, and a failure to comply with these requirements could have an adverse impact on our business.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692" w:right="259" w:bottom="1440" w:gutter="0" w:footer="0" w:header="0"/>
        </w:sectPr>
      </w:pPr>
    </w:p>
    <w:bookmarkStart w:id="45" w:name="page46"/>
    <w:bookmarkEnd w:id="45"/>
    <w:p>
      <w:pPr>
        <w:ind w:right="160" w:firstLine="324"/>
        <w:spacing w:after="0" w:line="255" w:lineRule="auto"/>
        <w:rPr>
          <w:sz w:val="20"/>
          <w:szCs w:val="20"/>
          <w:color w:val="auto"/>
        </w:rPr>
      </w:pPr>
      <w:r>
        <w:rPr>
          <w:rFonts w:ascii="Arial" w:cs="Arial" w:eastAsia="Arial" w:hAnsi="Arial"/>
          <w:sz w:val="18"/>
          <w:szCs w:val="18"/>
          <w:color w:val="auto"/>
        </w:rPr>
        <w:t>Transfers of mortgage servicing are subject to regulation under federal consumer finance laws, including CFPB rules implementing RESPA that require servicers to, among other things, maintain policies and procedures that are reasonably designed to facilitate the transfer of accurate information and documents during mortgage servicing transfers and properly evaluate loss mitigation applications that are in process at the time of transfer. The CFPB has advised mortgage servicers that its examiners will be carefully reviewing servicers’ compliance with these and other regulations applicable to servicing transfers, and state mortgage regulators have supervisory power over any licensed institutions involved in a transaction. Accordingly, we have been and will be required to devote time and resources to ensuring compliance and engaging with such regulators in connection with our recent sales of MSRs and any future transfers of mortgage servicing.</w:t>
      </w:r>
    </w:p>
    <w:p>
      <w:pPr>
        <w:spacing w:after="0" w:line="189"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There are a number of foreign laws and regulations that are applicable to our operations in India and the Philippines, including acts that govern licensing, employment, safety, taxes, insurance and the laws and regulations that govern the creation, continuation and the winding up of companies as well as the relationships between shareholders, our corporate entities, the public and the government in these countries. Non-compliance with the laws and regulations of India or the Philippines could result in (i) restrictions on our operations in these counties, (ii) fines, penalties or sanctions or (iii) reputational damage.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Commitments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Unfunded Lending Commitments</w:t>
      </w:r>
    </w:p>
    <w:p>
      <w:pPr>
        <w:spacing w:after="0" w:line="121" w:lineRule="exact"/>
        <w:rPr>
          <w:sz w:val="20"/>
          <w:szCs w:val="20"/>
          <w:color w:val="auto"/>
        </w:rPr>
      </w:pPr>
    </w:p>
    <w:p>
      <w:pPr>
        <w:ind w:right="140" w:firstLine="324"/>
        <w:spacing w:after="0" w:line="312" w:lineRule="auto"/>
        <w:rPr>
          <w:sz w:val="20"/>
          <w:szCs w:val="20"/>
          <w:color w:val="auto"/>
        </w:rPr>
      </w:pPr>
      <w:r>
        <w:rPr>
          <w:rFonts w:ascii="Arial" w:cs="Arial" w:eastAsia="Arial" w:hAnsi="Arial"/>
          <w:sz w:val="16"/>
          <w:szCs w:val="16"/>
          <w:color w:val="auto"/>
        </w:rPr>
        <w:t>We have originated floating-rate reverse mortgage loans under which the borrowers have additional borrowing capacity of $1.0 billion at June 30, 2016. This additional borrowing capacity is available on a scheduled or unscheduled payment basis. We also had short-term commitments to lend $614.4 million and $25.9 million in connection with our forward and reverse mortgage loan interest rate lock commitments, respectively, outstanding at June 30, 2016.</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 Term Contracts</w:t>
      </w:r>
    </w:p>
    <w:p>
      <w:pPr>
        <w:spacing w:after="0" w:line="229" w:lineRule="exact"/>
        <w:rPr>
          <w:sz w:val="20"/>
          <w:szCs w:val="20"/>
          <w:color w:val="auto"/>
        </w:rPr>
      </w:pPr>
    </w:p>
    <w:p>
      <w:pPr>
        <w:ind w:right="80" w:firstLine="324"/>
        <w:spacing w:after="0" w:line="297" w:lineRule="auto"/>
        <w:rPr>
          <w:sz w:val="20"/>
          <w:szCs w:val="20"/>
          <w:color w:val="auto"/>
        </w:rPr>
      </w:pPr>
      <w:r>
        <w:rPr>
          <w:rFonts w:ascii="Arial" w:cs="Arial" w:eastAsia="Arial" w:hAnsi="Arial"/>
          <w:sz w:val="16"/>
          <w:szCs w:val="16"/>
          <w:color w:val="auto"/>
        </w:rPr>
        <w:t>Our business is currently dependent on many of the services and products provided by Altisource Portfolio Solutions, S.A. (Altisource) under long-term agreements, many of which include renewal provisions. Our servicing platform runs on an information technology system that we license from Altisource. If Altisource were to fail to fulfill its contractual obligations to us, including through a failure to provide services at the required level to maintain and support our systems, or if Altisource were to become unable to fulfill such obligations (for example, because it entered bankruptcy), our business and operations would suffer. In addition, if Altisource fails to develop and maintain its technology so as to provide us with a competitive platform, our business could suffer.</w:t>
      </w:r>
    </w:p>
    <w:p>
      <w:pPr>
        <w:spacing w:after="0" w:line="50"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Ocwen and OMS are parties to a Services Agreement, a Technology Products Services Agreement, an Intellectual Property Agreement and a Data Center and Disaster Recovery Services Agreement with Altisource. Under the Services Agreements, Altisource provides various business process outsourcing services, such as valuation services and property preservation and inspection services, among other things. Altisource provides certain technology products and support services under the Technology Products Services Agreements and the Data Center and Disaster Recovery Services Agreements. These agreements expire August 31, 2025. Ocwen and Altisource have also entered into a Master Services Agreement pursuant to which Altisource provides certain loan origination services to Homeward and Liberty, and a General Referral Fee agreement pursuant to which Ocwen receives referral fees which are paid out of the commission that would otherwise be paid to Altisource as the selling broker in connection with real estate sales services provided by Altisource.</w:t>
      </w:r>
    </w:p>
    <w:p>
      <w:pPr>
        <w:spacing w:after="0" w:line="59"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color w:val="auto"/>
        </w:rPr>
        <w:t>Certain services provided by Altisource under these agreements are charged to the borrower and/or mortgage loan investor. Accordingly, such services, while derived from our loan servicing portfolio, are not reported as expenses by Ocwen. These services include residential property valuation, residential property preservation and inspection services, title services and real estate sales. Similar to other vendors, in the event that Altisource’s activities do not comply with the applicable servicing criteria, we could be exposed to liability as the servicer and it could negatively impact our relationships with our servicing clients, borrowers or regulators, among others.</w:t>
      </w:r>
    </w:p>
    <w:p>
      <w:pPr>
        <w:spacing w:after="0" w:line="8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have also entered into Support Services Agreements with Altisource setting forth certain services that Altisource and Ocwen may provide to each other in such areas as human resources, corporate services, Six Sigma, quality assurance, quantitative analytics, treasury, accounting, tax matters and strategic planning. These Support Services Agreements run through October 2017 and September 2018, respectively, with automatic one-year renewals thereafter. During 2014, we began reducing the amount of services provided to us under the Support Services Agreement. Beginning April 1, 2015, the only services that are regularly provided under these Support Services Agreements are corporate services such as vendor procurement for technology and facilities management services. As of January 2016, Altisource no longer provides facility management services to Ocwen. We anticipate that we will cease all corporate services by the end of 2016.</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692"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Note 19 – Contingencies</w:t>
      </w:r>
    </w:p>
    <w:p>
      <w:pPr>
        <w:spacing w:after="0" w:line="229"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When we become aware of a matter involving uncertainty for which we may incur a loss, we assess the likelihood of any loss. If a loss contingency is probable and the amount of the loss can be reasonably estimated, we record an accrual for the loss. In such cases, there may be an exposure to potential loss in excess of the amount accrued. Where a loss is not probable but is reasonably possible or where a loss in excess of the amount accrued is reasonably possible, we disclose an estimate of the amount of the loss or range of possible losses for the claim if a reasonable estimate can be made, unless the amount of such reasonably possible loss is not material to our financial position, results of operations or cash flows. If a reasonable estimate of loss cannot be made, we do not accrue for any loss or disclose any estimate of exposure to potential loss. An assessment regarding the ultimate outcome of any such matter involves judgments about future events, actions and circumstances that are inherently uncertain. The actual outcome could differ materially. Where we have retained external legal counsel or other professional advisers, such advisers assist us in making such assessments.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121" w:lineRule="exact"/>
        <w:rPr>
          <w:sz w:val="20"/>
          <w:szCs w:val="20"/>
          <w:color w:val="auto"/>
        </w:rPr>
      </w:pPr>
    </w:p>
    <w:p>
      <w:pPr>
        <w:jc w:val="both"/>
        <w:ind w:right="420" w:firstLine="324"/>
        <w:spacing w:after="0" w:line="312" w:lineRule="auto"/>
        <w:rPr>
          <w:sz w:val="20"/>
          <w:szCs w:val="20"/>
          <w:color w:val="auto"/>
        </w:rPr>
      </w:pPr>
      <w:r>
        <w:rPr>
          <w:rFonts w:ascii="Arial" w:cs="Arial" w:eastAsia="Arial" w:hAnsi="Arial"/>
          <w:sz w:val="16"/>
          <w:szCs w:val="16"/>
          <w:color w:val="auto"/>
        </w:rPr>
        <w:t>In the ordinary course of business, we are routinely a defendant in, or a party or potential party to, many threatened and pending legal proceedings, including proceedings brought on behalf of various classes of claimants, those brought derivatively on behalf of Ocwen against certain current or former officers and directors, and those brought under the False Claims Act by private citizens on behalf of the United States of America.</w:t>
      </w:r>
    </w:p>
    <w:p>
      <w:pPr>
        <w:spacing w:after="0" w:line="39"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These proceedings are generally based on alleged violations of federal, state and local laws and regulations governing our mortgage servicing and lending activities, including wrongful foreclosure and eviction actions, allegations of wrongdoing in connection with lender-placed insurance arrangements, claims relating to our pre-foreclosure property preservation activities, claims relating to our written and telephonic communications with our borrowers, claims related to our payment and other processing operations, and claims regarding certifications of our legal compliance related to our participation in certain government programs. In some of these proceedings, claims for substantial monetary damages are asserted against us.</w:t>
      </w:r>
    </w:p>
    <w:p>
      <w:pPr>
        <w:spacing w:after="0" w:line="64" w:lineRule="exact"/>
        <w:rPr>
          <w:sz w:val="20"/>
          <w:szCs w:val="20"/>
          <w:color w:val="auto"/>
        </w:rPr>
      </w:pPr>
    </w:p>
    <w:p>
      <w:pPr>
        <w:ind w:right="240" w:firstLine="324"/>
        <w:spacing w:after="0" w:line="279" w:lineRule="auto"/>
        <w:rPr>
          <w:sz w:val="20"/>
          <w:szCs w:val="20"/>
          <w:color w:val="auto"/>
        </w:rPr>
      </w:pPr>
      <w:r>
        <w:rPr>
          <w:rFonts w:ascii="Arial" w:cs="Arial" w:eastAsia="Arial" w:hAnsi="Arial"/>
          <w:sz w:val="17"/>
          <w:szCs w:val="17"/>
          <w:color w:val="auto"/>
        </w:rPr>
        <w:t>In view of the inherent difficulty of predicting the outcome of any threatened or pending legal proceedings, particularly where the claimants seek very large or indeterminate damages or where the matters present novel legal theories or involve a large number of parties, we generally cannot predict what the eventual outcome of such proceedings will be, what the timing of the ultimate resolution will be, or what the eventual loss, if any, will be. Any material adverse resolution could materially and adversely affect our business, reputation, financial condition and results of operations.</w:t>
      </w:r>
    </w:p>
    <w:p>
      <w:pPr>
        <w:spacing w:after="0" w:line="63"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Where we determine that a loss contingency is probable in connection with a pending or threatened legal proceeding and the amount of our loss can be reasonably estimated, we record an accrual for the loss. Excluding expenses of internal or external legal counsel, we have accrued $58.8 million as of June 30, 2016 for losses relating to threatened and pending litigation that we believe are probable and reasonably estimable based on current information regarding these matters. Where we determine that a loss is not probable but is reasonably possible or where a loss in excess of the amount accrued is reasonably possible, we disclose an estimate of the amount of the loss or range of possible losses for the claim if a reasonable estimate can be made, unless the amount of such reasonably possible loss is not material to our financial position, results of operations or cash flows. It is possible that we will incur losses relating to threatened and pending litigation that materially exceed the amount accrued. We cannot currently estimate the amount, if any, of reasonably possible losses above amounts that have been recorded at June 30, 2016.</w:t>
      </w:r>
    </w:p>
    <w:p>
      <w:pPr>
        <w:spacing w:after="0" w:line="71" w:lineRule="exact"/>
        <w:rPr>
          <w:sz w:val="20"/>
          <w:szCs w:val="20"/>
          <w:color w:val="auto"/>
        </w:rPr>
      </w:pPr>
    </w:p>
    <w:p>
      <w:pPr>
        <w:ind w:right="60" w:firstLine="324"/>
        <w:spacing w:after="0" w:line="268" w:lineRule="auto"/>
        <w:rPr>
          <w:sz w:val="20"/>
          <w:szCs w:val="20"/>
          <w:color w:val="auto"/>
        </w:rPr>
      </w:pPr>
      <w:r>
        <w:rPr>
          <w:rFonts w:ascii="Arial" w:cs="Arial" w:eastAsia="Arial" w:hAnsi="Arial"/>
          <w:sz w:val="17"/>
          <w:szCs w:val="17"/>
          <w:color w:val="auto"/>
        </w:rPr>
        <w:t>Following our announcement in August 2014 that we intended to restate our financial statements for the fiscal year ended December 31, 2013 and the quarter ended March 31, 2014, and amend our Annual Report on Form 10-K for the fiscal year ended December 31, 2013 and our Quarterly Report on Form 10-Q for the quarter ended March 31, 2014, putative securities fraud class action lawsuits were filed against Ocwen and certain of its officers and directors regarding such restatements and amendments. Those lawsuits have been consolidated and are pending in federal court in Florida. After Ocwen signed a Consent Order with the NYDFS in December 2014, the consolidated securities fraud class action complaint was amended to include allegations relating to that Consent Order and other matters. In January 2015, Ocwen was named as a defendant in a separate consolidated securities fraud class action that has been brought on behalf of a putative class of shareholders of Altisource Portfolio Solutions, S.A. (Altisource). In September 2015, the presiding federal court dismissed both of the above-referenced consolidated securities fraud class actions. Both of those actions have since been re-filed in federal court. On December 22, 2015, the presiding federal court dismissed the claims against Ocwen with prejudice in the above-referenced matter brought by the putative class of Altisource shareholders. On that same day, the presiding federal court dismissed in part the above-referenced matter brought by the putative class of Ocwen shareholders. In January 2016, Ocwen was named as a defendant in a separate securities action brought on behalf of certain putative shareholders of Ocwen. Additional lawsuits may be filed and, at this time, Ocwen is unable to predict the outcome of these lawsuits, the possible loss or range of loss, if any, associated with the resolution of these lawsuits or any potential impact they may have on us or our operations. Ocwen and the other defendants intend to vigorously defend against these lawsuits. If our efforts to defend these lawsuits are not successful, our business, financial condition, liquidity and results of operations could be materially and adversely affected.</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796" w:right="239" w:bottom="1440" w:gutter="0" w:footer="0" w:header="0"/>
        </w:sectPr>
      </w:pPr>
    </w:p>
    <w:bookmarkStart w:id="47" w:name="page48"/>
    <w:bookmarkEnd w:id="47"/>
    <w:p>
      <w:pPr>
        <w:ind w:firstLine="324"/>
        <w:spacing w:after="0" w:line="255" w:lineRule="auto"/>
        <w:rPr>
          <w:sz w:val="20"/>
          <w:szCs w:val="20"/>
          <w:color w:val="auto"/>
        </w:rPr>
      </w:pPr>
      <w:r>
        <w:rPr>
          <w:rFonts w:ascii="Arial" w:cs="Arial" w:eastAsia="Arial" w:hAnsi="Arial"/>
          <w:sz w:val="18"/>
          <w:szCs w:val="18"/>
          <w:color w:val="auto"/>
        </w:rPr>
        <w:t>We are party to a small number of proceedings brought derivatively by purported shareholders. To address the claims in those proceedings, the independent directors of the Board established a Special Litigation Committee to investigate the purported shareholders’ allegations. That Committee was given authority to decide what action, if any, to take with regard to the potential legal claims identified by those purported shareholders. On April 21, 2016, after completion of its investigation, the Committee informed the Company of its conclusion that pursuit of the various legal claims identified by shareholders would not be in the best interests of the Company. The Company subsequently filed a motion to dismiss the consolidated derivative action. If our efforts to defend these derivative matters are not successful, our business, financial condition, liquidity and results of operations could be materially and adversely affected.</w:t>
      </w:r>
    </w:p>
    <w:p>
      <w:pPr>
        <w:spacing w:after="0" w:line="81" w:lineRule="exact"/>
        <w:rPr>
          <w:sz w:val="20"/>
          <w:szCs w:val="20"/>
          <w:color w:val="auto"/>
        </w:rPr>
      </w:pPr>
    </w:p>
    <w:p>
      <w:pPr>
        <w:ind w:right="100" w:firstLine="324"/>
        <w:spacing w:after="0" w:line="270" w:lineRule="auto"/>
        <w:rPr>
          <w:sz w:val="20"/>
          <w:szCs w:val="20"/>
          <w:color w:val="auto"/>
        </w:rPr>
      </w:pPr>
      <w:r>
        <w:rPr>
          <w:rFonts w:ascii="Arial" w:cs="Arial" w:eastAsia="Arial" w:hAnsi="Arial"/>
          <w:sz w:val="17"/>
          <w:szCs w:val="17"/>
          <w:color w:val="auto"/>
        </w:rPr>
        <w:t>OFC, OLS, and Homeward have reached an agreement in principle to settle the following previously disclosed litigation matters: U.S. Ex rel. Fisher v. Homeward Residential, Inc., et al and U.S. Ex rel. Fisher v. Ocwen Loan Servicing, LLC, et al (the Fisher Cases). On June 22, 2016, the parties advised the Court of the settlement in principle. The Court has therefore adjourned the trials, pending approval of the final settlement. The Fisher Cases involved allegations bought by private citizens on behalf of the United States that alleged in substance that Ocwen violated the False Claims Act by falsely certifying as to compliance with applicable laws and regulations in connection with our participation in the United States Treasury’s HAMP and FHA insurance programs. The complaints in the Fisher Cases sought damages including (i) an award equal to three times the total HAMP incentive and FHA insurance payments made by the United States on Ocwen serviced loans and (ii) statutory penalties of between $5,500 and $11,000 per alleged false claim. The United States Department of Justice has agreed to seek final approval of the settlement in principle. Subject to documentation of a definitive settlement and final approval by the United States, the settlement includes the following terms:</w:t>
      </w:r>
    </w:p>
    <w:p>
      <w:pPr>
        <w:spacing w:after="0" w:line="74"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 admission of liability or wrongdoing by Ocwen;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Payment of $15.0 million to the United States and $15.0 million for the private citizens’ attorneys’ fees and costs.</w:t>
      </w:r>
    </w:p>
    <w:p>
      <w:pPr>
        <w:spacing w:after="0" w:line="103" w:lineRule="exact"/>
        <w:rPr>
          <w:sz w:val="20"/>
          <w:szCs w:val="20"/>
          <w:color w:val="auto"/>
        </w:rPr>
      </w:pPr>
    </w:p>
    <w:p>
      <w:pPr>
        <w:ind w:right="160" w:firstLine="324"/>
        <w:spacing w:after="0" w:line="273" w:lineRule="auto"/>
        <w:rPr>
          <w:sz w:val="20"/>
          <w:szCs w:val="20"/>
          <w:color w:val="auto"/>
        </w:rPr>
      </w:pPr>
      <w:r>
        <w:rPr>
          <w:rFonts w:ascii="Arial" w:cs="Arial" w:eastAsia="Arial" w:hAnsi="Arial"/>
          <w:sz w:val="17"/>
          <w:szCs w:val="17"/>
          <w:color w:val="auto"/>
        </w:rPr>
        <w:t>Ocwen agreed to the settlement, notwithstanding its belief that it has sound legal and factual defenses, in order to avoid the uncertain outcome of two trials and the additional expense and management time involved. Accordingly, we have accrued $30.0 million as of June 30, 2016 with respect to the settlement in principle because we believe this amount is both probable and reasonably estimable based on current information. There can be no assurance that the settlement in principle will be finalized and approved by the United States and the Court. In the event the settlement in principle is not ultimately finalized and approved, the Fisher Cases would continue and we would vigorously defend the allegations made against Ocwen. If our efforts to defend were not successful, our business, financial condition, liquidity and results of operations could be materially and adversely affected.</w:t>
      </w:r>
    </w:p>
    <w:p>
      <w:pPr>
        <w:spacing w:after="0" w:line="70" w:lineRule="exact"/>
        <w:rPr>
          <w:sz w:val="20"/>
          <w:szCs w:val="20"/>
          <w:color w:val="auto"/>
        </w:rPr>
      </w:pPr>
    </w:p>
    <w:p>
      <w:pPr>
        <w:ind w:right="140" w:firstLine="324"/>
        <w:spacing w:after="0" w:line="293" w:lineRule="auto"/>
        <w:rPr>
          <w:sz w:val="20"/>
          <w:szCs w:val="20"/>
          <w:color w:val="auto"/>
        </w:rPr>
      </w:pPr>
      <w:r>
        <w:rPr>
          <w:rFonts w:ascii="Arial" w:cs="Arial" w:eastAsia="Arial" w:hAnsi="Arial"/>
          <w:sz w:val="16"/>
          <w:szCs w:val="16"/>
          <w:color w:val="auto"/>
        </w:rPr>
        <w:t>In several recent court actions, mortgage loan sellers against whom repurchase claims have been asserted based on alleged breaches of representations and warranties are defending on various grounds including the expiration of statutes of limitation, lack of notice and opportunity to cure, and vitiation of the obligation to repurchase as a result of foreclosure or charge-off of the loan. We have entered into tolling agreements with respect to our role as servicer for a small number of securitizations and may enter into additional tolling agreements in the future. Other court actions have been filed against certain RMBS trustees alleging that the trustees breached their contractual and statutory duties by, among other things, failing to require the loan servicers to abide by the servicers’ obligations and failing to declare that certain alleged servicing events of default under the applicable contracts occurred.</w:t>
      </w:r>
    </w:p>
    <w:p>
      <w:pPr>
        <w:spacing w:after="0" w:line="165"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Ocwen is a party in certain of these actions, is the servicer for certain securitizations involved in other such actions and is the servicer for other securitizations as to which actions have been threatened by certificate holders. We intend to vigorously defend ourselves in the lawsuits to which we have been named a party. Should Ocwen be made a party to other similar actions or should Ocwen be asked to indemnify any parties to such actions, we may need to defend allegations that we failed to service loans in accordance with applicable agreements and that such failures prejudiced the rights of repurchase claimants against loan sellers or otherwise diminished the value of the trust collateral. At this time, we are unable to predict the ultimate outcome of these lawsuits, the possible loss or range of loss, if any, associated with the resolution of these lawsuits or any potential impact they may have on us or our operations. If, however, we were required to compensate claimants for losses related to the alleged loan servicing breaches, then our business, financial condition and results of operations could be adversely affected.</w:t>
      </w:r>
    </w:p>
    <w:p>
      <w:pPr>
        <w:spacing w:after="0" w:line="179"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In addition, a number of RMBS trustees have received notices of default alleging material failures by servicers to comply with applicable servicing agreements. For example, certain investors claiming to hold at least 25% ownership interest in 119 RMBS trusts serviced by Ocwen have submitted to the respective trustees of those trusts a Notice of Non-Performance, alleging that we have materially breached our obligations under the servicing agreements in those trusts. The Notice further alleged that our conduct, if not timely cured, would give rise to events of default under the applicable servicing agreements, on the basis of which we could potentially be terminated as servicer for the 119 Trusts. Ocwen denies the allegations in the Notice and intends to vigorously rebut them. Since the Notice was issued, Ocwen has been directed by the trustee for two of the trusts to transfer its servicing to another loan servicing company based on ratings downgrades. There is a risk that Ocwen could be replaced as servicer on the remaining trusts at issue in the Notice, that the trustees could take legal action on behalf of the trust certificateholders, or, under certain circumstances, that the investors who issued the Notice could seek to press their allegations</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692" w:right="259" w:bottom="1440" w:gutter="0" w:footer="0" w:header="0"/>
        </w:sectPr>
      </w:pPr>
    </w:p>
    <w:bookmarkStart w:id="48" w:name="page49"/>
    <w:bookmarkEnd w:id="48"/>
    <w:p>
      <w:pPr>
        <w:ind w:right="160"/>
        <w:spacing w:after="0" w:line="259" w:lineRule="auto"/>
        <w:rPr>
          <w:sz w:val="20"/>
          <w:szCs w:val="20"/>
          <w:color w:val="auto"/>
        </w:rPr>
      </w:pPr>
      <w:r>
        <w:rPr>
          <w:rFonts w:ascii="Arial" w:cs="Arial" w:eastAsia="Arial" w:hAnsi="Arial"/>
          <w:sz w:val="18"/>
          <w:szCs w:val="18"/>
          <w:color w:val="auto"/>
        </w:rPr>
        <w:t>against Ocwen, independent of the trustees. We are unable at this time to predict what, if any, actions the trustees will take in response to the Notice, nor can we predict at this time the potential loss or range of loss, if any, associated with the resolution of the Notice or the potential impact on our operations. If Ocwen were to be terminated as servicer, or other related legal actions were pursued against Ocwen, it could have an adverse effect on Ocwen’s business, financing activities, financial condition and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w:t>
      </w:r>
    </w:p>
    <w:p>
      <w:pPr>
        <w:spacing w:after="0" w:line="121"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We are subject to a number of ongoing federal and state regulatory examinations, consent orders, inquiries, requests for information and other actions. Where we determine that a loss contingency is probable in connection with a regulatory matter and the amount of our loss can be reasonably estimated, we record an accrual for the loss. Where we determine that a loss is not probable but is reasonably possible or where a loss in excess of the amount accrued is reasonably possible, we disclose an estimate of the amount of the loss or range of possible losses for the claim if a reasonable estimate can be made, unless the amount of such reasonably possible loss is not material to our financial position, results of operations or cash flows. It is possible that we will incur losses relating to regulatory matters that materially exceed any accrued amount. Predicting the outcome of any regulatory matter is inherently difficult and we generally cannot predict the eventual outcome of any regulatory matter or the eventual loss, if any, associated with the outcome.</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York Department of Financial Services</w:t>
      </w:r>
    </w:p>
    <w:p>
      <w:pPr>
        <w:spacing w:after="0" w:line="121"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In December 2012, we entered into a consent order with the NY DFS in which we agreed to the appointment of a Monitor to oversee our compliance with an Agreement on Servicing Practices that we had entered into with the NY DFS in September 2011. After the Monitor began its work in 2013, the NY DFS began an investigation into Ocwen’s compliance with the servicing requirements specified in the Agreement on Servicing Practices as well as New York State laws and regulations relating to the servicing of residential mortgages.</w:t>
      </w:r>
    </w:p>
    <w:p>
      <w:pPr>
        <w:spacing w:after="0" w:line="187"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In December 2014, Ocwen reached a settlement with the NY DFS related to this investigation and entered into a consent order (the NY Consent Order) with the NY DFS to reflect such settlement. The settlement contained monetary and non-monetary provisions including the payment of a civil monetary penalty of $100.0 million and restitution in the amount of $50.0 million to certain New York borrowers and the appointment of an independent Operations Monitor for a two-year period ending March 2017, extendable for one year at the discretion of the NY DFS. We must pay all reasonable and necessary costs of the Operations Monitor.</w:t>
      </w:r>
    </w:p>
    <w:p>
      <w:pPr>
        <w:spacing w:after="0" w:line="80"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continue to work with the Operations Monitor. If we are found to have breached the terms of the NY Consent Order or if the NY DFS or the Operations Monitor were to allege non-compliance with New York laws or regulations, we could become subject to financial penalties or other regulatory action could be taken against us. The Operations Monitor also makes recommendations to Ocwen on various operational and governance matters. If we do not address such recommendations in a manner deemed satisfactory by the Operations Monitor and the NY DFS, we could be subject to additional scrutiny by the Operations Monitor or the NY DFS or other regulatory action could be taken against us.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California Department of Business Oversight</w:t>
      </w:r>
    </w:p>
    <w:p>
      <w:pPr>
        <w:spacing w:after="0" w:line="12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January 2015, OLS reached an agreement with the CA DBO relating to Ocwen’s failure to produce certain information and documents during a routine licensing examination, which resulted in the CA DBO withdrawing its notice of hearing to suspend OLS’ license in California. OLS and the CA DBO entered into a Consent Order pursuant to the California Residential Mortgage Lending Act (the CA Consent Order) with the CA DBO to reflect such settlement. The CA Consent Order addresses and resolves the examination disputes between the CA DBO and OLS, and does not involve any accusation or admission of wrongdoing with regard to OLS’ servicing practices.</w:t>
      </w:r>
    </w:p>
    <w:p>
      <w:pPr>
        <w:spacing w:after="0" w:line="80"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Under the terms of the CA Consent Order, OLS paid the CA DBO a penalty of $2.5 million plus costs associated with the examination. OLS also agreed to cease acquiring any additional MSRs for loans secured in California until the CA DBO is satisfied that OLS can satisfactorily respond to the requests for information and documentation made in the course of a regulatory exam.</w:t>
      </w:r>
    </w:p>
    <w:p>
      <w:pPr>
        <w:spacing w:after="0" w:line="73" w:lineRule="exact"/>
        <w:rPr>
          <w:sz w:val="20"/>
          <w:szCs w:val="20"/>
          <w:color w:val="auto"/>
        </w:rPr>
      </w:pPr>
    </w:p>
    <w:p>
      <w:pPr>
        <w:ind w:right="180" w:firstLine="324"/>
        <w:spacing w:after="0" w:line="279" w:lineRule="auto"/>
        <w:rPr>
          <w:sz w:val="20"/>
          <w:szCs w:val="20"/>
          <w:color w:val="auto"/>
        </w:rPr>
      </w:pPr>
      <w:r>
        <w:rPr>
          <w:rFonts w:ascii="Arial" w:cs="Arial" w:eastAsia="Arial" w:hAnsi="Arial"/>
          <w:sz w:val="17"/>
          <w:szCs w:val="17"/>
          <w:color w:val="auto"/>
        </w:rPr>
        <w:t>In addition, the CA DBO has selected an independent third-party auditor (the CA Auditor) to assess OLS’ compliance with laws and regulations impacting California borrowers for an initial term of two years ending July 2017, extendable at the discretion of the CA DBO. OLS must pay all reasonable and necessary costs of the CA Auditor. The CA Auditor will report periodically on its findings and progress and OLS must submit to the CA DBO a written plan to address and implement corrective measures and address any deficiencies identified by the CA Auditor.</w:t>
      </w:r>
    </w:p>
    <w:p>
      <w:pPr>
        <w:spacing w:after="0" w:line="63"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We continue to work with the CA Auditor. As part of the CA Auditor’s work, from time to time the CA Auditor and the CA DBO have made observations regarding our compliance with various regulations and legal requirements, including the Consent Order. As part of these observations, the CA DBO has informed us of its position that certain onboarding activities relating to new California originations in 2015 were prohibited by the Consent Order and represent a material breach of the agreement. We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692" w:right="239" w:bottom="1440" w:gutter="0" w:footer="0" w:header="0"/>
        </w:sectPr>
      </w:pPr>
    </w:p>
    <w:bookmarkStart w:id="49" w:name="page50"/>
    <w:bookmarkEnd w:id="49"/>
    <w:p>
      <w:pPr>
        <w:ind w:right="80"/>
        <w:spacing w:after="0" w:line="273" w:lineRule="auto"/>
        <w:rPr>
          <w:sz w:val="20"/>
          <w:szCs w:val="20"/>
          <w:color w:val="auto"/>
        </w:rPr>
      </w:pPr>
      <w:r>
        <w:rPr>
          <w:rFonts w:ascii="Arial" w:cs="Arial" w:eastAsia="Arial" w:hAnsi="Arial"/>
          <w:sz w:val="17"/>
          <w:szCs w:val="17"/>
          <w:color w:val="auto"/>
        </w:rPr>
        <w:t>disagree with this position. Given that we have already made adjustments to our processes for California originations, the CA DBO has not asked us to make any additional changes to such processes at this time. The CA DBO has also raised similar concerns related to our on-boarding of loans subject to subservicing agreements. The CA DBO is still evaluating this activity as it relates to the Consent Order. The CA DBO has not asked us to cease any subservicing activities, and these activities are not material to our overall operations. However, it is possible that the CA DBO could determine to take action against us, which could subject us to financial penalties or other regulatory action, and it is possible that the CA Auditor or the CA DBO could allege that other activities do not comply with California laws or regulations, which could also result in regulatory action against us.</w:t>
      </w:r>
    </w:p>
    <w:p>
      <w:pPr>
        <w:spacing w:after="0" w:line="70"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We have recently engaged in discussions with the CA DBO regarding the possibility of resolving certain matters relating to OLS’ servicing practices and early termination of the Consent Order, which would also terminate the CA Auditor engagement. We have not reached any agreement with the CA DBO and cannot predict whether or when we may reach such an agreement; however, we have offered to pay $15.0 million to the CA DBO to settle and terminate the Consent Order, and therefore, pursuant to ASC 450, we have accrued this amount in our financial statements as of June 30, 2016. Whether or not we reach an agreement after discussions with the CA DBO, it is possible that we could incur losses that materially exceed this amount, which could have a material adverse impact our on our business, reputation, financial condition, liquidity and results of operations. We cannot currently estimate the amount, if any, of reasonably possible loss above amounts that have been recorded as of June 30, 2016.</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National Mortgage Settlement</w:t>
      </w:r>
    </w:p>
    <w:p>
      <w:pPr>
        <w:spacing w:after="0" w:line="229" w:lineRule="exact"/>
        <w:rPr>
          <w:sz w:val="20"/>
          <w:szCs w:val="20"/>
          <w:color w:val="auto"/>
        </w:rPr>
      </w:pPr>
    </w:p>
    <w:p>
      <w:pPr>
        <w:ind w:right="20" w:firstLine="324"/>
        <w:spacing w:after="0" w:line="312" w:lineRule="auto"/>
        <w:rPr>
          <w:sz w:val="20"/>
          <w:szCs w:val="20"/>
          <w:color w:val="auto"/>
        </w:rPr>
      </w:pPr>
      <w:r>
        <w:rPr>
          <w:rFonts w:ascii="Arial" w:cs="Arial" w:eastAsia="Arial" w:hAnsi="Arial"/>
          <w:sz w:val="16"/>
          <w:szCs w:val="16"/>
          <w:color w:val="auto"/>
        </w:rPr>
        <w:t>In February 2014, the Ocwen National Mortgage Settlement involving the CFPB and various state attorneys general and other state agencies that regulate the mortgage servicing industry (NMS Regulators), relating to various allegations regarding deficient mortgage servicing practices, including those with respect to foreclosures, was memorialized by a consent order entered by the United States District Court for the District of Columbia (District Court).</w:t>
      </w:r>
    </w:p>
    <w:p>
      <w:pPr>
        <w:spacing w:after="0" w:line="3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are tested on a quarterly basis on various metrics to ensure compliance with the Ocwen National Mortgage Settlement. These metrics relate to various aspects of our servicing business, and each has a proscribed error threshold. These metrics are tested by a dedicated group of Ocwen employees who do not report to the Servicing business and are referred to as the Internal Review Group (IRG). The IRG tests these metrics, and reports their findings to the professional firms employed by the Office of Mortgage Settlement Oversight (OMSO). OMSO has ultimate authority to accept or reject the IRG’s findings, and OMSO reports its findings to the District Court.</w:t>
      </w:r>
    </w:p>
    <w:p>
      <w:pPr>
        <w:spacing w:after="0" w:line="80" w:lineRule="exact"/>
        <w:rPr>
          <w:sz w:val="20"/>
          <w:szCs w:val="20"/>
          <w:color w:val="auto"/>
        </w:rPr>
      </w:pPr>
    </w:p>
    <w:p>
      <w:pPr>
        <w:ind w:right="80" w:firstLine="324"/>
        <w:spacing w:after="0" w:line="297" w:lineRule="auto"/>
        <w:rPr>
          <w:sz w:val="20"/>
          <w:szCs w:val="20"/>
          <w:color w:val="auto"/>
        </w:rPr>
      </w:pPr>
      <w:r>
        <w:rPr>
          <w:rFonts w:ascii="Arial" w:cs="Arial" w:eastAsia="Arial" w:hAnsi="Arial"/>
          <w:sz w:val="16"/>
          <w:szCs w:val="16"/>
          <w:color w:val="auto"/>
        </w:rPr>
        <w:t>Exceeding the metric error rate threshold for the first time does not result in a violation of the settlement, but rather it is deemed a “potential violation” which then is subject to a cure period. Any potential violation requires us to submit a corrective action plan (CAP) to OMSO for approval and review, and all testing for that metric is suspended until the CAP is completed. Following the completion of the CAP, testing on that metric resumes by the IRG and any further fails in the cure period or the quarter following that cure period would subject us to financial penalties. These penalties start at an amount of not more than $1.0 million for the first uncured violation and increase to an amount of not more than $5.0 million for the second uncured violation.</w:t>
      </w:r>
    </w:p>
    <w:p>
      <w:pPr>
        <w:spacing w:after="0" w:line="50"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To date, OMSO’s reports have found six metrics where our testing has exceeded the applicable error rate threshold. Each of those metrics has been the subject of an agreed-upon CAP, and one of those potential fails have been deemed “cured” by OMSO as subsequent testing has not exceeded the metric error rate threshold. The remainder of the metrics are either still under CAPs or the post-cure testing has yet to be validated by OMSO. Moreover, we agreed with OMSO to deem an additional five metrics as having failed due to the letter-dating issues that were raised by the NY DFS in 2014, as the testing of those metrics could have been affected by that issue. Those metrics are subject to a “global CAP” that covers all letter-dating issues under the Ocwen National Mortgage Settlement, in addition to any metric-specific CAP plan. It is also possible that if we are found to have caused borrower harm, we would be subject to costs to remediate that harm. In addition, in the event that there were widespread metric failures, it is possible that OMSO or the District Court could determine that we were generally violating the settlement and seek to impose a broader range of financial, injunctive or other penalties on us.</w:t>
      </w:r>
    </w:p>
    <w:p>
      <w:pPr>
        <w:spacing w:after="0" w:line="166"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In December 2014, OMSO identified two issues involving our compliance with the Ocwen National Mortgage Settlement. The first concerned the adequacy and independence of our IRG, which is responsible for reporting on our compliance with the settlement. The second concerned the letter dating issues discussed above. OMSO’s reports since then have identified the steps we have taken to remediate these issues and acknowledged Ocwen’s cooperation. OMSO’s most recent compliance report, dated April 28, 2016, covering the first two quarters of 2015, indicated that the IRG performed its work in all material respects as required under the National Mortgage Settlement. OMSO further noted that the letter-dating issues are subject to the global CAP discussed above, which OMSO deemed completed. That report further indicated that Ocwen did not fail any metrics in the first two quarters of 2015. In the same report, OMSO indicated that Ocwen completed all Consumer Relief required under the National Mortgage Settlement, crediting Ocwen with over $2.1 billion in consumer relief credits, which exceeded Ocwen’s obligations.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692" w:right="259" w:bottom="1440" w:gutter="0" w:footer="0" w:header="0"/>
        </w:sectPr>
      </w:pPr>
    </w:p>
    <w:bookmarkStart w:id="50" w:name="page51"/>
    <w:bookmarkEnd w:id="50"/>
    <w:p>
      <w:pPr>
        <w:jc w:val="both"/>
        <w:ind w:right="260" w:firstLine="324"/>
        <w:spacing w:after="0" w:line="264" w:lineRule="auto"/>
        <w:rPr>
          <w:sz w:val="20"/>
          <w:szCs w:val="20"/>
          <w:color w:val="auto"/>
        </w:rPr>
      </w:pPr>
      <w:r>
        <w:rPr>
          <w:rFonts w:ascii="Arial" w:cs="Arial" w:eastAsia="Arial" w:hAnsi="Arial"/>
          <w:sz w:val="18"/>
          <w:szCs w:val="18"/>
          <w:color w:val="auto"/>
        </w:rPr>
        <w:t>We continue to work with OMSO on ongoing testing and CAPs. While, to date, these issues have not resulted in financial or other penalties, if we are found to have breached the Ocwen National Mortgage Settlement, we could become subject to financial penalties or other regulatory action could be taken against us.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and Exchange Commission</w:t>
      </w:r>
    </w:p>
    <w:p>
      <w:pPr>
        <w:spacing w:after="0" w:line="121" w:lineRule="exact"/>
        <w:rPr>
          <w:sz w:val="20"/>
          <w:szCs w:val="20"/>
          <w:color w:val="auto"/>
        </w:rPr>
      </w:pPr>
    </w:p>
    <w:p>
      <w:pPr>
        <w:ind w:right="220" w:firstLine="324"/>
        <w:spacing w:after="0" w:line="297" w:lineRule="auto"/>
        <w:rPr>
          <w:sz w:val="20"/>
          <w:szCs w:val="20"/>
          <w:color w:val="auto"/>
        </w:rPr>
      </w:pPr>
      <w:r>
        <w:rPr>
          <w:rFonts w:ascii="Arial" w:cs="Arial" w:eastAsia="Arial" w:hAnsi="Arial"/>
          <w:sz w:val="16"/>
          <w:szCs w:val="16"/>
          <w:color w:val="auto"/>
        </w:rPr>
        <w:t>In February 2015, we received a letter from the New York Regional Office of the SEC (the Staff) informing us that it was conducting an investigation relating to the use of collection agents by mortgage loan servicers. The letter requested that we voluntarily produce documents and information. We believe that the February 2015 letter was also sent to other companies in the industry. On February 11, 2016, we received a letter from the Staff informing us that it was conducting an investigation relating to fees and expenses incurred in connection with liquidated loans and REO properties held in non-agency RMBS trusts. The letter requested that we voluntarily produce documents and information. We are cooperating with the Staff on these matters.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In addition to the above matters, our loan origination and servicing businesses require one or more licenses in the various jurisdictions in which we operate. Our licensed entities are required to renew their licenses, typically on an annual basis, and to do so they must satisfy the license renewal requirements of each jurisdiction, which in some cases include the requirement to provide audited financial statements.</w:t>
      </w:r>
    </w:p>
    <w:p>
      <w:pPr>
        <w:spacing w:after="0" w:line="73"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The same agencies that issue licenses to us engage in regular supervisory examinations of the licensable activities. We are also subject to supervision by the CFPB at the federal level, and it similarly has the authority to conduct regulatory examinations, in addition to its enforcement and investigatory powers. These examinations are part of our ordinary course business activities, and the mere existence of an examination is not typically indicative of anything unusual or material as to that business. The GSEs (and their conservator, FHFA), HUD, FHA, VA, Ginnie Mae, the United States Treasury Department, and others also subject us to periodic reviews and audits. We also receive information requests and other inquiries, both formal and informal in nature, from these agencies as part of their general regulatory or other oversight of our origination and servicing businesses.</w:t>
      </w:r>
    </w:p>
    <w:p>
      <w:pPr>
        <w:spacing w:after="0" w:line="70"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We also have regular engagements with not only our state financial regulators, but also the attorneys general in the various states and the CFPB to address individual borrower complaints that they bring to our attention, or to respond to information requests and other inquiries. On occasion, we also engage with U.S. attorneys. Many of these matters are brought to our attention as a complaint that the entity is investigating, although some are formal investigations or proceedings. Ocwen is currently in receipt of one Civil Investigative Demand from the Massachusetts Attorney’s General Office and two subpoenas from the Office of the United States Attorney for the District of Massachusetts seeking information about our servicing practices in addition to the regulatory matters discussed above under Note 17 – Regulatory Requirements, including the recent NORA letter from the CFPB.</w:t>
      </w:r>
    </w:p>
    <w:p>
      <w:pPr>
        <w:spacing w:after="0" w:line="70"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To the extent that an examination, monitorship, audit or other regulatory engagement results in an alleged failure by us to comply with applicable law, regulation or licensing requirement, or if allegations are made that we have failed to comply with the commitments we have made in connection with our regulatory settlements or if other regulatory actions of a similar or different nature are taken in the future against us, this could lead to (i) loss of our licenses and approvals to engage in our servicing and lending businesses, (ii) governmental investigations and enforcement actions, (iii) administrative fines and penalties and litigation, (iv) civil and criminal liability, including class action lawsuits and actions to recover incentive and other payments made by governmental entities, (v) breaches of covenants and representations under our servicing, debt or other agreements, (vi) damage to our reputation, (vii) inability to raise capital and (viii) inability to execute on our business strategy. Any of these occurrences could increase our operating expenses and reduce our revenues, hamper our ability to grow or otherwise materially and adversely affect our business, reputation, financial condition, liquidity and results of operations.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Put-Back and Related Contingencies</w:t>
      </w:r>
    </w:p>
    <w:p>
      <w:pPr>
        <w:spacing w:after="0" w:line="12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have exposure to origination representation, warranty and indemnification obligations because of our lending, sales and securitization activities and in connection with our servicing practices. At June 30, 2016 and June 30, 2015, we had outstanding representation and warranty repurchase demands of $72.5 million UPB (354 loans) and $120.3 million (607 loans), respectively. We review each demand and monitor through resolution, primarily through rescission, loan repurchase or make-whole payment.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692" w:right="239" w:bottom="1440" w:gutter="0" w:footer="0" w:header="0"/>
        </w:sectPr>
      </w:pPr>
    </w:p>
    <w:bookmarkStart w:id="51" w:name="page52"/>
    <w:bookmarkEnd w:id="51"/>
    <w:p>
      <w:pPr>
        <w:ind w:right="640" w:firstLine="324"/>
        <w:spacing w:after="0" w:line="277" w:lineRule="auto"/>
        <w:rPr>
          <w:sz w:val="20"/>
          <w:szCs w:val="20"/>
          <w:color w:val="auto"/>
        </w:rPr>
      </w:pPr>
      <w:r>
        <w:rPr>
          <w:rFonts w:ascii="Arial" w:cs="Arial" w:eastAsia="Arial" w:hAnsi="Arial"/>
          <w:sz w:val="18"/>
          <w:szCs w:val="18"/>
          <w:color w:val="auto"/>
        </w:rPr>
        <w:t>The following table presents the changes in our liability for representation and warranty obligations, compensatory fees for foreclosures that may ultimately exceed investor timelines and similar indemnification obligations for the six months ended June 30:</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36,615</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132,918</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Provision for representation and warranty obligations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(1,736)</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New production reserves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354</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469</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Payments made in connection with sales of MSRs</w:t>
            </w:r>
          </w:p>
        </w:tc>
        <w:tc>
          <w:tcPr>
            <w:tcW w:w="34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(29,736)</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Charge-offs and other (1)</w:t>
            </w: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(3,364)</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(14,852)</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Ending balance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33,342</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87,063</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500" w:right="20" w:hanging="492"/>
        <w:spacing w:after="0" w:line="275" w:lineRule="auto"/>
        <w:tabs>
          <w:tab w:leader="none" w:pos="5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Includes principal and interest losses realized in connection with repurchased loans, make-whole, indemnification and fee payments and settlements net of recoveries, if any.</w:t>
      </w:r>
    </w:p>
    <w:p>
      <w:pPr>
        <w:spacing w:after="0" w:line="60" w:lineRule="exact"/>
        <w:rPr>
          <w:sz w:val="20"/>
          <w:szCs w:val="20"/>
          <w:color w:val="auto"/>
        </w:rPr>
      </w:pPr>
    </w:p>
    <w:p>
      <w:pPr>
        <w:jc w:val="both"/>
        <w:ind w:right="160" w:firstLine="324"/>
        <w:spacing w:after="0" w:line="259" w:lineRule="auto"/>
        <w:rPr>
          <w:sz w:val="20"/>
          <w:szCs w:val="20"/>
          <w:color w:val="auto"/>
        </w:rPr>
      </w:pPr>
      <w:r>
        <w:rPr>
          <w:rFonts w:ascii="Arial" w:cs="Arial" w:eastAsia="Arial" w:hAnsi="Arial"/>
          <w:sz w:val="18"/>
          <w:szCs w:val="18"/>
          <w:color w:val="auto"/>
        </w:rPr>
        <w:t>We believe that it is reasonably possible that losses beyond amounts currently recorded for potential representation and warranty obligations and other claims described above could occur, and such losses could have an adverse impact on our results of operations, financial condition or cash flows. However, based on currently available information, we are unable to estimate a range of reasonably possible losses above amounts that have been recorded at June 30, 2016</w:t>
      </w:r>
      <w:r>
        <w:rPr>
          <w:rFonts w:ascii="Arial" w:cs="Arial" w:eastAsia="Arial" w:hAnsi="Arial"/>
          <w:sz w:val="16"/>
          <w:szCs w:val="16"/>
          <w:color w:val="auto"/>
        </w:rPr>
        <w: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21"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OLS, on its own behalf and on behalf of various investors, has been engaged in a variety of activities to seek payments from mortgage insurers for unpaid claims, including claims where the mortgage insurers paid less than the full claim amount. Ocwen believes that many of the actions by mortgage insurers were in violation of the applicable insurance policies and insurance law. Ocwen is in the process of settlement discussions with certain mortgage insurers. In some cases, Ocwen has entered into tolling agreements, initiated arbitration or litigation, or taken other similar actions. While we expect the ultimate outcome to result in recovery of some unpaid mortgage insurance claims, we cannot quantify the likely amount at this time.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 Subsequent Events</w:t>
      </w:r>
    </w:p>
    <w:p>
      <w:pPr>
        <w:spacing w:after="0" w:line="121"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On July 19, 2016, following the receipt of proceeds in connection with the sale of MSRs relating to non-performing and re-performing loans with a UPB of approximately $3.3 billion, we repaid $26.3 million of our SSTL. Following the repayment, a remaining balance of approximately $342.7 million was outstanding under our SSTL.</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692" w:right="239" w:bottom="1440" w:gutter="0" w:footer="0" w:header="0"/>
        </w:sectPr>
      </w:pPr>
    </w:p>
    <w:bookmarkStart w:id="52" w:name="page53"/>
    <w:bookmarkEnd w:id="52"/>
    <w:p>
      <w:pPr>
        <w:ind w:left="980" w:right="28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 (Dollars in thousands, except per share amounts and unless otherwise indicated)</w:t>
      </w:r>
    </w:p>
    <w:p>
      <w:pPr>
        <w:spacing w:after="0" w:line="58"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following Management’s Discussion and Analysis of Financial Condition and Results of Operations, as well as other portions of this Form 10-Q, may contain certain statements that constitute forward-looking statements within the meaning of the federal securities laws. You can identify forward-looking statements by terminology such as “may,” “will,” “should,” “could”, “intend,” “consider,” “expect,” “plan,” “anticipate,” “believe,” “estimate,” “predict” or “continue” or the negative of such terms or other comparable terminology. Forward-looking statements by their nature address matters that are, to different degrees, uncertain. Our business has been undergoing substantial change, which has magnified such uncertainties. You should bear these factors in mind when considering such statements and should not place undue reliance on such statements. Forward-looking statements involve a number of assumptions, risks and uncertainties that could cause actual results to differ materially from those suggested by such statements. In the past, actual results have differed from those suggested by forward looking statements, and this may happen again. You should consider all uncertainties and risks discussed or referenced in this report, including those under “Forward-Looking Statements” and Item 1A, Risk Factors, as well as those discussed in our other reports and filings with the SEC, including those in our Annual Report on Form 10-K for the year ended December 31, 2015 and our Quarterly and Current Reports on Form 10-Q and Form 8-K, respectively, since such date.</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a financial services company that services and originates loans.</w:t>
      </w:r>
    </w:p>
    <w:p>
      <w:pPr>
        <w:spacing w:after="0" w:line="117"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We are a leader in the servicing industry in foreclosure prevention and loss mitigation, which helps families stay in their homes and improves financial outcomes for loan investors. Our leadership in the industry is evidenced by our high cure rate for delinquent loans and above average rate of continuing performance by homeowners whose loans we have modified. Ocwen has provided more loan modifications under the Federal Government’s Home Affordable Modification Program (HAMP) than any other mortgage servicer and 49% more than has the next highest servicer, according to data published in the U.S. Treasury’s Making Home Affordable First Quarter 2016 Program Performance Report. Overall, Ocwen completed nearly 680,000 loan modifications from January 1, 2008 through June 30, 2016.</w:t>
      </w:r>
    </w:p>
    <w:p>
      <w:pPr>
        <w:spacing w:after="0" w:line="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primarily originate, purchase, sell and securitize conventional and government-insured forward mortgage loans and reverse mortgages.</w:t>
      </w:r>
    </w:p>
    <w:p>
      <w:pPr>
        <w:spacing w:after="0" w:line="117" w:lineRule="exact"/>
        <w:rPr>
          <w:sz w:val="20"/>
          <w:szCs w:val="20"/>
          <w:color w:val="auto"/>
        </w:rPr>
      </w:pPr>
    </w:p>
    <w:p>
      <w:pPr>
        <w:ind w:right="40" w:firstLine="324"/>
        <w:spacing w:after="0" w:line="302" w:lineRule="auto"/>
        <w:rPr>
          <w:sz w:val="20"/>
          <w:szCs w:val="20"/>
          <w:color w:val="auto"/>
        </w:rPr>
      </w:pPr>
      <w:r>
        <w:rPr>
          <w:rFonts w:ascii="Arial" w:cs="Arial" w:eastAsia="Arial" w:hAnsi="Arial"/>
          <w:sz w:val="16"/>
          <w:szCs w:val="16"/>
          <w:color w:val="auto"/>
        </w:rPr>
        <w:t>As discussed in further detail under “Operations Summary” and “Segment Results of Operations” below, the key driver of our operating results for the three months ended June 30, 2016, as compared to the three months ended June 30, 2015, was lower servicing revenue, resulting from a decrease in the total UPB of our residential servicing portfolio from $321.7 billion as of June 30, 2015 to $229.3 billion as of June 30, 2016, driven largely by the execution of our strategy to sell certain of our Agency MSRs, coupled with normal portfolio runoff, that was not accompanied by a corresponding decrease in expenses.</w:t>
      </w:r>
    </w:p>
    <w:p>
      <w:pPr>
        <w:spacing w:after="0" w:line="154"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In order to be profitable, we will need to decrease our expenses so that they are more appropriately aligned with our reduced revenue profile. Pursuant to the cost improvement initiative that we announced in 2015, we are focused on reducing our servicing costs in line with our reduced residential servicing portfolio through productivity improvements and other expense reductions. Initiatives include further rationalization of our U.S. based headcount, where we expect further reductions as we shift activities to our lower cost off-shore locations, continuing reductions in servicing advance and receivable charge-offs as we simplify our operations and implement process improvements, reducing our reliance on third-party service providers for facilities management, technology infrastructure management and support services and optimizing our purchased services spend. Rightsizing our servicing operations will lag the reductions in our servicing portfolio as workforce and servicing operations adjustments require time to implement properly. In addition, we take our commitments to enhancing the borrower experience, strengthening our risk and compliance infrastructure and delivering strong loss mitigation results very seriously and, accordingly, we will continue to make appropriate investments in those important areas even as we optimize our cost structure through productivity improvements and other initiatives.</w:t>
      </w:r>
    </w:p>
    <w:p>
      <w:pPr>
        <w:spacing w:after="0" w:line="70"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We will seek to increase our revenue through growing our lending business by reinvesting cash flows generated by our servicing business in asset generation businesses - namely businesses where we can not only originate new loans profitably but also potentially retain the servicing rights as well as the customer relationship. We are investing in our forward lending business to build competitive advantages around processes and technology, and we believe the reverse mortgage business is a substantially under-developed market relative to its potential. We will continue to evaluate new adjacent market opportunities that are consistent with our strategic goals where we believe we can capture competitive advantages and achieve attractive returns for our shareholders. These would include sustainable new opportunities that align with long-term macro trends; opportunities that can contribute meaningfully to our long-term growth and return on equity; and, generally, businesses where we feel we can capture and maintain a long-term competitive advantage (e.g., advantages related to operating efficiencies, our cost of capital or our tax structure).</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796" w:right="239" w:bottom="1440" w:gutter="0" w:footer="0" w:header="0"/>
        </w:sectPr>
      </w:pPr>
    </w:p>
    <w:bookmarkStart w:id="53" w:name="page54"/>
    <w:bookmarkEnd w:id="53"/>
    <w:p>
      <w:pPr>
        <w:ind w:right="40" w:firstLine="324"/>
        <w:spacing w:after="0" w:line="293" w:lineRule="auto"/>
        <w:rPr>
          <w:sz w:val="20"/>
          <w:szCs w:val="20"/>
          <w:color w:val="auto"/>
        </w:rPr>
      </w:pPr>
      <w:r>
        <w:rPr>
          <w:rFonts w:ascii="Arial" w:cs="Arial" w:eastAsia="Arial" w:hAnsi="Arial"/>
          <w:sz w:val="16"/>
          <w:szCs w:val="16"/>
          <w:color w:val="auto"/>
        </w:rPr>
        <w:t>With respect to our servicing business, our recent regulatory settlements have significantly limited our ability to grow our servicing portfolio, which naturally decreases over time through portfolio runoff. In order to grow our servicing portfolio through acquisitions, we will need to satisfy the conditions set forth in our consent orders with the NY DFS and CA DBO. At this time, it is not clear that there is a significant market for non-Agency MSR acquisitions, even if we were to be given the requisite approvals from the NY DFS and CA DBO to resume those types of transactions. Nonetheless, we believe our significant investments in our servicing operations, risk and compliance infrastructure over recent years will position us favorably relative to our peers should such transactions become available. The acquisition of MSRs requires capital investment, which could limit our ability to grow through acquisitions.</w:t>
      </w:r>
    </w:p>
    <w:p>
      <w:pPr>
        <w:spacing w:after="0" w:line="165"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Our business continues to be impacted by our recent regulatory settlements and the current regulatory environment. We have faced, and expect to continue to face, regulatory and public scrutiny as an organization as well as stricter and more comprehensive regulation of the entire mortgage sector. We continue to work diligently to assess the implications of the regulatory environment in which we operate and to meet the requirements of the current environment. We devote substantial resources to regulatory compliance, while, at the same time, striving to meet the needs and expectations of our customers, clients and other stakeholders. Our business, operating results and financial condition have been significantly impacted in recent periods by fees and settlements related to litigation and regulatory matters. To the extent we are unable to avoid, mitigate or offset similar expenses in future periods, our business, operating results and financial condition will continue to be adversely affected, even if we are successful in our ongoing efforts to optimize our cost structure and grow our revenue through investment in our lending business and new business ventures such as ACS or Liberty Rental Finance.</w:t>
      </w:r>
    </w:p>
    <w:p>
      <w:pPr>
        <w:spacing w:after="0" w:line="166"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following discussion and analysis of our financial condition and results of operations should be read in conjunction with our unaudited consolidated financial statements and the related notes thereto appearing elsewhere in this Quarterly Report on Form 10-Q and with our consolidated financial statements and notes thereto and management’s discussion and analysis of financial condition and results of operation appearing in our Annual Report on Form 10-K for the fiscal year ended December 31, 2015.</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584" w:right="25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r>
              <w:rPr>
                <w:rFonts w:ascii="Arial" w:cs="Arial" w:eastAsia="Arial" w:hAnsi="Arial"/>
                <w:sz w:val="18"/>
                <w:szCs w:val="18"/>
                <w:b w:val="1"/>
                <w:bCs w:val="1"/>
                <w:color w:val="auto"/>
              </w:rPr>
              <w:t>Operations Summary</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8920" w:type="dxa"/>
            <w:vAlign w:val="bottom"/>
            <w:gridSpan w:val="12"/>
          </w:tcPr>
          <w:p>
            <w:pPr>
              <w:ind w:left="340"/>
              <w:spacing w:after="0"/>
              <w:rPr>
                <w:sz w:val="20"/>
                <w:szCs w:val="20"/>
                <w:color w:val="auto"/>
              </w:rPr>
            </w:pPr>
            <w:r>
              <w:rPr>
                <w:rFonts w:ascii="Arial" w:cs="Arial" w:eastAsia="Arial" w:hAnsi="Arial"/>
                <w:sz w:val="18"/>
                <w:szCs w:val="18"/>
                <w:color w:val="auto"/>
                <w:w w:val="99"/>
              </w:rPr>
              <w:t>The following table presents summarized consolidated operating results data for the periods ended June 30:</w:t>
            </w: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80" w:type="dxa"/>
            <w:vAlign w:val="bottom"/>
            <w:gridSpan w:val="4"/>
          </w:tcPr>
          <w:p>
            <w:pPr>
              <w:jc w:val="right"/>
              <w:ind w:right="750"/>
              <w:spacing w:after="0"/>
              <w:rPr>
                <w:sz w:val="20"/>
                <w:szCs w:val="20"/>
                <w:color w:val="auto"/>
              </w:rPr>
            </w:pPr>
            <w:r>
              <w:rPr>
                <w:rFonts w:ascii="Arial" w:cs="Arial" w:eastAsia="Arial" w:hAnsi="Arial"/>
                <w:sz w:val="18"/>
                <w:szCs w:val="18"/>
                <w:b w:val="1"/>
                <w:bCs w:val="1"/>
                <w:color w:val="auto"/>
              </w:rPr>
              <w:t>Three Months</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0" w:type="dxa"/>
            <w:vAlign w:val="bottom"/>
            <w:gridSpan w:val="3"/>
          </w:tcPr>
          <w:p>
            <w:pPr>
              <w:jc w:val="right"/>
              <w:spacing w:after="0"/>
              <w:rPr>
                <w:sz w:val="20"/>
                <w:szCs w:val="20"/>
                <w:color w:val="auto"/>
              </w:rPr>
            </w:pPr>
            <w:r>
              <w:rPr>
                <w:rFonts w:ascii="Arial" w:cs="Arial" w:eastAsia="Arial" w:hAnsi="Arial"/>
                <w:sz w:val="18"/>
                <w:szCs w:val="18"/>
                <w:b w:val="1"/>
                <w:bCs w:val="1"/>
                <w:color w:val="auto"/>
              </w:rPr>
              <w:t>Six Months</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b w:val="1"/>
                <w:bCs w:val="1"/>
                <w:color w:val="auto"/>
              </w:rPr>
              <w:t>% Change</w:t>
            </w: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410"/>
              <w:spacing w:after="0"/>
              <w:rPr>
                <w:sz w:val="20"/>
                <w:szCs w:val="20"/>
                <w:color w:val="auto"/>
              </w:rPr>
            </w:pPr>
            <w:r>
              <w:rPr>
                <w:rFonts w:ascii="Arial" w:cs="Arial" w:eastAsia="Arial" w:hAnsi="Arial"/>
                <w:sz w:val="18"/>
                <w:szCs w:val="18"/>
                <w:b w:val="1"/>
                <w:bCs w:val="1"/>
                <w:color w:val="auto"/>
                <w:w w:val="99"/>
              </w:rPr>
              <w:t>2015</w:t>
            </w:r>
          </w:p>
        </w:tc>
        <w:tc>
          <w:tcPr>
            <w:tcW w:w="1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7"/>
        </w:trPr>
        <w:tc>
          <w:tcPr>
            <w:tcW w:w="34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Revenue:</w:t>
            </w:r>
          </w:p>
        </w:tc>
        <w:tc>
          <w:tcPr>
            <w:tcW w:w="30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440" w:type="dxa"/>
            <w:vAlign w:val="bottom"/>
            <w:tcBorders>
              <w:bottom w:val="single" w:sz="8" w:color="EAF9E8"/>
            </w:tcBorders>
            <w:shd w:val="clear" w:color="auto" w:fill="EAF9E8"/>
          </w:tcPr>
          <w:p>
            <w:pPr>
              <w:spacing w:after="0"/>
              <w:rPr>
                <w:sz w:val="21"/>
                <w:szCs w:val="21"/>
                <w:color w:val="auto"/>
              </w:rPr>
            </w:pPr>
          </w:p>
        </w:tc>
        <w:tc>
          <w:tcPr>
            <w:tcW w:w="9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20" w:type="dxa"/>
            <w:vAlign w:val="bottom"/>
          </w:tcPr>
          <w:p>
            <w:pPr>
              <w:ind w:left="180"/>
              <w:spacing w:after="0"/>
              <w:rPr>
                <w:sz w:val="20"/>
                <w:szCs w:val="20"/>
                <w:color w:val="auto"/>
              </w:rPr>
            </w:pPr>
            <w:r>
              <w:rPr>
                <w:rFonts w:ascii="Arial" w:cs="Arial" w:eastAsia="Arial" w:hAnsi="Arial"/>
                <w:sz w:val="18"/>
                <w:szCs w:val="18"/>
                <w:color w:val="auto"/>
              </w:rPr>
              <w:t>Servicing and subservicing fees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307,262</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396,983</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604,758</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843,524</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Gain on loans held for sale, net</w:t>
            </w:r>
          </w:p>
        </w:tc>
        <w:tc>
          <w:tcPr>
            <w:tcW w:w="30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27,857</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45,132</w:t>
            </w:r>
          </w:p>
        </w:tc>
        <w:tc>
          <w:tcPr>
            <w:tcW w:w="11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43,429</w:t>
            </w:r>
          </w:p>
        </w:tc>
        <w:tc>
          <w:tcPr>
            <w:tcW w:w="100" w:type="dxa"/>
            <w:vAlign w:val="bottom"/>
            <w:tcBorders>
              <w:bottom w:val="single" w:sz="8" w:color="EAF9E8"/>
            </w:tcBorders>
            <w:shd w:val="clear" w:color="auto" w:fill="EAF9E8"/>
          </w:tcPr>
          <w:p>
            <w:pPr>
              <w:spacing w:after="0"/>
              <w:rPr>
                <w:sz w:val="21"/>
                <w:szCs w:val="21"/>
                <w:color w:val="auto"/>
              </w:rPr>
            </w:pPr>
          </w:p>
        </w:tc>
        <w:tc>
          <w:tcPr>
            <w:tcW w:w="440" w:type="dxa"/>
            <w:vAlign w:val="bottom"/>
            <w:tcBorders>
              <w:bottom w:val="single" w:sz="8" w:color="EAF9E8"/>
            </w:tcBorders>
            <w:shd w:val="clear" w:color="auto" w:fill="EAF9E8"/>
          </w:tcPr>
          <w:p>
            <w:pPr>
              <w:spacing w:after="0"/>
              <w:rPr>
                <w:sz w:val="21"/>
                <w:szCs w:val="21"/>
                <w:color w:val="auto"/>
              </w:rPr>
            </w:pPr>
          </w:p>
        </w:tc>
        <w:tc>
          <w:tcPr>
            <w:tcW w:w="9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89,636</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43"/>
        </w:trPr>
        <w:tc>
          <w:tcPr>
            <w:tcW w:w="3420" w:type="dxa"/>
            <w:vAlign w:val="bottom"/>
          </w:tcPr>
          <w:p>
            <w:pPr>
              <w:ind w:left="180"/>
              <w:spacing w:after="0"/>
              <w:rPr>
                <w:sz w:val="20"/>
                <w:szCs w:val="20"/>
                <w:color w:val="auto"/>
              </w:rPr>
            </w:pPr>
            <w:r>
              <w:rPr>
                <w:rFonts w:ascii="Arial" w:cs="Arial" w:eastAsia="Arial" w:hAnsi="Arial"/>
                <w:sz w:val="18"/>
                <w:szCs w:val="18"/>
                <w:color w:val="auto"/>
              </w:rPr>
              <w:t>Other revenues</w:t>
            </w: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37,935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21,136</w:t>
            </w:r>
          </w:p>
        </w:tc>
        <w:tc>
          <w:tcPr>
            <w:tcW w:w="1160" w:type="dxa"/>
            <w:vAlign w:val="bottom"/>
            <w:gridSpan w:val="2"/>
          </w:tcPr>
          <w:p>
            <w:pPr>
              <w:jc w:val="right"/>
              <w:ind w:right="150"/>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55,624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40,535</w:t>
            </w:r>
          </w:p>
        </w:tc>
        <w:tc>
          <w:tcPr>
            <w:tcW w:w="1140" w:type="dxa"/>
            <w:vAlign w:val="bottom"/>
            <w:gridSpan w:val="2"/>
          </w:tcPr>
          <w:p>
            <w:pPr>
              <w:jc w:val="right"/>
              <w:ind w:right="15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34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4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EAF9E8"/>
            </w:tcBorders>
            <w:shd w:val="clear" w:color="auto" w:fill="EAF9E8"/>
          </w:tcPr>
          <w:p>
            <w:pPr>
              <w:spacing w:after="0"/>
              <w:rPr>
                <w:sz w:val="22"/>
                <w:szCs w:val="22"/>
                <w:color w:val="auto"/>
              </w:rPr>
            </w:pPr>
          </w:p>
        </w:tc>
        <w:tc>
          <w:tcPr>
            <w:tcW w:w="10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373,054</w:t>
            </w:r>
          </w:p>
        </w:tc>
        <w:tc>
          <w:tcPr>
            <w:tcW w:w="12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463,251</w:t>
            </w:r>
          </w:p>
        </w:tc>
        <w:tc>
          <w:tcPr>
            <w:tcW w:w="11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703,811</w:t>
            </w:r>
          </w:p>
        </w:tc>
        <w:tc>
          <w:tcPr>
            <w:tcW w:w="100" w:type="dxa"/>
            <w:vAlign w:val="bottom"/>
            <w:tcBorders>
              <w:bottom w:val="single" w:sz="8" w:color="EAF9E8"/>
            </w:tcBorders>
            <w:shd w:val="clear" w:color="auto" w:fill="EAF9E8"/>
          </w:tcPr>
          <w:p>
            <w:pPr>
              <w:spacing w:after="0"/>
              <w:rPr>
                <w:sz w:val="22"/>
                <w:szCs w:val="22"/>
                <w:color w:val="auto"/>
              </w:rPr>
            </w:pPr>
          </w:p>
        </w:tc>
        <w:tc>
          <w:tcPr>
            <w:tcW w:w="440" w:type="dxa"/>
            <w:vAlign w:val="bottom"/>
            <w:tcBorders>
              <w:bottom w:val="single" w:sz="8" w:color="EAF9E8"/>
            </w:tcBorders>
            <w:shd w:val="clear" w:color="auto" w:fill="EAF9E8"/>
          </w:tcPr>
          <w:p>
            <w:pPr>
              <w:spacing w:after="0"/>
              <w:rPr>
                <w:sz w:val="22"/>
                <w:szCs w:val="22"/>
                <w:color w:val="auto"/>
              </w:rPr>
            </w:pPr>
          </w:p>
        </w:tc>
        <w:tc>
          <w:tcPr>
            <w:tcW w:w="9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973,695</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91"/>
        </w:trPr>
        <w:tc>
          <w:tcPr>
            <w:tcW w:w="3420" w:type="dxa"/>
            <w:vAlign w:val="bottom"/>
            <w:tcBorders>
              <w:bottom w:val="single" w:sz="8" w:color="EAF9E8"/>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EAF9E8"/>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EAF9E8"/>
            </w:tcBorders>
          </w:tcPr>
          <w:p>
            <w:pPr>
              <w:spacing w:after="0"/>
              <w:rPr>
                <w:sz w:val="24"/>
                <w:szCs w:val="24"/>
                <w:color w:val="auto"/>
              </w:rPr>
            </w:pPr>
          </w:p>
        </w:tc>
        <w:tc>
          <w:tcPr>
            <w:tcW w:w="1040" w:type="dxa"/>
            <w:vAlign w:val="bottom"/>
            <w:tcBorders>
              <w:bottom w:val="single" w:sz="8" w:color="EAF9E8"/>
            </w:tcBorders>
          </w:tcPr>
          <w:p>
            <w:pPr>
              <w:spacing w:after="0"/>
              <w:rPr>
                <w:sz w:val="24"/>
                <w:szCs w:val="24"/>
                <w:color w:val="auto"/>
              </w:rPr>
            </w:pPr>
          </w:p>
        </w:tc>
        <w:tc>
          <w:tcPr>
            <w:tcW w:w="100" w:type="dxa"/>
            <w:vAlign w:val="bottom"/>
            <w:tcBorders>
              <w:bottom w:val="single" w:sz="8" w:color="EAF9E8"/>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EAF9E8"/>
            </w:tcBorders>
          </w:tcPr>
          <w:p>
            <w:pPr>
              <w:spacing w:after="0"/>
              <w:rPr>
                <w:sz w:val="24"/>
                <w:szCs w:val="24"/>
                <w:color w:val="auto"/>
              </w:rPr>
            </w:pPr>
          </w:p>
        </w:tc>
        <w:tc>
          <w:tcPr>
            <w:tcW w:w="44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EAF9E8"/>
            </w:tcBorders>
          </w:tcPr>
          <w:p>
            <w:pPr>
              <w:spacing w:after="0"/>
              <w:rPr>
                <w:sz w:val="24"/>
                <w:szCs w:val="24"/>
                <w:color w:val="auto"/>
              </w:rPr>
            </w:pPr>
          </w:p>
        </w:tc>
        <w:tc>
          <w:tcPr>
            <w:tcW w:w="1040" w:type="dxa"/>
            <w:vAlign w:val="bottom"/>
            <w:tcBorders>
              <w:bottom w:val="single" w:sz="8" w:color="EAF9E8"/>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4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Expenses</w:t>
            </w:r>
          </w:p>
        </w:tc>
        <w:tc>
          <w:tcPr>
            <w:tcW w:w="300" w:type="dxa"/>
            <w:vAlign w:val="bottom"/>
            <w:tcBorders>
              <w:bottom w:val="single" w:sz="8" w:color="EAF9E8"/>
            </w:tcBorders>
            <w:shd w:val="clear" w:color="auto" w:fill="EAF9E8"/>
          </w:tcPr>
          <w:p>
            <w:pPr>
              <w:spacing w:after="0"/>
              <w:rPr>
                <w:sz w:val="22"/>
                <w:szCs w:val="22"/>
                <w:color w:val="auto"/>
              </w:rPr>
            </w:pPr>
          </w:p>
        </w:tc>
        <w:tc>
          <w:tcPr>
            <w:tcW w:w="10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385,018</w:t>
            </w:r>
          </w:p>
        </w:tc>
        <w:tc>
          <w:tcPr>
            <w:tcW w:w="12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352,252</w:t>
            </w:r>
          </w:p>
        </w:tc>
        <w:tc>
          <w:tcPr>
            <w:tcW w:w="116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713,675</w:t>
            </w:r>
          </w:p>
        </w:tc>
        <w:tc>
          <w:tcPr>
            <w:tcW w:w="100" w:type="dxa"/>
            <w:vAlign w:val="bottom"/>
            <w:tcBorders>
              <w:bottom w:val="single" w:sz="8" w:color="EAF9E8"/>
            </w:tcBorders>
            <w:shd w:val="clear" w:color="auto" w:fill="EAF9E8"/>
          </w:tcPr>
          <w:p>
            <w:pPr>
              <w:spacing w:after="0"/>
              <w:rPr>
                <w:sz w:val="22"/>
                <w:szCs w:val="22"/>
                <w:color w:val="auto"/>
              </w:rPr>
            </w:pPr>
          </w:p>
        </w:tc>
        <w:tc>
          <w:tcPr>
            <w:tcW w:w="440" w:type="dxa"/>
            <w:vAlign w:val="bottom"/>
            <w:tcBorders>
              <w:bottom w:val="single" w:sz="8" w:color="EAF9E8"/>
            </w:tcBorders>
            <w:shd w:val="clear" w:color="auto" w:fill="EAF9E8"/>
          </w:tcPr>
          <w:p>
            <w:pPr>
              <w:spacing w:after="0"/>
              <w:rPr>
                <w:sz w:val="22"/>
                <w:szCs w:val="22"/>
                <w:color w:val="auto"/>
              </w:rPr>
            </w:pPr>
          </w:p>
        </w:tc>
        <w:tc>
          <w:tcPr>
            <w:tcW w:w="9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730,610</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64"/>
        </w:trPr>
        <w:tc>
          <w:tcPr>
            <w:tcW w:w="342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4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30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440" w:type="dxa"/>
            <w:vAlign w:val="bottom"/>
            <w:tcBorders>
              <w:bottom w:val="single" w:sz="8" w:color="EAF9E8"/>
            </w:tcBorders>
            <w:shd w:val="clear" w:color="auto" w:fill="EAF9E8"/>
          </w:tcPr>
          <w:p>
            <w:pPr>
              <w:spacing w:after="0"/>
              <w:rPr>
                <w:sz w:val="21"/>
                <w:szCs w:val="21"/>
                <w:color w:val="auto"/>
              </w:rPr>
            </w:pPr>
          </w:p>
        </w:tc>
        <w:tc>
          <w:tcPr>
            <w:tcW w:w="9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2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(91,033)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(124,897)</w:t>
            </w: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(197,122)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(244,293)</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420" w:type="dxa"/>
            <w:vAlign w:val="bottom"/>
            <w:shd w:val="clear" w:color="auto" w:fill="EAF9E8"/>
          </w:tcPr>
          <w:p>
            <w:pPr>
              <w:ind w:left="180"/>
              <w:spacing w:after="0"/>
              <w:rPr>
                <w:sz w:val="20"/>
                <w:szCs w:val="20"/>
                <w:color w:val="auto"/>
              </w:rPr>
            </w:pPr>
            <w:r>
              <w:rPr>
                <w:rFonts w:ascii="Arial" w:cs="Arial" w:eastAsia="Arial" w:hAnsi="Arial"/>
                <w:sz w:val="18"/>
                <w:szCs w:val="18"/>
                <w:color w:val="auto"/>
                <w:w w:val="96"/>
              </w:rPr>
              <w:t>Gain on sale of mortgage servicing rights,</w:t>
            </w:r>
          </w:p>
        </w:tc>
        <w:tc>
          <w:tcPr>
            <w:tcW w:w="300" w:type="dxa"/>
            <w:vAlign w:val="bottom"/>
            <w:shd w:val="clear" w:color="auto" w:fill="EAF9E8"/>
          </w:tcPr>
          <w:p>
            <w:pPr>
              <w:spacing w:after="0"/>
              <w:rPr>
                <w:sz w:val="19"/>
                <w:szCs w:val="19"/>
                <w:color w:val="auto"/>
              </w:rPr>
            </w:pPr>
          </w:p>
        </w:tc>
        <w:tc>
          <w:tcPr>
            <w:tcW w:w="10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0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0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440" w:type="dxa"/>
            <w:vAlign w:val="bottom"/>
            <w:shd w:val="clear" w:color="auto" w:fill="EAF9E8"/>
          </w:tcPr>
          <w:p>
            <w:pPr>
              <w:spacing w:after="0"/>
              <w:rPr>
                <w:sz w:val="19"/>
                <w:szCs w:val="19"/>
                <w:color w:val="auto"/>
              </w:rPr>
            </w:pPr>
          </w:p>
        </w:tc>
        <w:tc>
          <w:tcPr>
            <w:tcW w:w="9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04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420" w:type="dxa"/>
            <w:vAlign w:val="bottom"/>
            <w:tcBorders>
              <w:bottom w:val="single" w:sz="8" w:color="EAF9E8"/>
            </w:tcBorders>
            <w:shd w:val="clear" w:color="auto" w:fill="EAF9E8"/>
          </w:tcPr>
          <w:p>
            <w:pPr>
              <w:ind w:left="340"/>
              <w:spacing w:after="0"/>
              <w:rPr>
                <w:sz w:val="20"/>
                <w:szCs w:val="20"/>
                <w:color w:val="auto"/>
              </w:rPr>
            </w:pPr>
            <w:r>
              <w:rPr>
                <w:rFonts w:ascii="Arial" w:cs="Arial" w:eastAsia="Arial" w:hAnsi="Arial"/>
                <w:sz w:val="18"/>
                <w:szCs w:val="18"/>
                <w:color w:val="auto"/>
              </w:rPr>
              <w:t>net</w:t>
            </w:r>
          </w:p>
        </w:tc>
        <w:tc>
          <w:tcPr>
            <w:tcW w:w="300" w:type="dxa"/>
            <w:vAlign w:val="bottom"/>
            <w:tcBorders>
              <w:bottom w:val="single" w:sz="8" w:color="EAF9E8"/>
            </w:tcBorders>
            <w:shd w:val="clear" w:color="auto" w:fill="EAF9E8"/>
          </w:tcPr>
          <w:p>
            <w:pPr>
              <w:spacing w:after="0"/>
              <w:rPr>
                <w:sz w:val="20"/>
                <w:szCs w:val="20"/>
                <w:color w:val="auto"/>
              </w:rPr>
            </w:pPr>
          </w:p>
        </w:tc>
        <w:tc>
          <w:tcPr>
            <w:tcW w:w="10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853</w:t>
            </w:r>
          </w:p>
        </w:tc>
        <w:tc>
          <w:tcPr>
            <w:tcW w:w="12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spacing w:after="0"/>
              <w:rPr>
                <w:sz w:val="20"/>
                <w:szCs w:val="20"/>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30,306</w:t>
            </w:r>
          </w:p>
        </w:tc>
        <w:tc>
          <w:tcPr>
            <w:tcW w:w="11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spacing w:after="0"/>
              <w:rPr>
                <w:sz w:val="20"/>
                <w:szCs w:val="20"/>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2,028</w:t>
            </w:r>
          </w:p>
        </w:tc>
        <w:tc>
          <w:tcPr>
            <w:tcW w:w="100" w:type="dxa"/>
            <w:vAlign w:val="bottom"/>
            <w:tcBorders>
              <w:bottom w:val="single" w:sz="8" w:color="EAF9E8"/>
            </w:tcBorders>
            <w:shd w:val="clear" w:color="auto" w:fill="EAF9E8"/>
          </w:tcPr>
          <w:p>
            <w:pPr>
              <w:spacing w:after="0"/>
              <w:rPr>
                <w:sz w:val="20"/>
                <w:szCs w:val="20"/>
                <w:color w:val="auto"/>
              </w:rPr>
            </w:pPr>
          </w:p>
        </w:tc>
        <w:tc>
          <w:tcPr>
            <w:tcW w:w="440" w:type="dxa"/>
            <w:vAlign w:val="bottom"/>
            <w:tcBorders>
              <w:bottom w:val="single" w:sz="8" w:color="EAF9E8"/>
            </w:tcBorders>
            <w:shd w:val="clear" w:color="auto" w:fill="EAF9E8"/>
          </w:tcPr>
          <w:p>
            <w:pPr>
              <w:spacing w:after="0"/>
              <w:rPr>
                <w:sz w:val="20"/>
                <w:szCs w:val="20"/>
                <w:color w:val="auto"/>
              </w:rPr>
            </w:pPr>
          </w:p>
        </w:tc>
        <w:tc>
          <w:tcPr>
            <w:tcW w:w="9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56,712</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43"/>
        </w:trPr>
        <w:tc>
          <w:tcPr>
            <w:tcW w:w="342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5,746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(3,908)</w:t>
            </w: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6,435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1"/>
                <w:szCs w:val="21"/>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34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4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 other expense, net</w:t>
            </w:r>
          </w:p>
        </w:tc>
        <w:tc>
          <w:tcPr>
            <w:tcW w:w="300" w:type="dxa"/>
            <w:vAlign w:val="bottom"/>
            <w:tcBorders>
              <w:bottom w:val="single" w:sz="8" w:color="EAF9E8"/>
            </w:tcBorders>
            <w:shd w:val="clear" w:color="auto" w:fill="EAF9E8"/>
          </w:tcPr>
          <w:p>
            <w:pPr>
              <w:spacing w:after="0"/>
              <w:rPr>
                <w:sz w:val="22"/>
                <w:szCs w:val="22"/>
                <w:color w:val="auto"/>
              </w:rPr>
            </w:pPr>
          </w:p>
        </w:tc>
        <w:tc>
          <w:tcPr>
            <w:tcW w:w="10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(84,434)</w:t>
            </w:r>
          </w:p>
        </w:tc>
        <w:tc>
          <w:tcPr>
            <w:tcW w:w="12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0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(98,499)</w:t>
            </w:r>
          </w:p>
        </w:tc>
        <w:tc>
          <w:tcPr>
            <w:tcW w:w="11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0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(188,659)</w:t>
            </w:r>
          </w:p>
        </w:tc>
        <w:tc>
          <w:tcPr>
            <w:tcW w:w="100" w:type="dxa"/>
            <w:vAlign w:val="bottom"/>
            <w:tcBorders>
              <w:bottom w:val="single" w:sz="8" w:color="EAF9E8"/>
            </w:tcBorders>
            <w:shd w:val="clear" w:color="auto" w:fill="EAF9E8"/>
          </w:tcPr>
          <w:p>
            <w:pPr>
              <w:spacing w:after="0"/>
              <w:rPr>
                <w:sz w:val="22"/>
                <w:szCs w:val="22"/>
                <w:color w:val="auto"/>
              </w:rPr>
            </w:pPr>
          </w:p>
        </w:tc>
        <w:tc>
          <w:tcPr>
            <w:tcW w:w="440" w:type="dxa"/>
            <w:vAlign w:val="bottom"/>
            <w:tcBorders>
              <w:bottom w:val="single" w:sz="8" w:color="EAF9E8"/>
            </w:tcBorders>
            <w:shd w:val="clear" w:color="auto" w:fill="EAF9E8"/>
          </w:tcPr>
          <w:p>
            <w:pPr>
              <w:spacing w:after="0"/>
              <w:rPr>
                <w:sz w:val="22"/>
                <w:szCs w:val="22"/>
                <w:color w:val="auto"/>
              </w:rPr>
            </w:pPr>
          </w:p>
        </w:tc>
        <w:tc>
          <w:tcPr>
            <w:tcW w:w="9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(187,756)</w:t>
            </w:r>
          </w:p>
        </w:tc>
        <w:tc>
          <w:tcPr>
            <w:tcW w:w="100" w:type="dxa"/>
            <w:vAlign w:val="bottom"/>
            <w:tcBorders>
              <w:bottom w:val="single" w:sz="8" w:color="EAF9E8"/>
            </w:tcBorders>
            <w:shd w:val="clear" w:color="auto" w:fill="EAF9E8"/>
          </w:tcPr>
          <w:p>
            <w:pPr>
              <w:spacing w:after="0"/>
              <w:rPr>
                <w:sz w:val="22"/>
                <w:szCs w:val="22"/>
                <w:color w:val="auto"/>
              </w:rPr>
            </w:pPr>
          </w:p>
        </w:tc>
        <w:tc>
          <w:tcPr>
            <w:tcW w:w="104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4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4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Income (loss) before income taxes</w:t>
            </w:r>
          </w:p>
        </w:tc>
        <w:tc>
          <w:tcPr>
            <w:tcW w:w="30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(96,398)</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12,500</w:t>
            </w:r>
          </w:p>
        </w:tc>
        <w:tc>
          <w:tcPr>
            <w:tcW w:w="11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(871)</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(198,523)</w:t>
            </w:r>
          </w:p>
        </w:tc>
        <w:tc>
          <w:tcPr>
            <w:tcW w:w="100" w:type="dxa"/>
            <w:vAlign w:val="bottom"/>
            <w:tcBorders>
              <w:bottom w:val="single" w:sz="8" w:color="EAF9E8"/>
            </w:tcBorders>
            <w:shd w:val="clear" w:color="auto" w:fill="EAF9E8"/>
          </w:tcPr>
          <w:p>
            <w:pPr>
              <w:spacing w:after="0"/>
              <w:rPr>
                <w:sz w:val="21"/>
                <w:szCs w:val="21"/>
                <w:color w:val="auto"/>
              </w:rPr>
            </w:pPr>
          </w:p>
        </w:tc>
        <w:tc>
          <w:tcPr>
            <w:tcW w:w="440" w:type="dxa"/>
            <w:vAlign w:val="bottom"/>
            <w:tcBorders>
              <w:bottom w:val="single" w:sz="8" w:color="EAF9E8"/>
            </w:tcBorders>
            <w:shd w:val="clear" w:color="auto" w:fill="EAF9E8"/>
          </w:tcPr>
          <w:p>
            <w:pPr>
              <w:spacing w:after="0"/>
              <w:rPr>
                <w:sz w:val="21"/>
                <w:szCs w:val="21"/>
                <w:color w:val="auto"/>
              </w:rPr>
            </w:pPr>
          </w:p>
        </w:tc>
        <w:tc>
          <w:tcPr>
            <w:tcW w:w="9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55,329</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43"/>
        </w:trPr>
        <w:tc>
          <w:tcPr>
            <w:tcW w:w="342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(9,180)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2,594</w:t>
            </w: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11,034</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7"/>
        </w:trPr>
        <w:tc>
          <w:tcPr>
            <w:tcW w:w="34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b w:val="1"/>
                <w:bCs w:val="1"/>
                <w:color w:val="auto"/>
              </w:rPr>
              <w:t>Net income (loss)</w:t>
            </w:r>
          </w:p>
        </w:tc>
        <w:tc>
          <w:tcPr>
            <w:tcW w:w="30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(87,218)</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9,906</w:t>
            </w:r>
          </w:p>
        </w:tc>
        <w:tc>
          <w:tcPr>
            <w:tcW w:w="11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(980)</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(198,419)</w:t>
            </w:r>
          </w:p>
        </w:tc>
        <w:tc>
          <w:tcPr>
            <w:tcW w:w="100" w:type="dxa"/>
            <w:vAlign w:val="bottom"/>
            <w:tcBorders>
              <w:bottom w:val="single" w:sz="8" w:color="EAF9E8"/>
            </w:tcBorders>
            <w:shd w:val="clear" w:color="auto" w:fill="EAF9E8"/>
          </w:tcPr>
          <w:p>
            <w:pPr>
              <w:spacing w:after="0"/>
              <w:rPr>
                <w:sz w:val="21"/>
                <w:szCs w:val="21"/>
                <w:color w:val="auto"/>
              </w:rPr>
            </w:pPr>
          </w:p>
        </w:tc>
        <w:tc>
          <w:tcPr>
            <w:tcW w:w="440" w:type="dxa"/>
            <w:vAlign w:val="bottom"/>
            <w:tcBorders>
              <w:bottom w:val="single" w:sz="8" w:color="EAF9E8"/>
            </w:tcBorders>
            <w:shd w:val="clear" w:color="auto" w:fill="EAF9E8"/>
          </w:tcPr>
          <w:p>
            <w:pPr>
              <w:spacing w:after="0"/>
              <w:rPr>
                <w:sz w:val="21"/>
                <w:szCs w:val="21"/>
                <w:color w:val="auto"/>
              </w:rPr>
            </w:pPr>
          </w:p>
        </w:tc>
        <w:tc>
          <w:tcPr>
            <w:tcW w:w="9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44,295</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29"/>
        </w:trPr>
        <w:tc>
          <w:tcPr>
            <w:tcW w:w="342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20" w:type="dxa"/>
            <w:vAlign w:val="bottom"/>
          </w:tcPr>
          <w:p>
            <w:pPr>
              <w:ind w:left="200"/>
              <w:spacing w:after="0"/>
              <w:rPr>
                <w:sz w:val="20"/>
                <w:szCs w:val="20"/>
                <w:color w:val="auto"/>
              </w:rPr>
            </w:pPr>
            <w:r>
              <w:rPr>
                <w:rFonts w:ascii="Arial" w:cs="Arial" w:eastAsia="Arial" w:hAnsi="Arial"/>
                <w:sz w:val="18"/>
                <w:szCs w:val="18"/>
                <w:color w:val="auto"/>
              </w:rPr>
              <w:t>interests</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(168)</w:t>
            </w: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(202)</w:t>
            </w:r>
          </w:p>
        </w:tc>
        <w:tc>
          <w:tcPr>
            <w:tcW w:w="1140" w:type="dxa"/>
            <w:vAlign w:val="bottom"/>
            <w:gridSpan w:val="2"/>
          </w:tcPr>
          <w:p>
            <w:pPr>
              <w:jc w:val="right"/>
              <w:ind w:right="15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34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420" w:type="dxa"/>
            <w:vAlign w:val="bottom"/>
            <w:shd w:val="clear" w:color="auto" w:fill="EAF9E8"/>
          </w:tcPr>
          <w:p>
            <w:pPr>
              <w:ind w:left="180"/>
              <w:spacing w:after="0" w:line="205" w:lineRule="exact"/>
              <w:rPr>
                <w:sz w:val="20"/>
                <w:szCs w:val="20"/>
                <w:color w:val="auto"/>
              </w:rPr>
            </w:pPr>
            <w:r>
              <w:rPr>
                <w:rFonts w:ascii="Arial" w:cs="Arial" w:eastAsia="Arial" w:hAnsi="Arial"/>
                <w:sz w:val="18"/>
                <w:szCs w:val="18"/>
                <w:b w:val="1"/>
                <w:bCs w:val="1"/>
                <w:color w:val="auto"/>
                <w:w w:val="94"/>
              </w:rPr>
              <w:t>Net income (loss) attributable to Ocwen</w:t>
            </w:r>
          </w:p>
        </w:tc>
        <w:tc>
          <w:tcPr>
            <w:tcW w:w="300" w:type="dxa"/>
            <w:vAlign w:val="bottom"/>
            <w:vMerge w:val="restart"/>
            <w:shd w:val="clear" w:color="auto" w:fill="EAF9E8"/>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vMerge w:val="restart"/>
            <w:shd w:val="clear" w:color="auto" w:fill="EAF9E8"/>
          </w:tcPr>
          <w:p>
            <w:pPr>
              <w:jc w:val="right"/>
              <w:spacing w:after="0"/>
              <w:rPr>
                <w:sz w:val="20"/>
                <w:szCs w:val="20"/>
                <w:color w:val="auto"/>
              </w:rPr>
            </w:pPr>
            <w:r>
              <w:rPr>
                <w:rFonts w:ascii="Arial" w:cs="Arial" w:eastAsia="Arial" w:hAnsi="Arial"/>
                <w:sz w:val="18"/>
                <w:szCs w:val="18"/>
                <w:color w:val="auto"/>
              </w:rPr>
              <w:t>(87,378)</w:t>
            </w:r>
          </w:p>
        </w:tc>
        <w:tc>
          <w:tcPr>
            <w:tcW w:w="120" w:type="dxa"/>
            <w:vAlign w:val="bottom"/>
            <w:shd w:val="clear" w:color="auto" w:fill="EAF9E8"/>
          </w:tcPr>
          <w:p>
            <w:pPr>
              <w:spacing w:after="0"/>
              <w:rPr>
                <w:sz w:val="17"/>
                <w:szCs w:val="17"/>
                <w:color w:val="auto"/>
              </w:rPr>
            </w:pPr>
          </w:p>
        </w:tc>
        <w:tc>
          <w:tcPr>
            <w:tcW w:w="300" w:type="dxa"/>
            <w:vAlign w:val="bottom"/>
            <w:vMerge w:val="restart"/>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EAF9E8"/>
          </w:tcPr>
          <w:p>
            <w:pPr>
              <w:jc w:val="right"/>
              <w:ind w:right="10"/>
              <w:spacing w:after="0"/>
              <w:rPr>
                <w:sz w:val="20"/>
                <w:szCs w:val="20"/>
                <w:color w:val="auto"/>
              </w:rPr>
            </w:pPr>
            <w:r>
              <w:rPr>
                <w:rFonts w:ascii="Arial" w:cs="Arial" w:eastAsia="Arial" w:hAnsi="Arial"/>
                <w:sz w:val="18"/>
                <w:szCs w:val="18"/>
                <w:color w:val="auto"/>
              </w:rPr>
              <w:t>9,738</w:t>
            </w:r>
          </w:p>
        </w:tc>
        <w:tc>
          <w:tcPr>
            <w:tcW w:w="120" w:type="dxa"/>
            <w:vAlign w:val="bottom"/>
            <w:shd w:val="clear" w:color="auto" w:fill="EAF9E8"/>
          </w:tcPr>
          <w:p>
            <w:pPr>
              <w:spacing w:after="0"/>
              <w:rPr>
                <w:sz w:val="17"/>
                <w:szCs w:val="17"/>
                <w:color w:val="auto"/>
              </w:rPr>
            </w:pPr>
          </w:p>
        </w:tc>
        <w:tc>
          <w:tcPr>
            <w:tcW w:w="10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300" w:type="dxa"/>
            <w:vAlign w:val="bottom"/>
            <w:shd w:val="clear" w:color="auto" w:fill="EAF9E8"/>
          </w:tcPr>
          <w:p>
            <w:pPr>
              <w:spacing w:after="0"/>
              <w:rPr>
                <w:sz w:val="17"/>
                <w:szCs w:val="17"/>
                <w:color w:val="auto"/>
              </w:rPr>
            </w:pPr>
          </w:p>
        </w:tc>
        <w:tc>
          <w:tcPr>
            <w:tcW w:w="1060" w:type="dxa"/>
            <w:vAlign w:val="bottom"/>
            <w:vMerge w:val="restart"/>
            <w:shd w:val="clear" w:color="auto" w:fill="EAF9E8"/>
          </w:tcPr>
          <w:p>
            <w:pPr>
              <w:jc w:val="right"/>
              <w:spacing w:after="0"/>
              <w:rPr>
                <w:sz w:val="20"/>
                <w:szCs w:val="20"/>
                <w:color w:val="auto"/>
              </w:rPr>
            </w:pPr>
            <w:r>
              <w:rPr>
                <w:rFonts w:ascii="Arial" w:cs="Arial" w:eastAsia="Arial" w:hAnsi="Arial"/>
                <w:sz w:val="18"/>
                <w:szCs w:val="18"/>
                <w:color w:val="auto"/>
              </w:rPr>
              <w:t>(198,709)</w:t>
            </w:r>
          </w:p>
        </w:tc>
        <w:tc>
          <w:tcPr>
            <w:tcW w:w="100" w:type="dxa"/>
            <w:vAlign w:val="bottom"/>
            <w:shd w:val="clear" w:color="auto" w:fill="EAF9E8"/>
          </w:tcPr>
          <w:p>
            <w:pPr>
              <w:spacing w:after="0"/>
              <w:rPr>
                <w:sz w:val="17"/>
                <w:szCs w:val="17"/>
                <w:color w:val="auto"/>
              </w:rPr>
            </w:pPr>
          </w:p>
        </w:tc>
        <w:tc>
          <w:tcPr>
            <w:tcW w:w="440" w:type="dxa"/>
            <w:vAlign w:val="bottom"/>
            <w:shd w:val="clear" w:color="auto" w:fill="EAF9E8"/>
          </w:tcPr>
          <w:p>
            <w:pPr>
              <w:spacing w:after="0"/>
              <w:rPr>
                <w:sz w:val="17"/>
                <w:szCs w:val="17"/>
                <w:color w:val="auto"/>
              </w:rPr>
            </w:pPr>
          </w:p>
        </w:tc>
        <w:tc>
          <w:tcPr>
            <w:tcW w:w="920" w:type="dxa"/>
            <w:vAlign w:val="bottom"/>
            <w:vMerge w:val="restart"/>
            <w:shd w:val="clear" w:color="auto" w:fill="EAF9E8"/>
          </w:tcPr>
          <w:p>
            <w:pPr>
              <w:jc w:val="right"/>
              <w:ind w:right="30"/>
              <w:spacing w:after="0"/>
              <w:rPr>
                <w:sz w:val="20"/>
                <w:szCs w:val="20"/>
                <w:color w:val="auto"/>
              </w:rPr>
            </w:pPr>
            <w:r>
              <w:rPr>
                <w:rFonts w:ascii="Arial" w:cs="Arial" w:eastAsia="Arial" w:hAnsi="Arial"/>
                <w:sz w:val="18"/>
                <w:szCs w:val="18"/>
                <w:color w:val="auto"/>
              </w:rPr>
              <w:t>44,093</w:t>
            </w:r>
          </w:p>
        </w:tc>
        <w:tc>
          <w:tcPr>
            <w:tcW w:w="100" w:type="dxa"/>
            <w:vAlign w:val="bottom"/>
            <w:shd w:val="clear" w:color="auto" w:fill="EAF9E8"/>
          </w:tcPr>
          <w:p>
            <w:pPr>
              <w:spacing w:after="0"/>
              <w:rPr>
                <w:sz w:val="17"/>
                <w:szCs w:val="17"/>
                <w:color w:val="auto"/>
              </w:rPr>
            </w:pPr>
          </w:p>
        </w:tc>
        <w:tc>
          <w:tcPr>
            <w:tcW w:w="104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420" w:type="dxa"/>
            <w:vAlign w:val="bottom"/>
            <w:tcBorders>
              <w:bottom w:val="single" w:sz="8" w:color="EAF9E8"/>
            </w:tcBorders>
            <w:shd w:val="clear" w:color="auto" w:fill="EAF9E8"/>
          </w:tcPr>
          <w:p>
            <w:pPr>
              <w:ind w:left="340"/>
              <w:spacing w:after="0"/>
              <w:rPr>
                <w:sz w:val="20"/>
                <w:szCs w:val="20"/>
                <w:color w:val="auto"/>
              </w:rPr>
            </w:pPr>
            <w:r>
              <w:rPr>
                <w:rFonts w:ascii="Arial" w:cs="Arial" w:eastAsia="Arial" w:hAnsi="Arial"/>
                <w:sz w:val="18"/>
                <w:szCs w:val="18"/>
                <w:b w:val="1"/>
                <w:bCs w:val="1"/>
                <w:color w:val="auto"/>
              </w:rPr>
              <w:t>stockholders</w:t>
            </w:r>
          </w:p>
        </w:tc>
        <w:tc>
          <w:tcPr>
            <w:tcW w:w="300" w:type="dxa"/>
            <w:vAlign w:val="bottom"/>
            <w:tcBorders>
              <w:bottom w:val="single" w:sz="8" w:color="auto"/>
            </w:tcBorders>
            <w:vMerge w:val="continue"/>
            <w:shd w:val="clear" w:color="auto" w:fill="EAF9E8"/>
          </w:tcPr>
          <w:p>
            <w:pPr>
              <w:spacing w:after="0"/>
              <w:rPr>
                <w:sz w:val="20"/>
                <w:szCs w:val="20"/>
                <w:color w:val="auto"/>
              </w:rPr>
            </w:pPr>
          </w:p>
        </w:tc>
        <w:tc>
          <w:tcPr>
            <w:tcW w:w="1020" w:type="dxa"/>
            <w:vAlign w:val="bottom"/>
            <w:tcBorders>
              <w:bottom w:val="single" w:sz="8" w:color="auto"/>
            </w:tcBorders>
            <w:vMerge w:val="continue"/>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auto"/>
            </w:tcBorders>
            <w:vMerge w:val="continue"/>
            <w:shd w:val="clear" w:color="auto" w:fill="EAF9E8"/>
          </w:tcPr>
          <w:p>
            <w:pPr>
              <w:spacing w:after="0"/>
              <w:rPr>
                <w:sz w:val="20"/>
                <w:szCs w:val="20"/>
                <w:color w:val="auto"/>
              </w:rPr>
            </w:pPr>
          </w:p>
        </w:tc>
        <w:tc>
          <w:tcPr>
            <w:tcW w:w="1040" w:type="dxa"/>
            <w:vAlign w:val="bottom"/>
            <w:tcBorders>
              <w:bottom w:val="single" w:sz="8" w:color="auto"/>
            </w:tcBorders>
            <w:vMerge w:val="continue"/>
            <w:shd w:val="clear" w:color="auto" w:fill="EAF9E8"/>
          </w:tcPr>
          <w:p>
            <w:pPr>
              <w:spacing w:after="0"/>
              <w:rPr>
                <w:sz w:val="20"/>
                <w:szCs w:val="20"/>
                <w:color w:val="auto"/>
              </w:rPr>
            </w:pPr>
          </w:p>
        </w:tc>
        <w:tc>
          <w:tcPr>
            <w:tcW w:w="11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(997)</w:t>
            </w:r>
          </w:p>
        </w:tc>
        <w:tc>
          <w:tcPr>
            <w:tcW w:w="10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auto"/>
            </w:tcBorders>
            <w:shd w:val="clear" w:color="auto" w:fill="EAF9E8"/>
          </w:tcPr>
          <w:p>
            <w:pPr>
              <w:spacing w:after="0"/>
              <w:rPr>
                <w:sz w:val="20"/>
                <w:szCs w:val="20"/>
                <w:color w:val="auto"/>
              </w:rPr>
            </w:pPr>
          </w:p>
        </w:tc>
        <w:tc>
          <w:tcPr>
            <w:tcW w:w="1060" w:type="dxa"/>
            <w:vAlign w:val="bottom"/>
            <w:tcBorders>
              <w:bottom w:val="single" w:sz="8" w:color="auto"/>
            </w:tcBorders>
            <w:vMerge w:val="continue"/>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440" w:type="dxa"/>
            <w:vAlign w:val="bottom"/>
            <w:tcBorders>
              <w:bottom w:val="single" w:sz="8" w:color="auto"/>
            </w:tcBorders>
            <w:shd w:val="clear" w:color="auto" w:fill="EAF9E8"/>
          </w:tcPr>
          <w:p>
            <w:pPr>
              <w:spacing w:after="0"/>
              <w:rPr>
                <w:sz w:val="20"/>
                <w:szCs w:val="20"/>
                <w:color w:val="auto"/>
              </w:rPr>
            </w:pPr>
          </w:p>
        </w:tc>
        <w:tc>
          <w:tcPr>
            <w:tcW w:w="920" w:type="dxa"/>
            <w:vAlign w:val="bottom"/>
            <w:tcBorders>
              <w:bottom w:val="single" w:sz="8" w:color="auto"/>
            </w:tcBorders>
            <w:vMerge w:val="continue"/>
            <w:shd w:val="clear" w:color="auto" w:fill="EAF9E8"/>
          </w:tcPr>
          <w:p>
            <w:pPr>
              <w:spacing w:after="0"/>
              <w:rPr>
                <w:sz w:val="20"/>
                <w:szCs w:val="20"/>
                <w:color w:val="auto"/>
              </w:rPr>
            </w:pP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3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4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w w:val="87"/>
              </w:rPr>
              <w:t>Segment income (loss) before income taxes:</w:t>
            </w:r>
          </w:p>
        </w:tc>
        <w:tc>
          <w:tcPr>
            <w:tcW w:w="30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440" w:type="dxa"/>
            <w:vAlign w:val="bottom"/>
            <w:tcBorders>
              <w:bottom w:val="single" w:sz="8" w:color="EAF9E8"/>
            </w:tcBorders>
            <w:shd w:val="clear" w:color="auto" w:fill="EAF9E8"/>
          </w:tcPr>
          <w:p>
            <w:pPr>
              <w:spacing w:after="0"/>
              <w:rPr>
                <w:sz w:val="21"/>
                <w:szCs w:val="21"/>
                <w:color w:val="auto"/>
              </w:rPr>
            </w:pPr>
          </w:p>
        </w:tc>
        <w:tc>
          <w:tcPr>
            <w:tcW w:w="9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20" w:type="dxa"/>
            <w:vAlign w:val="bottom"/>
          </w:tcPr>
          <w:p>
            <w:pPr>
              <w:ind w:left="180"/>
              <w:spacing w:after="0"/>
              <w:rPr>
                <w:sz w:val="20"/>
                <w:szCs w:val="20"/>
                <w:color w:val="auto"/>
              </w:rPr>
            </w:pPr>
            <w:r>
              <w:rPr>
                <w:rFonts w:ascii="Arial" w:cs="Arial" w:eastAsia="Arial" w:hAnsi="Arial"/>
                <w:sz w:val="18"/>
                <w:szCs w:val="18"/>
                <w:color w:val="auto"/>
              </w:rPr>
              <w:t>Servicing</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(14,708)</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44,579</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(82,964)</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91,300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Lending</w:t>
            </w:r>
          </w:p>
        </w:tc>
        <w:tc>
          <w:tcPr>
            <w:tcW w:w="30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7,534</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14,445</w:t>
            </w:r>
          </w:p>
        </w:tc>
        <w:tc>
          <w:tcPr>
            <w:tcW w:w="11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9,532</w:t>
            </w:r>
          </w:p>
        </w:tc>
        <w:tc>
          <w:tcPr>
            <w:tcW w:w="100" w:type="dxa"/>
            <w:vAlign w:val="bottom"/>
            <w:tcBorders>
              <w:bottom w:val="single" w:sz="8" w:color="EAF9E8"/>
            </w:tcBorders>
            <w:shd w:val="clear" w:color="auto" w:fill="EAF9E8"/>
          </w:tcPr>
          <w:p>
            <w:pPr>
              <w:spacing w:after="0"/>
              <w:rPr>
                <w:sz w:val="21"/>
                <w:szCs w:val="21"/>
                <w:color w:val="auto"/>
              </w:rPr>
            </w:pPr>
          </w:p>
        </w:tc>
        <w:tc>
          <w:tcPr>
            <w:tcW w:w="440" w:type="dxa"/>
            <w:vAlign w:val="bottom"/>
            <w:tcBorders>
              <w:bottom w:val="single" w:sz="8" w:color="EAF9E8"/>
            </w:tcBorders>
            <w:shd w:val="clear" w:color="auto" w:fill="EAF9E8"/>
          </w:tcPr>
          <w:p>
            <w:pPr>
              <w:spacing w:after="0"/>
              <w:rPr>
                <w:sz w:val="21"/>
                <w:szCs w:val="21"/>
                <w:color w:val="auto"/>
              </w:rPr>
            </w:pPr>
          </w:p>
        </w:tc>
        <w:tc>
          <w:tcPr>
            <w:tcW w:w="9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30,429</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43"/>
        </w:trPr>
        <w:tc>
          <w:tcPr>
            <w:tcW w:w="3420" w:type="dxa"/>
            <w:vAlign w:val="bottom"/>
          </w:tcPr>
          <w:p>
            <w:pPr>
              <w:ind w:left="180"/>
              <w:spacing w:after="0"/>
              <w:rPr>
                <w:sz w:val="20"/>
                <w:szCs w:val="20"/>
                <w:color w:val="auto"/>
              </w:rPr>
            </w:pPr>
            <w:r>
              <w:rPr>
                <w:rFonts w:ascii="Arial" w:cs="Arial" w:eastAsia="Arial" w:hAnsi="Arial"/>
                <w:sz w:val="18"/>
                <w:szCs w:val="18"/>
                <w:color w:val="auto"/>
              </w:rPr>
              <w:t>Corporate Items and Other</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(89,224)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(46,524)</w:t>
            </w:r>
          </w:p>
        </w:tc>
        <w:tc>
          <w:tcPr>
            <w:tcW w:w="1160" w:type="dxa"/>
            <w:vAlign w:val="bottom"/>
            <w:gridSpan w:val="2"/>
          </w:tcPr>
          <w:p>
            <w:pPr>
              <w:jc w:val="right"/>
              <w:ind w:right="150"/>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(125,091)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(66,400)</w:t>
            </w:r>
          </w:p>
        </w:tc>
        <w:tc>
          <w:tcPr>
            <w:tcW w:w="1140" w:type="dxa"/>
            <w:vAlign w:val="bottom"/>
            <w:gridSpan w:val="2"/>
          </w:tcPr>
          <w:p>
            <w:pPr>
              <w:jc w:val="right"/>
              <w:ind w:right="15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7"/>
        </w:trPr>
        <w:tc>
          <w:tcPr>
            <w:tcW w:w="34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42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(96,398)</w:t>
            </w:r>
          </w:p>
        </w:tc>
        <w:tc>
          <w:tcPr>
            <w:tcW w:w="12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12,500</w:t>
            </w:r>
          </w:p>
        </w:tc>
        <w:tc>
          <w:tcPr>
            <w:tcW w:w="116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(871)%</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(198,523)</w:t>
            </w:r>
          </w:p>
        </w:tc>
        <w:tc>
          <w:tcPr>
            <w:tcW w:w="100" w:type="dxa"/>
            <w:vAlign w:val="bottom"/>
            <w:tcBorders>
              <w:bottom w:val="single" w:sz="8" w:color="EAF9E8"/>
            </w:tcBorders>
            <w:shd w:val="clear" w:color="auto" w:fill="EAF9E8"/>
          </w:tcPr>
          <w:p>
            <w:pPr>
              <w:spacing w:after="0"/>
              <w:rPr>
                <w:sz w:val="22"/>
                <w:szCs w:val="22"/>
                <w:color w:val="auto"/>
              </w:rPr>
            </w:pPr>
          </w:p>
        </w:tc>
        <w:tc>
          <w:tcPr>
            <w:tcW w:w="440" w:type="dxa"/>
            <w:vAlign w:val="bottom"/>
            <w:tcBorders>
              <w:bottom w:val="single" w:sz="8" w:color="auto"/>
            </w:tcBorders>
            <w:shd w:val="clear" w:color="auto" w:fill="EAF9E8"/>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55,329</w:t>
            </w:r>
          </w:p>
        </w:tc>
        <w:tc>
          <w:tcPr>
            <w:tcW w:w="114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2016 versus 2015</w:t>
      </w:r>
    </w:p>
    <w:p>
      <w:pPr>
        <w:spacing w:after="0" w:line="117"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Servicing and subservicing fees for the second quarter of 2016 were $89.7 million, or 23%, lower than the second quarter of 2015, primarily as a result of executing on our strategy in 2015 to sell certain of our Agency MSRs, portfolio runoff and a decline in modifications. During the second quarter of 2015, we recognized $30.3 million in net gains on the sale of MSRs relating to loans with a UPB of $55.3 billion.</w:t>
      </w:r>
    </w:p>
    <w:p>
      <w:pPr>
        <w:spacing w:after="0" w:line="73"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Gains on loans held for sale for the second quarter of 2016 were $17.3 million, or 38%, lower than the second quarter of 2015. Gains from our lending operations decreased $8.9 million primarily due to a $130.2 million volume decline in the higher yielding forward lending retail channel, in part due to the sale of our Agency MSRs, which reduces recapture (our ability to convert borrowers in our current servicing portfolio into newly originated loans), and lower margins in all forward lending channels. This was partially offset by improved margins in reverse lending. In our Servicing business, gains on sales of loans declined by $8.1 million.</w:t>
      </w:r>
    </w:p>
    <w:p>
      <w:pPr>
        <w:spacing w:after="0" w:line="80" w:lineRule="exact"/>
        <w:rPr>
          <w:sz w:val="20"/>
          <w:szCs w:val="20"/>
          <w:color w:val="auto"/>
        </w:rPr>
      </w:pPr>
    </w:p>
    <w:p>
      <w:pPr>
        <w:ind w:right="160" w:firstLine="324"/>
        <w:spacing w:after="0" w:line="297" w:lineRule="auto"/>
        <w:rPr>
          <w:sz w:val="20"/>
          <w:szCs w:val="20"/>
          <w:color w:val="auto"/>
        </w:rPr>
      </w:pPr>
      <w:r>
        <w:rPr>
          <w:rFonts w:ascii="Arial" w:cs="Arial" w:eastAsia="Arial" w:hAnsi="Arial"/>
          <w:sz w:val="16"/>
          <w:szCs w:val="16"/>
          <w:color w:val="auto"/>
        </w:rPr>
        <w:t>Expenses were $32.8 million, or 9%, higher in the second quarter of 2016 as compared to the second quarter of 2015. Excluding MSR amortization and valuation adjustments and monitor expenses, expenses were $5.6 million, or 2%, lower in the second quarter of 2016 as compared to the second quarter of 2015. This decline reflects our progress implementing cost improvement initiatives. Compensation and benefits expense declined as average headcount declined by 10%, including an 11% reduction in U.S.-based headcount, principally in our Servicing business where headcount declined by 17%, including a 29% reduction in the U.S. Technology and communications expenses declined 21% primarily as a consequence of our decision</w:t>
      </w:r>
    </w:p>
    <w:p>
      <w:pPr>
        <w:sectPr>
          <w:pgSz w:w="11900" w:h="16838" w:orient="portrait"/>
          <w:cols w:equalWidth="0" w:num="1">
            <w:col w:w="11420"/>
          </w:cols>
          <w:pgMar w:left="240" w:top="688" w:right="239" w:bottom="1440" w:gutter="0" w:footer="0" w:header="0"/>
        </w:sect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420"/>
          </w:cols>
          <w:pgMar w:left="240" w:top="688" w:right="239" w:bottom="1440" w:gutter="0" w:footer="0" w:header="0"/>
          <w:type w:val="continuous"/>
        </w:sectPr>
      </w:pPr>
    </w:p>
    <w:bookmarkStart w:id="55" w:name="page56"/>
    <w:bookmarkEnd w:id="55"/>
    <w:p>
      <w:pPr>
        <w:spacing w:after="0" w:line="289" w:lineRule="auto"/>
        <w:rPr>
          <w:sz w:val="20"/>
          <w:szCs w:val="20"/>
          <w:color w:val="auto"/>
        </w:rPr>
      </w:pPr>
      <w:r>
        <w:rPr>
          <w:rFonts w:ascii="Arial" w:cs="Arial" w:eastAsia="Arial" w:hAnsi="Arial"/>
          <w:sz w:val="16"/>
          <w:szCs w:val="16"/>
          <w:color w:val="auto"/>
        </w:rPr>
        <w:t>to reduce our dependence on third-party service providers and bring a greater proportion of our technology services in-house. However, the decline in Technology and communications expenses was offset in large part by an increase in technology-related Compensation and benefits. Occupancy and equipment expenses declined by 28%, largely because of the effect of the decline in the size of the servicing portfolio on various expenses, particularly postage and other delivery services, and the effect of the declines in headcount. Professional services expense was $49.0 million, or 68%, higher in the second quarter of 2016 as compared to the second quarter of 2015. Professional services expense for the second quarter of 2016 includes a $30.0 million charge to establish an accrual in connection with the settlement in principle of the Fisher Cases. We also accrued $15.0 million as of June 30, 2016 in connection with our discussions with the CA DBO regarding the possibility of resolving certain matters relating to OLS’ servicing practices and early termination of the CA DBO Consent Order, which would also terminate the CA Auditor engagement. Professional services expense for the second quarter of 2015 includes $15.8 million of financial and legal advisory fees incurred in connection with evaluating adjustments to our capital structure and exploring other strategic options.</w:t>
      </w:r>
    </w:p>
    <w:p>
      <w:pPr>
        <w:spacing w:after="0" w:line="167"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MSR amortization and valuation adjustments and monitor expenses increased $38.4 million. MSR amortization and valuation adjustments (including both fair value adjustments and impairment charges), increased $16.5 million principally due to an increase in impairment charges related to our government insured MSRs driven by lower mortgage rates partially offset by the effects of portfolio runoff and MSR sales. Monitor expenses increased $21.9 million as compared to the second quarter of 2015 primarily as a result of costs related to the CA Auditor.</w:t>
      </w:r>
    </w:p>
    <w:p>
      <w:pPr>
        <w:spacing w:after="0" w:line="187"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Interest expense for the second quarter of 2016 declined $33.9 million, or 27%, as compared to the second quarter of 2015 primarily as a result of declines in the value of the NRZ financing liability and lower SSTL borrowings as a result of principal prepayments, including both voluntary prepayments and required prepayments from proceeds of sales of MSRs, principally during 2015.</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2016 versus 2015</w:t>
      </w:r>
    </w:p>
    <w:p>
      <w:pPr>
        <w:spacing w:after="0" w:line="117" w:lineRule="exact"/>
        <w:rPr>
          <w:sz w:val="20"/>
          <w:szCs w:val="20"/>
          <w:color w:val="auto"/>
        </w:rPr>
      </w:pPr>
    </w:p>
    <w:p>
      <w:pPr>
        <w:jc w:val="both"/>
        <w:ind w:right="220" w:firstLine="324"/>
        <w:spacing w:after="0" w:line="259" w:lineRule="auto"/>
        <w:rPr>
          <w:sz w:val="20"/>
          <w:szCs w:val="20"/>
          <w:color w:val="auto"/>
        </w:rPr>
      </w:pPr>
      <w:r>
        <w:rPr>
          <w:rFonts w:ascii="Arial" w:cs="Arial" w:eastAsia="Arial" w:hAnsi="Arial"/>
          <w:sz w:val="18"/>
          <w:szCs w:val="18"/>
          <w:color w:val="auto"/>
        </w:rPr>
        <w:t>Servicing and subservicing fees declined $238.4 million, or 28%, in the six months ended June 30, 2016 as compared to the same period of 2015. This decline is primarily due to sales of Agency MSRs in 2015, portfolio runoff and a lower modification volume. We recognized $56.7 million of net gains on sales of MSRs during the first six months of 2015 relating to loans with a UPB of $64.3 billion. For the full year ended December 31, 2015, we sold MSRs relating to loans with a combined UPB of $87.6 billion.</w:t>
      </w:r>
    </w:p>
    <w:p>
      <w:pPr>
        <w:spacing w:after="0" w:line="7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Gains on loans held for sale for the six months ended June 30, 2016 declined $46.2 million, or 52%, as compared to the six months ended June 30, 2015. Gains from our lending operations decreased $21.8 million primarily due to lower forward lending origination volume in the higher yielding retail channel, in part due to the sale of our Agency MSRs, and lower margins in all forward lending channels. In our servicing business, gains on sales of loans declined by $23.8 million.</w:t>
      </w:r>
    </w:p>
    <w:p>
      <w:pPr>
        <w:spacing w:after="0" w:line="79"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Expenses were $16.9 million, or 2%, lower in the first six months of 2016 as compared to the first six months of 2015. Excluding MSR amortization and valuation adjustments and monitor expenses, expenses were $58.9 million, or 10%, lower in the first six months of 2016 as compared to the same period in 2015, reflecting our progress to date implementing cost improvement initiatives. A decline of 10% in average headcount, including a 12% decline in US headcount, driven by a 16% reduction in average headcount of our Servicing business, including a 29% decline in U.S.-based headcount, resulted in lower Compensation and benefits. Declines in Technology and communications expenses were largely offset by increases in technology-related Compensation and benefits expense, as noted above. The declines in the size of the servicing portfolio and headcount resulted in lower Occupancy and equipment expenses. Professional services expense for the six months ended June 30, 2016 was $63.0 million, or 49%, higher than the six months ended June 30, 2015. Professional services expense for the first six months of 2016 includes the accrual for $30.0 million settlement in principle of the Fisher Cases as well as the $15.0 million accrual in connection with our discussions with the CA DBO. Professional strategic advisory costs incurred during the six months ended June 30, 2015 were $24.2 million.</w:t>
      </w:r>
    </w:p>
    <w:p>
      <w:pPr>
        <w:spacing w:after="0" w:line="70"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MSR amortization and valuation adjustments and monitor expenses increased $42.0 million. MSR amortization and valuation adjustments (including both fair value adjustments and impairment charges) decreased $0.9 million due to the effects of portfolio runoff and MSR sales which were offset by an increase in impairment charges related to our government insured MSRs. Monitor expenses for the first six months of 2016 were $42.9 million higher than the same period last year, primarily as a result of costs related to the CA Auditor.</w:t>
      </w:r>
    </w:p>
    <w:p>
      <w:pPr>
        <w:spacing w:after="0" w:line="187" w:lineRule="exact"/>
        <w:rPr>
          <w:sz w:val="20"/>
          <w:szCs w:val="20"/>
          <w:color w:val="auto"/>
        </w:rPr>
      </w:pPr>
    </w:p>
    <w:p>
      <w:pPr>
        <w:ind w:right="480" w:firstLine="324"/>
        <w:spacing w:after="0" w:line="264" w:lineRule="auto"/>
        <w:rPr>
          <w:sz w:val="20"/>
          <w:szCs w:val="20"/>
          <w:color w:val="auto"/>
        </w:rPr>
      </w:pPr>
      <w:r>
        <w:rPr>
          <w:rFonts w:ascii="Arial" w:cs="Arial" w:eastAsia="Arial" w:hAnsi="Arial"/>
          <w:sz w:val="18"/>
          <w:szCs w:val="18"/>
          <w:color w:val="auto"/>
        </w:rPr>
        <w:t>Interest expense for the six months ended June 30, 2016 decreased $47.2 million, or 19%, as compared to the same period of 2015 primarily due to declines in the value of the NRZ financing liability and lower SSTL borrowings as a result of principal prepayments, including voluntary and required prepayments from proceeds of sales of MSR, primarily during 2015.</w:t>
      </w:r>
    </w:p>
    <w:p>
      <w:pPr>
        <w:spacing w:after="0" w:line="73"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Although we incurred a pre-tax loss of $198.5 million for the six months ended June 30, 2016, we recorded only an insignificant income tax benefit because the tax benefit recorded on the pre-tax loss is reduced by additional valuation allowance. In addition, the mix of earnings among different tax jurisdictions with different statutory tax rates impacts the amount of the tax benefit or expense recorded. Finally, we recognized income tax expense related to uncertain tax positions.</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692" w:right="259" w:bottom="1440" w:gutter="0" w:footer="0" w:header="0"/>
        </w:sectPr>
      </w:pPr>
    </w:p>
    <w:bookmarkStart w:id="56" w:name="page57"/>
    <w:bookmarkEnd w:id="56"/>
    <w:p>
      <w:pPr>
        <w:ind w:right="180"/>
        <w:spacing w:after="0" w:line="277" w:lineRule="auto"/>
        <w:rPr>
          <w:sz w:val="20"/>
          <w:szCs w:val="20"/>
          <w:color w:val="auto"/>
        </w:rPr>
      </w:pPr>
      <w:r>
        <w:rPr>
          <w:rFonts w:ascii="Arial" w:cs="Arial" w:eastAsia="Arial" w:hAnsi="Arial"/>
          <w:sz w:val="18"/>
          <w:szCs w:val="18"/>
          <w:color w:val="auto"/>
        </w:rPr>
        <w:t>The overall effective tax rate for the six months ended June 30, 2016 has changed significantly from the effective tax rate at December 31, 2015 because we recorded a full valuation allowance on our net deferred tax assets during the fourth quarter of 2015.</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Summary</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summarized consolidated balance sheet data at the dates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b w:val="1"/>
                <w:bCs w:val="1"/>
                <w:color w:val="auto"/>
                <w:w w:val="88"/>
              </w:rPr>
              <w:t>December 31,</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7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b w:val="1"/>
                <w:bCs w:val="1"/>
                <w:color w:val="auto"/>
              </w:rPr>
              <w:t>June 30, 2016</w:t>
            </w:r>
          </w:p>
        </w:tc>
        <w:tc>
          <w:tcPr>
            <w:tcW w:w="14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b w:val="1"/>
                <w:bCs w:val="1"/>
                <w:color w:val="auto"/>
              </w:rPr>
              <w:t>% Change</w:t>
            </w:r>
          </w:p>
        </w:tc>
      </w:tr>
      <w:tr>
        <w:trPr>
          <w:trHeight w:val="27"/>
        </w:trPr>
        <w:tc>
          <w:tcPr>
            <w:tcW w:w="73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73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Cash</w:t>
            </w: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218,915</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257,272</w:t>
            </w:r>
          </w:p>
        </w:tc>
        <w:tc>
          <w:tcPr>
            <w:tcW w:w="126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Mortgage servicing rights</w:t>
            </w:r>
          </w:p>
        </w:tc>
        <w:tc>
          <w:tcPr>
            <w:tcW w:w="1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1,047,142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1,138,569</w:t>
            </w:r>
          </w:p>
        </w:tc>
        <w:tc>
          <w:tcPr>
            <w:tcW w:w="1260" w:type="dxa"/>
            <w:vAlign w:val="bottom"/>
            <w:gridSpan w:val="2"/>
          </w:tcPr>
          <w:p>
            <w:pPr>
              <w:jc w:val="right"/>
              <w:ind w:right="90"/>
              <w:spacing w:after="0"/>
              <w:rPr>
                <w:sz w:val="20"/>
                <w:szCs w:val="20"/>
                <w:color w:val="auto"/>
              </w:rPr>
            </w:pPr>
            <w:r>
              <w:rPr>
                <w:rFonts w:ascii="Arial" w:cs="Arial" w:eastAsia="Arial" w:hAnsi="Arial"/>
                <w:sz w:val="18"/>
                <w:szCs w:val="18"/>
                <w:color w:val="auto"/>
              </w:rPr>
              <w:t>(8)</w:t>
            </w:r>
          </w:p>
        </w:tc>
      </w:tr>
      <w:tr>
        <w:trPr>
          <w:trHeight w:val="27"/>
        </w:trPr>
        <w:tc>
          <w:tcPr>
            <w:tcW w:w="7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3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Advances and match funded advances</w:t>
            </w:r>
          </w:p>
        </w:tc>
        <w:tc>
          <w:tcPr>
            <w:tcW w:w="1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1,943,675</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2,151,066</w:t>
            </w:r>
          </w:p>
        </w:tc>
        <w:tc>
          <w:tcPr>
            <w:tcW w:w="12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(10)</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Loans held for sale</w:t>
            </w:r>
          </w:p>
        </w:tc>
        <w:tc>
          <w:tcPr>
            <w:tcW w:w="1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401,790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414,046</w:t>
            </w:r>
          </w:p>
        </w:tc>
        <w:tc>
          <w:tcPr>
            <w:tcW w:w="1260" w:type="dxa"/>
            <w:vAlign w:val="bottom"/>
            <w:gridSpan w:val="2"/>
          </w:tcPr>
          <w:p>
            <w:pPr>
              <w:jc w:val="right"/>
              <w:ind w:right="90"/>
              <w:spacing w:after="0"/>
              <w:rPr>
                <w:sz w:val="20"/>
                <w:szCs w:val="20"/>
                <w:color w:val="auto"/>
              </w:rPr>
            </w:pPr>
            <w:r>
              <w:rPr>
                <w:rFonts w:ascii="Arial" w:cs="Arial" w:eastAsia="Arial" w:hAnsi="Arial"/>
                <w:sz w:val="18"/>
                <w:szCs w:val="18"/>
                <w:color w:val="auto"/>
              </w:rPr>
              <w:t>(3)</w:t>
            </w:r>
          </w:p>
        </w:tc>
      </w:tr>
      <w:tr>
        <w:trPr>
          <w:trHeight w:val="27"/>
        </w:trPr>
        <w:tc>
          <w:tcPr>
            <w:tcW w:w="7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3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Loans held for investment - Reverse mortgages, at fair value</w:t>
            </w:r>
          </w:p>
        </w:tc>
        <w:tc>
          <w:tcPr>
            <w:tcW w:w="1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3,057,564</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2,488,253</w:t>
            </w:r>
          </w:p>
        </w:tc>
        <w:tc>
          <w:tcPr>
            <w:tcW w:w="126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23</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819,166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931,102</w:t>
            </w:r>
          </w:p>
        </w:tc>
        <w:tc>
          <w:tcPr>
            <w:tcW w:w="1260" w:type="dxa"/>
            <w:vAlign w:val="bottom"/>
            <w:gridSpan w:val="2"/>
          </w:tcPr>
          <w:p>
            <w:pPr>
              <w:jc w:val="right"/>
              <w:ind w:right="90"/>
              <w:spacing w:after="0"/>
              <w:rPr>
                <w:sz w:val="20"/>
                <w:szCs w:val="20"/>
                <w:color w:val="auto"/>
              </w:rPr>
            </w:pPr>
            <w:r>
              <w:rPr>
                <w:rFonts w:ascii="Arial" w:cs="Arial" w:eastAsia="Arial" w:hAnsi="Arial"/>
                <w:sz w:val="18"/>
                <w:szCs w:val="18"/>
                <w:color w:val="auto"/>
              </w:rPr>
              <w:t>(12)</w:t>
            </w:r>
          </w:p>
        </w:tc>
      </w:tr>
      <w:tr>
        <w:trPr>
          <w:trHeight w:val="27"/>
        </w:trPr>
        <w:tc>
          <w:tcPr>
            <w:tcW w:w="73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r>
      <w:tr>
        <w:trPr>
          <w:trHeight w:val="257"/>
        </w:trPr>
        <w:tc>
          <w:tcPr>
            <w:tcW w:w="73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7,488,252</w:t>
            </w:r>
          </w:p>
        </w:tc>
        <w:tc>
          <w:tcPr>
            <w:tcW w:w="1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7,380,308</w:t>
            </w:r>
          </w:p>
        </w:tc>
        <w:tc>
          <w:tcPr>
            <w:tcW w:w="126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1 %</w:t>
            </w:r>
          </w:p>
        </w:tc>
      </w:tr>
      <w:tr>
        <w:trPr>
          <w:trHeight w:val="20"/>
        </w:trPr>
        <w:tc>
          <w:tcPr>
            <w:tcW w:w="7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11"/>
        </w:trPr>
        <w:tc>
          <w:tcPr>
            <w:tcW w:w="7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73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Total assets by segment:</w:t>
            </w:r>
          </w:p>
        </w:tc>
        <w:tc>
          <w:tcPr>
            <w:tcW w:w="1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r>
      <w:tr>
        <w:trPr>
          <w:trHeight w:val="243"/>
        </w:trPr>
        <w:tc>
          <w:tcPr>
            <w:tcW w:w="7320" w:type="dxa"/>
            <w:vAlign w:val="bottom"/>
          </w:tcPr>
          <w:p>
            <w:pPr>
              <w:ind w:left="180"/>
              <w:spacing w:after="0"/>
              <w:rPr>
                <w:sz w:val="20"/>
                <w:szCs w:val="20"/>
                <w:color w:val="auto"/>
              </w:rPr>
            </w:pPr>
            <w:r>
              <w:rPr>
                <w:rFonts w:ascii="Arial" w:cs="Arial" w:eastAsia="Arial" w:hAnsi="Arial"/>
                <w:sz w:val="18"/>
                <w:szCs w:val="18"/>
                <w:color w:val="auto"/>
              </w:rPr>
              <w:t>Servicing</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3,630,920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4,089,064</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7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3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Lending</w:t>
            </w:r>
          </w:p>
        </w:tc>
        <w:tc>
          <w:tcPr>
            <w:tcW w:w="1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3,424,801</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2,811,154</w:t>
            </w:r>
          </w:p>
        </w:tc>
        <w:tc>
          <w:tcPr>
            <w:tcW w:w="126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22</w:t>
            </w:r>
          </w:p>
        </w:tc>
      </w:tr>
      <w:tr>
        <w:trPr>
          <w:trHeight w:val="243"/>
        </w:trPr>
        <w:tc>
          <w:tcPr>
            <w:tcW w:w="7320" w:type="dxa"/>
            <w:vAlign w:val="bottom"/>
          </w:tcPr>
          <w:p>
            <w:pPr>
              <w:ind w:left="180"/>
              <w:spacing w:after="0"/>
              <w:rPr>
                <w:sz w:val="20"/>
                <w:szCs w:val="20"/>
                <w:color w:val="auto"/>
              </w:rPr>
            </w:pPr>
            <w:r>
              <w:rPr>
                <w:rFonts w:ascii="Arial" w:cs="Arial" w:eastAsia="Arial" w:hAnsi="Arial"/>
                <w:sz w:val="18"/>
                <w:szCs w:val="18"/>
                <w:color w:val="auto"/>
              </w:rPr>
              <w:t>Corporate Items and Other</w:t>
            </w:r>
          </w:p>
        </w:tc>
        <w:tc>
          <w:tcPr>
            <w:tcW w:w="1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432,531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480,090</w:t>
            </w:r>
          </w:p>
        </w:tc>
        <w:tc>
          <w:tcPr>
            <w:tcW w:w="1260" w:type="dxa"/>
            <w:vAlign w:val="bottom"/>
            <w:gridSpan w:val="2"/>
          </w:tcPr>
          <w:p>
            <w:pPr>
              <w:jc w:val="right"/>
              <w:ind w:right="90"/>
              <w:spacing w:after="0"/>
              <w:rPr>
                <w:sz w:val="20"/>
                <w:szCs w:val="20"/>
                <w:color w:val="auto"/>
              </w:rPr>
            </w:pPr>
            <w:r>
              <w:rPr>
                <w:rFonts w:ascii="Arial" w:cs="Arial" w:eastAsia="Arial" w:hAnsi="Arial"/>
                <w:sz w:val="18"/>
                <w:szCs w:val="18"/>
                <w:color w:val="auto"/>
              </w:rPr>
              <w:t>(10)</w:t>
            </w:r>
          </w:p>
        </w:tc>
      </w:tr>
      <w:tr>
        <w:trPr>
          <w:trHeight w:val="27"/>
        </w:trPr>
        <w:tc>
          <w:tcPr>
            <w:tcW w:w="73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r>
      <w:tr>
        <w:trPr>
          <w:trHeight w:val="257"/>
        </w:trPr>
        <w:tc>
          <w:tcPr>
            <w:tcW w:w="73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7,488,252</w:t>
            </w:r>
          </w:p>
        </w:tc>
        <w:tc>
          <w:tcPr>
            <w:tcW w:w="1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7,380,308</w:t>
            </w:r>
          </w:p>
        </w:tc>
        <w:tc>
          <w:tcPr>
            <w:tcW w:w="126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1 %</w:t>
            </w:r>
          </w:p>
        </w:tc>
      </w:tr>
      <w:tr>
        <w:trPr>
          <w:trHeight w:val="20"/>
        </w:trPr>
        <w:tc>
          <w:tcPr>
            <w:tcW w:w="7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11"/>
        </w:trPr>
        <w:tc>
          <w:tcPr>
            <w:tcW w:w="7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73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Match funded liabilities</w:t>
            </w: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1,431,381</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1,584,049</w:t>
            </w:r>
          </w:p>
        </w:tc>
        <w:tc>
          <w:tcPr>
            <w:tcW w:w="126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Financing liabilities</w:t>
            </w:r>
          </w:p>
        </w:tc>
        <w:tc>
          <w:tcPr>
            <w:tcW w:w="1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3,568,017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3,089,255</w:t>
            </w:r>
          </w:p>
        </w:tc>
        <w:tc>
          <w:tcPr>
            <w:tcW w:w="1260" w:type="dxa"/>
            <w:vAlign w:val="bottom"/>
            <w:gridSpan w:val="2"/>
          </w:tcPr>
          <w:p>
            <w:pPr>
              <w:jc w:val="right"/>
              <w:ind w:right="150"/>
              <w:spacing w:after="0"/>
              <w:rPr>
                <w:sz w:val="20"/>
                <w:szCs w:val="20"/>
                <w:color w:val="auto"/>
              </w:rPr>
            </w:pPr>
            <w:r>
              <w:rPr>
                <w:rFonts w:ascii="Arial" w:cs="Arial" w:eastAsia="Arial" w:hAnsi="Arial"/>
                <w:sz w:val="18"/>
                <w:szCs w:val="18"/>
                <w:color w:val="auto"/>
              </w:rPr>
              <w:t>15</w:t>
            </w:r>
          </w:p>
        </w:tc>
      </w:tr>
      <w:tr>
        <w:trPr>
          <w:trHeight w:val="27"/>
        </w:trPr>
        <w:tc>
          <w:tcPr>
            <w:tcW w:w="7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3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Other secured borrowings</w:t>
            </w:r>
          </w:p>
        </w:tc>
        <w:tc>
          <w:tcPr>
            <w:tcW w:w="1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737,512</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762,411</w:t>
            </w:r>
          </w:p>
        </w:tc>
        <w:tc>
          <w:tcPr>
            <w:tcW w:w="12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(3)</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Senior unsecured notes</w:t>
            </w:r>
          </w:p>
        </w:tc>
        <w:tc>
          <w:tcPr>
            <w:tcW w:w="1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346,179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345,511</w:t>
            </w:r>
          </w:p>
        </w:tc>
        <w:tc>
          <w:tcPr>
            <w:tcW w:w="120" w:type="dxa"/>
            <w:vAlign w:val="bottom"/>
          </w:tcPr>
          <w:p>
            <w:pPr>
              <w:spacing w:after="0"/>
              <w:rPr>
                <w:sz w:val="21"/>
                <w:szCs w:val="21"/>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7"/>
        </w:trPr>
        <w:tc>
          <w:tcPr>
            <w:tcW w:w="7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73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Other liabilities</w:t>
            </w:r>
          </w:p>
        </w:tc>
        <w:tc>
          <w:tcPr>
            <w:tcW w:w="14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752,011</w:t>
            </w:r>
          </w:p>
        </w:tc>
        <w:tc>
          <w:tcPr>
            <w:tcW w:w="10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744,444</w:t>
            </w:r>
          </w:p>
        </w:tc>
        <w:tc>
          <w:tcPr>
            <w:tcW w:w="126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1</w:t>
            </w:r>
          </w:p>
        </w:tc>
      </w:tr>
      <w:tr>
        <w:trPr>
          <w:trHeight w:val="297"/>
        </w:trPr>
        <w:tc>
          <w:tcPr>
            <w:tcW w:w="7320" w:type="dxa"/>
            <w:vAlign w:val="bottom"/>
            <w:tcBorders>
              <w:bottom w:val="single" w:sz="8" w:color="EAF9E8"/>
            </w:tcBorders>
          </w:tcPr>
          <w:p>
            <w:pPr>
              <w:ind w:left="180"/>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auto"/>
              <w:bottom w:val="single" w:sz="8" w:color="auto"/>
            </w:tcBorders>
          </w:tcPr>
          <w:p>
            <w:pPr>
              <w:spacing w:after="0"/>
              <w:rPr>
                <w:sz w:val="24"/>
                <w:szCs w:val="24"/>
                <w:color w:val="auto"/>
              </w:rPr>
            </w:pP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6,835,100</w:t>
            </w:r>
          </w:p>
        </w:tc>
        <w:tc>
          <w:tcPr>
            <w:tcW w:w="100" w:type="dxa"/>
            <w:vAlign w:val="bottom"/>
            <w:tcBorders>
              <w:bottom w:val="single" w:sz="8" w:color="EAF9E8"/>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6,525,670</w:t>
            </w:r>
          </w:p>
        </w:tc>
        <w:tc>
          <w:tcPr>
            <w:tcW w:w="1260" w:type="dxa"/>
            <w:vAlign w:val="bottom"/>
            <w:tcBorders>
              <w:bottom w:val="single" w:sz="8" w:color="EAF9E8"/>
            </w:tcBorders>
            <w:gridSpan w:val="2"/>
          </w:tcPr>
          <w:p>
            <w:pPr>
              <w:jc w:val="right"/>
              <w:spacing w:after="0"/>
              <w:rPr>
                <w:sz w:val="20"/>
                <w:szCs w:val="20"/>
                <w:color w:val="auto"/>
              </w:rPr>
            </w:pPr>
            <w:r>
              <w:rPr>
                <w:rFonts w:ascii="Arial" w:cs="Arial" w:eastAsia="Arial" w:hAnsi="Arial"/>
                <w:sz w:val="18"/>
                <w:szCs w:val="18"/>
                <w:color w:val="auto"/>
              </w:rPr>
              <w:t>5 %</w:t>
            </w:r>
          </w:p>
        </w:tc>
      </w:tr>
      <w:tr>
        <w:trPr>
          <w:trHeight w:val="311"/>
        </w:trPr>
        <w:tc>
          <w:tcPr>
            <w:tcW w:w="73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12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12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40" w:type="dxa"/>
            <w:vAlign w:val="bottom"/>
            <w:shd w:val="clear" w:color="auto" w:fill="EAF9E8"/>
          </w:tcPr>
          <w:p>
            <w:pPr>
              <w:spacing w:after="0"/>
              <w:rPr>
                <w:sz w:val="24"/>
                <w:szCs w:val="24"/>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Total liabilities by segment:</w:t>
            </w: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7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3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Servicing</w:t>
            </w: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2,975,473</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3,417,727</w:t>
            </w:r>
          </w:p>
        </w:tc>
        <w:tc>
          <w:tcPr>
            <w:tcW w:w="126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7320" w:type="dxa"/>
            <w:vAlign w:val="bottom"/>
          </w:tcPr>
          <w:p>
            <w:pPr>
              <w:ind w:left="180"/>
              <w:spacing w:after="0"/>
              <w:rPr>
                <w:sz w:val="20"/>
                <w:szCs w:val="20"/>
                <w:color w:val="auto"/>
              </w:rPr>
            </w:pPr>
            <w:r>
              <w:rPr>
                <w:rFonts w:ascii="Arial" w:cs="Arial" w:eastAsia="Arial" w:hAnsi="Arial"/>
                <w:sz w:val="18"/>
                <w:szCs w:val="18"/>
                <w:color w:val="auto"/>
              </w:rPr>
              <w:t>Lending</w:t>
            </w:r>
          </w:p>
        </w:tc>
        <w:tc>
          <w:tcPr>
            <w:tcW w:w="1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3,319,108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2,751,667</w:t>
            </w:r>
          </w:p>
        </w:tc>
        <w:tc>
          <w:tcPr>
            <w:tcW w:w="1260" w:type="dxa"/>
            <w:vAlign w:val="bottom"/>
            <w:gridSpan w:val="2"/>
          </w:tcPr>
          <w:p>
            <w:pPr>
              <w:jc w:val="right"/>
              <w:ind w:right="150"/>
              <w:spacing w:after="0"/>
              <w:rPr>
                <w:sz w:val="20"/>
                <w:szCs w:val="20"/>
                <w:color w:val="auto"/>
              </w:rPr>
            </w:pPr>
            <w:r>
              <w:rPr>
                <w:rFonts w:ascii="Arial" w:cs="Arial" w:eastAsia="Arial" w:hAnsi="Arial"/>
                <w:sz w:val="18"/>
                <w:szCs w:val="18"/>
                <w:color w:val="auto"/>
              </w:rPr>
              <w:t>21</w:t>
            </w:r>
          </w:p>
        </w:tc>
      </w:tr>
      <w:tr>
        <w:trPr>
          <w:trHeight w:val="27"/>
        </w:trPr>
        <w:tc>
          <w:tcPr>
            <w:tcW w:w="7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73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Corporate Items and Other</w:t>
            </w:r>
          </w:p>
        </w:tc>
        <w:tc>
          <w:tcPr>
            <w:tcW w:w="14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540,519</w:t>
            </w:r>
          </w:p>
        </w:tc>
        <w:tc>
          <w:tcPr>
            <w:tcW w:w="10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356,276</w:t>
            </w:r>
          </w:p>
        </w:tc>
        <w:tc>
          <w:tcPr>
            <w:tcW w:w="126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52</w:t>
            </w:r>
          </w:p>
        </w:tc>
      </w:tr>
      <w:tr>
        <w:trPr>
          <w:trHeight w:val="297"/>
        </w:trPr>
        <w:tc>
          <w:tcPr>
            <w:tcW w:w="7320" w:type="dxa"/>
            <w:vAlign w:val="bottom"/>
            <w:tcBorders>
              <w:bottom w:val="single" w:sz="8" w:color="EAF9E8"/>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6,835,100</w:t>
            </w:r>
          </w:p>
        </w:tc>
        <w:tc>
          <w:tcPr>
            <w:tcW w:w="100" w:type="dxa"/>
            <w:vAlign w:val="bottom"/>
            <w:tcBorders>
              <w:bottom w:val="single" w:sz="8" w:color="EAF9E8"/>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6,525,670</w:t>
            </w:r>
          </w:p>
        </w:tc>
        <w:tc>
          <w:tcPr>
            <w:tcW w:w="1260" w:type="dxa"/>
            <w:vAlign w:val="bottom"/>
            <w:tcBorders>
              <w:bottom w:val="single" w:sz="8" w:color="EAF9E8"/>
            </w:tcBorders>
            <w:gridSpan w:val="2"/>
          </w:tcPr>
          <w:p>
            <w:pPr>
              <w:jc w:val="right"/>
              <w:spacing w:after="0"/>
              <w:rPr>
                <w:sz w:val="20"/>
                <w:szCs w:val="20"/>
                <w:color w:val="auto"/>
              </w:rPr>
            </w:pPr>
            <w:r>
              <w:rPr>
                <w:rFonts w:ascii="Arial" w:cs="Arial" w:eastAsia="Arial" w:hAnsi="Arial"/>
                <w:sz w:val="18"/>
                <w:szCs w:val="18"/>
                <w:color w:val="auto"/>
              </w:rPr>
              <w:t>5 %</w:t>
            </w:r>
          </w:p>
        </w:tc>
      </w:tr>
      <w:tr>
        <w:trPr>
          <w:trHeight w:val="311"/>
        </w:trPr>
        <w:tc>
          <w:tcPr>
            <w:tcW w:w="73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12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12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40" w:type="dxa"/>
            <w:vAlign w:val="bottom"/>
            <w:shd w:val="clear" w:color="auto" w:fill="EAF9E8"/>
          </w:tcPr>
          <w:p>
            <w:pPr>
              <w:spacing w:after="0"/>
              <w:rPr>
                <w:sz w:val="24"/>
                <w:szCs w:val="24"/>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Total equity</w:t>
            </w:r>
          </w:p>
        </w:tc>
        <w:tc>
          <w:tcPr>
            <w:tcW w:w="1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653,152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854,638</w:t>
            </w:r>
          </w:p>
        </w:tc>
        <w:tc>
          <w:tcPr>
            <w:tcW w:w="1260" w:type="dxa"/>
            <w:vAlign w:val="bottom"/>
            <w:gridSpan w:val="2"/>
          </w:tcPr>
          <w:p>
            <w:pPr>
              <w:jc w:val="right"/>
              <w:ind w:right="90"/>
              <w:spacing w:after="0"/>
              <w:rPr>
                <w:sz w:val="20"/>
                <w:szCs w:val="20"/>
                <w:color w:val="auto"/>
              </w:rPr>
            </w:pPr>
            <w:r>
              <w:rPr>
                <w:rFonts w:ascii="Arial" w:cs="Arial" w:eastAsia="Arial" w:hAnsi="Arial"/>
                <w:sz w:val="18"/>
                <w:szCs w:val="18"/>
                <w:color w:val="auto"/>
              </w:rPr>
              <w:t>(24)</w:t>
            </w:r>
          </w:p>
        </w:tc>
      </w:tr>
    </w:tbl>
    <w:p>
      <w:pPr>
        <w:spacing w:after="0" w:line="121" w:lineRule="exact"/>
        <w:rPr>
          <w:sz w:val="20"/>
          <w:szCs w:val="20"/>
          <w:color w:val="auto"/>
        </w:rPr>
      </w:pPr>
    </w:p>
    <w:p>
      <w:pPr>
        <w:ind w:right="40" w:firstLine="324"/>
        <w:spacing w:after="0" w:line="302" w:lineRule="auto"/>
        <w:rPr>
          <w:sz w:val="20"/>
          <w:szCs w:val="20"/>
          <w:color w:val="auto"/>
        </w:rPr>
      </w:pPr>
      <w:r>
        <w:rPr>
          <w:rFonts w:ascii="Arial" w:cs="Arial" w:eastAsia="Arial" w:hAnsi="Arial"/>
          <w:sz w:val="16"/>
          <w:szCs w:val="16"/>
          <w:color w:val="auto"/>
        </w:rPr>
        <w:t>Changes in the composition and balance of our assets and liabilities during the six months ended June 30, 2016 are principally attributable to Loans held for investment and Financing liabilities which increased as a result of our reverse mortgage securitizations accounted for as secured financings. Match funded liabilities declined consistent with lower advances and match funded advances on a declining servicing portfolio. Total equity declined as a result of the net loss we incurred for the six months ended June 30, 2016 and our repurchase of 991,985 shares of Ocwen’s common stock during the first quarter.</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OF OPERATIONS</w:t>
      </w:r>
    </w:p>
    <w:p>
      <w:pPr>
        <w:spacing w:after="0" w:line="121"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Our activities are organized into two reportable business segments that reflect our primary lines of business - Servicing, Lending, and a Corporate Items and Other segment.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692"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Servicing</w:t>
      </w:r>
    </w:p>
    <w:p>
      <w:pPr>
        <w:spacing w:after="0" w:line="121" w:lineRule="exact"/>
        <w:rPr>
          <w:sz w:val="20"/>
          <w:szCs w:val="20"/>
          <w:color w:val="auto"/>
        </w:rPr>
      </w:pPr>
    </w:p>
    <w:p>
      <w:pPr>
        <w:jc w:val="both"/>
        <w:ind w:right="260" w:firstLine="324"/>
        <w:spacing w:after="0" w:line="264" w:lineRule="auto"/>
        <w:rPr>
          <w:sz w:val="20"/>
          <w:szCs w:val="20"/>
          <w:color w:val="auto"/>
        </w:rPr>
      </w:pPr>
      <w:r>
        <w:rPr>
          <w:rFonts w:ascii="Arial" w:cs="Arial" w:eastAsia="Arial" w:hAnsi="Arial"/>
          <w:sz w:val="18"/>
          <w:szCs w:val="18"/>
          <w:color w:val="auto"/>
        </w:rPr>
        <w:t>Our Servicing business is primarily comprised of our core residential mortgage servicing business and currently accounts for the majority of our total revenues. Our servicing clients include some of the largest financial institutions in the U.S., including Fannie Mae, Freddie Mac and Ginnie Mae, and non-Agency residential mortgage-backed securities (RMBS) trusts.</w:t>
      </w:r>
    </w:p>
    <w:p>
      <w:pPr>
        <w:spacing w:after="0" w:line="181" w:lineRule="exact"/>
        <w:rPr>
          <w:sz w:val="20"/>
          <w:szCs w:val="20"/>
          <w:color w:val="auto"/>
        </w:rPr>
      </w:pPr>
    </w:p>
    <w:p>
      <w:pPr>
        <w:ind w:right="120" w:firstLine="324"/>
        <w:spacing w:after="0" w:line="272" w:lineRule="auto"/>
        <w:rPr>
          <w:sz w:val="20"/>
          <w:szCs w:val="20"/>
          <w:color w:val="auto"/>
        </w:rPr>
      </w:pPr>
      <w:r>
        <w:rPr>
          <w:rFonts w:ascii="Arial" w:cs="Arial" w:eastAsia="Arial" w:hAnsi="Arial"/>
          <w:sz w:val="17"/>
          <w:szCs w:val="17"/>
          <w:color w:val="auto"/>
        </w:rPr>
        <w:t>Servicing involves the collection and remittance of principal and interest payments received from borrowers, the administration of mortgage escrow accounts, the collection of insurance claims, the management of loans that are delinquent or in foreclosure or bankruptcy, which includes making servicing advances, evaluating loans for modification and other loss mitigation activities and, if necessary, foreclosure referrals and the sale of the underlying property following foreclosure (real estate owned or REO) on behalf of investors or other servicers. Master servicing involves primary servicing oversight, the collection of payments from servicers and the distribution of funds to investors in mortgage and asset-backed securities (or to their respective trustee or administrator) and, in some cases, making servicing advances. We earn contractual monthly servicing fees (which are typically calculated as a percentage of UPB) as well as other ancillary fees in connection with our servicing activities.</w:t>
      </w:r>
    </w:p>
    <w:p>
      <w:pPr>
        <w:spacing w:after="0" w:line="178"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We also earn fees under both subservicing and special servicing arrangements with banks and other institutions that own the MSRs. The owners of MSRs may choose to hire Ocwen as a subservicer or special servicer instead of servicing the MSRs themselves for a variety of reasons, including not having a servicing platform or not having the necessary capacity or expertise to service some or all of their MSRs. In a subservicing context, where Ocwen does not own the MSRs, we may be engaged to perform all of the servicing functions previously described or it could be a limited engagement (e.g., subservicing only non-performing mortgage loans). As a subservicer, we may be obligated to make servicing advances, though most subservicing agreements provide for more rapid reimbursement of any advances from the owner of the servicing rights than if we were the servicer. Special servicing engagements typically involve portfolios of delinquent or defaulted mortgage loans, which require more specialized work than better-performing mortgage loans and may involve one or more loss mitigation strategies or taking properties through the foreclosure process. We typically earn subservicing and special servicing fees either as a percentage of UPB or on a per loan basis.</w:t>
      </w:r>
    </w:p>
    <w:p>
      <w:pPr>
        <w:spacing w:after="0" w:line="182"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Servicing advances are amounts that we, as servicer, are required to advance to or on behalf of our servicing clients if we do not receive such amounts from borrowers. These amounts include principal and interest payments, property taxes and insurance premiums and amounts to maintain, repair and market real estate properties on behalf of our servicing clients. Most of our advances have the highest reimbursement priority and are “top of the waterfall” so that we are entitled to repayment from respective loan or REO liquidation proceeds before most other claims on these proceeds, and in the majority of cases, advances in excess of respective loan or REO liquidation proceeds may be recovered from pool level proceeds. The costs incurred in meeting these obligations consist principally of the interest expense incurred in financing the servicing advances and the costs of arranging such financing.</w:t>
      </w:r>
    </w:p>
    <w:p>
      <w:pPr>
        <w:spacing w:after="0" w:line="165"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Reducing delinquencies is important to our business because it enables us to recover advances and recognize additional ancillary income, such as late fees, which we do not recognize on delinquent loans until they are brought current. Performing loans also require less work and are thus generally less costly to service. While increasing borrower participation in loan modification programs is a critical component of our ability to reduce delinquencies, assisting those borrowers in remaining current is also an important factor.</w:t>
      </w:r>
    </w:p>
    <w:p>
      <w:pPr>
        <w:spacing w:after="0" w:line="187"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We recognize servicing fees as revenue when the fees are earned, which is generally when the borrower makes a payment or when a delinquent loan is resolved through modification, repayment plan, payoff or, if there are no allowable solutions that would permit the borrower to stay in their home, through the sale of the underlying mortgaged property following foreclosure. Therefore, our revenue recognition is generally a function of UPB, the number of payments received and delinquent or defaulted loans that resolve.</w:t>
      </w:r>
    </w:p>
    <w:p>
      <w:pPr>
        <w:spacing w:after="0" w:line="187"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Similar to other servicers, we are the subject of mortgage servicer ratings or rankings (collectively, ratings) issued and revised from time to time by rating agencies including Moody’s Investors Services, Inc. (Moody’s), Morningstar, Inc. (Morningstar), Standard &amp; Poor’s Rating Services (S&amp;P) and Fitch Ratings Inc. (Fitch). Favorable ratings from these agencies are important to the conduct of our loan servicing and lending businesses.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688" w:right="239" w:bottom="1440" w:gutter="0" w:footer="0" w:header="0"/>
        </w:sectPr>
      </w:pPr>
    </w:p>
    <w:bookmarkStart w:id="58" w:name="page59"/>
    <w:bookmarkEnd w:id="58"/>
    <w:p>
      <w:pPr>
        <w:ind w:left="340"/>
        <w:spacing w:after="0"/>
        <w:rPr>
          <w:sz w:val="20"/>
          <w:szCs w:val="20"/>
          <w:color w:val="auto"/>
        </w:rPr>
      </w:pPr>
      <w:r>
        <w:rPr>
          <w:rFonts w:ascii="Arial" w:cs="Arial" w:eastAsia="Arial" w:hAnsi="Arial"/>
          <w:sz w:val="18"/>
          <w:szCs w:val="18"/>
          <w:color w:val="auto"/>
        </w:rPr>
        <w:t>The following table summarizes our key ratings by these rating agencies: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Moody’s</w:t>
            </w:r>
          </w:p>
        </w:tc>
        <w:tc>
          <w:tcPr>
            <w:tcW w:w="18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4"/>
              </w:rPr>
              <w:t>Morningstar</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7"/>
              </w:rPr>
              <w:t>S&amp;P</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2"/>
              </w:rPr>
              <w:t>Fitch</w:t>
            </w:r>
          </w:p>
        </w:tc>
      </w:tr>
      <w:tr>
        <w:trPr>
          <w:trHeight w:val="27"/>
        </w:trPr>
        <w:tc>
          <w:tcPr>
            <w:tcW w:w="4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Residential Prime Servicer</w:t>
            </w:r>
          </w:p>
        </w:tc>
        <w:tc>
          <w:tcPr>
            <w:tcW w:w="184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0"/>
              </w:rPr>
              <w:t>SQ3-</w:t>
            </w:r>
          </w:p>
        </w:tc>
        <w:tc>
          <w:tcPr>
            <w:tcW w:w="182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2"/>
              </w:rPr>
              <w:t>MOR RS3</w:t>
            </w:r>
          </w:p>
        </w:tc>
        <w:tc>
          <w:tcPr>
            <w:tcW w:w="182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2"/>
              </w:rPr>
              <w:t>Below Average</w:t>
            </w:r>
          </w:p>
        </w:tc>
        <w:tc>
          <w:tcPr>
            <w:tcW w:w="17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86"/>
              </w:rPr>
              <w:t>RPS3-</w:t>
            </w: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Residential Subprime Servicer</w:t>
            </w:r>
          </w:p>
        </w:tc>
        <w:tc>
          <w:tcPr>
            <w:tcW w:w="18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SQ3-</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MOR RS3</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Below Average</w:t>
            </w:r>
          </w:p>
        </w:tc>
        <w:tc>
          <w:tcPr>
            <w:tcW w:w="1700" w:type="dxa"/>
            <w:vAlign w:val="bottom"/>
          </w:tcPr>
          <w:p>
            <w:pPr>
              <w:jc w:val="center"/>
              <w:spacing w:after="0"/>
              <w:rPr>
                <w:sz w:val="20"/>
                <w:szCs w:val="20"/>
                <w:color w:val="auto"/>
              </w:rPr>
            </w:pPr>
            <w:r>
              <w:rPr>
                <w:rFonts w:ascii="Arial" w:cs="Arial" w:eastAsia="Arial" w:hAnsi="Arial"/>
                <w:sz w:val="18"/>
                <w:szCs w:val="18"/>
                <w:color w:val="auto"/>
                <w:w w:val="86"/>
              </w:rPr>
              <w:t>RPS3-</w:t>
            </w: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24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Residential Special Servicer</w:t>
            </w:r>
          </w:p>
        </w:tc>
        <w:tc>
          <w:tcPr>
            <w:tcW w:w="184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0"/>
              </w:rPr>
              <w:t>SQ3-</w:t>
            </w:r>
          </w:p>
        </w:tc>
        <w:tc>
          <w:tcPr>
            <w:tcW w:w="182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2"/>
              </w:rPr>
              <w:t>MOR RS3</w:t>
            </w:r>
          </w:p>
        </w:tc>
        <w:tc>
          <w:tcPr>
            <w:tcW w:w="182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2"/>
              </w:rPr>
              <w:t>Below Average</w:t>
            </w:r>
          </w:p>
        </w:tc>
        <w:tc>
          <w:tcPr>
            <w:tcW w:w="17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86"/>
              </w:rPr>
              <w:t>RSS3-</w:t>
            </w: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Residential Second/Subordinate Lien Servicer</w:t>
            </w:r>
          </w:p>
        </w:tc>
        <w:tc>
          <w:tcPr>
            <w:tcW w:w="18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SQ3-</w:t>
            </w:r>
          </w:p>
        </w:tc>
        <w:tc>
          <w:tcPr>
            <w:tcW w:w="18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Below Average</w:t>
            </w:r>
          </w:p>
        </w:tc>
        <w:tc>
          <w:tcPr>
            <w:tcW w:w="1700" w:type="dxa"/>
            <w:vAlign w:val="bottom"/>
          </w:tcPr>
          <w:p>
            <w:pPr>
              <w:jc w:val="center"/>
              <w:spacing w:after="0"/>
              <w:rPr>
                <w:sz w:val="20"/>
                <w:szCs w:val="20"/>
                <w:color w:val="auto"/>
              </w:rPr>
            </w:pPr>
            <w:r>
              <w:rPr>
                <w:rFonts w:ascii="Arial" w:cs="Arial" w:eastAsia="Arial" w:hAnsi="Arial"/>
                <w:sz w:val="18"/>
                <w:szCs w:val="18"/>
                <w:color w:val="auto"/>
                <w:w w:val="86"/>
              </w:rPr>
              <w:t>RPS3-</w:t>
            </w: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24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Residential Home Equity Servicer</w:t>
            </w:r>
          </w:p>
        </w:tc>
        <w:tc>
          <w:tcPr>
            <w:tcW w:w="184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EAF9E8"/>
            </w:tcBorders>
            <w:gridSpan w:val="2"/>
            <w:shd w:val="clear" w:color="auto" w:fill="EAF9E8"/>
          </w:tcPr>
          <w:p>
            <w:pPr>
              <w:jc w:val="center"/>
              <w:ind w:right="8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86"/>
              </w:rPr>
              <w:t>RPS3-</w:t>
            </w: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Residential Alt A Servicer</w:t>
            </w:r>
          </w:p>
        </w:tc>
        <w:tc>
          <w:tcPr>
            <w:tcW w:w="18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8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center"/>
              <w:spacing w:after="0"/>
              <w:rPr>
                <w:sz w:val="20"/>
                <w:szCs w:val="20"/>
                <w:color w:val="auto"/>
              </w:rPr>
            </w:pPr>
            <w:r>
              <w:rPr>
                <w:rFonts w:ascii="Arial" w:cs="Arial" w:eastAsia="Arial" w:hAnsi="Arial"/>
                <w:sz w:val="18"/>
                <w:szCs w:val="18"/>
                <w:color w:val="auto"/>
                <w:w w:val="86"/>
              </w:rPr>
              <w:t>RPS3-</w:t>
            </w: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24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Master Servicing</w:t>
            </w:r>
          </w:p>
        </w:tc>
        <w:tc>
          <w:tcPr>
            <w:tcW w:w="184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88"/>
              </w:rPr>
              <w:t>SQ3</w:t>
            </w:r>
          </w:p>
        </w:tc>
        <w:tc>
          <w:tcPr>
            <w:tcW w:w="1820" w:type="dxa"/>
            <w:vAlign w:val="bottom"/>
            <w:tcBorders>
              <w:bottom w:val="single" w:sz="8" w:color="EAF9E8"/>
            </w:tcBorders>
            <w:gridSpan w:val="2"/>
            <w:shd w:val="clear" w:color="auto" w:fill="EAF9E8"/>
          </w:tcPr>
          <w:p>
            <w:pPr>
              <w:jc w:val="center"/>
              <w:ind w:right="8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2"/>
              </w:rPr>
              <w:t>Below Average</w:t>
            </w:r>
          </w:p>
        </w:tc>
        <w:tc>
          <w:tcPr>
            <w:tcW w:w="17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6"/>
              </w:rPr>
              <w:t>RMS3-</w:t>
            </w: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Ratings Outlook</w:t>
            </w:r>
          </w:p>
        </w:tc>
        <w:tc>
          <w:tcPr>
            <w:tcW w:w="18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N/A</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Negative</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Stable</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Stable</w:t>
            </w: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324"/>
        </w:trPr>
        <w:tc>
          <w:tcPr>
            <w:tcW w:w="41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7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7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7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700" w:type="dxa"/>
            <w:vAlign w:val="bottom"/>
            <w:shd w:val="clear" w:color="auto" w:fill="EAF9E8"/>
          </w:tcPr>
          <w:p>
            <w:pPr>
              <w:spacing w:after="0"/>
              <w:rPr>
                <w:sz w:val="24"/>
                <w:szCs w:val="24"/>
                <w:color w:val="auto"/>
              </w:rPr>
            </w:pP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Date of last action</w:t>
            </w:r>
          </w:p>
        </w:tc>
        <w:tc>
          <w:tcPr>
            <w:tcW w:w="18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September 8, 2015</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February 6, 2015</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September 29, 2015</w:t>
            </w: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February 9, 2016</w:t>
            </w:r>
          </w:p>
        </w:tc>
      </w:tr>
    </w:tbl>
    <w:p>
      <w:pPr>
        <w:spacing w:after="0" w:line="121"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In addition to servicer ratings, each of the rating agencies will from time to time assign an outlook (or a ratings watch such as Moody’s review status) to a mortgage servicer’s rating status. A negative outlook is generally used to indicate that a rating “may be lowered,” while a positive outlook is generally used to indicate a rating “may be raised.”</w:t>
      </w:r>
    </w:p>
    <w:p>
      <w:pPr>
        <w:spacing w:after="0" w:line="18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Failure to maintain minimum servicer ratings could adversely affect our ability to sell or fund servicing advances going forward, could affect the terms or availability of debt financing facilities that we may seek in the future, and could impair our ability to consummate future servicing transactions or adversely affect our dealings with lenders, other contractual counterparties, and regulators, including our ability to maintain our status as an approved servicer by Fannie Mae and Freddie Mac.</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692" w:right="239" w:bottom="1440" w:gutter="0" w:footer="0" w:header="0"/>
        </w:sectPr>
      </w:pPr>
    </w:p>
    <w:bookmarkStart w:id="59" w:name="page60"/>
    <w:bookmarkEnd w:id="59"/>
    <w:p>
      <w:pPr>
        <w:ind w:right="80" w:firstLine="324"/>
        <w:spacing w:after="0" w:line="277" w:lineRule="auto"/>
        <w:rPr>
          <w:sz w:val="20"/>
          <w:szCs w:val="20"/>
          <w:color w:val="auto"/>
        </w:rPr>
      </w:pPr>
      <w:r>
        <w:rPr>
          <w:rFonts w:ascii="Arial" w:cs="Arial" w:eastAsia="Arial" w:hAnsi="Arial"/>
          <w:sz w:val="18"/>
          <w:szCs w:val="18"/>
          <w:color w:val="auto"/>
        </w:rPr>
        <w:t>The following table presents selected results of operations of our Servicing segment for the periods ended June 30. The amounts presented are before the elimination of balances and transactions with our other segments: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540" w:type="dxa"/>
            <w:vAlign w:val="bottom"/>
            <w:gridSpan w:val="3"/>
          </w:tcPr>
          <w:p>
            <w:pPr>
              <w:jc w:val="right"/>
              <w:ind w:right="270"/>
              <w:spacing w:after="0"/>
              <w:rPr>
                <w:sz w:val="20"/>
                <w:szCs w:val="20"/>
                <w:color w:val="auto"/>
              </w:rPr>
            </w:pPr>
            <w:r>
              <w:rPr>
                <w:rFonts w:ascii="Arial" w:cs="Arial" w:eastAsia="Arial" w:hAnsi="Arial"/>
                <w:sz w:val="18"/>
                <w:szCs w:val="18"/>
                <w:b w:val="1"/>
                <w:bCs w:val="1"/>
                <w:color w:val="auto"/>
                <w:w w:val="98"/>
              </w:rPr>
              <w:t>Three Months</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w w:val="99"/>
              </w:rPr>
              <w:t>Six Months</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3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3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b w:val="1"/>
                <w:bCs w:val="1"/>
                <w:color w:val="auto"/>
              </w:rPr>
              <w:t>% Change</w:t>
            </w: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 Change</w:t>
            </w:r>
          </w:p>
        </w:tc>
      </w:tr>
      <w:tr>
        <w:trPr>
          <w:trHeight w:val="27"/>
        </w:trPr>
        <w:tc>
          <w:tcPr>
            <w:tcW w:w="32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32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Revenue</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r>
      <w:tr>
        <w:trPr>
          <w:trHeight w:val="243"/>
        </w:trPr>
        <w:tc>
          <w:tcPr>
            <w:tcW w:w="3200" w:type="dxa"/>
            <w:vAlign w:val="bottom"/>
          </w:tcPr>
          <w:p>
            <w:pPr>
              <w:ind w:left="180"/>
              <w:spacing w:after="0"/>
              <w:rPr>
                <w:sz w:val="20"/>
                <w:szCs w:val="20"/>
                <w:color w:val="auto"/>
              </w:rPr>
            </w:pPr>
            <w:r>
              <w:rPr>
                <w:rFonts w:ascii="Arial" w:cs="Arial" w:eastAsia="Arial" w:hAnsi="Arial"/>
                <w:sz w:val="18"/>
                <w:szCs w:val="18"/>
                <w:color w:val="auto"/>
              </w:rPr>
              <w:t>Servicing and subservicing fees: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3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2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Residential</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304,972</w:t>
            </w:r>
          </w:p>
        </w:tc>
        <w:tc>
          <w:tcPr>
            <w:tcW w:w="4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394,171</w:t>
            </w:r>
          </w:p>
        </w:tc>
        <w:tc>
          <w:tcPr>
            <w:tcW w:w="116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600,832</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838,074</w:t>
            </w:r>
          </w:p>
        </w:tc>
        <w:tc>
          <w:tcPr>
            <w:tcW w:w="114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(28)%</w:t>
            </w:r>
          </w:p>
        </w:tc>
      </w:tr>
      <w:tr>
        <w:trPr>
          <w:trHeight w:val="243"/>
        </w:trPr>
        <w:tc>
          <w:tcPr>
            <w:tcW w:w="3200" w:type="dxa"/>
            <w:vAlign w:val="bottom"/>
          </w:tcPr>
          <w:p>
            <w:pPr>
              <w:ind w:left="280"/>
              <w:spacing w:after="0"/>
              <w:rPr>
                <w:sz w:val="20"/>
                <w:szCs w:val="20"/>
                <w:color w:val="auto"/>
              </w:rPr>
            </w:pPr>
            <w:r>
              <w:rPr>
                <w:rFonts w:ascii="Arial" w:cs="Arial" w:eastAsia="Arial" w:hAnsi="Arial"/>
                <w:sz w:val="18"/>
                <w:szCs w:val="18"/>
                <w:color w:val="auto"/>
              </w:rPr>
              <w:t>Commercial</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2,427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2,751</w:t>
            </w: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4,208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5,322</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(21)</w:t>
            </w:r>
          </w:p>
        </w:tc>
      </w:tr>
      <w:tr>
        <w:trPr>
          <w:trHeight w:val="27"/>
        </w:trPr>
        <w:tc>
          <w:tcPr>
            <w:tcW w:w="32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r>
      <w:tr>
        <w:trPr>
          <w:trHeight w:val="244"/>
        </w:trPr>
        <w:tc>
          <w:tcPr>
            <w:tcW w:w="32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307,399</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396,922</w:t>
            </w:r>
          </w:p>
        </w:tc>
        <w:tc>
          <w:tcPr>
            <w:tcW w:w="11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605,040</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843,396</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(28)</w:t>
            </w:r>
          </w:p>
        </w:tc>
      </w:tr>
      <w:tr>
        <w:trPr>
          <w:trHeight w:val="243"/>
        </w:trPr>
        <w:tc>
          <w:tcPr>
            <w:tcW w:w="3200" w:type="dxa"/>
            <w:vAlign w:val="bottom"/>
          </w:tcPr>
          <w:p>
            <w:pPr>
              <w:ind w:left="280"/>
              <w:spacing w:after="0"/>
              <w:rPr>
                <w:sz w:val="20"/>
                <w:szCs w:val="20"/>
                <w:color w:val="auto"/>
              </w:rPr>
            </w:pPr>
            <w:r>
              <w:rPr>
                <w:rFonts w:ascii="Arial" w:cs="Arial" w:eastAsia="Arial" w:hAnsi="Arial"/>
                <w:sz w:val="18"/>
                <w:szCs w:val="18"/>
                <w:color w:val="auto"/>
              </w:rPr>
              <w:t>Gain on loans held for sale, net</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6,816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14,912</w:t>
            </w: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5,963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29,790</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(80)</w:t>
            </w:r>
          </w:p>
        </w:tc>
      </w:tr>
      <w:tr>
        <w:trPr>
          <w:trHeight w:val="27"/>
        </w:trPr>
        <w:tc>
          <w:tcPr>
            <w:tcW w:w="3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32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Other revenues</w:t>
            </w:r>
          </w:p>
        </w:tc>
        <w:tc>
          <w:tcPr>
            <w:tcW w:w="34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10,905</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11,373</w:t>
            </w:r>
          </w:p>
        </w:tc>
        <w:tc>
          <w:tcPr>
            <w:tcW w:w="11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21,544</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21,146</w:t>
            </w:r>
          </w:p>
        </w:tc>
        <w:tc>
          <w:tcPr>
            <w:tcW w:w="114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2</w:t>
            </w:r>
          </w:p>
        </w:tc>
      </w:tr>
      <w:tr>
        <w:trPr>
          <w:trHeight w:val="237"/>
        </w:trPr>
        <w:tc>
          <w:tcPr>
            <w:tcW w:w="3200" w:type="dxa"/>
            <w:vAlign w:val="bottom"/>
          </w:tcPr>
          <w:p>
            <w:pPr>
              <w:ind w:left="380"/>
              <w:spacing w:after="0"/>
              <w:rPr>
                <w:sz w:val="20"/>
                <w:szCs w:val="20"/>
                <w:color w:val="auto"/>
              </w:rPr>
            </w:pPr>
            <w:r>
              <w:rPr>
                <w:rFonts w:ascii="Arial" w:cs="Arial" w:eastAsia="Arial" w:hAnsi="Arial"/>
                <w:sz w:val="18"/>
                <w:szCs w:val="18"/>
                <w:color w:val="auto"/>
              </w:rPr>
              <w:t>Total revenue</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325,120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423,207</w:t>
            </w: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632,547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894,332</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(29)</w:t>
            </w:r>
          </w:p>
        </w:tc>
      </w:tr>
      <w:tr>
        <w:trPr>
          <w:trHeight w:val="27"/>
        </w:trPr>
        <w:tc>
          <w:tcPr>
            <w:tcW w:w="32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r>
      <w:tr>
        <w:trPr>
          <w:trHeight w:val="264"/>
        </w:trPr>
        <w:tc>
          <w:tcPr>
            <w:tcW w:w="3200" w:type="dxa"/>
            <w:vAlign w:val="bottom"/>
            <w:shd w:val="clear" w:color="auto" w:fill="EAF9E8"/>
          </w:tcPr>
          <w:p>
            <w:pPr>
              <w:spacing w:after="0"/>
              <w:rPr>
                <w:sz w:val="22"/>
                <w:szCs w:val="22"/>
                <w:color w:val="auto"/>
              </w:rPr>
            </w:pPr>
          </w:p>
        </w:tc>
        <w:tc>
          <w:tcPr>
            <w:tcW w:w="340" w:type="dxa"/>
            <w:vAlign w:val="bottom"/>
            <w:shd w:val="clear" w:color="auto" w:fill="EAF9E8"/>
          </w:tcPr>
          <w:p>
            <w:pPr>
              <w:spacing w:after="0"/>
              <w:rPr>
                <w:sz w:val="22"/>
                <w:szCs w:val="22"/>
                <w:color w:val="auto"/>
              </w:rPr>
            </w:pPr>
          </w:p>
        </w:tc>
        <w:tc>
          <w:tcPr>
            <w:tcW w:w="112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340" w:type="dxa"/>
            <w:vAlign w:val="bottom"/>
            <w:shd w:val="clear" w:color="auto" w:fill="EAF9E8"/>
          </w:tcPr>
          <w:p>
            <w:pPr>
              <w:spacing w:after="0"/>
              <w:rPr>
                <w:sz w:val="22"/>
                <w:szCs w:val="22"/>
                <w:color w:val="auto"/>
              </w:rPr>
            </w:pPr>
          </w:p>
        </w:tc>
        <w:tc>
          <w:tcPr>
            <w:tcW w:w="110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104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300" w:type="dxa"/>
            <w:vAlign w:val="bottom"/>
            <w:shd w:val="clear" w:color="auto" w:fill="EAF9E8"/>
          </w:tcPr>
          <w:p>
            <w:pPr>
              <w:spacing w:after="0"/>
              <w:rPr>
                <w:sz w:val="22"/>
                <w:szCs w:val="22"/>
                <w:color w:val="auto"/>
              </w:rPr>
            </w:pPr>
          </w:p>
        </w:tc>
        <w:tc>
          <w:tcPr>
            <w:tcW w:w="106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300" w:type="dxa"/>
            <w:vAlign w:val="bottom"/>
            <w:shd w:val="clear" w:color="auto" w:fill="EAF9E8"/>
          </w:tcPr>
          <w:p>
            <w:pPr>
              <w:spacing w:after="0"/>
              <w:rPr>
                <w:sz w:val="22"/>
                <w:szCs w:val="22"/>
                <w:color w:val="auto"/>
              </w:rPr>
            </w:pPr>
          </w:p>
        </w:tc>
        <w:tc>
          <w:tcPr>
            <w:tcW w:w="106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1040" w:type="dxa"/>
            <w:vAlign w:val="bottom"/>
            <w:shd w:val="clear" w:color="auto" w:fill="EAF9E8"/>
          </w:tcPr>
          <w:p>
            <w:pPr>
              <w:spacing w:after="0"/>
              <w:rPr>
                <w:sz w:val="22"/>
                <w:szCs w:val="22"/>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b w:val="1"/>
                <w:bCs w:val="1"/>
                <w:color w:val="auto"/>
              </w:rPr>
              <w:t>Expenses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3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2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Compensation and benefits</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45,580</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62,440</w:t>
            </w:r>
          </w:p>
        </w:tc>
        <w:tc>
          <w:tcPr>
            <w:tcW w:w="11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92,748</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123,966</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(25)</w:t>
            </w:r>
          </w:p>
        </w:tc>
      </w:tr>
      <w:tr>
        <w:trPr>
          <w:trHeight w:val="229"/>
        </w:trPr>
        <w:tc>
          <w:tcPr>
            <w:tcW w:w="3200" w:type="dxa"/>
            <w:vAlign w:val="bottom"/>
          </w:tcPr>
          <w:p>
            <w:pPr>
              <w:ind w:left="180"/>
              <w:spacing w:after="0"/>
              <w:rPr>
                <w:sz w:val="20"/>
                <w:szCs w:val="20"/>
                <w:color w:val="auto"/>
              </w:rPr>
            </w:pPr>
            <w:r>
              <w:rPr>
                <w:rFonts w:ascii="Arial" w:cs="Arial" w:eastAsia="Arial" w:hAnsi="Arial"/>
                <w:sz w:val="18"/>
                <w:szCs w:val="18"/>
                <w:color w:val="auto"/>
              </w:rPr>
              <w:t>Amortization of mortgage servicing</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3200" w:type="dxa"/>
            <w:vAlign w:val="bottom"/>
          </w:tcPr>
          <w:p>
            <w:pPr>
              <w:ind w:left="340"/>
              <w:spacing w:after="0"/>
              <w:rPr>
                <w:sz w:val="20"/>
                <w:szCs w:val="20"/>
                <w:color w:val="auto"/>
              </w:rPr>
            </w:pPr>
            <w:r>
              <w:rPr>
                <w:rFonts w:ascii="Arial" w:cs="Arial" w:eastAsia="Arial" w:hAnsi="Arial"/>
                <w:sz w:val="18"/>
                <w:szCs w:val="18"/>
                <w:color w:val="auto"/>
              </w:rPr>
              <w:t>rights</w:t>
            </w:r>
          </w:p>
        </w:tc>
        <w:tc>
          <w:tcPr>
            <w:tcW w:w="34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8,269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31,499</w:t>
            </w: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20,994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69,903</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(70)</w:t>
            </w:r>
          </w:p>
        </w:tc>
      </w:tr>
      <w:tr>
        <w:trPr>
          <w:trHeight w:val="27"/>
        </w:trPr>
        <w:tc>
          <w:tcPr>
            <w:tcW w:w="3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2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Servicing and origination</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78,905</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49,948</w:t>
            </w:r>
          </w:p>
        </w:tc>
        <w:tc>
          <w:tcPr>
            <w:tcW w:w="116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171,879</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149,516</w:t>
            </w:r>
          </w:p>
        </w:tc>
        <w:tc>
          <w:tcPr>
            <w:tcW w:w="114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15</w:t>
            </w:r>
          </w:p>
        </w:tc>
      </w:tr>
      <w:tr>
        <w:trPr>
          <w:trHeight w:val="243"/>
        </w:trPr>
        <w:tc>
          <w:tcPr>
            <w:tcW w:w="3200" w:type="dxa"/>
            <w:vAlign w:val="bottom"/>
          </w:tcPr>
          <w:p>
            <w:pPr>
              <w:ind w:left="180"/>
              <w:spacing w:after="0"/>
              <w:rPr>
                <w:sz w:val="20"/>
                <w:szCs w:val="20"/>
                <w:color w:val="auto"/>
              </w:rPr>
            </w:pPr>
            <w:r>
              <w:rPr>
                <w:rFonts w:ascii="Arial" w:cs="Arial" w:eastAsia="Arial" w:hAnsi="Arial"/>
                <w:sz w:val="18"/>
                <w:szCs w:val="18"/>
                <w:color w:val="auto"/>
              </w:rPr>
              <w:t>Technology and communications</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13,328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24,776</w:t>
            </w: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28,664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48,620</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(41)</w:t>
            </w:r>
          </w:p>
        </w:tc>
      </w:tr>
      <w:tr>
        <w:trPr>
          <w:trHeight w:val="27"/>
        </w:trPr>
        <w:tc>
          <w:tcPr>
            <w:tcW w:w="3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2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Professional services</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35,995</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33,068</w:t>
            </w:r>
          </w:p>
        </w:tc>
        <w:tc>
          <w:tcPr>
            <w:tcW w:w="116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69,387</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61,711</w:t>
            </w:r>
          </w:p>
        </w:tc>
        <w:tc>
          <w:tcPr>
            <w:tcW w:w="114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12</w:t>
            </w:r>
          </w:p>
        </w:tc>
      </w:tr>
      <w:tr>
        <w:trPr>
          <w:trHeight w:val="243"/>
        </w:trPr>
        <w:tc>
          <w:tcPr>
            <w:tcW w:w="3200" w:type="dxa"/>
            <w:vAlign w:val="bottom"/>
          </w:tcPr>
          <w:p>
            <w:pPr>
              <w:ind w:left="180"/>
              <w:spacing w:after="0"/>
              <w:rPr>
                <w:sz w:val="20"/>
                <w:szCs w:val="20"/>
                <w:color w:val="auto"/>
              </w:rPr>
            </w:pPr>
            <w:r>
              <w:rPr>
                <w:rFonts w:ascii="Arial" w:cs="Arial" w:eastAsia="Arial" w:hAnsi="Arial"/>
                <w:sz w:val="18"/>
                <w:szCs w:val="18"/>
                <w:color w:val="auto"/>
              </w:rPr>
              <w:t>Occupancy and equipment</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14,536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22,886</w:t>
            </w: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34,714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41,825</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(17)</w:t>
            </w:r>
          </w:p>
        </w:tc>
      </w:tr>
      <w:tr>
        <w:trPr>
          <w:trHeight w:val="27"/>
        </w:trPr>
        <w:tc>
          <w:tcPr>
            <w:tcW w:w="3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32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63,662</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59,796</w:t>
            </w:r>
          </w:p>
        </w:tc>
        <w:tc>
          <w:tcPr>
            <w:tcW w:w="116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118,785</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126,784</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(6)</w:t>
            </w:r>
          </w:p>
        </w:tc>
      </w:tr>
      <w:tr>
        <w:trPr>
          <w:trHeight w:val="237"/>
        </w:trPr>
        <w:tc>
          <w:tcPr>
            <w:tcW w:w="3200" w:type="dxa"/>
            <w:vAlign w:val="bottom"/>
          </w:tcPr>
          <w:p>
            <w:pPr>
              <w:ind w:left="280"/>
              <w:spacing w:after="0"/>
              <w:rPr>
                <w:sz w:val="20"/>
                <w:szCs w:val="20"/>
                <w:color w:val="auto"/>
              </w:rPr>
            </w:pPr>
            <w:r>
              <w:rPr>
                <w:rFonts w:ascii="Arial" w:cs="Arial" w:eastAsia="Arial" w:hAnsi="Arial"/>
                <w:sz w:val="18"/>
                <w:szCs w:val="18"/>
                <w:color w:val="auto"/>
              </w:rPr>
              <w:t>Total expenses</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260,275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284,413</w:t>
            </w: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537,171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622,325</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(14)</w:t>
            </w:r>
          </w:p>
        </w:tc>
      </w:tr>
      <w:tr>
        <w:trPr>
          <w:trHeight w:val="27"/>
        </w:trPr>
        <w:tc>
          <w:tcPr>
            <w:tcW w:w="32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r>
      <w:tr>
        <w:trPr>
          <w:trHeight w:val="264"/>
        </w:trPr>
        <w:tc>
          <w:tcPr>
            <w:tcW w:w="3200" w:type="dxa"/>
            <w:vAlign w:val="bottom"/>
            <w:shd w:val="clear" w:color="auto" w:fill="EAF9E8"/>
          </w:tcPr>
          <w:p>
            <w:pPr>
              <w:spacing w:after="0"/>
              <w:rPr>
                <w:sz w:val="22"/>
                <w:szCs w:val="22"/>
                <w:color w:val="auto"/>
              </w:rPr>
            </w:pPr>
          </w:p>
        </w:tc>
        <w:tc>
          <w:tcPr>
            <w:tcW w:w="340" w:type="dxa"/>
            <w:vAlign w:val="bottom"/>
            <w:shd w:val="clear" w:color="auto" w:fill="EAF9E8"/>
          </w:tcPr>
          <w:p>
            <w:pPr>
              <w:spacing w:after="0"/>
              <w:rPr>
                <w:sz w:val="22"/>
                <w:szCs w:val="22"/>
                <w:color w:val="auto"/>
              </w:rPr>
            </w:pPr>
          </w:p>
        </w:tc>
        <w:tc>
          <w:tcPr>
            <w:tcW w:w="112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340" w:type="dxa"/>
            <w:vAlign w:val="bottom"/>
            <w:shd w:val="clear" w:color="auto" w:fill="EAF9E8"/>
          </w:tcPr>
          <w:p>
            <w:pPr>
              <w:spacing w:after="0"/>
              <w:rPr>
                <w:sz w:val="22"/>
                <w:szCs w:val="22"/>
                <w:color w:val="auto"/>
              </w:rPr>
            </w:pPr>
          </w:p>
        </w:tc>
        <w:tc>
          <w:tcPr>
            <w:tcW w:w="110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104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300" w:type="dxa"/>
            <w:vAlign w:val="bottom"/>
            <w:shd w:val="clear" w:color="auto" w:fill="EAF9E8"/>
          </w:tcPr>
          <w:p>
            <w:pPr>
              <w:spacing w:after="0"/>
              <w:rPr>
                <w:sz w:val="22"/>
                <w:szCs w:val="22"/>
                <w:color w:val="auto"/>
              </w:rPr>
            </w:pPr>
          </w:p>
        </w:tc>
        <w:tc>
          <w:tcPr>
            <w:tcW w:w="106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300" w:type="dxa"/>
            <w:vAlign w:val="bottom"/>
            <w:shd w:val="clear" w:color="auto" w:fill="EAF9E8"/>
          </w:tcPr>
          <w:p>
            <w:pPr>
              <w:spacing w:after="0"/>
              <w:rPr>
                <w:sz w:val="22"/>
                <w:szCs w:val="22"/>
                <w:color w:val="auto"/>
              </w:rPr>
            </w:pPr>
          </w:p>
        </w:tc>
        <w:tc>
          <w:tcPr>
            <w:tcW w:w="106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1040" w:type="dxa"/>
            <w:vAlign w:val="bottom"/>
            <w:shd w:val="clear" w:color="auto" w:fill="EAF9E8"/>
          </w:tcPr>
          <w:p>
            <w:pPr>
              <w:spacing w:after="0"/>
              <w:rPr>
                <w:sz w:val="22"/>
                <w:szCs w:val="22"/>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3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2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Interest income</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686</w:t>
            </w:r>
          </w:p>
        </w:tc>
        <w:tc>
          <w:tcPr>
            <w:tcW w:w="11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2,057</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(108)</w:t>
            </w:r>
          </w:p>
        </w:tc>
      </w:tr>
      <w:tr>
        <w:trPr>
          <w:trHeight w:val="243"/>
        </w:trPr>
        <w:tc>
          <w:tcPr>
            <w:tcW w:w="320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(81,197)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(116,101)</w:t>
            </w: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(177,670)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(226,730)</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(22)</w:t>
            </w:r>
          </w:p>
        </w:tc>
      </w:tr>
      <w:tr>
        <w:trPr>
          <w:trHeight w:val="27"/>
        </w:trPr>
        <w:tc>
          <w:tcPr>
            <w:tcW w:w="3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3200" w:type="dxa"/>
            <w:vAlign w:val="bottom"/>
            <w:shd w:val="clear" w:color="auto" w:fill="EAF9E8"/>
          </w:tcPr>
          <w:p>
            <w:pPr>
              <w:ind w:left="180"/>
              <w:spacing w:after="0"/>
              <w:rPr>
                <w:sz w:val="20"/>
                <w:szCs w:val="20"/>
                <w:color w:val="auto"/>
              </w:rPr>
            </w:pPr>
            <w:r>
              <w:rPr>
                <w:rFonts w:ascii="Arial" w:cs="Arial" w:eastAsia="Arial" w:hAnsi="Arial"/>
                <w:sz w:val="18"/>
                <w:szCs w:val="18"/>
                <w:color w:val="auto"/>
              </w:rPr>
              <w:t>Gain on sale of mortgage servicing</w:t>
            </w:r>
          </w:p>
        </w:tc>
        <w:tc>
          <w:tcPr>
            <w:tcW w:w="34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0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040" w:type="dxa"/>
            <w:vAlign w:val="bottom"/>
            <w:shd w:val="clear" w:color="auto" w:fill="EAF9E8"/>
          </w:tcPr>
          <w:p>
            <w:pPr>
              <w:spacing w:after="0"/>
              <w:rPr>
                <w:sz w:val="19"/>
                <w:szCs w:val="19"/>
                <w:color w:val="auto"/>
              </w:rPr>
            </w:pPr>
          </w:p>
        </w:tc>
      </w:tr>
      <w:tr>
        <w:trPr>
          <w:trHeight w:val="237"/>
        </w:trPr>
        <w:tc>
          <w:tcPr>
            <w:tcW w:w="3200" w:type="dxa"/>
            <w:vAlign w:val="bottom"/>
            <w:tcBorders>
              <w:bottom w:val="single" w:sz="8" w:color="EAF9E8"/>
            </w:tcBorders>
            <w:shd w:val="clear" w:color="auto" w:fill="EAF9E8"/>
          </w:tcPr>
          <w:p>
            <w:pPr>
              <w:ind w:left="340"/>
              <w:spacing w:after="0"/>
              <w:rPr>
                <w:sz w:val="20"/>
                <w:szCs w:val="20"/>
                <w:color w:val="auto"/>
              </w:rPr>
            </w:pPr>
            <w:r>
              <w:rPr>
                <w:rFonts w:ascii="Arial" w:cs="Arial" w:eastAsia="Arial" w:hAnsi="Arial"/>
                <w:sz w:val="18"/>
                <w:szCs w:val="18"/>
                <w:color w:val="auto"/>
              </w:rPr>
              <w:t>rights, net</w:t>
            </w:r>
          </w:p>
        </w:tc>
        <w:tc>
          <w:tcPr>
            <w:tcW w:w="340" w:type="dxa"/>
            <w:vAlign w:val="bottom"/>
            <w:tcBorders>
              <w:bottom w:val="single" w:sz="8" w:color="EAF9E8"/>
            </w:tcBorders>
            <w:shd w:val="clear" w:color="auto" w:fill="EAF9E8"/>
          </w:tcPr>
          <w:p>
            <w:pPr>
              <w:spacing w:after="0"/>
              <w:rPr>
                <w:sz w:val="20"/>
                <w:szCs w:val="20"/>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853</w:t>
            </w:r>
          </w:p>
        </w:tc>
        <w:tc>
          <w:tcPr>
            <w:tcW w:w="100" w:type="dxa"/>
            <w:vAlign w:val="bottom"/>
            <w:tcBorders>
              <w:bottom w:val="single" w:sz="8" w:color="EAF9E8"/>
            </w:tcBorders>
            <w:shd w:val="clear" w:color="auto" w:fill="EAF9E8"/>
          </w:tcPr>
          <w:p>
            <w:pPr>
              <w:spacing w:after="0"/>
              <w:rPr>
                <w:sz w:val="20"/>
                <w:szCs w:val="20"/>
                <w:color w:val="auto"/>
              </w:rPr>
            </w:pPr>
          </w:p>
        </w:tc>
        <w:tc>
          <w:tcPr>
            <w:tcW w:w="340" w:type="dxa"/>
            <w:vAlign w:val="bottom"/>
            <w:tcBorders>
              <w:bottom w:val="single" w:sz="8" w:color="EAF9E8"/>
            </w:tcBorders>
            <w:shd w:val="clear" w:color="auto" w:fill="EAF9E8"/>
          </w:tcPr>
          <w:p>
            <w:pPr>
              <w:spacing w:after="0"/>
              <w:rPr>
                <w:sz w:val="20"/>
                <w:szCs w:val="20"/>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30,306</w:t>
            </w:r>
          </w:p>
        </w:tc>
        <w:tc>
          <w:tcPr>
            <w:tcW w:w="11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spacing w:after="0"/>
              <w:rPr>
                <w:sz w:val="20"/>
                <w:szCs w:val="20"/>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2,028</w:t>
            </w:r>
          </w:p>
        </w:tc>
        <w:tc>
          <w:tcPr>
            <w:tcW w:w="10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spacing w:after="0"/>
              <w:rPr>
                <w:sz w:val="20"/>
                <w:szCs w:val="20"/>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56,712</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(96)</w:t>
            </w:r>
          </w:p>
        </w:tc>
      </w:tr>
      <w:tr>
        <w:trPr>
          <w:trHeight w:val="243"/>
        </w:trPr>
        <w:tc>
          <w:tcPr>
            <w:tcW w:w="320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806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(9,106)</w:t>
            </w: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(2,537)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(12,746)</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(80)</w:t>
            </w:r>
          </w:p>
        </w:tc>
      </w:tr>
      <w:tr>
        <w:trPr>
          <w:trHeight w:val="27"/>
        </w:trPr>
        <w:tc>
          <w:tcPr>
            <w:tcW w:w="32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r>
      <w:tr>
        <w:trPr>
          <w:trHeight w:val="264"/>
        </w:trPr>
        <w:tc>
          <w:tcPr>
            <w:tcW w:w="32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 other expense, net</w:t>
            </w:r>
          </w:p>
        </w:tc>
        <w:tc>
          <w:tcPr>
            <w:tcW w:w="34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(79,553)</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(94,215)</w:t>
            </w:r>
          </w:p>
        </w:tc>
        <w:tc>
          <w:tcPr>
            <w:tcW w:w="11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0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(178,340)</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0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(180,707)</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w:t>
            </w:r>
          </w:p>
        </w:tc>
      </w:tr>
      <w:tr>
        <w:trPr>
          <w:trHeight w:val="264"/>
        </w:trPr>
        <w:tc>
          <w:tcPr>
            <w:tcW w:w="32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64"/>
        </w:trPr>
        <w:tc>
          <w:tcPr>
            <w:tcW w:w="3200" w:type="dxa"/>
            <w:vAlign w:val="bottom"/>
            <w:shd w:val="clear" w:color="auto" w:fill="EAF9E8"/>
          </w:tcPr>
          <w:p>
            <w:pPr>
              <w:ind w:left="40"/>
              <w:spacing w:after="0"/>
              <w:rPr>
                <w:sz w:val="20"/>
                <w:szCs w:val="20"/>
                <w:color w:val="auto"/>
              </w:rPr>
            </w:pPr>
            <w:r>
              <w:rPr>
                <w:rFonts w:ascii="Arial" w:cs="Arial" w:eastAsia="Arial" w:hAnsi="Arial"/>
                <w:sz w:val="18"/>
                <w:szCs w:val="18"/>
                <w:b w:val="1"/>
                <w:bCs w:val="1"/>
                <w:color w:val="auto"/>
              </w:rPr>
              <w:t>Income (loss) before income taxes</w:t>
            </w:r>
          </w:p>
        </w:tc>
        <w:tc>
          <w:tcPr>
            <w:tcW w:w="340" w:type="dxa"/>
            <w:vAlign w:val="bottom"/>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(14,708)</w:t>
            </w:r>
          </w:p>
        </w:tc>
        <w:tc>
          <w:tcPr>
            <w:tcW w:w="4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44,579</w:t>
            </w:r>
          </w:p>
        </w:tc>
        <w:tc>
          <w:tcPr>
            <w:tcW w:w="11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EAF9E8"/>
          </w:tcPr>
          <w:p>
            <w:pPr>
              <w:spacing w:after="0"/>
              <w:rPr>
                <w:sz w:val="22"/>
                <w:szCs w:val="22"/>
                <w:color w:val="auto"/>
              </w:rPr>
            </w:pPr>
          </w:p>
        </w:tc>
        <w:tc>
          <w:tcPr>
            <w:tcW w:w="300" w:type="dxa"/>
            <w:vAlign w:val="bottom"/>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(82,964)</w:t>
            </w:r>
          </w:p>
        </w:tc>
        <w:tc>
          <w:tcPr>
            <w:tcW w:w="100" w:type="dxa"/>
            <w:vAlign w:val="bottom"/>
            <w:shd w:val="clear" w:color="auto" w:fill="EAF9E8"/>
          </w:tcPr>
          <w:p>
            <w:pPr>
              <w:spacing w:after="0"/>
              <w:rPr>
                <w:sz w:val="22"/>
                <w:szCs w:val="22"/>
                <w:color w:val="auto"/>
              </w:rPr>
            </w:pPr>
          </w:p>
        </w:tc>
        <w:tc>
          <w:tcPr>
            <w:tcW w:w="300" w:type="dxa"/>
            <w:vAlign w:val="bottom"/>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91,300</w:t>
            </w:r>
          </w:p>
        </w:tc>
        <w:tc>
          <w:tcPr>
            <w:tcW w:w="11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(191)%</w:t>
            </w:r>
          </w:p>
        </w:tc>
      </w:tr>
      <w:tr>
        <w:trPr>
          <w:trHeight w:val="20"/>
        </w:trPr>
        <w:tc>
          <w:tcPr>
            <w:tcW w:w="320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1040" w:type="dxa"/>
            <w:vAlign w:val="bottom"/>
            <w:tcBorders>
              <w:top w:val="single" w:sz="8" w:color="EAF9E8"/>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040" w:type="dxa"/>
            <w:vAlign w:val="bottom"/>
            <w:tcBorders>
              <w:top w:val="single" w:sz="8" w:color="EAF9E8"/>
            </w:tcBorders>
          </w:tcPr>
          <w:p>
            <w:pPr>
              <w:spacing w:after="0" w:line="20" w:lineRule="exact"/>
              <w:rPr>
                <w:sz w:val="1"/>
                <w:szCs w:val="1"/>
                <w:color w:val="auto"/>
              </w:rPr>
            </w:pPr>
          </w:p>
        </w:tc>
      </w:tr>
      <w:tr>
        <w:trPr>
          <w:trHeight w:val="446"/>
        </w:trPr>
        <w:tc>
          <w:tcPr>
            <w:tcW w:w="3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ind w:right="310"/>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692" w:right="239" w:bottom="1440" w:gutter="0" w:footer="0" w:header="0"/>
        </w:sectPr>
      </w:pPr>
    </w:p>
    <w:bookmarkStart w:id="60" w:name="page61"/>
    <w:bookmarkEnd w:id="60"/>
    <w:p>
      <w:pPr>
        <w:ind w:left="340"/>
        <w:spacing w:after="0"/>
        <w:rPr>
          <w:sz w:val="20"/>
          <w:szCs w:val="20"/>
          <w:color w:val="auto"/>
        </w:rPr>
      </w:pPr>
      <w:r>
        <w:rPr>
          <w:rFonts w:ascii="Arial" w:cs="Arial" w:eastAsia="Arial" w:hAnsi="Arial"/>
          <w:sz w:val="18"/>
          <w:szCs w:val="18"/>
          <w:color w:val="auto"/>
        </w:rPr>
        <w:t>The following tables provide selected operating statistics at or for the three months ended June 30:</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 Change</w:t>
            </w:r>
          </w:p>
        </w:tc>
      </w:tr>
      <w:tr>
        <w:trPr>
          <w:trHeight w:val="27"/>
        </w:trPr>
        <w:tc>
          <w:tcPr>
            <w:tcW w:w="2800" w:type="dxa"/>
            <w:vAlign w:val="bottom"/>
            <w:tcBorders>
              <w:bottom w:val="single" w:sz="8" w:color="EAF9E8"/>
            </w:tcBorders>
          </w:tcPr>
          <w:p>
            <w:pPr>
              <w:spacing w:after="0"/>
              <w:rPr>
                <w:sz w:val="2"/>
                <w:szCs w:val="2"/>
                <w:color w:val="auto"/>
              </w:rPr>
            </w:pPr>
          </w:p>
        </w:tc>
        <w:tc>
          <w:tcPr>
            <w:tcW w:w="280" w:type="dxa"/>
            <w:vAlign w:val="bottom"/>
            <w:tcBorders>
              <w:bottom w:val="single" w:sz="8" w:color="EAF9E8"/>
            </w:tcBorders>
          </w:tcPr>
          <w:p>
            <w:pPr>
              <w:spacing w:after="0"/>
              <w:rPr>
                <w:sz w:val="2"/>
                <w:szCs w:val="2"/>
                <w:color w:val="auto"/>
              </w:rPr>
            </w:pPr>
          </w:p>
        </w:tc>
        <w:tc>
          <w:tcPr>
            <w:tcW w:w="12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EAF9E8"/>
            </w:tcBorders>
          </w:tcPr>
          <w:p>
            <w:pPr>
              <w:spacing w:after="0"/>
              <w:rPr>
                <w:sz w:val="2"/>
                <w:szCs w:val="2"/>
                <w:color w:val="auto"/>
              </w:rPr>
            </w:pPr>
          </w:p>
        </w:tc>
        <w:tc>
          <w:tcPr>
            <w:tcW w:w="12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8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28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Residential Assets Serviced</w:t>
            </w:r>
          </w:p>
        </w:tc>
        <w:tc>
          <w:tcPr>
            <w:tcW w:w="28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r>
      <w:tr>
        <w:trPr>
          <w:trHeight w:val="243"/>
        </w:trPr>
        <w:tc>
          <w:tcPr>
            <w:tcW w:w="2800" w:type="dxa"/>
            <w:vAlign w:val="bottom"/>
          </w:tcPr>
          <w:p>
            <w:pPr>
              <w:ind w:left="40"/>
              <w:spacing w:after="0"/>
              <w:rPr>
                <w:sz w:val="20"/>
                <w:szCs w:val="20"/>
                <w:color w:val="auto"/>
              </w:rPr>
            </w:pPr>
            <w:r>
              <w:rPr>
                <w:rFonts w:ascii="Arial" w:cs="Arial" w:eastAsia="Arial" w:hAnsi="Arial"/>
                <w:sz w:val="18"/>
                <w:szCs w:val="18"/>
                <w:color w:val="auto"/>
              </w:rPr>
              <w:t>Unpaid principal balance (UPB):</w:t>
            </w: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2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8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Performing loans (1)</w:t>
            </w:r>
          </w:p>
        </w:tc>
        <w:tc>
          <w:tcPr>
            <w:tcW w:w="28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gridSpan w:val="3"/>
            <w:shd w:val="clear" w:color="auto" w:fill="EAF9E8"/>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w w:val="87"/>
              </w:rPr>
              <w:t>201,912,663</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w w:val="89"/>
              </w:rPr>
              <w:t>279,998,076</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(28)%</w:t>
            </w:r>
          </w:p>
        </w:tc>
      </w:tr>
      <w:tr>
        <w:trPr>
          <w:trHeight w:val="243"/>
        </w:trPr>
        <w:tc>
          <w:tcPr>
            <w:tcW w:w="2800" w:type="dxa"/>
            <w:vAlign w:val="bottom"/>
          </w:tcPr>
          <w:p>
            <w:pPr>
              <w:ind w:left="180"/>
              <w:spacing w:after="0"/>
              <w:rPr>
                <w:sz w:val="20"/>
                <w:szCs w:val="20"/>
                <w:color w:val="auto"/>
              </w:rPr>
            </w:pPr>
            <w:r>
              <w:rPr>
                <w:rFonts w:ascii="Arial" w:cs="Arial" w:eastAsia="Arial" w:hAnsi="Arial"/>
                <w:sz w:val="18"/>
                <w:szCs w:val="18"/>
                <w:color w:val="auto"/>
              </w:rPr>
              <w:t>Non-performing loans</w:t>
            </w: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w w:val="97"/>
              </w:rPr>
              <w:t>22,362,029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w w:val="99"/>
              </w:rPr>
              <w:t>35,239,635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90"/>
              <w:spacing w:after="0"/>
              <w:rPr>
                <w:sz w:val="20"/>
                <w:szCs w:val="20"/>
                <w:color w:val="auto"/>
              </w:rPr>
            </w:pPr>
            <w:r>
              <w:rPr>
                <w:rFonts w:ascii="Arial" w:cs="Arial" w:eastAsia="Arial" w:hAnsi="Arial"/>
                <w:sz w:val="18"/>
                <w:szCs w:val="18"/>
                <w:color w:val="auto"/>
              </w:rPr>
              <w:t>(37)</w:t>
            </w:r>
          </w:p>
        </w:tc>
      </w:tr>
      <w:tr>
        <w:trPr>
          <w:trHeight w:val="27"/>
        </w:trPr>
        <w:tc>
          <w:tcPr>
            <w:tcW w:w="2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28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Non-performing real estate</w:t>
            </w:r>
          </w:p>
        </w:tc>
        <w:tc>
          <w:tcPr>
            <w:tcW w:w="28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spacing w:after="0"/>
              <w:rPr>
                <w:sz w:val="23"/>
                <w:szCs w:val="23"/>
                <w:color w:val="auto"/>
              </w:rPr>
            </w:pPr>
          </w:p>
        </w:tc>
        <w:tc>
          <w:tcPr>
            <w:tcW w:w="10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spacing w:after="0"/>
              <w:rPr>
                <w:sz w:val="23"/>
                <w:szCs w:val="23"/>
                <w:color w:val="auto"/>
              </w:rPr>
            </w:pPr>
          </w:p>
        </w:tc>
        <w:tc>
          <w:tcPr>
            <w:tcW w:w="100" w:type="dxa"/>
            <w:vAlign w:val="bottom"/>
            <w:tcBorders>
              <w:bottom w:val="single" w:sz="8" w:color="EAF9E8"/>
            </w:tcBorders>
            <w:shd w:val="clear" w:color="auto" w:fill="EAF9E8"/>
          </w:tcPr>
          <w:p>
            <w:pPr>
              <w:spacing w:after="0"/>
              <w:rPr>
                <w:sz w:val="23"/>
                <w:szCs w:val="23"/>
                <w:color w:val="auto"/>
              </w:rPr>
            </w:pPr>
          </w:p>
        </w:tc>
        <w:tc>
          <w:tcPr>
            <w:tcW w:w="800" w:type="dxa"/>
            <w:vAlign w:val="bottom"/>
            <w:tcBorders>
              <w:bottom w:val="single" w:sz="8" w:color="EAF9E8"/>
            </w:tcBorders>
            <w:shd w:val="clear" w:color="auto" w:fill="EAF9E8"/>
          </w:tcPr>
          <w:p>
            <w:pPr>
              <w:spacing w:after="0"/>
              <w:rPr>
                <w:sz w:val="23"/>
                <w:szCs w:val="23"/>
                <w:color w:val="auto"/>
              </w:rPr>
            </w:pPr>
          </w:p>
        </w:tc>
        <w:tc>
          <w:tcPr>
            <w:tcW w:w="220" w:type="dxa"/>
            <w:vAlign w:val="bottom"/>
            <w:tcBorders>
              <w:bottom w:val="single" w:sz="8" w:color="EAF9E8"/>
            </w:tcBorders>
            <w:shd w:val="clear" w:color="auto" w:fill="EAF9E8"/>
          </w:tcPr>
          <w:p>
            <w:pPr>
              <w:spacing w:after="0"/>
              <w:rPr>
                <w:sz w:val="23"/>
                <w:szCs w:val="23"/>
                <w:color w:val="auto"/>
              </w:rPr>
            </w:pPr>
          </w:p>
        </w:tc>
        <w:tc>
          <w:tcPr>
            <w:tcW w:w="10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5,001,309</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0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6,432,868</w:t>
            </w:r>
          </w:p>
        </w:tc>
        <w:tc>
          <w:tcPr>
            <w:tcW w:w="10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(22)</w:t>
            </w:r>
          </w:p>
        </w:tc>
      </w:tr>
      <w:tr>
        <w:trPr>
          <w:trHeight w:val="297"/>
        </w:trPr>
        <w:tc>
          <w:tcPr>
            <w:tcW w:w="2800" w:type="dxa"/>
            <w:vAlign w:val="bottom"/>
            <w:tcBorders>
              <w:bottom w:val="single" w:sz="8" w:color="EAF9E8"/>
            </w:tcBorders>
          </w:tcPr>
          <w:p>
            <w:pPr>
              <w:ind w:left="280"/>
              <w:spacing w:after="0"/>
              <w:rPr>
                <w:sz w:val="20"/>
                <w:szCs w:val="20"/>
                <w:color w:val="auto"/>
              </w:rPr>
            </w:pPr>
            <w:r>
              <w:rPr>
                <w:rFonts w:ascii="Arial" w:cs="Arial" w:eastAsia="Arial" w:hAnsi="Arial"/>
                <w:sz w:val="18"/>
                <w:szCs w:val="18"/>
                <w:color w:val="auto"/>
              </w:rPr>
              <w:t>Total (2)</w:t>
            </w:r>
          </w:p>
        </w:tc>
        <w:tc>
          <w:tcPr>
            <w:tcW w:w="280" w:type="dxa"/>
            <w:vAlign w:val="bottom"/>
            <w:tcBorders>
              <w:bottom w:val="single" w:sz="8" w:color="EAF9E8"/>
            </w:tcBorders>
          </w:tcPr>
          <w:p>
            <w:pPr>
              <w:spacing w:after="0"/>
              <w:rPr>
                <w:sz w:val="24"/>
                <w:szCs w:val="24"/>
                <w:color w:val="auto"/>
              </w:rPr>
            </w:pPr>
          </w:p>
        </w:tc>
        <w:tc>
          <w:tcPr>
            <w:tcW w:w="1240" w:type="dxa"/>
            <w:vAlign w:val="bottom"/>
            <w:tcBorders>
              <w:bottom w:val="single" w:sz="8" w:color="EAF9E8"/>
            </w:tcBorders>
          </w:tcPr>
          <w:p>
            <w:pPr>
              <w:spacing w:after="0"/>
              <w:rPr>
                <w:sz w:val="24"/>
                <w:szCs w:val="24"/>
                <w:color w:val="auto"/>
              </w:rPr>
            </w:pPr>
          </w:p>
        </w:tc>
        <w:tc>
          <w:tcPr>
            <w:tcW w:w="100" w:type="dxa"/>
            <w:vAlign w:val="bottom"/>
            <w:tcBorders>
              <w:bottom w:val="single" w:sz="8" w:color="EAF9E8"/>
            </w:tcBorders>
          </w:tcPr>
          <w:p>
            <w:pPr>
              <w:spacing w:after="0"/>
              <w:rPr>
                <w:sz w:val="24"/>
                <w:szCs w:val="24"/>
                <w:color w:val="auto"/>
              </w:rPr>
            </w:pPr>
          </w:p>
        </w:tc>
        <w:tc>
          <w:tcPr>
            <w:tcW w:w="280" w:type="dxa"/>
            <w:vAlign w:val="bottom"/>
            <w:tcBorders>
              <w:bottom w:val="single" w:sz="8" w:color="EAF9E8"/>
            </w:tcBorders>
          </w:tcPr>
          <w:p>
            <w:pPr>
              <w:spacing w:after="0"/>
              <w:rPr>
                <w:sz w:val="24"/>
                <w:szCs w:val="24"/>
                <w:color w:val="auto"/>
              </w:rPr>
            </w:pPr>
          </w:p>
        </w:tc>
        <w:tc>
          <w:tcPr>
            <w:tcW w:w="1240" w:type="dxa"/>
            <w:vAlign w:val="bottom"/>
            <w:tcBorders>
              <w:bottom w:val="single" w:sz="8" w:color="EAF9E8"/>
            </w:tcBorders>
          </w:tcPr>
          <w:p>
            <w:pPr>
              <w:spacing w:after="0"/>
              <w:rPr>
                <w:sz w:val="24"/>
                <w:szCs w:val="24"/>
                <w:color w:val="auto"/>
              </w:rPr>
            </w:pPr>
          </w:p>
        </w:tc>
        <w:tc>
          <w:tcPr>
            <w:tcW w:w="900" w:type="dxa"/>
            <w:vAlign w:val="bottom"/>
            <w:tcBorders>
              <w:bottom w:val="single" w:sz="8" w:color="EAF9E8"/>
            </w:tcBorders>
            <w:gridSpan w:val="2"/>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87"/>
              </w:rPr>
              <w:t>229,276,001</w:t>
            </w:r>
          </w:p>
        </w:tc>
        <w:tc>
          <w:tcPr>
            <w:tcW w:w="100" w:type="dxa"/>
            <w:vAlign w:val="bottom"/>
            <w:tcBorders>
              <w:bottom w:val="single" w:sz="8" w:color="EAF9E8"/>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89"/>
              </w:rPr>
              <w:t>321,670,579</w:t>
            </w:r>
          </w:p>
        </w:tc>
        <w:tc>
          <w:tcPr>
            <w:tcW w:w="100" w:type="dxa"/>
            <w:vAlign w:val="bottom"/>
            <w:tcBorders>
              <w:bottom w:val="single" w:sz="8" w:color="EAF9E8"/>
            </w:tcBorders>
          </w:tcPr>
          <w:p>
            <w:pPr>
              <w:spacing w:after="0"/>
              <w:rPr>
                <w:sz w:val="24"/>
                <w:szCs w:val="24"/>
                <w:color w:val="auto"/>
              </w:rPr>
            </w:pPr>
          </w:p>
        </w:tc>
        <w:tc>
          <w:tcPr>
            <w:tcW w:w="140" w:type="dxa"/>
            <w:vAlign w:val="bottom"/>
            <w:tcBorders>
              <w:bottom w:val="single" w:sz="8" w:color="EAF9E8"/>
            </w:tcBorders>
          </w:tcPr>
          <w:p>
            <w:pPr>
              <w:spacing w:after="0"/>
              <w:rPr>
                <w:sz w:val="24"/>
                <w:szCs w:val="24"/>
                <w:color w:val="auto"/>
              </w:rPr>
            </w:pPr>
          </w:p>
        </w:tc>
        <w:tc>
          <w:tcPr>
            <w:tcW w:w="1120" w:type="dxa"/>
            <w:vAlign w:val="bottom"/>
            <w:tcBorders>
              <w:bottom w:val="single" w:sz="8" w:color="EAF9E8"/>
            </w:tcBorders>
            <w:gridSpan w:val="2"/>
          </w:tcPr>
          <w:p>
            <w:pPr>
              <w:jc w:val="right"/>
              <w:spacing w:after="0"/>
              <w:rPr>
                <w:sz w:val="20"/>
                <w:szCs w:val="20"/>
                <w:color w:val="auto"/>
              </w:rPr>
            </w:pPr>
            <w:r>
              <w:rPr>
                <w:rFonts w:ascii="Arial" w:cs="Arial" w:eastAsia="Arial" w:hAnsi="Arial"/>
                <w:sz w:val="18"/>
                <w:szCs w:val="18"/>
                <w:color w:val="auto"/>
              </w:rPr>
              <w:t>(29)%</w:t>
            </w:r>
          </w:p>
        </w:tc>
      </w:tr>
      <w:tr>
        <w:trPr>
          <w:trHeight w:val="284"/>
        </w:trPr>
        <w:tc>
          <w:tcPr>
            <w:tcW w:w="280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12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12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80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1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020" w:type="dxa"/>
            <w:vAlign w:val="bottom"/>
            <w:shd w:val="clear" w:color="auto" w:fill="EAF9E8"/>
          </w:tcPr>
          <w:p>
            <w:pPr>
              <w:spacing w:after="0"/>
              <w:rPr>
                <w:sz w:val="24"/>
                <w:szCs w:val="24"/>
                <w:color w:val="auto"/>
              </w:rPr>
            </w:pPr>
          </w:p>
        </w:tc>
      </w:tr>
      <w:tr>
        <w:trPr>
          <w:trHeight w:val="243"/>
        </w:trPr>
        <w:tc>
          <w:tcPr>
            <w:tcW w:w="2800" w:type="dxa"/>
            <w:vAlign w:val="bottom"/>
          </w:tcPr>
          <w:p>
            <w:pPr>
              <w:ind w:left="180"/>
              <w:spacing w:after="0"/>
              <w:rPr>
                <w:sz w:val="20"/>
                <w:szCs w:val="20"/>
                <w:color w:val="auto"/>
              </w:rPr>
            </w:pPr>
            <w:r>
              <w:rPr>
                <w:rFonts w:ascii="Arial" w:cs="Arial" w:eastAsia="Arial" w:hAnsi="Arial"/>
                <w:sz w:val="18"/>
                <w:szCs w:val="18"/>
                <w:color w:val="auto"/>
              </w:rPr>
              <w:t>Conventional loans (3)</w:t>
            </w: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12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w w:val="97"/>
              </w:rPr>
              <w:t>70,129,116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w w:val="89"/>
              </w:rPr>
              <w:t>131,618,963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(47)%</w:t>
            </w:r>
          </w:p>
        </w:tc>
      </w:tr>
      <w:tr>
        <w:trPr>
          <w:trHeight w:val="27"/>
        </w:trPr>
        <w:tc>
          <w:tcPr>
            <w:tcW w:w="2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8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Government-insured loans</w:t>
            </w:r>
          </w:p>
        </w:tc>
        <w:tc>
          <w:tcPr>
            <w:tcW w:w="28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w w:val="97"/>
              </w:rPr>
              <w:t>24,420,007</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35,260,315</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(31)</w:t>
            </w:r>
          </w:p>
        </w:tc>
      </w:tr>
      <w:tr>
        <w:trPr>
          <w:trHeight w:val="243"/>
        </w:trPr>
        <w:tc>
          <w:tcPr>
            <w:tcW w:w="2800" w:type="dxa"/>
            <w:vAlign w:val="bottom"/>
          </w:tcPr>
          <w:p>
            <w:pPr>
              <w:ind w:left="180"/>
              <w:spacing w:after="0"/>
              <w:rPr>
                <w:sz w:val="20"/>
                <w:szCs w:val="20"/>
                <w:color w:val="auto"/>
              </w:rPr>
            </w:pPr>
            <w:r>
              <w:rPr>
                <w:rFonts w:ascii="Arial" w:cs="Arial" w:eastAsia="Arial" w:hAnsi="Arial"/>
                <w:sz w:val="18"/>
                <w:szCs w:val="18"/>
                <w:color w:val="auto"/>
              </w:rPr>
              <w:t>Non-Agency loans</w:t>
            </w: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w w:val="87"/>
              </w:rPr>
              <w:t>134,726,878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w w:val="89"/>
              </w:rPr>
              <w:t>154,791,301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90"/>
              <w:spacing w:after="0"/>
              <w:rPr>
                <w:sz w:val="20"/>
                <w:szCs w:val="20"/>
                <w:color w:val="auto"/>
              </w:rPr>
            </w:pPr>
            <w:r>
              <w:rPr>
                <w:rFonts w:ascii="Arial" w:cs="Arial" w:eastAsia="Arial" w:hAnsi="Arial"/>
                <w:sz w:val="18"/>
                <w:szCs w:val="18"/>
                <w:color w:val="auto"/>
              </w:rPr>
              <w:t>(13)</w:t>
            </w:r>
          </w:p>
        </w:tc>
      </w:tr>
      <w:tr>
        <w:trPr>
          <w:trHeight w:val="27"/>
        </w:trPr>
        <w:tc>
          <w:tcPr>
            <w:tcW w:w="2800" w:type="dxa"/>
            <w:vAlign w:val="bottom"/>
            <w:tcBorders>
              <w:bottom w:val="single" w:sz="8" w:color="EAF9E8"/>
            </w:tcBorders>
          </w:tcPr>
          <w:p>
            <w:pPr>
              <w:spacing w:after="0"/>
              <w:rPr>
                <w:sz w:val="2"/>
                <w:szCs w:val="2"/>
                <w:color w:val="auto"/>
              </w:rPr>
            </w:pPr>
          </w:p>
        </w:tc>
        <w:tc>
          <w:tcPr>
            <w:tcW w:w="280" w:type="dxa"/>
            <w:vAlign w:val="bottom"/>
            <w:tcBorders>
              <w:bottom w:val="single" w:sz="8" w:color="EAF9E8"/>
            </w:tcBorders>
          </w:tcPr>
          <w:p>
            <w:pPr>
              <w:spacing w:after="0"/>
              <w:rPr>
                <w:sz w:val="2"/>
                <w:szCs w:val="2"/>
                <w:color w:val="auto"/>
              </w:rPr>
            </w:pPr>
          </w:p>
        </w:tc>
        <w:tc>
          <w:tcPr>
            <w:tcW w:w="12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EAF9E8"/>
            </w:tcBorders>
          </w:tcPr>
          <w:p>
            <w:pPr>
              <w:spacing w:after="0"/>
              <w:rPr>
                <w:sz w:val="2"/>
                <w:szCs w:val="2"/>
                <w:color w:val="auto"/>
              </w:rPr>
            </w:pPr>
          </w:p>
        </w:tc>
        <w:tc>
          <w:tcPr>
            <w:tcW w:w="12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8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20" w:type="dxa"/>
            <w:vAlign w:val="bottom"/>
            <w:tcBorders>
              <w:bottom w:val="single" w:sz="8" w:color="EAF9E8"/>
            </w:tcBorders>
          </w:tcPr>
          <w:p>
            <w:pPr>
              <w:spacing w:after="0"/>
              <w:rPr>
                <w:sz w:val="2"/>
                <w:szCs w:val="2"/>
                <w:color w:val="auto"/>
              </w:rPr>
            </w:pPr>
          </w:p>
        </w:tc>
      </w:tr>
      <w:tr>
        <w:trPr>
          <w:trHeight w:val="257"/>
        </w:trPr>
        <w:tc>
          <w:tcPr>
            <w:tcW w:w="2800" w:type="dxa"/>
            <w:vAlign w:val="bottom"/>
            <w:shd w:val="clear" w:color="auto" w:fill="EAF9E8"/>
          </w:tcPr>
          <w:p>
            <w:pPr>
              <w:ind w:left="280"/>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EAF9E8"/>
          </w:tcPr>
          <w:p>
            <w:pPr>
              <w:spacing w:after="0"/>
              <w:rPr>
                <w:sz w:val="22"/>
                <w:szCs w:val="22"/>
                <w:color w:val="auto"/>
              </w:rPr>
            </w:pPr>
          </w:p>
        </w:tc>
        <w:tc>
          <w:tcPr>
            <w:tcW w:w="124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280" w:type="dxa"/>
            <w:vAlign w:val="bottom"/>
            <w:shd w:val="clear" w:color="auto" w:fill="EAF9E8"/>
          </w:tcPr>
          <w:p>
            <w:pPr>
              <w:spacing w:after="0"/>
              <w:rPr>
                <w:sz w:val="22"/>
                <w:szCs w:val="22"/>
                <w:color w:val="auto"/>
              </w:rPr>
            </w:pPr>
          </w:p>
        </w:tc>
        <w:tc>
          <w:tcPr>
            <w:tcW w:w="1240" w:type="dxa"/>
            <w:vAlign w:val="bottom"/>
            <w:shd w:val="clear" w:color="auto" w:fill="EAF9E8"/>
          </w:tcPr>
          <w:p>
            <w:pPr>
              <w:spacing w:after="0"/>
              <w:rPr>
                <w:sz w:val="22"/>
                <w:szCs w:val="22"/>
                <w:color w:val="auto"/>
              </w:rPr>
            </w:pPr>
          </w:p>
        </w:tc>
        <w:tc>
          <w:tcPr>
            <w:tcW w:w="1120" w:type="dxa"/>
            <w:vAlign w:val="bottom"/>
            <w:gridSpan w:val="3"/>
            <w:shd w:val="clear" w:color="auto" w:fill="EAF9E8"/>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22"/>
                <w:szCs w:val="22"/>
                <w:color w:val="auto"/>
              </w:rPr>
            </w:pPr>
          </w:p>
        </w:tc>
        <w:tc>
          <w:tcPr>
            <w:tcW w:w="140" w:type="dxa"/>
            <w:vAlign w:val="bottom"/>
            <w:shd w:val="clear" w:color="auto" w:fill="EAF9E8"/>
          </w:tcPr>
          <w:p>
            <w:pPr>
              <w:spacing w:after="0"/>
              <w:rPr>
                <w:sz w:val="22"/>
                <w:szCs w:val="22"/>
                <w:color w:val="auto"/>
              </w:rPr>
            </w:pPr>
          </w:p>
        </w:tc>
        <w:tc>
          <w:tcPr>
            <w:tcW w:w="1100" w:type="dxa"/>
            <w:vAlign w:val="bottom"/>
            <w:shd w:val="clear" w:color="auto" w:fill="EAF9E8"/>
          </w:tcPr>
          <w:p>
            <w:pPr>
              <w:jc w:val="right"/>
              <w:ind w:right="110"/>
              <w:spacing w:after="0"/>
              <w:rPr>
                <w:sz w:val="20"/>
                <w:szCs w:val="20"/>
                <w:color w:val="auto"/>
              </w:rPr>
            </w:pPr>
            <w:r>
              <w:rPr>
                <w:rFonts w:ascii="Arial" w:cs="Arial" w:eastAsia="Arial" w:hAnsi="Arial"/>
                <w:sz w:val="18"/>
                <w:szCs w:val="18"/>
                <w:color w:val="auto"/>
                <w:w w:val="87"/>
              </w:rPr>
              <w:t>229,276,001</w:t>
            </w:r>
          </w:p>
        </w:tc>
        <w:tc>
          <w:tcPr>
            <w:tcW w:w="100" w:type="dxa"/>
            <w:vAlign w:val="bottom"/>
            <w:shd w:val="clear" w:color="auto" w:fill="EAF9E8"/>
          </w:tcPr>
          <w:p>
            <w:pPr>
              <w:spacing w:after="0"/>
              <w:rPr>
                <w:sz w:val="22"/>
                <w:szCs w:val="22"/>
                <w:color w:val="auto"/>
              </w:rPr>
            </w:pPr>
          </w:p>
        </w:tc>
        <w:tc>
          <w:tcPr>
            <w:tcW w:w="1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EAF9E8"/>
          </w:tcPr>
          <w:p>
            <w:pPr>
              <w:spacing w:after="0"/>
              <w:rPr>
                <w:sz w:val="22"/>
                <w:szCs w:val="22"/>
                <w:color w:val="auto"/>
              </w:rPr>
            </w:pPr>
          </w:p>
        </w:tc>
        <w:tc>
          <w:tcPr>
            <w:tcW w:w="160" w:type="dxa"/>
            <w:vAlign w:val="bottom"/>
            <w:shd w:val="clear" w:color="auto" w:fill="EAF9E8"/>
          </w:tcPr>
          <w:p>
            <w:pPr>
              <w:spacing w:after="0"/>
              <w:rPr>
                <w:sz w:val="22"/>
                <w:szCs w:val="22"/>
                <w:color w:val="auto"/>
              </w:rPr>
            </w:pPr>
          </w:p>
        </w:tc>
        <w:tc>
          <w:tcPr>
            <w:tcW w:w="1120" w:type="dxa"/>
            <w:vAlign w:val="bottom"/>
            <w:shd w:val="clear" w:color="auto" w:fill="EAF9E8"/>
          </w:tcPr>
          <w:p>
            <w:pPr>
              <w:jc w:val="right"/>
              <w:ind w:right="110"/>
              <w:spacing w:after="0"/>
              <w:rPr>
                <w:sz w:val="20"/>
                <w:szCs w:val="20"/>
                <w:color w:val="auto"/>
              </w:rPr>
            </w:pPr>
            <w:r>
              <w:rPr>
                <w:rFonts w:ascii="Arial" w:cs="Arial" w:eastAsia="Arial" w:hAnsi="Arial"/>
                <w:sz w:val="18"/>
                <w:szCs w:val="18"/>
                <w:color w:val="auto"/>
                <w:w w:val="89"/>
              </w:rPr>
              <w:t>321,670,579</w:t>
            </w:r>
          </w:p>
        </w:tc>
        <w:tc>
          <w:tcPr>
            <w:tcW w:w="100" w:type="dxa"/>
            <w:vAlign w:val="bottom"/>
            <w:shd w:val="clear" w:color="auto" w:fill="EAF9E8"/>
          </w:tcPr>
          <w:p>
            <w:pPr>
              <w:spacing w:after="0"/>
              <w:rPr>
                <w:sz w:val="22"/>
                <w:szCs w:val="22"/>
                <w:color w:val="auto"/>
              </w:rPr>
            </w:pPr>
          </w:p>
        </w:tc>
        <w:tc>
          <w:tcPr>
            <w:tcW w:w="140" w:type="dxa"/>
            <w:vAlign w:val="bottom"/>
            <w:shd w:val="clear" w:color="auto" w:fill="EAF9E8"/>
          </w:tcPr>
          <w:p>
            <w:pPr>
              <w:spacing w:after="0"/>
              <w:rPr>
                <w:sz w:val="22"/>
                <w:szCs w:val="22"/>
                <w:color w:val="auto"/>
              </w:rPr>
            </w:pPr>
          </w:p>
        </w:tc>
        <w:tc>
          <w:tcPr>
            <w:tcW w:w="11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2800" w:type="dxa"/>
            <w:vAlign w:val="bottom"/>
            <w:tcBorders>
              <w:top w:val="single" w:sz="8" w:color="EAF9E8"/>
            </w:tcBorders>
          </w:tcPr>
          <w:p>
            <w:pPr>
              <w:spacing w:after="0" w:line="20" w:lineRule="exact"/>
              <w:rPr>
                <w:sz w:val="1"/>
                <w:szCs w:val="1"/>
                <w:color w:val="auto"/>
              </w:rPr>
            </w:pPr>
          </w:p>
        </w:tc>
        <w:tc>
          <w:tcPr>
            <w:tcW w:w="280" w:type="dxa"/>
            <w:vAlign w:val="bottom"/>
            <w:tcBorders>
              <w:top w:val="single" w:sz="8" w:color="EAF9E8"/>
            </w:tcBorders>
          </w:tcPr>
          <w:p>
            <w:pPr>
              <w:spacing w:after="0" w:line="20" w:lineRule="exact"/>
              <w:rPr>
                <w:sz w:val="1"/>
                <w:szCs w:val="1"/>
                <w:color w:val="auto"/>
              </w:rPr>
            </w:pPr>
          </w:p>
        </w:tc>
        <w:tc>
          <w:tcPr>
            <w:tcW w:w="1240" w:type="dxa"/>
            <w:vAlign w:val="bottom"/>
            <w:tcBorders>
              <w:top w:val="single" w:sz="8" w:color="EAF9E8"/>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280" w:type="dxa"/>
            <w:vAlign w:val="bottom"/>
            <w:tcBorders>
              <w:top w:val="single" w:sz="8" w:color="EAF9E8"/>
            </w:tcBorders>
          </w:tcPr>
          <w:p>
            <w:pPr>
              <w:spacing w:after="0" w:line="20" w:lineRule="exact"/>
              <w:rPr>
                <w:sz w:val="1"/>
                <w:szCs w:val="1"/>
                <w:color w:val="auto"/>
              </w:rPr>
            </w:pPr>
          </w:p>
        </w:tc>
        <w:tc>
          <w:tcPr>
            <w:tcW w:w="1240" w:type="dxa"/>
            <w:vAlign w:val="bottom"/>
            <w:tcBorders>
              <w:top w:val="single" w:sz="8" w:color="EAF9E8"/>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800" w:type="dxa"/>
            <w:vAlign w:val="bottom"/>
            <w:tcBorders>
              <w:top w:val="single" w:sz="8" w:color="EAF9E8"/>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40" w:type="dxa"/>
            <w:vAlign w:val="bottom"/>
            <w:tcBorders>
              <w:top w:val="single" w:sz="8" w:color="EAF9E8"/>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020" w:type="dxa"/>
            <w:vAlign w:val="bottom"/>
            <w:tcBorders>
              <w:top w:val="single" w:sz="8" w:color="EAF9E8"/>
            </w:tcBorders>
          </w:tcPr>
          <w:p>
            <w:pPr>
              <w:spacing w:after="0" w:line="20" w:lineRule="exact"/>
              <w:rPr>
                <w:sz w:val="1"/>
                <w:szCs w:val="1"/>
                <w:color w:val="auto"/>
              </w:rPr>
            </w:pPr>
          </w:p>
        </w:tc>
      </w:tr>
      <w:tr>
        <w:trPr>
          <w:trHeight w:val="284"/>
        </w:trPr>
        <w:tc>
          <w:tcPr>
            <w:tcW w:w="2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0"/>
        </w:trPr>
        <w:tc>
          <w:tcPr>
            <w:tcW w:w="28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Percent of total UPB:</w:t>
            </w:r>
          </w:p>
        </w:tc>
        <w:tc>
          <w:tcPr>
            <w:tcW w:w="28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r>
      <w:tr>
        <w:trPr>
          <w:trHeight w:val="243"/>
        </w:trPr>
        <w:tc>
          <w:tcPr>
            <w:tcW w:w="2800" w:type="dxa"/>
            <w:vAlign w:val="bottom"/>
          </w:tcPr>
          <w:p>
            <w:pPr>
              <w:ind w:left="180"/>
              <w:spacing w:after="0"/>
              <w:rPr>
                <w:sz w:val="20"/>
                <w:szCs w:val="20"/>
                <w:color w:val="auto"/>
              </w:rPr>
            </w:pPr>
            <w:r>
              <w:rPr>
                <w:rFonts w:ascii="Arial" w:cs="Arial" w:eastAsia="Arial" w:hAnsi="Arial"/>
                <w:sz w:val="18"/>
                <w:szCs w:val="18"/>
                <w:color w:val="auto"/>
              </w:rPr>
              <w:t>Servicing portfolio</w:t>
            </w: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13 %</w:t>
            </w:r>
          </w:p>
        </w:tc>
      </w:tr>
      <w:tr>
        <w:trPr>
          <w:trHeight w:val="27"/>
        </w:trPr>
        <w:tc>
          <w:tcPr>
            <w:tcW w:w="2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8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Subservicing portfolio</w:t>
            </w:r>
          </w:p>
        </w:tc>
        <w:tc>
          <w:tcPr>
            <w:tcW w:w="28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(65)</w:t>
            </w:r>
          </w:p>
        </w:tc>
      </w:tr>
      <w:tr>
        <w:trPr>
          <w:trHeight w:val="243"/>
        </w:trPr>
        <w:tc>
          <w:tcPr>
            <w:tcW w:w="2800" w:type="dxa"/>
            <w:vAlign w:val="bottom"/>
          </w:tcPr>
          <w:p>
            <w:pPr>
              <w:ind w:left="180"/>
              <w:spacing w:after="0"/>
              <w:rPr>
                <w:sz w:val="20"/>
                <w:szCs w:val="20"/>
                <w:color w:val="auto"/>
              </w:rPr>
            </w:pPr>
            <w:r>
              <w:rPr>
                <w:rFonts w:ascii="Arial" w:cs="Arial" w:eastAsia="Arial" w:hAnsi="Arial"/>
                <w:sz w:val="18"/>
                <w:szCs w:val="18"/>
                <w:color w:val="auto"/>
              </w:rPr>
              <w:t>Non-performing assets</w:t>
            </w: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90"/>
              <w:spacing w:after="0"/>
              <w:rPr>
                <w:sz w:val="20"/>
                <w:szCs w:val="20"/>
                <w:color w:val="auto"/>
              </w:rPr>
            </w:pPr>
            <w:r>
              <w:rPr>
                <w:rFonts w:ascii="Arial" w:cs="Arial" w:eastAsia="Arial" w:hAnsi="Arial"/>
                <w:sz w:val="18"/>
                <w:szCs w:val="18"/>
                <w:color w:val="auto"/>
              </w:rPr>
              <w:t>(8)</w:t>
            </w:r>
          </w:p>
        </w:tc>
      </w:tr>
      <w:tr>
        <w:trPr>
          <w:trHeight w:val="27"/>
        </w:trPr>
        <w:tc>
          <w:tcPr>
            <w:tcW w:w="2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97"/>
        </w:trPr>
        <w:tc>
          <w:tcPr>
            <w:tcW w:w="280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12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12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80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1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020" w:type="dxa"/>
            <w:vAlign w:val="bottom"/>
            <w:shd w:val="clear" w:color="auto" w:fill="EAF9E8"/>
          </w:tcPr>
          <w:p>
            <w:pPr>
              <w:spacing w:after="0"/>
              <w:rPr>
                <w:sz w:val="24"/>
                <w:szCs w:val="24"/>
                <w:color w:val="auto"/>
              </w:rPr>
            </w:pPr>
          </w:p>
        </w:tc>
      </w:tr>
      <w:tr>
        <w:trPr>
          <w:trHeight w:val="243"/>
        </w:trPr>
        <w:tc>
          <w:tcPr>
            <w:tcW w:w="2800" w:type="dxa"/>
            <w:vAlign w:val="bottom"/>
          </w:tcPr>
          <w:p>
            <w:pPr>
              <w:ind w:left="40"/>
              <w:spacing w:after="0"/>
              <w:rPr>
                <w:sz w:val="20"/>
                <w:szCs w:val="20"/>
                <w:color w:val="auto"/>
              </w:rPr>
            </w:pPr>
            <w:r>
              <w:rPr>
                <w:rFonts w:ascii="Arial" w:cs="Arial" w:eastAsia="Arial" w:hAnsi="Arial"/>
                <w:sz w:val="18"/>
                <w:szCs w:val="18"/>
                <w:color w:val="auto"/>
              </w:rPr>
              <w:t>Count:</w:t>
            </w: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2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8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Performing loans (1)</w:t>
            </w:r>
          </w:p>
        </w:tc>
        <w:tc>
          <w:tcPr>
            <w:tcW w:w="28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1,370,064</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1,844,373</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(26)%</w:t>
            </w:r>
          </w:p>
        </w:tc>
      </w:tr>
      <w:tr>
        <w:trPr>
          <w:trHeight w:val="243"/>
        </w:trPr>
        <w:tc>
          <w:tcPr>
            <w:tcW w:w="2800" w:type="dxa"/>
            <w:vAlign w:val="bottom"/>
          </w:tcPr>
          <w:p>
            <w:pPr>
              <w:ind w:left="180"/>
              <w:spacing w:after="0"/>
              <w:rPr>
                <w:sz w:val="20"/>
                <w:szCs w:val="20"/>
                <w:color w:val="auto"/>
              </w:rPr>
            </w:pPr>
            <w:r>
              <w:rPr>
                <w:rFonts w:ascii="Arial" w:cs="Arial" w:eastAsia="Arial" w:hAnsi="Arial"/>
                <w:sz w:val="18"/>
                <w:szCs w:val="18"/>
                <w:color w:val="auto"/>
              </w:rPr>
              <w:t>Non-performing loans</w:t>
            </w: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110,369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176,101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90"/>
              <w:spacing w:after="0"/>
              <w:rPr>
                <w:sz w:val="20"/>
                <w:szCs w:val="20"/>
                <w:color w:val="auto"/>
              </w:rPr>
            </w:pPr>
            <w:r>
              <w:rPr>
                <w:rFonts w:ascii="Arial" w:cs="Arial" w:eastAsia="Arial" w:hAnsi="Arial"/>
                <w:sz w:val="18"/>
                <w:szCs w:val="18"/>
                <w:color w:val="auto"/>
              </w:rPr>
              <w:t>(37)</w:t>
            </w:r>
          </w:p>
        </w:tc>
      </w:tr>
      <w:tr>
        <w:trPr>
          <w:trHeight w:val="27"/>
        </w:trPr>
        <w:tc>
          <w:tcPr>
            <w:tcW w:w="2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28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Non-performing real estate</w:t>
            </w:r>
          </w:p>
        </w:tc>
        <w:tc>
          <w:tcPr>
            <w:tcW w:w="28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spacing w:after="0"/>
              <w:rPr>
                <w:sz w:val="23"/>
                <w:szCs w:val="23"/>
                <w:color w:val="auto"/>
              </w:rPr>
            </w:pPr>
          </w:p>
        </w:tc>
        <w:tc>
          <w:tcPr>
            <w:tcW w:w="10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spacing w:after="0"/>
              <w:rPr>
                <w:sz w:val="23"/>
                <w:szCs w:val="23"/>
                <w:color w:val="auto"/>
              </w:rPr>
            </w:pPr>
          </w:p>
        </w:tc>
        <w:tc>
          <w:tcPr>
            <w:tcW w:w="100" w:type="dxa"/>
            <w:vAlign w:val="bottom"/>
            <w:tcBorders>
              <w:bottom w:val="single" w:sz="8" w:color="EAF9E8"/>
            </w:tcBorders>
            <w:shd w:val="clear" w:color="auto" w:fill="EAF9E8"/>
          </w:tcPr>
          <w:p>
            <w:pPr>
              <w:spacing w:after="0"/>
              <w:rPr>
                <w:sz w:val="23"/>
                <w:szCs w:val="23"/>
                <w:color w:val="auto"/>
              </w:rPr>
            </w:pPr>
          </w:p>
        </w:tc>
        <w:tc>
          <w:tcPr>
            <w:tcW w:w="800" w:type="dxa"/>
            <w:vAlign w:val="bottom"/>
            <w:tcBorders>
              <w:bottom w:val="single" w:sz="8" w:color="EAF9E8"/>
            </w:tcBorders>
            <w:shd w:val="clear" w:color="auto" w:fill="EAF9E8"/>
          </w:tcPr>
          <w:p>
            <w:pPr>
              <w:spacing w:after="0"/>
              <w:rPr>
                <w:sz w:val="23"/>
                <w:szCs w:val="23"/>
                <w:color w:val="auto"/>
              </w:rPr>
            </w:pPr>
          </w:p>
        </w:tc>
        <w:tc>
          <w:tcPr>
            <w:tcW w:w="220" w:type="dxa"/>
            <w:vAlign w:val="bottom"/>
            <w:tcBorders>
              <w:bottom w:val="single" w:sz="8" w:color="EAF9E8"/>
            </w:tcBorders>
            <w:shd w:val="clear" w:color="auto" w:fill="EAF9E8"/>
          </w:tcPr>
          <w:p>
            <w:pPr>
              <w:spacing w:after="0"/>
              <w:rPr>
                <w:sz w:val="23"/>
                <w:szCs w:val="23"/>
                <w:color w:val="auto"/>
              </w:rPr>
            </w:pPr>
          </w:p>
        </w:tc>
        <w:tc>
          <w:tcPr>
            <w:tcW w:w="10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26,057</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0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33,780</w:t>
            </w:r>
          </w:p>
        </w:tc>
        <w:tc>
          <w:tcPr>
            <w:tcW w:w="10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(23)</w:t>
            </w:r>
          </w:p>
        </w:tc>
      </w:tr>
      <w:tr>
        <w:trPr>
          <w:trHeight w:val="297"/>
        </w:trPr>
        <w:tc>
          <w:tcPr>
            <w:tcW w:w="2800" w:type="dxa"/>
            <w:vAlign w:val="bottom"/>
            <w:tcBorders>
              <w:bottom w:val="single" w:sz="8" w:color="EAF9E8"/>
            </w:tcBorders>
          </w:tcPr>
          <w:p>
            <w:pPr>
              <w:ind w:left="280"/>
              <w:spacing w:after="0"/>
              <w:rPr>
                <w:sz w:val="20"/>
                <w:szCs w:val="20"/>
                <w:color w:val="auto"/>
              </w:rPr>
            </w:pPr>
            <w:r>
              <w:rPr>
                <w:rFonts w:ascii="Arial" w:cs="Arial" w:eastAsia="Arial" w:hAnsi="Arial"/>
                <w:sz w:val="18"/>
                <w:szCs w:val="18"/>
                <w:color w:val="auto"/>
              </w:rPr>
              <w:t>Total (2)</w:t>
            </w:r>
          </w:p>
        </w:tc>
        <w:tc>
          <w:tcPr>
            <w:tcW w:w="280" w:type="dxa"/>
            <w:vAlign w:val="bottom"/>
            <w:tcBorders>
              <w:bottom w:val="single" w:sz="8" w:color="EAF9E8"/>
            </w:tcBorders>
          </w:tcPr>
          <w:p>
            <w:pPr>
              <w:spacing w:after="0"/>
              <w:rPr>
                <w:sz w:val="24"/>
                <w:szCs w:val="24"/>
                <w:color w:val="auto"/>
              </w:rPr>
            </w:pPr>
          </w:p>
        </w:tc>
        <w:tc>
          <w:tcPr>
            <w:tcW w:w="1240" w:type="dxa"/>
            <w:vAlign w:val="bottom"/>
            <w:tcBorders>
              <w:bottom w:val="single" w:sz="8" w:color="EAF9E8"/>
            </w:tcBorders>
          </w:tcPr>
          <w:p>
            <w:pPr>
              <w:spacing w:after="0"/>
              <w:rPr>
                <w:sz w:val="24"/>
                <w:szCs w:val="24"/>
                <w:color w:val="auto"/>
              </w:rPr>
            </w:pPr>
          </w:p>
        </w:tc>
        <w:tc>
          <w:tcPr>
            <w:tcW w:w="100" w:type="dxa"/>
            <w:vAlign w:val="bottom"/>
            <w:tcBorders>
              <w:bottom w:val="single" w:sz="8" w:color="EAF9E8"/>
            </w:tcBorders>
          </w:tcPr>
          <w:p>
            <w:pPr>
              <w:spacing w:after="0"/>
              <w:rPr>
                <w:sz w:val="24"/>
                <w:szCs w:val="24"/>
                <w:color w:val="auto"/>
              </w:rPr>
            </w:pPr>
          </w:p>
        </w:tc>
        <w:tc>
          <w:tcPr>
            <w:tcW w:w="280" w:type="dxa"/>
            <w:vAlign w:val="bottom"/>
            <w:tcBorders>
              <w:bottom w:val="single" w:sz="8" w:color="EAF9E8"/>
            </w:tcBorders>
          </w:tcPr>
          <w:p>
            <w:pPr>
              <w:spacing w:after="0"/>
              <w:rPr>
                <w:sz w:val="24"/>
                <w:szCs w:val="24"/>
                <w:color w:val="auto"/>
              </w:rPr>
            </w:pPr>
          </w:p>
        </w:tc>
        <w:tc>
          <w:tcPr>
            <w:tcW w:w="1240" w:type="dxa"/>
            <w:vAlign w:val="bottom"/>
            <w:tcBorders>
              <w:bottom w:val="single" w:sz="8" w:color="EAF9E8"/>
            </w:tcBorders>
          </w:tcPr>
          <w:p>
            <w:pPr>
              <w:spacing w:after="0"/>
              <w:rPr>
                <w:sz w:val="24"/>
                <w:szCs w:val="24"/>
                <w:color w:val="auto"/>
              </w:rPr>
            </w:pPr>
          </w:p>
        </w:tc>
        <w:tc>
          <w:tcPr>
            <w:tcW w:w="100" w:type="dxa"/>
            <w:vAlign w:val="bottom"/>
            <w:tcBorders>
              <w:bottom w:val="single" w:sz="8" w:color="EAF9E8"/>
            </w:tcBorders>
          </w:tcPr>
          <w:p>
            <w:pPr>
              <w:spacing w:after="0"/>
              <w:rPr>
                <w:sz w:val="24"/>
                <w:szCs w:val="24"/>
                <w:color w:val="auto"/>
              </w:rPr>
            </w:pPr>
          </w:p>
        </w:tc>
        <w:tc>
          <w:tcPr>
            <w:tcW w:w="800" w:type="dxa"/>
            <w:vAlign w:val="bottom"/>
            <w:tcBorders>
              <w:bottom w:val="single" w:sz="8" w:color="EAF9E8"/>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1,506,490</w:t>
            </w:r>
          </w:p>
        </w:tc>
        <w:tc>
          <w:tcPr>
            <w:tcW w:w="100" w:type="dxa"/>
            <w:vAlign w:val="bottom"/>
            <w:tcBorders>
              <w:bottom w:val="single" w:sz="8" w:color="EAF9E8"/>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2,054,254</w:t>
            </w:r>
          </w:p>
        </w:tc>
        <w:tc>
          <w:tcPr>
            <w:tcW w:w="100" w:type="dxa"/>
            <w:vAlign w:val="bottom"/>
            <w:tcBorders>
              <w:bottom w:val="single" w:sz="8" w:color="EAF9E8"/>
            </w:tcBorders>
          </w:tcPr>
          <w:p>
            <w:pPr>
              <w:spacing w:after="0"/>
              <w:rPr>
                <w:sz w:val="24"/>
                <w:szCs w:val="24"/>
                <w:color w:val="auto"/>
              </w:rPr>
            </w:pPr>
          </w:p>
        </w:tc>
        <w:tc>
          <w:tcPr>
            <w:tcW w:w="140" w:type="dxa"/>
            <w:vAlign w:val="bottom"/>
            <w:tcBorders>
              <w:bottom w:val="single" w:sz="8" w:color="EAF9E8"/>
            </w:tcBorders>
          </w:tcPr>
          <w:p>
            <w:pPr>
              <w:spacing w:after="0"/>
              <w:rPr>
                <w:sz w:val="24"/>
                <w:szCs w:val="24"/>
                <w:color w:val="auto"/>
              </w:rPr>
            </w:pPr>
          </w:p>
        </w:tc>
        <w:tc>
          <w:tcPr>
            <w:tcW w:w="1120" w:type="dxa"/>
            <w:vAlign w:val="bottom"/>
            <w:tcBorders>
              <w:bottom w:val="single" w:sz="8" w:color="EAF9E8"/>
            </w:tcBorders>
            <w:gridSpan w:val="2"/>
          </w:tcPr>
          <w:p>
            <w:pPr>
              <w:jc w:val="right"/>
              <w:spacing w:after="0"/>
              <w:rPr>
                <w:sz w:val="20"/>
                <w:szCs w:val="20"/>
                <w:color w:val="auto"/>
              </w:rPr>
            </w:pPr>
            <w:r>
              <w:rPr>
                <w:rFonts w:ascii="Arial" w:cs="Arial" w:eastAsia="Arial" w:hAnsi="Arial"/>
                <w:sz w:val="18"/>
                <w:szCs w:val="18"/>
                <w:color w:val="auto"/>
              </w:rPr>
              <w:t>(27)%</w:t>
            </w:r>
          </w:p>
        </w:tc>
      </w:tr>
      <w:tr>
        <w:trPr>
          <w:trHeight w:val="284"/>
        </w:trPr>
        <w:tc>
          <w:tcPr>
            <w:tcW w:w="280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12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12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80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1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020" w:type="dxa"/>
            <w:vAlign w:val="bottom"/>
            <w:shd w:val="clear" w:color="auto" w:fill="EAF9E8"/>
          </w:tcPr>
          <w:p>
            <w:pPr>
              <w:spacing w:after="0"/>
              <w:rPr>
                <w:sz w:val="24"/>
                <w:szCs w:val="24"/>
                <w:color w:val="auto"/>
              </w:rPr>
            </w:pPr>
          </w:p>
        </w:tc>
      </w:tr>
      <w:tr>
        <w:trPr>
          <w:trHeight w:val="243"/>
        </w:trPr>
        <w:tc>
          <w:tcPr>
            <w:tcW w:w="2800" w:type="dxa"/>
            <w:vAlign w:val="bottom"/>
          </w:tcPr>
          <w:p>
            <w:pPr>
              <w:ind w:left="180"/>
              <w:spacing w:after="0"/>
              <w:rPr>
                <w:sz w:val="20"/>
                <w:szCs w:val="20"/>
                <w:color w:val="auto"/>
              </w:rPr>
            </w:pPr>
            <w:r>
              <w:rPr>
                <w:rFonts w:ascii="Arial" w:cs="Arial" w:eastAsia="Arial" w:hAnsi="Arial"/>
                <w:sz w:val="18"/>
                <w:szCs w:val="18"/>
                <w:color w:val="auto"/>
              </w:rPr>
              <w:t>Conventional loans (3)</w:t>
            </w: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401,104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763,887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(47)%</w:t>
            </w:r>
          </w:p>
        </w:tc>
      </w:tr>
      <w:tr>
        <w:trPr>
          <w:trHeight w:val="27"/>
        </w:trPr>
        <w:tc>
          <w:tcPr>
            <w:tcW w:w="2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8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Government-insured loans</w:t>
            </w:r>
          </w:p>
        </w:tc>
        <w:tc>
          <w:tcPr>
            <w:tcW w:w="28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177,587</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244,884</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(27)</w:t>
            </w:r>
          </w:p>
        </w:tc>
      </w:tr>
      <w:tr>
        <w:trPr>
          <w:trHeight w:val="243"/>
        </w:trPr>
        <w:tc>
          <w:tcPr>
            <w:tcW w:w="2800" w:type="dxa"/>
            <w:vAlign w:val="bottom"/>
          </w:tcPr>
          <w:p>
            <w:pPr>
              <w:ind w:left="180"/>
              <w:spacing w:after="0"/>
              <w:rPr>
                <w:sz w:val="20"/>
                <w:szCs w:val="20"/>
                <w:color w:val="auto"/>
              </w:rPr>
            </w:pPr>
            <w:r>
              <w:rPr>
                <w:rFonts w:ascii="Arial" w:cs="Arial" w:eastAsia="Arial" w:hAnsi="Arial"/>
                <w:sz w:val="18"/>
                <w:szCs w:val="18"/>
                <w:color w:val="auto"/>
              </w:rPr>
              <w:t>Non-Agency loans</w:t>
            </w: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927,799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1,045,483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90"/>
              <w:spacing w:after="0"/>
              <w:rPr>
                <w:sz w:val="20"/>
                <w:szCs w:val="20"/>
                <w:color w:val="auto"/>
              </w:rPr>
            </w:pPr>
            <w:r>
              <w:rPr>
                <w:rFonts w:ascii="Arial" w:cs="Arial" w:eastAsia="Arial" w:hAnsi="Arial"/>
                <w:sz w:val="18"/>
                <w:szCs w:val="18"/>
                <w:color w:val="auto"/>
              </w:rPr>
              <w:t>(11)</w:t>
            </w:r>
          </w:p>
        </w:tc>
      </w:tr>
      <w:tr>
        <w:trPr>
          <w:trHeight w:val="27"/>
        </w:trPr>
        <w:tc>
          <w:tcPr>
            <w:tcW w:w="2800" w:type="dxa"/>
            <w:vAlign w:val="bottom"/>
            <w:tcBorders>
              <w:bottom w:val="single" w:sz="8" w:color="EAF9E8"/>
            </w:tcBorders>
          </w:tcPr>
          <w:p>
            <w:pPr>
              <w:spacing w:after="0"/>
              <w:rPr>
                <w:sz w:val="2"/>
                <w:szCs w:val="2"/>
                <w:color w:val="auto"/>
              </w:rPr>
            </w:pPr>
          </w:p>
        </w:tc>
        <w:tc>
          <w:tcPr>
            <w:tcW w:w="280" w:type="dxa"/>
            <w:vAlign w:val="bottom"/>
            <w:tcBorders>
              <w:bottom w:val="single" w:sz="8" w:color="EAF9E8"/>
            </w:tcBorders>
          </w:tcPr>
          <w:p>
            <w:pPr>
              <w:spacing w:after="0"/>
              <w:rPr>
                <w:sz w:val="2"/>
                <w:szCs w:val="2"/>
                <w:color w:val="auto"/>
              </w:rPr>
            </w:pPr>
          </w:p>
        </w:tc>
        <w:tc>
          <w:tcPr>
            <w:tcW w:w="12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EAF9E8"/>
            </w:tcBorders>
          </w:tcPr>
          <w:p>
            <w:pPr>
              <w:spacing w:after="0"/>
              <w:rPr>
                <w:sz w:val="2"/>
                <w:szCs w:val="2"/>
                <w:color w:val="auto"/>
              </w:rPr>
            </w:pPr>
          </w:p>
        </w:tc>
        <w:tc>
          <w:tcPr>
            <w:tcW w:w="12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8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20" w:type="dxa"/>
            <w:vAlign w:val="bottom"/>
            <w:tcBorders>
              <w:bottom w:val="single" w:sz="8" w:color="EAF9E8"/>
            </w:tcBorders>
          </w:tcPr>
          <w:p>
            <w:pPr>
              <w:spacing w:after="0"/>
              <w:rPr>
                <w:sz w:val="2"/>
                <w:szCs w:val="2"/>
                <w:color w:val="auto"/>
              </w:rPr>
            </w:pPr>
          </w:p>
        </w:tc>
      </w:tr>
      <w:tr>
        <w:trPr>
          <w:trHeight w:val="257"/>
        </w:trPr>
        <w:tc>
          <w:tcPr>
            <w:tcW w:w="28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EAF9E8"/>
            </w:tcBorders>
            <w:shd w:val="clear" w:color="auto" w:fill="EAF9E8"/>
          </w:tcPr>
          <w:p>
            <w:pPr>
              <w:spacing w:after="0"/>
              <w:rPr>
                <w:sz w:val="22"/>
                <w:szCs w:val="22"/>
                <w:color w:val="auto"/>
              </w:rPr>
            </w:pPr>
          </w:p>
        </w:tc>
        <w:tc>
          <w:tcPr>
            <w:tcW w:w="124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EAF9E8"/>
            </w:tcBorders>
            <w:shd w:val="clear" w:color="auto" w:fill="EAF9E8"/>
          </w:tcPr>
          <w:p>
            <w:pPr>
              <w:spacing w:after="0"/>
              <w:rPr>
                <w:sz w:val="22"/>
                <w:szCs w:val="22"/>
                <w:color w:val="auto"/>
              </w:rPr>
            </w:pPr>
          </w:p>
        </w:tc>
        <w:tc>
          <w:tcPr>
            <w:tcW w:w="124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800" w:type="dxa"/>
            <w:vAlign w:val="bottom"/>
            <w:tcBorders>
              <w:bottom w:val="single" w:sz="8" w:color="EAF9E8"/>
            </w:tcBorders>
            <w:shd w:val="clear" w:color="auto" w:fill="EAF9E8"/>
          </w:tcPr>
          <w:p>
            <w:pPr>
              <w:spacing w:after="0"/>
              <w:rPr>
                <w:sz w:val="22"/>
                <w:szCs w:val="22"/>
                <w:color w:val="auto"/>
              </w:rPr>
            </w:pPr>
          </w:p>
        </w:tc>
        <w:tc>
          <w:tcPr>
            <w:tcW w:w="220" w:type="dxa"/>
            <w:vAlign w:val="bottom"/>
            <w:tcBorders>
              <w:bottom w:val="single" w:sz="8" w:color="auto"/>
            </w:tcBorders>
            <w:shd w:val="clear" w:color="auto" w:fill="EAF9E8"/>
          </w:tcPr>
          <w:p>
            <w:pPr>
              <w:spacing w:after="0"/>
              <w:rPr>
                <w:sz w:val="22"/>
                <w:szCs w:val="22"/>
                <w:color w:val="auto"/>
              </w:rPr>
            </w:pPr>
          </w:p>
        </w:tc>
        <w:tc>
          <w:tcPr>
            <w:tcW w:w="100" w:type="dxa"/>
            <w:vAlign w:val="bottom"/>
            <w:tcBorders>
              <w:bottom w:val="single" w:sz="8" w:color="auto"/>
            </w:tcBorders>
            <w:shd w:val="clear" w:color="auto" w:fill="EAF9E8"/>
          </w:tcPr>
          <w:p>
            <w:pPr>
              <w:spacing w:after="0"/>
              <w:rPr>
                <w:sz w:val="22"/>
                <w:szCs w:val="22"/>
                <w:color w:val="auto"/>
              </w:rPr>
            </w:pPr>
          </w:p>
        </w:tc>
        <w:tc>
          <w:tcPr>
            <w:tcW w:w="140" w:type="dxa"/>
            <w:vAlign w:val="bottom"/>
            <w:tcBorders>
              <w:bottom w:val="single" w:sz="8" w:color="auto"/>
            </w:tcBorders>
            <w:shd w:val="clear" w:color="auto" w:fill="EAF9E8"/>
          </w:tcPr>
          <w:p>
            <w:pPr>
              <w:spacing w:after="0"/>
              <w:rPr>
                <w:sz w:val="22"/>
                <w:szCs w:val="22"/>
                <w:color w:val="auto"/>
              </w:rPr>
            </w:pPr>
          </w:p>
        </w:tc>
        <w:tc>
          <w:tcPr>
            <w:tcW w:w="110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rPr>
              <w:t>1,506,490</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spacing w:after="0"/>
              <w:rPr>
                <w:sz w:val="22"/>
                <w:szCs w:val="22"/>
                <w:color w:val="auto"/>
              </w:rPr>
            </w:pPr>
          </w:p>
        </w:tc>
        <w:tc>
          <w:tcPr>
            <w:tcW w:w="100" w:type="dxa"/>
            <w:vAlign w:val="bottom"/>
            <w:tcBorders>
              <w:bottom w:val="single" w:sz="8" w:color="auto"/>
            </w:tcBorders>
            <w:shd w:val="clear" w:color="auto" w:fill="EAF9E8"/>
          </w:tcPr>
          <w:p>
            <w:pPr>
              <w:spacing w:after="0"/>
              <w:rPr>
                <w:sz w:val="22"/>
                <w:szCs w:val="22"/>
                <w:color w:val="auto"/>
              </w:rPr>
            </w:pPr>
          </w:p>
        </w:tc>
        <w:tc>
          <w:tcPr>
            <w:tcW w:w="160" w:type="dxa"/>
            <w:vAlign w:val="bottom"/>
            <w:tcBorders>
              <w:bottom w:val="single" w:sz="8" w:color="auto"/>
            </w:tcBorders>
            <w:shd w:val="clear" w:color="auto" w:fill="EAF9E8"/>
          </w:tcPr>
          <w:p>
            <w:pPr>
              <w:spacing w:after="0"/>
              <w:rPr>
                <w:sz w:val="22"/>
                <w:szCs w:val="22"/>
                <w:color w:val="auto"/>
              </w:rPr>
            </w:pPr>
          </w:p>
        </w:tc>
        <w:tc>
          <w:tcPr>
            <w:tcW w:w="112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rPr>
              <w:t>2,054,254</w:t>
            </w:r>
          </w:p>
        </w:tc>
        <w:tc>
          <w:tcPr>
            <w:tcW w:w="1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2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311"/>
        </w:trPr>
        <w:tc>
          <w:tcPr>
            <w:tcW w:w="2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0"/>
        </w:trPr>
        <w:tc>
          <w:tcPr>
            <w:tcW w:w="28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Percent of total count:</w:t>
            </w:r>
          </w:p>
        </w:tc>
        <w:tc>
          <w:tcPr>
            <w:tcW w:w="28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r>
      <w:tr>
        <w:trPr>
          <w:trHeight w:val="243"/>
        </w:trPr>
        <w:tc>
          <w:tcPr>
            <w:tcW w:w="2800" w:type="dxa"/>
            <w:vAlign w:val="bottom"/>
          </w:tcPr>
          <w:p>
            <w:pPr>
              <w:ind w:left="180"/>
              <w:spacing w:after="0"/>
              <w:rPr>
                <w:sz w:val="20"/>
                <w:szCs w:val="20"/>
                <w:color w:val="auto"/>
              </w:rPr>
            </w:pPr>
            <w:r>
              <w:rPr>
                <w:rFonts w:ascii="Arial" w:cs="Arial" w:eastAsia="Arial" w:hAnsi="Arial"/>
                <w:sz w:val="18"/>
                <w:szCs w:val="18"/>
                <w:color w:val="auto"/>
              </w:rPr>
              <w:t>Servicing portfolio</w:t>
            </w: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7 %</w:t>
            </w:r>
          </w:p>
        </w:tc>
      </w:tr>
      <w:tr>
        <w:trPr>
          <w:trHeight w:val="27"/>
        </w:trPr>
        <w:tc>
          <w:tcPr>
            <w:tcW w:w="2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8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Subservicing portfolio</w:t>
            </w:r>
          </w:p>
        </w:tc>
        <w:tc>
          <w:tcPr>
            <w:tcW w:w="28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(55)</w:t>
            </w:r>
          </w:p>
        </w:tc>
      </w:tr>
      <w:tr>
        <w:trPr>
          <w:trHeight w:val="243"/>
        </w:trPr>
        <w:tc>
          <w:tcPr>
            <w:tcW w:w="2800" w:type="dxa"/>
            <w:vAlign w:val="bottom"/>
          </w:tcPr>
          <w:p>
            <w:pPr>
              <w:ind w:left="180"/>
              <w:spacing w:after="0"/>
              <w:rPr>
                <w:sz w:val="20"/>
                <w:szCs w:val="20"/>
                <w:color w:val="auto"/>
              </w:rPr>
            </w:pPr>
            <w:r>
              <w:rPr>
                <w:rFonts w:ascii="Arial" w:cs="Arial" w:eastAsia="Arial" w:hAnsi="Arial"/>
                <w:sz w:val="18"/>
                <w:szCs w:val="18"/>
                <w:color w:val="auto"/>
              </w:rPr>
              <w:t>Non-performing assets</w:t>
            </w: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90"/>
              <w:spacing w:after="0"/>
              <w:rPr>
                <w:sz w:val="20"/>
                <w:szCs w:val="20"/>
                <w:color w:val="auto"/>
              </w:rPr>
            </w:pPr>
            <w:r>
              <w:rPr>
                <w:rFonts w:ascii="Arial" w:cs="Arial" w:eastAsia="Arial" w:hAnsi="Arial"/>
                <w:sz w:val="18"/>
                <w:szCs w:val="18"/>
                <w:color w:val="auto"/>
              </w:rPr>
              <w:t>(10)</w:t>
            </w:r>
          </w:p>
        </w:tc>
      </w:tr>
      <w:tr>
        <w:trPr>
          <w:trHeight w:val="405"/>
        </w:trPr>
        <w:tc>
          <w:tcPr>
            <w:tcW w:w="2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20" w:type="dxa"/>
            <w:vAlign w:val="bottom"/>
            <w:gridSpan w:val="3"/>
          </w:tcPr>
          <w:p>
            <w:pPr>
              <w:jc w:val="right"/>
              <w:ind w:right="350"/>
              <w:spacing w:after="0"/>
              <w:rPr>
                <w:sz w:val="20"/>
                <w:szCs w:val="20"/>
                <w:color w:val="auto"/>
              </w:rPr>
            </w:pPr>
            <w:r>
              <w:rPr>
                <w:rFonts w:ascii="Arial" w:cs="Arial" w:eastAsia="Arial" w:hAnsi="Arial"/>
                <w:sz w:val="18"/>
                <w:szCs w:val="18"/>
                <w:b w:val="1"/>
                <w:bCs w:val="1"/>
                <w:color w:val="auto"/>
                <w:w w:val="98"/>
              </w:rPr>
              <w:t>Three Months</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gridSpan w:val="4"/>
          </w:tcPr>
          <w:p>
            <w:pPr>
              <w:jc w:val="right"/>
              <w:ind w:right="560"/>
              <w:spacing w:after="0"/>
              <w:rPr>
                <w:sz w:val="20"/>
                <w:szCs w:val="20"/>
                <w:color w:val="auto"/>
              </w:rPr>
            </w:pPr>
            <w:r>
              <w:rPr>
                <w:rFonts w:ascii="Arial" w:cs="Arial" w:eastAsia="Arial" w:hAnsi="Arial"/>
                <w:sz w:val="18"/>
                <w:szCs w:val="18"/>
                <w:b w:val="1"/>
                <w:bCs w:val="1"/>
                <w:color w:val="auto"/>
                <w:w w:val="97"/>
              </w:rPr>
              <w:t>Six Months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7"/>
        </w:trPr>
        <w:tc>
          <w:tcPr>
            <w:tcW w:w="28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2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1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 Change</w:t>
            </w:r>
          </w:p>
        </w:tc>
        <w:tc>
          <w:tcPr>
            <w:tcW w:w="140" w:type="dxa"/>
            <w:vAlign w:val="bottom"/>
          </w:tcPr>
          <w:p>
            <w:pPr>
              <w:spacing w:after="0"/>
              <w:rPr>
                <w:sz w:val="20"/>
                <w:szCs w:val="20"/>
                <w:color w:val="auto"/>
              </w:rPr>
            </w:pPr>
          </w:p>
        </w:tc>
        <w:tc>
          <w:tcPr>
            <w:tcW w:w="1100" w:type="dxa"/>
            <w:vAlign w:val="bottom"/>
          </w:tcPr>
          <w:p>
            <w:pPr>
              <w:jc w:val="right"/>
              <w:ind w:right="2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 Change</w:t>
            </w:r>
          </w:p>
        </w:tc>
      </w:tr>
      <w:tr>
        <w:trPr>
          <w:trHeight w:val="27"/>
        </w:trPr>
        <w:tc>
          <w:tcPr>
            <w:tcW w:w="28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28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Residential Assets Serviced</w:t>
            </w:r>
          </w:p>
        </w:tc>
        <w:tc>
          <w:tcPr>
            <w:tcW w:w="28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r>
      <w:tr>
        <w:trPr>
          <w:trHeight w:val="243"/>
        </w:trPr>
        <w:tc>
          <w:tcPr>
            <w:tcW w:w="2800" w:type="dxa"/>
            <w:vAlign w:val="bottom"/>
          </w:tcPr>
          <w:p>
            <w:pPr>
              <w:ind w:left="40"/>
              <w:spacing w:after="0"/>
              <w:rPr>
                <w:sz w:val="20"/>
                <w:szCs w:val="20"/>
                <w:color w:val="auto"/>
              </w:rPr>
            </w:pPr>
            <w:r>
              <w:rPr>
                <w:rFonts w:ascii="Arial" w:cs="Arial" w:eastAsia="Arial" w:hAnsi="Arial"/>
                <w:sz w:val="18"/>
                <w:szCs w:val="18"/>
                <w:color w:val="auto"/>
              </w:rPr>
              <w:t>Average UPB:</w:t>
            </w: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2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8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Servicing portfolio</w:t>
            </w: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219,918,121</w:t>
            </w:r>
          </w:p>
        </w:tc>
        <w:tc>
          <w:tcPr>
            <w:tcW w:w="380" w:type="dxa"/>
            <w:vAlign w:val="bottom"/>
            <w:tcBorders>
              <w:bottom w:val="single" w:sz="8" w:color="EAF9E8"/>
            </w:tcBorders>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318,725,760</w:t>
            </w:r>
          </w:p>
        </w:tc>
        <w:tc>
          <w:tcPr>
            <w:tcW w:w="1120" w:type="dxa"/>
            <w:vAlign w:val="bottom"/>
            <w:tcBorders>
              <w:bottom w:val="single" w:sz="8" w:color="EAF9E8"/>
            </w:tcBorders>
            <w:gridSpan w:val="3"/>
            <w:shd w:val="clear" w:color="auto" w:fill="EAF9E8"/>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EAF9E8"/>
            </w:tcBorders>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223,464,275</w:t>
            </w:r>
          </w:p>
        </w:tc>
        <w:tc>
          <w:tcPr>
            <w:tcW w:w="1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336,374,282</w:t>
            </w:r>
          </w:p>
        </w:tc>
        <w:tc>
          <w:tcPr>
            <w:tcW w:w="1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(34)%</w:t>
            </w:r>
          </w:p>
        </w:tc>
      </w:tr>
      <w:tr>
        <w:trPr>
          <w:trHeight w:val="243"/>
        </w:trPr>
        <w:tc>
          <w:tcPr>
            <w:tcW w:w="2800" w:type="dxa"/>
            <w:vAlign w:val="bottom"/>
          </w:tcPr>
          <w:p>
            <w:pPr>
              <w:ind w:left="180"/>
              <w:spacing w:after="0"/>
              <w:rPr>
                <w:sz w:val="20"/>
                <w:szCs w:val="20"/>
                <w:color w:val="auto"/>
              </w:rPr>
            </w:pPr>
            <w:r>
              <w:rPr>
                <w:rFonts w:ascii="Arial" w:cs="Arial" w:eastAsia="Arial" w:hAnsi="Arial"/>
                <w:sz w:val="18"/>
                <w:szCs w:val="18"/>
                <w:color w:val="auto"/>
              </w:rPr>
              <w:t>Subservicing portfolio</w:t>
            </w:r>
          </w:p>
        </w:tc>
        <w:tc>
          <w:tcPr>
            <w:tcW w:w="28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13,050,436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39,541,118</w:t>
            </w:r>
          </w:p>
        </w:tc>
        <w:tc>
          <w:tcPr>
            <w:tcW w:w="1120" w:type="dxa"/>
            <w:vAlign w:val="bottom"/>
            <w:gridSpan w:val="3"/>
          </w:tcPr>
          <w:p>
            <w:pPr>
              <w:jc w:val="right"/>
              <w:ind w:right="90"/>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15,019,138</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38,917,894</w:t>
            </w:r>
          </w:p>
        </w:tc>
        <w:tc>
          <w:tcPr>
            <w:tcW w:w="140" w:type="dxa"/>
            <w:vAlign w:val="bottom"/>
          </w:tcPr>
          <w:p>
            <w:pPr>
              <w:spacing w:after="0"/>
              <w:rPr>
                <w:sz w:val="21"/>
                <w:szCs w:val="21"/>
                <w:color w:val="auto"/>
              </w:rPr>
            </w:pPr>
          </w:p>
        </w:tc>
        <w:tc>
          <w:tcPr>
            <w:tcW w:w="1120" w:type="dxa"/>
            <w:vAlign w:val="bottom"/>
            <w:gridSpan w:val="2"/>
          </w:tcPr>
          <w:p>
            <w:pPr>
              <w:jc w:val="right"/>
              <w:ind w:right="90"/>
              <w:spacing w:after="0"/>
              <w:rPr>
                <w:sz w:val="20"/>
                <w:szCs w:val="20"/>
                <w:color w:val="auto"/>
              </w:rPr>
            </w:pPr>
            <w:r>
              <w:rPr>
                <w:rFonts w:ascii="Arial" w:cs="Arial" w:eastAsia="Arial" w:hAnsi="Arial"/>
                <w:sz w:val="18"/>
                <w:szCs w:val="18"/>
                <w:color w:val="auto"/>
              </w:rPr>
              <w:t>(61)</w:t>
            </w:r>
          </w:p>
        </w:tc>
      </w:tr>
      <w:tr>
        <w:trPr>
          <w:trHeight w:val="27"/>
        </w:trPr>
        <w:tc>
          <w:tcPr>
            <w:tcW w:w="28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20" w:type="dxa"/>
            <w:vAlign w:val="bottom"/>
            <w:tcBorders>
              <w:bottom w:val="single" w:sz="8" w:color="EAF9E8"/>
            </w:tcBorders>
            <w:gridSpan w:val="2"/>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20" w:type="dxa"/>
            <w:vAlign w:val="bottom"/>
            <w:tcBorders>
              <w:bottom w:val="single" w:sz="8" w:color="EAF9E8"/>
            </w:tcBorders>
          </w:tcPr>
          <w:p>
            <w:pPr>
              <w:spacing w:after="0"/>
              <w:rPr>
                <w:sz w:val="2"/>
                <w:szCs w:val="2"/>
                <w:color w:val="auto"/>
              </w:rPr>
            </w:pPr>
          </w:p>
        </w:tc>
      </w:tr>
      <w:tr>
        <w:trPr>
          <w:trHeight w:val="257"/>
        </w:trPr>
        <w:tc>
          <w:tcPr>
            <w:tcW w:w="2800" w:type="dxa"/>
            <w:vAlign w:val="bottom"/>
            <w:shd w:val="clear" w:color="auto" w:fill="EAF9E8"/>
          </w:tcPr>
          <w:p>
            <w:pPr>
              <w:ind w:left="280"/>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EAF9E8"/>
          </w:tcPr>
          <w:p>
            <w:pPr>
              <w:jc w:val="right"/>
              <w:ind w:right="110"/>
              <w:spacing w:after="0"/>
              <w:rPr>
                <w:sz w:val="20"/>
                <w:szCs w:val="20"/>
                <w:color w:val="auto"/>
              </w:rPr>
            </w:pPr>
            <w:r>
              <w:rPr>
                <w:rFonts w:ascii="Arial" w:cs="Arial" w:eastAsia="Arial" w:hAnsi="Arial"/>
                <w:sz w:val="18"/>
                <w:szCs w:val="18"/>
                <w:color w:val="auto"/>
              </w:rPr>
              <w:t>232,968,557</w:t>
            </w:r>
          </w:p>
        </w:tc>
        <w:tc>
          <w:tcPr>
            <w:tcW w:w="38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EAF9E8"/>
          </w:tcPr>
          <w:p>
            <w:pPr>
              <w:jc w:val="right"/>
              <w:ind w:right="110"/>
              <w:spacing w:after="0"/>
              <w:rPr>
                <w:sz w:val="20"/>
                <w:szCs w:val="20"/>
                <w:color w:val="auto"/>
              </w:rPr>
            </w:pPr>
            <w:r>
              <w:rPr>
                <w:rFonts w:ascii="Arial" w:cs="Arial" w:eastAsia="Arial" w:hAnsi="Arial"/>
                <w:sz w:val="18"/>
                <w:szCs w:val="18"/>
                <w:color w:val="auto"/>
              </w:rPr>
              <w:t>358,266,878</w:t>
            </w:r>
          </w:p>
        </w:tc>
        <w:tc>
          <w:tcPr>
            <w:tcW w:w="1120" w:type="dxa"/>
            <w:vAlign w:val="bottom"/>
            <w:gridSpan w:val="3"/>
            <w:shd w:val="clear" w:color="auto" w:fill="EAF9E8"/>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EAF9E8"/>
          </w:tcPr>
          <w:p>
            <w:pPr>
              <w:spacing w:after="0"/>
              <w:rPr>
                <w:sz w:val="22"/>
                <w:szCs w:val="22"/>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238,483,413</w:t>
            </w:r>
          </w:p>
        </w:tc>
        <w:tc>
          <w:tcPr>
            <w:tcW w:w="18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1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375,292,176</w:t>
            </w:r>
          </w:p>
        </w:tc>
        <w:tc>
          <w:tcPr>
            <w:tcW w:w="140" w:type="dxa"/>
            <w:vAlign w:val="bottom"/>
            <w:shd w:val="clear" w:color="auto" w:fill="EAF9E8"/>
          </w:tcPr>
          <w:p>
            <w:pPr>
              <w:spacing w:after="0"/>
              <w:rPr>
                <w:sz w:val="22"/>
                <w:szCs w:val="22"/>
                <w:color w:val="auto"/>
              </w:rPr>
            </w:pPr>
          </w:p>
        </w:tc>
        <w:tc>
          <w:tcPr>
            <w:tcW w:w="11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(36)%</w:t>
            </w:r>
          </w:p>
        </w:tc>
      </w:tr>
      <w:tr>
        <w:trPr>
          <w:trHeight w:val="20"/>
        </w:trPr>
        <w:tc>
          <w:tcPr>
            <w:tcW w:w="2800" w:type="dxa"/>
            <w:vAlign w:val="bottom"/>
            <w:tcBorders>
              <w:top w:val="single" w:sz="8" w:color="EAF9E8"/>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020" w:type="dxa"/>
            <w:vAlign w:val="bottom"/>
            <w:tcBorders>
              <w:top w:val="single" w:sz="8" w:color="EAF9E8"/>
            </w:tcBorders>
            <w:gridSpan w:val="2"/>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020" w:type="dxa"/>
            <w:vAlign w:val="bottom"/>
            <w:tcBorders>
              <w:top w:val="single" w:sz="8" w:color="EAF9E8"/>
            </w:tcBorders>
          </w:tcPr>
          <w:p>
            <w:pPr>
              <w:spacing w:after="0" w:line="20" w:lineRule="exact"/>
              <w:rPr>
                <w:sz w:val="1"/>
                <w:szCs w:val="1"/>
                <w:color w:val="auto"/>
              </w:rPr>
            </w:pPr>
          </w:p>
        </w:tc>
      </w:tr>
      <w:tr>
        <w:trPr>
          <w:trHeight w:val="311"/>
        </w:trPr>
        <w:tc>
          <w:tcPr>
            <w:tcW w:w="2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0"/>
        </w:trPr>
        <w:tc>
          <w:tcPr>
            <w:tcW w:w="28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w w:val="90"/>
              </w:rPr>
              <w:t>Prepayment speed (average CPR) (4)</w:t>
            </w:r>
          </w:p>
        </w:tc>
        <w:tc>
          <w:tcPr>
            <w:tcW w:w="28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16%</w:t>
            </w:r>
          </w:p>
        </w:tc>
        <w:tc>
          <w:tcPr>
            <w:tcW w:w="1120" w:type="dxa"/>
            <w:vAlign w:val="bottom"/>
            <w:tcBorders>
              <w:bottom w:val="single" w:sz="8" w:color="EAF9E8"/>
            </w:tcBorders>
            <w:gridSpan w:val="3"/>
            <w:shd w:val="clear" w:color="auto" w:fill="EAF9E8"/>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gridSpan w:val="3"/>
            <w:shd w:val="clear" w:color="auto" w:fill="EAF9E8"/>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gridSpan w:val="3"/>
            <w:shd w:val="clear" w:color="auto" w:fill="EAF9E8"/>
          </w:tcPr>
          <w:p>
            <w:pPr>
              <w:jc w:val="right"/>
              <w:ind w:right="40"/>
              <w:spacing w:after="0"/>
              <w:rPr>
                <w:sz w:val="20"/>
                <w:szCs w:val="20"/>
                <w:color w:val="auto"/>
              </w:rPr>
            </w:pPr>
            <w:r>
              <w:rPr>
                <w:rFonts w:ascii="Arial" w:cs="Arial" w:eastAsia="Arial" w:hAnsi="Arial"/>
                <w:sz w:val="18"/>
                <w:szCs w:val="18"/>
                <w:color w:val="auto"/>
              </w:rPr>
              <w:t>15%</w:t>
            </w:r>
          </w:p>
        </w:tc>
        <w:tc>
          <w:tcPr>
            <w:tcW w:w="112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2800" w:type="dxa"/>
            <w:vAlign w:val="bottom"/>
          </w:tcPr>
          <w:p>
            <w:pPr>
              <w:ind w:left="180"/>
              <w:spacing w:after="0"/>
              <w:rPr>
                <w:sz w:val="20"/>
                <w:szCs w:val="20"/>
                <w:color w:val="auto"/>
              </w:rPr>
            </w:pPr>
            <w:r>
              <w:rPr>
                <w:rFonts w:ascii="Arial" w:cs="Arial" w:eastAsia="Arial" w:hAnsi="Arial"/>
                <w:sz w:val="18"/>
                <w:szCs w:val="18"/>
                <w:color w:val="auto"/>
              </w:rPr>
              <w:t>% Voluntary</w:t>
            </w:r>
          </w:p>
        </w:tc>
        <w:tc>
          <w:tcPr>
            <w:tcW w:w="28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82</w:t>
            </w:r>
          </w:p>
        </w:tc>
        <w:tc>
          <w:tcPr>
            <w:tcW w:w="1120" w:type="dxa"/>
            <w:vAlign w:val="bottom"/>
            <w:gridSpan w:val="3"/>
          </w:tcPr>
          <w:p>
            <w:pPr>
              <w:jc w:val="right"/>
              <w:ind w:right="9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78</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81</w:t>
            </w:r>
          </w:p>
        </w:tc>
        <w:tc>
          <w:tcPr>
            <w:tcW w:w="140" w:type="dxa"/>
            <w:vAlign w:val="bottom"/>
          </w:tcPr>
          <w:p>
            <w:pPr>
              <w:spacing w:after="0"/>
              <w:rPr>
                <w:sz w:val="21"/>
                <w:szCs w:val="21"/>
                <w:color w:val="auto"/>
              </w:rPr>
            </w:pPr>
          </w:p>
        </w:tc>
        <w:tc>
          <w:tcPr>
            <w:tcW w:w="1120" w:type="dxa"/>
            <w:vAlign w:val="bottom"/>
            <w:gridSpan w:val="2"/>
          </w:tcPr>
          <w:p>
            <w:pPr>
              <w:jc w:val="right"/>
              <w:ind w:right="90"/>
              <w:spacing w:after="0"/>
              <w:rPr>
                <w:sz w:val="20"/>
                <w:szCs w:val="20"/>
                <w:color w:val="auto"/>
              </w:rPr>
            </w:pPr>
            <w:r>
              <w:rPr>
                <w:rFonts w:ascii="Arial" w:cs="Arial" w:eastAsia="Arial" w:hAnsi="Arial"/>
                <w:sz w:val="18"/>
                <w:szCs w:val="18"/>
                <w:color w:val="auto"/>
              </w:rPr>
              <w:t>(4)</w:t>
            </w:r>
          </w:p>
        </w:tc>
      </w:tr>
    </w:tbl>
    <w:p>
      <w:pPr>
        <w:spacing w:after="0" w:line="200" w:lineRule="exact"/>
        <w:rPr>
          <w:sz w:val="20"/>
          <w:szCs w:val="20"/>
          <w:color w:val="auto"/>
        </w:rPr>
      </w:pPr>
    </w:p>
    <w:p>
      <w:pPr>
        <w:sectPr>
          <w:pgSz w:w="11900" w:h="16838" w:orient="portrait"/>
          <w:cols w:equalWidth="0" w:num="1">
            <w:col w:w="11420"/>
          </w:cols>
          <w:pgMar w:left="240" w:top="692" w:right="239" w:bottom="1440" w:gutter="0" w:footer="0" w:header="0"/>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420"/>
          </w:cols>
          <w:pgMar w:left="240" w:top="692" w:right="239" w:bottom="1440" w:gutter="0" w:footer="0" w:header="0"/>
          <w:type w:val="continuous"/>
        </w:sectPr>
      </w:pPr>
    </w:p>
    <w:bookmarkStart w:id="61" w:name="page62"/>
    <w:bookmarkEnd w:id="61"/>
    <w:tbl>
      <w:tblPr>
        <w:tblLayout w:type="fixed"/>
        <w:tblInd w:w="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560" w:type="dxa"/>
            <w:vAlign w:val="bottom"/>
            <w:gridSpan w:val="3"/>
          </w:tcPr>
          <w:p>
            <w:pPr>
              <w:jc w:val="right"/>
              <w:ind w:right="290"/>
              <w:spacing w:after="0"/>
              <w:rPr>
                <w:sz w:val="20"/>
                <w:szCs w:val="20"/>
                <w:color w:val="auto"/>
              </w:rPr>
            </w:pPr>
            <w:r>
              <w:rPr>
                <w:rFonts w:ascii="Arial" w:cs="Arial" w:eastAsia="Arial" w:hAnsi="Arial"/>
                <w:sz w:val="18"/>
                <w:szCs w:val="18"/>
                <w:b w:val="1"/>
                <w:bCs w:val="1"/>
                <w:color w:val="auto"/>
                <w:w w:val="98"/>
              </w:rPr>
              <w:t>Three Months</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w w:val="97"/>
              </w:rPr>
              <w:t>Six Months</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3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3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140" w:type="dxa"/>
            <w:vAlign w:val="bottom"/>
            <w:gridSpan w:val="2"/>
          </w:tcPr>
          <w:p>
            <w:pPr>
              <w:ind w:left="120"/>
              <w:spacing w:after="0"/>
              <w:rPr>
                <w:sz w:val="20"/>
                <w:szCs w:val="20"/>
                <w:color w:val="auto"/>
              </w:rPr>
            </w:pPr>
            <w:r>
              <w:rPr>
                <w:rFonts w:ascii="Arial" w:cs="Arial" w:eastAsia="Arial" w:hAnsi="Arial"/>
                <w:sz w:val="18"/>
                <w:szCs w:val="18"/>
                <w:b w:val="1"/>
                <w:bCs w:val="1"/>
                <w:color w:val="auto"/>
              </w:rPr>
              <w:t>% Change</w:t>
            </w: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 Change</w:t>
            </w:r>
          </w:p>
        </w:tc>
      </w:tr>
      <w:tr>
        <w:trPr>
          <w:trHeight w:val="27"/>
        </w:trPr>
        <w:tc>
          <w:tcPr>
            <w:tcW w:w="30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30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 Involuntary</w:t>
            </w:r>
          </w:p>
        </w:tc>
        <w:tc>
          <w:tcPr>
            <w:tcW w:w="3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18</w:t>
            </w:r>
          </w:p>
        </w:tc>
        <w:tc>
          <w:tcPr>
            <w:tcW w:w="114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19</w:t>
            </w:r>
          </w:p>
        </w:tc>
        <w:tc>
          <w:tcPr>
            <w:tcW w:w="114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16</w:t>
            </w:r>
          </w:p>
        </w:tc>
      </w:tr>
      <w:tr>
        <w:trPr>
          <w:trHeight w:val="243"/>
        </w:trPr>
        <w:tc>
          <w:tcPr>
            <w:tcW w:w="3000" w:type="dxa"/>
            <w:vAlign w:val="bottom"/>
          </w:tcPr>
          <w:p>
            <w:pPr>
              <w:ind w:left="180"/>
              <w:spacing w:after="0"/>
              <w:rPr>
                <w:sz w:val="20"/>
                <w:szCs w:val="20"/>
                <w:color w:val="auto"/>
              </w:rPr>
            </w:pPr>
            <w:r>
              <w:rPr>
                <w:rFonts w:ascii="Arial" w:cs="Arial" w:eastAsia="Arial" w:hAnsi="Arial"/>
                <w:sz w:val="18"/>
                <w:szCs w:val="18"/>
                <w:color w:val="auto"/>
                <w:w w:val="97"/>
              </w:rPr>
              <w:t>% CPR due to principal modification</w:t>
            </w: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7"/>
        </w:trPr>
        <w:tc>
          <w:tcPr>
            <w:tcW w:w="3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324"/>
        </w:trPr>
        <w:tc>
          <w:tcPr>
            <w:tcW w:w="3000" w:type="dxa"/>
            <w:vAlign w:val="bottom"/>
            <w:shd w:val="clear" w:color="auto" w:fill="EAF9E8"/>
          </w:tcPr>
          <w:p>
            <w:pPr>
              <w:spacing w:after="0"/>
              <w:rPr>
                <w:sz w:val="24"/>
                <w:szCs w:val="24"/>
                <w:color w:val="auto"/>
              </w:rPr>
            </w:pPr>
          </w:p>
        </w:tc>
        <w:tc>
          <w:tcPr>
            <w:tcW w:w="320" w:type="dxa"/>
            <w:vAlign w:val="bottom"/>
            <w:shd w:val="clear" w:color="auto" w:fill="EAF9E8"/>
          </w:tcPr>
          <w:p>
            <w:pPr>
              <w:spacing w:after="0"/>
              <w:rPr>
                <w:sz w:val="24"/>
                <w:szCs w:val="24"/>
                <w:color w:val="auto"/>
              </w:rPr>
            </w:pPr>
          </w:p>
        </w:tc>
        <w:tc>
          <w:tcPr>
            <w:tcW w:w="11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1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0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1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20" w:type="dxa"/>
            <w:vAlign w:val="bottom"/>
            <w:shd w:val="clear" w:color="auto" w:fill="EAF9E8"/>
          </w:tcPr>
          <w:p>
            <w:pPr>
              <w:spacing w:after="0"/>
              <w:rPr>
                <w:sz w:val="24"/>
                <w:szCs w:val="24"/>
                <w:color w:val="auto"/>
              </w:rPr>
            </w:pPr>
          </w:p>
        </w:tc>
        <w:tc>
          <w:tcPr>
            <w:tcW w:w="11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040" w:type="dxa"/>
            <w:vAlign w:val="bottom"/>
            <w:shd w:val="clear" w:color="auto" w:fill="EAF9E8"/>
          </w:tcPr>
          <w:p>
            <w:pPr>
              <w:spacing w:after="0"/>
              <w:rPr>
                <w:sz w:val="24"/>
                <w:szCs w:val="24"/>
                <w:color w:val="auto"/>
              </w:rPr>
            </w:pPr>
          </w:p>
        </w:tc>
      </w:tr>
      <w:tr>
        <w:trPr>
          <w:trHeight w:val="243"/>
        </w:trPr>
        <w:tc>
          <w:tcPr>
            <w:tcW w:w="3000" w:type="dxa"/>
            <w:vAlign w:val="bottom"/>
          </w:tcPr>
          <w:p>
            <w:pPr>
              <w:ind w:left="40"/>
              <w:spacing w:after="0"/>
              <w:rPr>
                <w:sz w:val="20"/>
                <w:szCs w:val="20"/>
                <w:color w:val="auto"/>
              </w:rPr>
            </w:pPr>
            <w:r>
              <w:rPr>
                <w:rFonts w:ascii="Arial" w:cs="Arial" w:eastAsia="Arial" w:hAnsi="Arial"/>
                <w:sz w:val="18"/>
                <w:szCs w:val="18"/>
                <w:color w:val="auto"/>
              </w:rPr>
              <w:t>Average count:</w:t>
            </w: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3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0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Servicing portfolio</w:t>
            </w:r>
          </w:p>
        </w:tc>
        <w:tc>
          <w:tcPr>
            <w:tcW w:w="3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1,450,656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2,011,597</w:t>
            </w:r>
          </w:p>
        </w:tc>
        <w:tc>
          <w:tcPr>
            <w:tcW w:w="114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1,470,887</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2,117,756</w:t>
            </w:r>
          </w:p>
        </w:tc>
        <w:tc>
          <w:tcPr>
            <w:tcW w:w="114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(31)%</w:t>
            </w:r>
          </w:p>
        </w:tc>
      </w:tr>
      <w:tr>
        <w:trPr>
          <w:trHeight w:val="243"/>
        </w:trPr>
        <w:tc>
          <w:tcPr>
            <w:tcW w:w="3000" w:type="dxa"/>
            <w:vAlign w:val="bottom"/>
          </w:tcPr>
          <w:p>
            <w:pPr>
              <w:ind w:left="180"/>
              <w:spacing w:after="0"/>
              <w:rPr>
                <w:sz w:val="20"/>
                <w:szCs w:val="20"/>
                <w:color w:val="auto"/>
              </w:rPr>
            </w:pPr>
            <w:r>
              <w:rPr>
                <w:rFonts w:ascii="Arial" w:cs="Arial" w:eastAsia="Arial" w:hAnsi="Arial"/>
                <w:sz w:val="18"/>
                <w:szCs w:val="18"/>
                <w:color w:val="auto"/>
              </w:rPr>
              <w:t>Subservicing portfolio</w:t>
            </w: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77,414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229,854</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87,563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228,965</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(62)</w:t>
            </w:r>
          </w:p>
        </w:tc>
      </w:tr>
      <w:tr>
        <w:trPr>
          <w:trHeight w:val="27"/>
        </w:trPr>
        <w:tc>
          <w:tcPr>
            <w:tcW w:w="30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r>
      <w:tr>
        <w:trPr>
          <w:trHeight w:val="257"/>
        </w:trPr>
        <w:tc>
          <w:tcPr>
            <w:tcW w:w="3000" w:type="dxa"/>
            <w:vAlign w:val="bottom"/>
            <w:tcBorders>
              <w:bottom w:val="single" w:sz="8" w:color="EAF9E8"/>
            </w:tcBorders>
            <w:shd w:val="clear" w:color="auto" w:fill="EAF9E8"/>
          </w:tcPr>
          <w:p>
            <w:pPr>
              <w:spacing w:after="0"/>
              <w:rPr>
                <w:sz w:val="22"/>
                <w:szCs w:val="22"/>
                <w:color w:val="auto"/>
              </w:rPr>
            </w:pPr>
          </w:p>
        </w:tc>
        <w:tc>
          <w:tcPr>
            <w:tcW w:w="320" w:type="dxa"/>
            <w:vAlign w:val="bottom"/>
            <w:tcBorders>
              <w:bottom w:val="single" w:sz="8" w:color="auto"/>
            </w:tcBorders>
            <w:shd w:val="clear" w:color="auto" w:fill="EAF9E8"/>
          </w:tcPr>
          <w:p>
            <w:pPr>
              <w:spacing w:after="0"/>
              <w:rPr>
                <w:sz w:val="22"/>
                <w:szCs w:val="22"/>
                <w:color w:val="auto"/>
              </w:rPr>
            </w:pPr>
          </w:p>
        </w:tc>
        <w:tc>
          <w:tcPr>
            <w:tcW w:w="112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1,528,070</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spacing w:after="0"/>
              <w:rPr>
                <w:sz w:val="22"/>
                <w:szCs w:val="22"/>
                <w:color w:val="auto"/>
              </w:rPr>
            </w:pPr>
          </w:p>
        </w:tc>
        <w:tc>
          <w:tcPr>
            <w:tcW w:w="112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2,241,451</w:t>
            </w:r>
          </w:p>
        </w:tc>
        <w:tc>
          <w:tcPr>
            <w:tcW w:w="114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spacing w:after="0"/>
              <w:rPr>
                <w:sz w:val="22"/>
                <w:szCs w:val="22"/>
                <w:color w:val="auto"/>
              </w:rPr>
            </w:pPr>
          </w:p>
        </w:tc>
        <w:tc>
          <w:tcPr>
            <w:tcW w:w="11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1,558,450</w:t>
            </w:r>
          </w:p>
        </w:tc>
        <w:tc>
          <w:tcPr>
            <w:tcW w:w="120" w:type="dxa"/>
            <w:vAlign w:val="bottom"/>
            <w:tcBorders>
              <w:bottom w:val="single" w:sz="8" w:color="EAF9E8"/>
            </w:tcBorders>
            <w:shd w:val="clear" w:color="auto" w:fill="EAF9E8"/>
          </w:tcPr>
          <w:p>
            <w:pPr>
              <w:spacing w:after="0"/>
              <w:rPr>
                <w:sz w:val="22"/>
                <w:szCs w:val="22"/>
                <w:color w:val="auto"/>
              </w:rPr>
            </w:pPr>
          </w:p>
        </w:tc>
        <w:tc>
          <w:tcPr>
            <w:tcW w:w="320" w:type="dxa"/>
            <w:vAlign w:val="bottom"/>
            <w:tcBorders>
              <w:bottom w:val="single" w:sz="8" w:color="auto"/>
            </w:tcBorders>
            <w:shd w:val="clear" w:color="auto" w:fill="EAF9E8"/>
          </w:tcPr>
          <w:p>
            <w:pPr>
              <w:spacing w:after="0"/>
              <w:rPr>
                <w:sz w:val="22"/>
                <w:szCs w:val="22"/>
                <w:color w:val="auto"/>
              </w:rPr>
            </w:pPr>
          </w:p>
        </w:tc>
        <w:tc>
          <w:tcPr>
            <w:tcW w:w="114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2,346,721</w:t>
            </w:r>
          </w:p>
        </w:tc>
        <w:tc>
          <w:tcPr>
            <w:tcW w:w="114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(34)%</w:t>
            </w:r>
          </w:p>
        </w:tc>
      </w:tr>
      <w:tr>
        <w:trPr>
          <w:trHeight w:val="20"/>
        </w:trPr>
        <w:tc>
          <w:tcPr>
            <w:tcW w:w="3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311"/>
        </w:trPr>
        <w:tc>
          <w:tcPr>
            <w:tcW w:w="3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25"/>
        </w:trPr>
        <w:tc>
          <w:tcPr>
            <w:tcW w:w="3000" w:type="dxa"/>
            <w:vAlign w:val="bottom"/>
            <w:shd w:val="clear" w:color="auto" w:fill="EAF9E8"/>
          </w:tcPr>
          <w:p>
            <w:pPr>
              <w:ind w:left="40"/>
              <w:spacing w:after="0"/>
              <w:rPr>
                <w:sz w:val="20"/>
                <w:szCs w:val="20"/>
                <w:color w:val="auto"/>
              </w:rPr>
            </w:pPr>
            <w:r>
              <w:rPr>
                <w:rFonts w:ascii="Arial" w:cs="Arial" w:eastAsia="Arial" w:hAnsi="Arial"/>
                <w:sz w:val="18"/>
                <w:szCs w:val="18"/>
                <w:b w:val="1"/>
                <w:bCs w:val="1"/>
                <w:color w:val="auto"/>
              </w:rPr>
              <w:t>Residential Servicing and</w:t>
            </w:r>
          </w:p>
        </w:tc>
        <w:tc>
          <w:tcPr>
            <w:tcW w:w="32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0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2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040" w:type="dxa"/>
            <w:vAlign w:val="bottom"/>
            <w:shd w:val="clear" w:color="auto" w:fill="EAF9E8"/>
          </w:tcPr>
          <w:p>
            <w:pPr>
              <w:spacing w:after="0"/>
              <w:rPr>
                <w:sz w:val="19"/>
                <w:szCs w:val="19"/>
                <w:color w:val="auto"/>
              </w:rPr>
            </w:pPr>
          </w:p>
        </w:tc>
      </w:tr>
      <w:tr>
        <w:trPr>
          <w:trHeight w:val="241"/>
        </w:trPr>
        <w:tc>
          <w:tcPr>
            <w:tcW w:w="3000" w:type="dxa"/>
            <w:vAlign w:val="bottom"/>
            <w:tcBorders>
              <w:bottom w:val="single" w:sz="8" w:color="EAF9E8"/>
            </w:tcBorders>
            <w:shd w:val="clear" w:color="auto" w:fill="EAF9E8"/>
          </w:tcPr>
          <w:p>
            <w:pPr>
              <w:ind w:left="200"/>
              <w:spacing w:after="0"/>
              <w:rPr>
                <w:sz w:val="20"/>
                <w:szCs w:val="20"/>
                <w:color w:val="auto"/>
              </w:rPr>
            </w:pPr>
            <w:r>
              <w:rPr>
                <w:rFonts w:ascii="Arial" w:cs="Arial" w:eastAsia="Arial" w:hAnsi="Arial"/>
                <w:sz w:val="18"/>
                <w:szCs w:val="18"/>
                <w:b w:val="1"/>
                <w:bCs w:val="1"/>
                <w:color w:val="auto"/>
              </w:rPr>
              <w:t>Subservicing Fees</w:t>
            </w:r>
          </w:p>
        </w:tc>
        <w:tc>
          <w:tcPr>
            <w:tcW w:w="320" w:type="dxa"/>
            <w:vAlign w:val="bottom"/>
            <w:tcBorders>
              <w:bottom w:val="single" w:sz="8" w:color="EAF9E8"/>
            </w:tcBorders>
            <w:shd w:val="clear" w:color="auto" w:fill="EAF9E8"/>
          </w:tcPr>
          <w:p>
            <w:pPr>
              <w:spacing w:after="0"/>
              <w:rPr>
                <w:sz w:val="20"/>
                <w:szCs w:val="20"/>
                <w:color w:val="auto"/>
              </w:rPr>
            </w:pPr>
          </w:p>
        </w:tc>
        <w:tc>
          <w:tcPr>
            <w:tcW w:w="112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340" w:type="dxa"/>
            <w:vAlign w:val="bottom"/>
            <w:tcBorders>
              <w:bottom w:val="single" w:sz="8" w:color="EAF9E8"/>
            </w:tcBorders>
            <w:shd w:val="clear" w:color="auto" w:fill="EAF9E8"/>
          </w:tcPr>
          <w:p>
            <w:pPr>
              <w:spacing w:after="0"/>
              <w:rPr>
                <w:sz w:val="20"/>
                <w:szCs w:val="20"/>
                <w:color w:val="auto"/>
              </w:rPr>
            </w:pPr>
          </w:p>
        </w:tc>
        <w:tc>
          <w:tcPr>
            <w:tcW w:w="112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104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340" w:type="dxa"/>
            <w:vAlign w:val="bottom"/>
            <w:tcBorders>
              <w:bottom w:val="single" w:sz="8" w:color="EAF9E8"/>
            </w:tcBorders>
            <w:shd w:val="clear" w:color="auto" w:fill="EAF9E8"/>
          </w:tcPr>
          <w:p>
            <w:pPr>
              <w:spacing w:after="0"/>
              <w:rPr>
                <w:sz w:val="20"/>
                <w:szCs w:val="20"/>
                <w:color w:val="auto"/>
              </w:rPr>
            </w:pPr>
          </w:p>
        </w:tc>
        <w:tc>
          <w:tcPr>
            <w:tcW w:w="112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320" w:type="dxa"/>
            <w:vAlign w:val="bottom"/>
            <w:tcBorders>
              <w:bottom w:val="single" w:sz="8" w:color="EAF9E8"/>
            </w:tcBorders>
            <w:shd w:val="clear" w:color="auto" w:fill="EAF9E8"/>
          </w:tcPr>
          <w:p>
            <w:pPr>
              <w:spacing w:after="0"/>
              <w:rPr>
                <w:sz w:val="20"/>
                <w:szCs w:val="20"/>
                <w:color w:val="auto"/>
              </w:rPr>
            </w:pPr>
          </w:p>
        </w:tc>
        <w:tc>
          <w:tcPr>
            <w:tcW w:w="114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1040" w:type="dxa"/>
            <w:vAlign w:val="bottom"/>
            <w:tcBorders>
              <w:bottom w:val="single" w:sz="8" w:color="EAF9E8"/>
            </w:tcBorders>
            <w:shd w:val="clear" w:color="auto" w:fill="EAF9E8"/>
          </w:tcPr>
          <w:p>
            <w:pPr>
              <w:spacing w:after="0"/>
              <w:rPr>
                <w:sz w:val="20"/>
                <w:szCs w:val="20"/>
                <w:color w:val="auto"/>
              </w:rPr>
            </w:pPr>
          </w:p>
        </w:tc>
      </w:tr>
      <w:tr>
        <w:trPr>
          <w:trHeight w:val="243"/>
        </w:trPr>
        <w:tc>
          <w:tcPr>
            <w:tcW w:w="3000" w:type="dxa"/>
            <w:vAlign w:val="bottom"/>
          </w:tcPr>
          <w:p>
            <w:pPr>
              <w:ind w:left="180"/>
              <w:spacing w:after="0"/>
              <w:rPr>
                <w:sz w:val="20"/>
                <w:szCs w:val="20"/>
                <w:color w:val="auto"/>
              </w:rPr>
            </w:pPr>
            <w:r>
              <w:rPr>
                <w:rFonts w:ascii="Arial" w:cs="Arial" w:eastAsia="Arial" w:hAnsi="Arial"/>
                <w:sz w:val="18"/>
                <w:szCs w:val="18"/>
                <w:color w:val="auto"/>
                <w:w w:val="93"/>
              </w:rPr>
              <w:t>Loan servicing and subservicing fees:</w:t>
            </w: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3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0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Servicing</w:t>
            </w:r>
          </w:p>
        </w:tc>
        <w:tc>
          <w:tcPr>
            <w:tcW w:w="32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234,291</w:t>
            </w:r>
          </w:p>
        </w:tc>
        <w:tc>
          <w:tcPr>
            <w:tcW w:w="440" w:type="dxa"/>
            <w:vAlign w:val="bottom"/>
            <w:tcBorders>
              <w:bottom w:val="single" w:sz="8" w:color="EAF9E8"/>
            </w:tcBorders>
            <w:gridSpan w:val="2"/>
            <w:shd w:val="clear" w:color="auto" w:fill="EAF9E8"/>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296,062</w:t>
            </w:r>
          </w:p>
        </w:tc>
        <w:tc>
          <w:tcPr>
            <w:tcW w:w="114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471,890</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626,511</w:t>
            </w:r>
          </w:p>
        </w:tc>
        <w:tc>
          <w:tcPr>
            <w:tcW w:w="114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(25)%</w:t>
            </w:r>
          </w:p>
        </w:tc>
      </w:tr>
      <w:tr>
        <w:trPr>
          <w:trHeight w:val="243"/>
        </w:trPr>
        <w:tc>
          <w:tcPr>
            <w:tcW w:w="3000" w:type="dxa"/>
            <w:vAlign w:val="bottom"/>
          </w:tcPr>
          <w:p>
            <w:pPr>
              <w:ind w:left="280"/>
              <w:spacing w:after="0"/>
              <w:rPr>
                <w:sz w:val="20"/>
                <w:szCs w:val="20"/>
                <w:color w:val="auto"/>
              </w:rPr>
            </w:pPr>
            <w:r>
              <w:rPr>
                <w:rFonts w:ascii="Arial" w:cs="Arial" w:eastAsia="Arial" w:hAnsi="Arial"/>
                <w:sz w:val="18"/>
                <w:szCs w:val="18"/>
                <w:color w:val="auto"/>
              </w:rPr>
              <w:t>Subservicing</w:t>
            </w: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5,256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15,309</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12,495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33,650</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(63)</w:t>
            </w:r>
          </w:p>
        </w:tc>
      </w:tr>
      <w:tr>
        <w:trPr>
          <w:trHeight w:val="27"/>
        </w:trPr>
        <w:tc>
          <w:tcPr>
            <w:tcW w:w="30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r>
      <w:tr>
        <w:trPr>
          <w:trHeight w:val="244"/>
        </w:trPr>
        <w:tc>
          <w:tcPr>
            <w:tcW w:w="30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239,547</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311,371</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484,385</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660,161</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(27)</w:t>
            </w:r>
          </w:p>
        </w:tc>
      </w:tr>
      <w:tr>
        <w:trPr>
          <w:trHeight w:val="243"/>
        </w:trPr>
        <w:tc>
          <w:tcPr>
            <w:tcW w:w="3000" w:type="dxa"/>
            <w:vAlign w:val="bottom"/>
          </w:tcPr>
          <w:p>
            <w:pPr>
              <w:ind w:left="180"/>
              <w:spacing w:after="0"/>
              <w:rPr>
                <w:sz w:val="20"/>
                <w:szCs w:val="20"/>
                <w:color w:val="auto"/>
              </w:rPr>
            </w:pPr>
            <w:r>
              <w:rPr>
                <w:rFonts w:ascii="Arial" w:cs="Arial" w:eastAsia="Arial" w:hAnsi="Arial"/>
                <w:sz w:val="18"/>
                <w:szCs w:val="18"/>
                <w:color w:val="auto"/>
              </w:rPr>
              <w:t>HAMP fees</w:t>
            </w: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33,486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41,203</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56,108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76,379</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(27)</w:t>
            </w:r>
          </w:p>
        </w:tc>
      </w:tr>
      <w:tr>
        <w:trPr>
          <w:trHeight w:val="27"/>
        </w:trPr>
        <w:tc>
          <w:tcPr>
            <w:tcW w:w="3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0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Late charges</w:t>
            </w:r>
          </w:p>
        </w:tc>
        <w:tc>
          <w:tcPr>
            <w:tcW w:w="3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17,380</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20,137</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35,906</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44,153</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(19)</w:t>
            </w:r>
          </w:p>
        </w:tc>
      </w:tr>
      <w:tr>
        <w:trPr>
          <w:trHeight w:val="243"/>
        </w:trPr>
        <w:tc>
          <w:tcPr>
            <w:tcW w:w="3000" w:type="dxa"/>
            <w:vAlign w:val="bottom"/>
          </w:tcPr>
          <w:p>
            <w:pPr>
              <w:ind w:left="180"/>
              <w:spacing w:after="0"/>
              <w:rPr>
                <w:sz w:val="20"/>
                <w:szCs w:val="20"/>
                <w:color w:val="auto"/>
              </w:rPr>
            </w:pPr>
            <w:r>
              <w:rPr>
                <w:rFonts w:ascii="Arial" w:cs="Arial" w:eastAsia="Arial" w:hAnsi="Arial"/>
                <w:sz w:val="18"/>
                <w:szCs w:val="18"/>
                <w:color w:val="auto"/>
              </w:rPr>
              <w:t>Loan collection fees</w:t>
            </w: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6,974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8,917</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14,093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18,468</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(24)</w:t>
            </w:r>
          </w:p>
        </w:tc>
      </w:tr>
      <w:tr>
        <w:trPr>
          <w:trHeight w:val="27"/>
        </w:trPr>
        <w:tc>
          <w:tcPr>
            <w:tcW w:w="3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30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7,585</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12,543</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10,340</w:t>
            </w:r>
          </w:p>
        </w:tc>
        <w:tc>
          <w:tcPr>
            <w:tcW w:w="120" w:type="dxa"/>
            <w:vAlign w:val="bottom"/>
            <w:tcBorders>
              <w:bottom w:val="single" w:sz="8" w:color="EAF9E8"/>
            </w:tcBorders>
            <w:shd w:val="clear" w:color="auto" w:fill="EAF9E8"/>
          </w:tcPr>
          <w:p>
            <w:pPr>
              <w:spacing w:after="0"/>
              <w:rPr>
                <w:sz w:val="23"/>
                <w:szCs w:val="23"/>
                <w:color w:val="auto"/>
              </w:rPr>
            </w:pPr>
          </w:p>
        </w:tc>
        <w:tc>
          <w:tcPr>
            <w:tcW w:w="32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38,913</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(73)</w:t>
            </w:r>
          </w:p>
        </w:tc>
      </w:tr>
      <w:tr>
        <w:trPr>
          <w:trHeight w:val="297"/>
        </w:trPr>
        <w:tc>
          <w:tcPr>
            <w:tcW w:w="3000" w:type="dxa"/>
            <w:vAlign w:val="bottom"/>
            <w:tcBorders>
              <w:bottom w:val="single" w:sz="8" w:color="EAF9E8"/>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304,972</w:t>
            </w:r>
          </w:p>
        </w:tc>
        <w:tc>
          <w:tcPr>
            <w:tcW w:w="100" w:type="dxa"/>
            <w:vAlign w:val="bottom"/>
            <w:tcBorders>
              <w:bottom w:val="single" w:sz="8" w:color="EAF9E8"/>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394,171</w:t>
            </w:r>
          </w:p>
        </w:tc>
        <w:tc>
          <w:tcPr>
            <w:tcW w:w="1140" w:type="dxa"/>
            <w:vAlign w:val="bottom"/>
            <w:tcBorders>
              <w:bottom w:val="single" w:sz="8" w:color="EAF9E8"/>
            </w:tcBorders>
            <w:gridSpan w:val="2"/>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EAF9E8"/>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600,832</w:t>
            </w:r>
          </w:p>
        </w:tc>
        <w:tc>
          <w:tcPr>
            <w:tcW w:w="120" w:type="dxa"/>
            <w:vAlign w:val="bottom"/>
            <w:tcBorders>
              <w:bottom w:val="single" w:sz="8" w:color="EAF9E8"/>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838,074</w:t>
            </w:r>
          </w:p>
        </w:tc>
        <w:tc>
          <w:tcPr>
            <w:tcW w:w="1140" w:type="dxa"/>
            <w:vAlign w:val="bottom"/>
            <w:tcBorders>
              <w:bottom w:val="single" w:sz="8" w:color="EAF9E8"/>
            </w:tcBorders>
            <w:gridSpan w:val="2"/>
          </w:tcPr>
          <w:p>
            <w:pPr>
              <w:jc w:val="right"/>
              <w:spacing w:after="0"/>
              <w:rPr>
                <w:sz w:val="20"/>
                <w:szCs w:val="20"/>
                <w:color w:val="auto"/>
              </w:rPr>
            </w:pPr>
            <w:r>
              <w:rPr>
                <w:rFonts w:ascii="Arial" w:cs="Arial" w:eastAsia="Arial" w:hAnsi="Arial"/>
                <w:sz w:val="18"/>
                <w:szCs w:val="18"/>
                <w:color w:val="auto"/>
              </w:rPr>
              <w:t>(28)%</w:t>
            </w:r>
          </w:p>
        </w:tc>
      </w:tr>
      <w:tr>
        <w:trPr>
          <w:trHeight w:val="284"/>
        </w:trPr>
        <w:tc>
          <w:tcPr>
            <w:tcW w:w="3000" w:type="dxa"/>
            <w:vAlign w:val="bottom"/>
            <w:shd w:val="clear" w:color="auto" w:fill="EAF9E8"/>
          </w:tcPr>
          <w:p>
            <w:pPr>
              <w:spacing w:after="0"/>
              <w:rPr>
                <w:sz w:val="24"/>
                <w:szCs w:val="24"/>
                <w:color w:val="auto"/>
              </w:rPr>
            </w:pPr>
          </w:p>
        </w:tc>
        <w:tc>
          <w:tcPr>
            <w:tcW w:w="320" w:type="dxa"/>
            <w:vAlign w:val="bottom"/>
            <w:shd w:val="clear" w:color="auto" w:fill="EAF9E8"/>
          </w:tcPr>
          <w:p>
            <w:pPr>
              <w:spacing w:after="0"/>
              <w:rPr>
                <w:sz w:val="24"/>
                <w:szCs w:val="24"/>
                <w:color w:val="auto"/>
              </w:rPr>
            </w:pPr>
          </w:p>
        </w:tc>
        <w:tc>
          <w:tcPr>
            <w:tcW w:w="11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1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0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1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20" w:type="dxa"/>
            <w:vAlign w:val="bottom"/>
            <w:shd w:val="clear" w:color="auto" w:fill="EAF9E8"/>
          </w:tcPr>
          <w:p>
            <w:pPr>
              <w:spacing w:after="0"/>
              <w:rPr>
                <w:sz w:val="24"/>
                <w:szCs w:val="24"/>
                <w:color w:val="auto"/>
              </w:rPr>
            </w:pPr>
          </w:p>
        </w:tc>
        <w:tc>
          <w:tcPr>
            <w:tcW w:w="11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040" w:type="dxa"/>
            <w:vAlign w:val="bottom"/>
            <w:shd w:val="clear" w:color="auto" w:fill="EAF9E8"/>
          </w:tcPr>
          <w:p>
            <w:pPr>
              <w:spacing w:after="0"/>
              <w:rPr>
                <w:sz w:val="24"/>
                <w:szCs w:val="24"/>
                <w:color w:val="auto"/>
              </w:rPr>
            </w:pPr>
          </w:p>
        </w:tc>
      </w:tr>
      <w:tr>
        <w:trPr>
          <w:trHeight w:val="243"/>
        </w:trPr>
        <w:tc>
          <w:tcPr>
            <w:tcW w:w="3000" w:type="dxa"/>
            <w:vAlign w:val="bottom"/>
          </w:tcPr>
          <w:p>
            <w:pPr>
              <w:ind w:left="40"/>
              <w:spacing w:after="0"/>
              <w:rPr>
                <w:sz w:val="20"/>
                <w:szCs w:val="20"/>
                <w:color w:val="auto"/>
              </w:rPr>
            </w:pPr>
            <w:r>
              <w:rPr>
                <w:rFonts w:ascii="Arial" w:cs="Arial" w:eastAsia="Arial" w:hAnsi="Arial"/>
                <w:sz w:val="18"/>
                <w:szCs w:val="18"/>
                <w:b w:val="1"/>
                <w:bCs w:val="1"/>
                <w:color w:val="auto"/>
                <w:w w:val="95"/>
              </w:rPr>
              <w:t>Number of Completed Modifications</w:t>
            </w: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3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0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HAMP</w:t>
            </w:r>
          </w:p>
        </w:tc>
        <w:tc>
          <w:tcPr>
            <w:tcW w:w="3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10,941</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11,323</w:t>
            </w:r>
          </w:p>
        </w:tc>
        <w:tc>
          <w:tcPr>
            <w:tcW w:w="114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18,640</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23,275</w:t>
            </w:r>
          </w:p>
        </w:tc>
        <w:tc>
          <w:tcPr>
            <w:tcW w:w="114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3000" w:type="dxa"/>
            <w:vAlign w:val="bottom"/>
          </w:tcPr>
          <w:p>
            <w:pPr>
              <w:ind w:left="180"/>
              <w:spacing w:after="0"/>
              <w:rPr>
                <w:sz w:val="20"/>
                <w:szCs w:val="20"/>
                <w:color w:val="auto"/>
              </w:rPr>
            </w:pPr>
            <w:r>
              <w:rPr>
                <w:rFonts w:ascii="Arial" w:cs="Arial" w:eastAsia="Arial" w:hAnsi="Arial"/>
                <w:sz w:val="18"/>
                <w:szCs w:val="18"/>
                <w:color w:val="auto"/>
              </w:rPr>
              <w:t>Non-HAMP</w:t>
            </w: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8,788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11,849</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17,693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24,907</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(29)</w:t>
            </w:r>
          </w:p>
        </w:tc>
      </w:tr>
      <w:tr>
        <w:trPr>
          <w:trHeight w:val="27"/>
        </w:trPr>
        <w:tc>
          <w:tcPr>
            <w:tcW w:w="30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r>
      <w:tr>
        <w:trPr>
          <w:trHeight w:val="257"/>
        </w:trPr>
        <w:tc>
          <w:tcPr>
            <w:tcW w:w="30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EAF9E8"/>
          </w:tcPr>
          <w:p>
            <w:pPr>
              <w:spacing w:after="0"/>
              <w:rPr>
                <w:sz w:val="22"/>
                <w:szCs w:val="22"/>
                <w:color w:val="auto"/>
              </w:rPr>
            </w:pPr>
          </w:p>
        </w:tc>
        <w:tc>
          <w:tcPr>
            <w:tcW w:w="112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19,729</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spacing w:after="0"/>
              <w:rPr>
                <w:sz w:val="22"/>
                <w:szCs w:val="22"/>
                <w:color w:val="auto"/>
              </w:rPr>
            </w:pPr>
          </w:p>
        </w:tc>
        <w:tc>
          <w:tcPr>
            <w:tcW w:w="112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23,172</w:t>
            </w:r>
          </w:p>
        </w:tc>
        <w:tc>
          <w:tcPr>
            <w:tcW w:w="114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spacing w:after="0"/>
              <w:rPr>
                <w:sz w:val="22"/>
                <w:szCs w:val="22"/>
                <w:color w:val="auto"/>
              </w:rPr>
            </w:pPr>
          </w:p>
        </w:tc>
        <w:tc>
          <w:tcPr>
            <w:tcW w:w="11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36,333</w:t>
            </w:r>
          </w:p>
        </w:tc>
        <w:tc>
          <w:tcPr>
            <w:tcW w:w="120" w:type="dxa"/>
            <w:vAlign w:val="bottom"/>
            <w:tcBorders>
              <w:bottom w:val="single" w:sz="8" w:color="EAF9E8"/>
            </w:tcBorders>
            <w:shd w:val="clear" w:color="auto" w:fill="EAF9E8"/>
          </w:tcPr>
          <w:p>
            <w:pPr>
              <w:spacing w:after="0"/>
              <w:rPr>
                <w:sz w:val="22"/>
                <w:szCs w:val="22"/>
                <w:color w:val="auto"/>
              </w:rPr>
            </w:pPr>
          </w:p>
        </w:tc>
        <w:tc>
          <w:tcPr>
            <w:tcW w:w="320" w:type="dxa"/>
            <w:vAlign w:val="bottom"/>
            <w:tcBorders>
              <w:bottom w:val="single" w:sz="8" w:color="auto"/>
            </w:tcBorders>
            <w:shd w:val="clear" w:color="auto" w:fill="EAF9E8"/>
          </w:tcPr>
          <w:p>
            <w:pPr>
              <w:spacing w:after="0"/>
              <w:rPr>
                <w:sz w:val="22"/>
                <w:szCs w:val="22"/>
                <w:color w:val="auto"/>
              </w:rPr>
            </w:pPr>
          </w:p>
        </w:tc>
        <w:tc>
          <w:tcPr>
            <w:tcW w:w="114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48,182</w:t>
            </w:r>
          </w:p>
        </w:tc>
        <w:tc>
          <w:tcPr>
            <w:tcW w:w="114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3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743"/>
        </w:trPr>
        <w:tc>
          <w:tcPr>
            <w:tcW w:w="3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742" w:right="239" w:bottom="1440" w:gutter="0" w:footer="0" w:header="0"/>
        </w:sectPr>
      </w:pPr>
    </w:p>
    <w:bookmarkStart w:id="62" w:name="page63"/>
    <w:bookmarkEnd w:id="6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20" w:type="dxa"/>
            <w:vAlign w:val="bottom"/>
            <w:gridSpan w:val="3"/>
          </w:tcPr>
          <w:p>
            <w:pPr>
              <w:jc w:val="right"/>
              <w:ind w:right="350"/>
              <w:spacing w:after="0"/>
              <w:rPr>
                <w:sz w:val="20"/>
                <w:szCs w:val="20"/>
                <w:color w:val="auto"/>
              </w:rPr>
            </w:pPr>
            <w:r>
              <w:rPr>
                <w:rFonts w:ascii="Arial" w:cs="Arial" w:eastAsia="Arial" w:hAnsi="Arial"/>
                <w:sz w:val="18"/>
                <w:szCs w:val="18"/>
                <w:b w:val="1"/>
                <w:bCs w:val="1"/>
                <w:color w:val="auto"/>
                <w:w w:val="98"/>
              </w:rPr>
              <w:t>Three Months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2"/>
          </w:tcPr>
          <w:p>
            <w:pPr>
              <w:jc w:val="right"/>
              <w:ind w:right="450"/>
              <w:spacing w:after="0"/>
              <w:rPr>
                <w:sz w:val="20"/>
                <w:szCs w:val="20"/>
                <w:color w:val="auto"/>
              </w:rPr>
            </w:pPr>
            <w:r>
              <w:rPr>
                <w:rFonts w:ascii="Arial" w:cs="Arial" w:eastAsia="Arial" w:hAnsi="Arial"/>
                <w:sz w:val="18"/>
                <w:szCs w:val="18"/>
                <w:b w:val="1"/>
                <w:bCs w:val="1"/>
                <w:color w:val="auto"/>
                <w:w w:val="99"/>
              </w:rPr>
              <w:t>Six Months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120" w:type="dxa"/>
            <w:vAlign w:val="bottom"/>
            <w:gridSpan w:val="2"/>
          </w:tcPr>
          <w:p>
            <w:pPr>
              <w:ind w:left="100"/>
              <w:spacing w:after="0"/>
              <w:rPr>
                <w:sz w:val="20"/>
                <w:szCs w:val="20"/>
                <w:color w:val="auto"/>
              </w:rPr>
            </w:pPr>
            <w:r>
              <w:rPr>
                <w:rFonts w:ascii="Arial" w:cs="Arial" w:eastAsia="Arial" w:hAnsi="Arial"/>
                <w:sz w:val="18"/>
                <w:szCs w:val="18"/>
                <w:b w:val="1"/>
                <w:bCs w:val="1"/>
                <w:color w:val="auto"/>
              </w:rPr>
              <w:t>% Change</w:t>
            </w:r>
          </w:p>
        </w:tc>
        <w:tc>
          <w:tcPr>
            <w:tcW w:w="300" w:type="dxa"/>
            <w:vAlign w:val="bottom"/>
          </w:tcPr>
          <w:p>
            <w:pPr>
              <w:spacing w:after="0"/>
              <w:rPr>
                <w:sz w:val="20"/>
                <w:szCs w:val="20"/>
                <w:color w:val="auto"/>
              </w:rPr>
            </w:pPr>
          </w:p>
        </w:tc>
        <w:tc>
          <w:tcPr>
            <w:tcW w:w="120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7"/>
        </w:trPr>
        <w:tc>
          <w:tcPr>
            <w:tcW w:w="284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8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Financing Costs</w:t>
            </w:r>
          </w:p>
        </w:tc>
        <w:tc>
          <w:tcPr>
            <w:tcW w:w="32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840" w:type="dxa"/>
            <w:vAlign w:val="bottom"/>
          </w:tcPr>
          <w:p>
            <w:pPr>
              <w:ind w:left="40"/>
              <w:spacing w:after="0"/>
              <w:rPr>
                <w:sz w:val="20"/>
                <w:szCs w:val="20"/>
                <w:color w:val="auto"/>
              </w:rPr>
            </w:pPr>
            <w:r>
              <w:rPr>
                <w:rFonts w:ascii="Arial" w:cs="Arial" w:eastAsia="Arial" w:hAnsi="Arial"/>
                <w:sz w:val="18"/>
                <w:szCs w:val="18"/>
                <w:color w:val="auto"/>
              </w:rPr>
              <w:t>Average balance of advances and</w:t>
            </w: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40" w:type="dxa"/>
            <w:vAlign w:val="bottom"/>
          </w:tcPr>
          <w:p>
            <w:pPr>
              <w:ind w:left="200"/>
              <w:spacing w:after="0"/>
              <w:rPr>
                <w:sz w:val="20"/>
                <w:szCs w:val="20"/>
                <w:color w:val="auto"/>
              </w:rPr>
            </w:pPr>
            <w:r>
              <w:rPr>
                <w:rFonts w:ascii="Arial" w:cs="Arial" w:eastAsia="Arial" w:hAnsi="Arial"/>
                <w:sz w:val="18"/>
                <w:szCs w:val="18"/>
                <w:color w:val="auto"/>
              </w:rPr>
              <w:t>match funded advances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1,970,440</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2,873,848</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2,037,767</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3,016,537</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Average borrowings</w:t>
            </w:r>
          </w:p>
        </w:tc>
        <w:tc>
          <w:tcPr>
            <w:tcW w:w="32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40" w:type="dxa"/>
            <w:vAlign w:val="bottom"/>
          </w:tcPr>
          <w:p>
            <w:pPr>
              <w:ind w:left="180"/>
              <w:spacing w:after="0"/>
              <w:rPr>
                <w:sz w:val="20"/>
                <w:szCs w:val="20"/>
                <w:color w:val="auto"/>
              </w:rPr>
            </w:pPr>
            <w:r>
              <w:rPr>
                <w:rFonts w:ascii="Arial" w:cs="Arial" w:eastAsia="Arial" w:hAnsi="Arial"/>
                <w:sz w:val="18"/>
                <w:szCs w:val="18"/>
                <w:color w:val="auto"/>
              </w:rPr>
              <w:t>Match funded liabilities</w:t>
            </w:r>
          </w:p>
        </w:tc>
        <w:tc>
          <w:tcPr>
            <w:tcW w:w="32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1,485,302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1,877,385</w:t>
            </w:r>
          </w:p>
        </w:tc>
        <w:tc>
          <w:tcPr>
            <w:tcW w:w="1120" w:type="dxa"/>
            <w:vAlign w:val="bottom"/>
            <w:gridSpan w:val="2"/>
          </w:tcPr>
          <w:p>
            <w:pPr>
              <w:jc w:val="right"/>
              <w:ind w:right="11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1,521,644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1,929,200</w:t>
            </w:r>
          </w:p>
        </w:tc>
        <w:tc>
          <w:tcPr>
            <w:tcW w:w="1120" w:type="dxa"/>
            <w:vAlign w:val="bottom"/>
            <w:gridSpan w:val="2"/>
          </w:tcPr>
          <w:p>
            <w:pPr>
              <w:jc w:val="right"/>
              <w:ind w:right="9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Financing liabilities</w:t>
            </w:r>
          </w:p>
        </w:tc>
        <w:tc>
          <w:tcPr>
            <w:tcW w:w="32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655,263</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773,440</w:t>
            </w:r>
          </w:p>
        </w:tc>
        <w:tc>
          <w:tcPr>
            <w:tcW w:w="1120" w:type="dxa"/>
            <w:vAlign w:val="bottom"/>
            <w:tcBorders>
              <w:bottom w:val="single" w:sz="8" w:color="EAF9E8"/>
            </w:tcBorders>
            <w:gridSpan w:val="2"/>
            <w:shd w:val="clear" w:color="auto" w:fill="EAF9E8"/>
          </w:tcPr>
          <w:p>
            <w:pPr>
              <w:jc w:val="right"/>
              <w:ind w:right="11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668,278</w:t>
            </w: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790,740</w:t>
            </w:r>
          </w:p>
        </w:tc>
        <w:tc>
          <w:tcPr>
            <w:tcW w:w="11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2840" w:type="dxa"/>
            <w:vAlign w:val="bottom"/>
          </w:tcPr>
          <w:p>
            <w:pPr>
              <w:ind w:left="180"/>
              <w:spacing w:after="0"/>
              <w:rPr>
                <w:sz w:val="20"/>
                <w:szCs w:val="20"/>
                <w:color w:val="auto"/>
              </w:rPr>
            </w:pPr>
            <w:r>
              <w:rPr>
                <w:rFonts w:ascii="Arial" w:cs="Arial" w:eastAsia="Arial" w:hAnsi="Arial"/>
                <w:sz w:val="18"/>
                <w:szCs w:val="18"/>
                <w:color w:val="auto"/>
              </w:rPr>
              <w:t>Other secured borrowings</w:t>
            </w:r>
          </w:p>
        </w:tc>
        <w:tc>
          <w:tcPr>
            <w:tcW w:w="32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405,985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1,131,653</w:t>
            </w:r>
          </w:p>
        </w:tc>
        <w:tc>
          <w:tcPr>
            <w:tcW w:w="1120" w:type="dxa"/>
            <w:vAlign w:val="bottom"/>
            <w:gridSpan w:val="2"/>
          </w:tcPr>
          <w:p>
            <w:pPr>
              <w:jc w:val="right"/>
              <w:ind w:right="11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413,362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1,226,852</w:t>
            </w:r>
          </w:p>
        </w:tc>
        <w:tc>
          <w:tcPr>
            <w:tcW w:w="1120" w:type="dxa"/>
            <w:vAlign w:val="bottom"/>
            <w:gridSpan w:val="2"/>
          </w:tcPr>
          <w:p>
            <w:pPr>
              <w:jc w:val="right"/>
              <w:ind w:right="9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Interest expense on borrowings</w:t>
            </w:r>
          </w:p>
        </w:tc>
        <w:tc>
          <w:tcPr>
            <w:tcW w:w="32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40" w:type="dxa"/>
            <w:vAlign w:val="bottom"/>
          </w:tcPr>
          <w:p>
            <w:pPr>
              <w:ind w:left="180"/>
              <w:spacing w:after="0"/>
              <w:rPr>
                <w:sz w:val="20"/>
                <w:szCs w:val="20"/>
                <w:color w:val="auto"/>
              </w:rPr>
            </w:pPr>
            <w:r>
              <w:rPr>
                <w:rFonts w:ascii="Arial" w:cs="Arial" w:eastAsia="Arial" w:hAnsi="Arial"/>
                <w:sz w:val="18"/>
                <w:szCs w:val="18"/>
                <w:color w:val="auto"/>
              </w:rPr>
              <w:t>Match funded liabilities</w:t>
            </w:r>
          </w:p>
        </w:tc>
        <w:tc>
          <w:tcPr>
            <w:tcW w:w="32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18,133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15,674</w:t>
            </w:r>
          </w:p>
        </w:tc>
        <w:tc>
          <w:tcPr>
            <w:tcW w:w="1120" w:type="dxa"/>
            <w:vAlign w:val="bottom"/>
            <w:gridSpan w:val="2"/>
          </w:tcPr>
          <w:p>
            <w:pPr>
              <w:jc w:val="right"/>
              <w:ind w:right="17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36,307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29,995</w:t>
            </w:r>
          </w:p>
        </w:tc>
        <w:tc>
          <w:tcPr>
            <w:tcW w:w="1120" w:type="dxa"/>
            <w:vAlign w:val="bottom"/>
            <w:gridSpan w:val="2"/>
          </w:tcPr>
          <w:p>
            <w:pPr>
              <w:jc w:val="right"/>
              <w:ind w:right="15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Financing liabilities</w:t>
            </w:r>
          </w:p>
        </w:tc>
        <w:tc>
          <w:tcPr>
            <w:tcW w:w="32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52,803</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74,448</w:t>
            </w:r>
          </w:p>
        </w:tc>
        <w:tc>
          <w:tcPr>
            <w:tcW w:w="1120" w:type="dxa"/>
            <w:vAlign w:val="bottom"/>
            <w:tcBorders>
              <w:bottom w:val="single" w:sz="8" w:color="EAF9E8"/>
            </w:tcBorders>
            <w:gridSpan w:val="2"/>
            <w:shd w:val="clear" w:color="auto" w:fill="EAF9E8"/>
          </w:tcPr>
          <w:p>
            <w:pPr>
              <w:jc w:val="right"/>
              <w:ind w:right="110"/>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120,578</w:t>
            </w: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148,334</w:t>
            </w:r>
          </w:p>
        </w:tc>
        <w:tc>
          <w:tcPr>
            <w:tcW w:w="11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2840" w:type="dxa"/>
            <w:vAlign w:val="bottom"/>
          </w:tcPr>
          <w:p>
            <w:pPr>
              <w:ind w:left="180"/>
              <w:spacing w:after="0"/>
              <w:rPr>
                <w:sz w:val="20"/>
                <w:szCs w:val="20"/>
                <w:color w:val="auto"/>
              </w:rPr>
            </w:pPr>
            <w:r>
              <w:rPr>
                <w:rFonts w:ascii="Arial" w:cs="Arial" w:eastAsia="Arial" w:hAnsi="Arial"/>
                <w:sz w:val="18"/>
                <w:szCs w:val="18"/>
                <w:color w:val="auto"/>
              </w:rPr>
              <w:t>Other secured borrowings</w:t>
            </w:r>
          </w:p>
        </w:tc>
        <w:tc>
          <w:tcPr>
            <w:tcW w:w="32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9,018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23,565</w:t>
            </w:r>
          </w:p>
        </w:tc>
        <w:tc>
          <w:tcPr>
            <w:tcW w:w="1120" w:type="dxa"/>
            <w:vAlign w:val="bottom"/>
            <w:gridSpan w:val="2"/>
          </w:tcPr>
          <w:p>
            <w:pPr>
              <w:jc w:val="right"/>
              <w:ind w:right="11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18,283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43,843</w:t>
            </w:r>
          </w:p>
        </w:tc>
        <w:tc>
          <w:tcPr>
            <w:tcW w:w="1120" w:type="dxa"/>
            <w:vAlign w:val="bottom"/>
            <w:gridSpan w:val="2"/>
          </w:tcPr>
          <w:p>
            <w:pPr>
              <w:jc w:val="right"/>
              <w:ind w:right="9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Effective average interest rate (5)</w:t>
            </w:r>
          </w:p>
        </w:tc>
        <w:tc>
          <w:tcPr>
            <w:tcW w:w="32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40" w:type="dxa"/>
            <w:vAlign w:val="bottom"/>
          </w:tcPr>
          <w:p>
            <w:pPr>
              <w:ind w:left="180"/>
              <w:spacing w:after="0"/>
              <w:rPr>
                <w:sz w:val="20"/>
                <w:szCs w:val="20"/>
                <w:color w:val="auto"/>
              </w:rPr>
            </w:pPr>
            <w:r>
              <w:rPr>
                <w:rFonts w:ascii="Arial" w:cs="Arial" w:eastAsia="Arial" w:hAnsi="Arial"/>
                <w:sz w:val="18"/>
                <w:szCs w:val="18"/>
                <w:color w:val="auto"/>
              </w:rPr>
              <w:t>Match funded liabilities</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3.34%</w:t>
            </w:r>
          </w:p>
        </w:tc>
        <w:tc>
          <w:tcPr>
            <w:tcW w:w="1120" w:type="dxa"/>
            <w:vAlign w:val="bottom"/>
            <w:gridSpan w:val="2"/>
          </w:tcPr>
          <w:p>
            <w:pPr>
              <w:jc w:val="right"/>
              <w:ind w:right="17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3.11%</w:t>
            </w:r>
          </w:p>
        </w:tc>
        <w:tc>
          <w:tcPr>
            <w:tcW w:w="1120" w:type="dxa"/>
            <w:vAlign w:val="bottom"/>
            <w:gridSpan w:val="2"/>
          </w:tcPr>
          <w:p>
            <w:pPr>
              <w:jc w:val="right"/>
              <w:ind w:right="15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Financing liabilities (6)</w:t>
            </w:r>
          </w:p>
        </w:tc>
        <w:tc>
          <w:tcPr>
            <w:tcW w:w="32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32.23%</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38.50%</w:t>
            </w:r>
          </w:p>
        </w:tc>
        <w:tc>
          <w:tcPr>
            <w:tcW w:w="1120" w:type="dxa"/>
            <w:vAlign w:val="bottom"/>
            <w:tcBorders>
              <w:bottom w:val="single" w:sz="8" w:color="EAF9E8"/>
            </w:tcBorders>
            <w:gridSpan w:val="2"/>
            <w:shd w:val="clear" w:color="auto" w:fill="EAF9E8"/>
          </w:tcPr>
          <w:p>
            <w:pPr>
              <w:jc w:val="right"/>
              <w:ind w:right="11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36.09%</w:t>
            </w: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37.52%</w:t>
            </w:r>
          </w:p>
        </w:tc>
        <w:tc>
          <w:tcPr>
            <w:tcW w:w="11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2840" w:type="dxa"/>
            <w:vAlign w:val="bottom"/>
          </w:tcPr>
          <w:p>
            <w:pPr>
              <w:ind w:left="180"/>
              <w:spacing w:after="0"/>
              <w:rPr>
                <w:sz w:val="20"/>
                <w:szCs w:val="20"/>
                <w:color w:val="auto"/>
              </w:rPr>
            </w:pPr>
            <w:r>
              <w:rPr>
                <w:rFonts w:ascii="Arial" w:cs="Arial" w:eastAsia="Arial" w:hAnsi="Arial"/>
                <w:sz w:val="18"/>
                <w:szCs w:val="18"/>
                <w:color w:val="auto"/>
              </w:rPr>
              <w:t>Other secured borrowings</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8.89%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8.33%</w:t>
            </w:r>
          </w:p>
        </w:tc>
        <w:tc>
          <w:tcPr>
            <w:tcW w:w="1120" w:type="dxa"/>
            <w:vAlign w:val="bottom"/>
            <w:gridSpan w:val="2"/>
          </w:tcPr>
          <w:p>
            <w:pPr>
              <w:jc w:val="right"/>
              <w:ind w:right="17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8.85%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7.15%</w:t>
            </w:r>
          </w:p>
        </w:tc>
        <w:tc>
          <w:tcPr>
            <w:tcW w:w="1120" w:type="dxa"/>
            <w:vAlign w:val="bottom"/>
            <w:gridSpan w:val="2"/>
          </w:tcPr>
          <w:p>
            <w:pPr>
              <w:jc w:val="right"/>
              <w:ind w:right="15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40" w:type="dxa"/>
            <w:vAlign w:val="bottom"/>
            <w:shd w:val="clear" w:color="auto" w:fill="EAF9E8"/>
          </w:tcPr>
          <w:p>
            <w:pPr>
              <w:ind w:left="40"/>
              <w:spacing w:after="0"/>
              <w:rPr>
                <w:sz w:val="20"/>
                <w:szCs w:val="20"/>
                <w:color w:val="auto"/>
              </w:rPr>
            </w:pPr>
            <w:r>
              <w:rPr>
                <w:rFonts w:ascii="Arial" w:cs="Arial" w:eastAsia="Arial" w:hAnsi="Arial"/>
                <w:sz w:val="18"/>
                <w:szCs w:val="18"/>
                <w:color w:val="auto"/>
              </w:rPr>
              <w:t>Facility costs included in interest</w:t>
            </w:r>
          </w:p>
        </w:tc>
        <w:tc>
          <w:tcPr>
            <w:tcW w:w="32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2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0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2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20" w:type="dxa"/>
            <w:vAlign w:val="bottom"/>
            <w:shd w:val="clear" w:color="auto" w:fill="EAF9E8"/>
          </w:tcPr>
          <w:p>
            <w:pPr>
              <w:spacing w:after="0"/>
              <w:rPr>
                <w:sz w:val="19"/>
                <w:szCs w:val="19"/>
                <w:color w:val="auto"/>
              </w:rPr>
            </w:pPr>
          </w:p>
        </w:tc>
        <w:tc>
          <w:tcPr>
            <w:tcW w:w="12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02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40" w:type="dxa"/>
            <w:vAlign w:val="bottom"/>
            <w:tcBorders>
              <w:bottom w:val="single" w:sz="8" w:color="EAF9E8"/>
            </w:tcBorders>
            <w:shd w:val="clear" w:color="auto" w:fill="EAF9E8"/>
          </w:tcPr>
          <w:p>
            <w:pPr>
              <w:ind w:left="200"/>
              <w:spacing w:after="0"/>
              <w:rPr>
                <w:sz w:val="20"/>
                <w:szCs w:val="20"/>
                <w:color w:val="auto"/>
              </w:rPr>
            </w:pPr>
            <w:r>
              <w:rPr>
                <w:rFonts w:ascii="Arial" w:cs="Arial" w:eastAsia="Arial" w:hAnsi="Arial"/>
                <w:sz w:val="18"/>
                <w:szCs w:val="18"/>
                <w:color w:val="auto"/>
              </w:rPr>
              <w:t>expense</w:t>
            </w:r>
          </w:p>
        </w:tc>
        <w:tc>
          <w:tcPr>
            <w:tcW w:w="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8,890</w:t>
            </w:r>
          </w:p>
        </w:tc>
        <w:tc>
          <w:tcPr>
            <w:tcW w:w="42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13,160</w:t>
            </w:r>
          </w:p>
        </w:tc>
        <w:tc>
          <w:tcPr>
            <w:tcW w:w="1120" w:type="dxa"/>
            <w:vAlign w:val="bottom"/>
            <w:tcBorders>
              <w:bottom w:val="single" w:sz="8" w:color="EAF9E8"/>
            </w:tcBorders>
            <w:gridSpan w:val="2"/>
            <w:shd w:val="clear" w:color="auto" w:fill="EAF9E8"/>
          </w:tcPr>
          <w:p>
            <w:pPr>
              <w:jc w:val="right"/>
              <w:ind w:right="110"/>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17,566</w:t>
            </w:r>
          </w:p>
        </w:tc>
        <w:tc>
          <w:tcPr>
            <w:tcW w:w="100" w:type="dxa"/>
            <w:vAlign w:val="bottom"/>
            <w:tcBorders>
              <w:bottom w:val="single" w:sz="8" w:color="EAF9E8"/>
            </w:tcBorders>
            <w:shd w:val="clear" w:color="auto" w:fill="EAF9E8"/>
          </w:tcPr>
          <w:p>
            <w:pPr>
              <w:spacing w:after="0"/>
              <w:rPr>
                <w:sz w:val="20"/>
                <w:szCs w:val="20"/>
                <w:color w:val="auto"/>
              </w:rPr>
            </w:pPr>
          </w:p>
        </w:tc>
        <w:tc>
          <w:tcPr>
            <w:tcW w:w="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19,772</w:t>
            </w:r>
          </w:p>
        </w:tc>
        <w:tc>
          <w:tcPr>
            <w:tcW w:w="11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2840" w:type="dxa"/>
            <w:vAlign w:val="bottom"/>
          </w:tcPr>
          <w:p>
            <w:pPr>
              <w:ind w:left="40"/>
              <w:spacing w:after="0"/>
              <w:rPr>
                <w:sz w:val="20"/>
                <w:szCs w:val="20"/>
                <w:color w:val="auto"/>
              </w:rPr>
            </w:pPr>
            <w:r>
              <w:rPr>
                <w:rFonts w:ascii="Arial" w:cs="Arial" w:eastAsia="Arial" w:hAnsi="Arial"/>
                <w:sz w:val="18"/>
                <w:szCs w:val="18"/>
                <w:color w:val="auto"/>
              </w:rPr>
              <w:t>Average 1-month LIBOR</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0.44%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0.18%</w:t>
            </w:r>
          </w:p>
        </w:tc>
        <w:tc>
          <w:tcPr>
            <w:tcW w:w="1120" w:type="dxa"/>
            <w:vAlign w:val="bottom"/>
            <w:gridSpan w:val="2"/>
          </w:tcPr>
          <w:p>
            <w:pPr>
              <w:jc w:val="right"/>
              <w:ind w:right="170"/>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0.44%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0.18%</w:t>
            </w:r>
          </w:p>
        </w:tc>
        <w:tc>
          <w:tcPr>
            <w:tcW w:w="1120" w:type="dxa"/>
            <w:vAlign w:val="bottom"/>
            <w:gridSpan w:val="2"/>
          </w:tcPr>
          <w:p>
            <w:pPr>
              <w:jc w:val="right"/>
              <w:ind w:right="15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2840" w:type="dxa"/>
            <w:vAlign w:val="bottom"/>
            <w:shd w:val="clear" w:color="auto" w:fill="EAF9E8"/>
          </w:tcPr>
          <w:p>
            <w:pPr>
              <w:spacing w:after="0"/>
              <w:rPr>
                <w:sz w:val="24"/>
                <w:szCs w:val="24"/>
                <w:color w:val="auto"/>
              </w:rPr>
            </w:pPr>
          </w:p>
        </w:tc>
        <w:tc>
          <w:tcPr>
            <w:tcW w:w="32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2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0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2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20" w:type="dxa"/>
            <w:vAlign w:val="bottom"/>
            <w:shd w:val="clear" w:color="auto" w:fill="EAF9E8"/>
          </w:tcPr>
          <w:p>
            <w:pPr>
              <w:spacing w:after="0"/>
              <w:rPr>
                <w:sz w:val="24"/>
                <w:szCs w:val="24"/>
                <w:color w:val="auto"/>
              </w:rPr>
            </w:pPr>
          </w:p>
        </w:tc>
        <w:tc>
          <w:tcPr>
            <w:tcW w:w="12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02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840" w:type="dxa"/>
            <w:vAlign w:val="bottom"/>
          </w:tcPr>
          <w:p>
            <w:pPr>
              <w:ind w:left="40"/>
              <w:spacing w:after="0"/>
              <w:rPr>
                <w:sz w:val="20"/>
                <w:szCs w:val="20"/>
                <w:color w:val="auto"/>
              </w:rPr>
            </w:pPr>
            <w:r>
              <w:rPr>
                <w:rFonts w:ascii="Arial" w:cs="Arial" w:eastAsia="Arial" w:hAnsi="Arial"/>
                <w:sz w:val="18"/>
                <w:szCs w:val="18"/>
                <w:b w:val="1"/>
                <w:bCs w:val="1"/>
                <w:color w:val="auto"/>
              </w:rPr>
              <w:t>Average Employment</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India and other</w:t>
            </w:r>
          </w:p>
        </w:tc>
        <w:tc>
          <w:tcPr>
            <w:tcW w:w="32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6,012</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6,953</w:t>
            </w:r>
          </w:p>
        </w:tc>
        <w:tc>
          <w:tcPr>
            <w:tcW w:w="112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6,092</w:t>
            </w: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6,964</w:t>
            </w:r>
          </w:p>
        </w:tc>
        <w:tc>
          <w:tcPr>
            <w:tcW w:w="112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2840" w:type="dxa"/>
            <w:vAlign w:val="bottom"/>
          </w:tcPr>
          <w:p>
            <w:pPr>
              <w:ind w:left="40"/>
              <w:spacing w:after="0"/>
              <w:rPr>
                <w:sz w:val="20"/>
                <w:szCs w:val="20"/>
                <w:color w:val="auto"/>
              </w:rPr>
            </w:pPr>
            <w:r>
              <w:rPr>
                <w:rFonts w:ascii="Arial" w:cs="Arial" w:eastAsia="Arial" w:hAnsi="Arial"/>
                <w:sz w:val="18"/>
                <w:szCs w:val="18"/>
                <w:color w:val="auto"/>
              </w:rPr>
              <w:t>U. S.</w:t>
            </w:r>
          </w:p>
        </w:tc>
        <w:tc>
          <w:tcPr>
            <w:tcW w:w="32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1,462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2,066</w:t>
            </w:r>
          </w:p>
        </w:tc>
        <w:tc>
          <w:tcPr>
            <w:tcW w:w="1120" w:type="dxa"/>
            <w:vAlign w:val="bottom"/>
            <w:gridSpan w:val="2"/>
          </w:tcPr>
          <w:p>
            <w:pPr>
              <w:jc w:val="right"/>
              <w:ind w:right="11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1,499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2,120</w:t>
            </w:r>
          </w:p>
        </w:tc>
        <w:tc>
          <w:tcPr>
            <w:tcW w:w="1120" w:type="dxa"/>
            <w:vAlign w:val="bottom"/>
            <w:gridSpan w:val="2"/>
          </w:tcPr>
          <w:p>
            <w:pPr>
              <w:jc w:val="right"/>
              <w:ind w:right="9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284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2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2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8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EAF9E8"/>
          </w:tcPr>
          <w:p>
            <w:pPr>
              <w:spacing w:after="0"/>
              <w:rPr>
                <w:sz w:val="22"/>
                <w:szCs w:val="22"/>
                <w:color w:val="auto"/>
              </w:rPr>
            </w:pPr>
          </w:p>
        </w:tc>
        <w:tc>
          <w:tcPr>
            <w:tcW w:w="118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7,474</w:t>
            </w:r>
          </w:p>
        </w:tc>
        <w:tc>
          <w:tcPr>
            <w:tcW w:w="12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auto"/>
            </w:tcBorders>
            <w:shd w:val="clear" w:color="auto" w:fill="EAF9E8"/>
          </w:tcPr>
          <w:p>
            <w:pPr>
              <w:spacing w:after="0"/>
              <w:rPr>
                <w:sz w:val="22"/>
                <w:szCs w:val="22"/>
                <w:color w:val="auto"/>
              </w:rPr>
            </w:pPr>
          </w:p>
        </w:tc>
        <w:tc>
          <w:tcPr>
            <w:tcW w:w="120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rPr>
              <w:t>9,019</w:t>
            </w:r>
          </w:p>
        </w:tc>
        <w:tc>
          <w:tcPr>
            <w:tcW w:w="112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auto"/>
            </w:tcBorders>
            <w:shd w:val="clear" w:color="auto" w:fill="EAF9E8"/>
          </w:tcPr>
          <w:p>
            <w:pPr>
              <w:spacing w:after="0"/>
              <w:rPr>
                <w:sz w:val="22"/>
                <w:szCs w:val="22"/>
                <w:color w:val="auto"/>
              </w:rPr>
            </w:pPr>
          </w:p>
        </w:tc>
        <w:tc>
          <w:tcPr>
            <w:tcW w:w="120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rPr>
              <w:t>7,591</w:t>
            </w:r>
          </w:p>
        </w:tc>
        <w:tc>
          <w:tcPr>
            <w:tcW w:w="100" w:type="dxa"/>
            <w:vAlign w:val="bottom"/>
            <w:tcBorders>
              <w:bottom w:val="single" w:sz="8" w:color="EAF9E8"/>
            </w:tcBorders>
            <w:shd w:val="clear" w:color="auto" w:fill="EAF9E8"/>
          </w:tcPr>
          <w:p>
            <w:pPr>
              <w:spacing w:after="0"/>
              <w:rPr>
                <w:sz w:val="22"/>
                <w:szCs w:val="22"/>
                <w:color w:val="auto"/>
              </w:rPr>
            </w:pPr>
          </w:p>
        </w:tc>
        <w:tc>
          <w:tcPr>
            <w:tcW w:w="320" w:type="dxa"/>
            <w:vAlign w:val="bottom"/>
            <w:tcBorders>
              <w:bottom w:val="single" w:sz="8" w:color="auto"/>
            </w:tcBorders>
            <w:shd w:val="clear" w:color="auto" w:fill="EAF9E8"/>
          </w:tcPr>
          <w:p>
            <w:pPr>
              <w:spacing w:after="0"/>
              <w:rPr>
                <w:sz w:val="22"/>
                <w:szCs w:val="22"/>
                <w:color w:val="auto"/>
              </w:rPr>
            </w:pPr>
          </w:p>
        </w:tc>
        <w:tc>
          <w:tcPr>
            <w:tcW w:w="12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9,084</w:t>
            </w:r>
          </w:p>
        </w:tc>
        <w:tc>
          <w:tcPr>
            <w:tcW w:w="112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2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840" w:type="dxa"/>
            <w:vAlign w:val="bottom"/>
            <w:shd w:val="clear" w:color="auto" w:fill="EAF9E8"/>
          </w:tcPr>
          <w:p>
            <w:pPr>
              <w:ind w:left="40"/>
              <w:spacing w:after="0"/>
              <w:rPr>
                <w:sz w:val="20"/>
                <w:szCs w:val="20"/>
                <w:color w:val="auto"/>
              </w:rPr>
            </w:pPr>
            <w:r>
              <w:rPr>
                <w:rFonts w:ascii="Arial" w:cs="Arial" w:eastAsia="Arial" w:hAnsi="Arial"/>
                <w:sz w:val="18"/>
                <w:szCs w:val="18"/>
                <w:b w:val="1"/>
                <w:bCs w:val="1"/>
                <w:color w:val="auto"/>
                <w:w w:val="98"/>
              </w:rPr>
              <w:t>Collections on loans serviced for</w:t>
            </w:r>
          </w:p>
        </w:tc>
        <w:tc>
          <w:tcPr>
            <w:tcW w:w="320" w:type="dxa"/>
            <w:vAlign w:val="bottom"/>
            <w:vMerge w:val="restart"/>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EAF9E8"/>
          </w:tcPr>
          <w:p>
            <w:pPr>
              <w:jc w:val="right"/>
              <w:ind w:right="90"/>
              <w:spacing w:after="0"/>
              <w:rPr>
                <w:sz w:val="20"/>
                <w:szCs w:val="20"/>
                <w:color w:val="auto"/>
              </w:rPr>
            </w:pPr>
            <w:r>
              <w:rPr>
                <w:rFonts w:ascii="Arial" w:cs="Arial" w:eastAsia="Arial" w:hAnsi="Arial"/>
                <w:sz w:val="18"/>
                <w:szCs w:val="18"/>
                <w:color w:val="auto"/>
              </w:rPr>
              <w:t>10,406,084</w:t>
            </w:r>
          </w:p>
        </w:tc>
        <w:tc>
          <w:tcPr>
            <w:tcW w:w="420" w:type="dxa"/>
            <w:vAlign w:val="bottom"/>
            <w:gridSpan w:val="2"/>
            <w:vMerge w:val="restart"/>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vMerge w:val="restart"/>
            <w:shd w:val="clear" w:color="auto" w:fill="EAF9E8"/>
          </w:tcPr>
          <w:p>
            <w:pPr>
              <w:jc w:val="right"/>
              <w:ind w:right="110"/>
              <w:spacing w:after="0"/>
              <w:rPr>
                <w:sz w:val="20"/>
                <w:szCs w:val="20"/>
                <w:color w:val="auto"/>
              </w:rPr>
            </w:pPr>
            <w:r>
              <w:rPr>
                <w:rFonts w:ascii="Arial" w:cs="Arial" w:eastAsia="Arial" w:hAnsi="Arial"/>
                <w:sz w:val="18"/>
                <w:szCs w:val="18"/>
                <w:color w:val="auto"/>
              </w:rPr>
              <w:t>19,427,314</w:t>
            </w:r>
          </w:p>
        </w:tc>
        <w:tc>
          <w:tcPr>
            <w:tcW w:w="100" w:type="dxa"/>
            <w:vAlign w:val="bottom"/>
            <w:shd w:val="clear" w:color="auto" w:fill="EAF9E8"/>
          </w:tcPr>
          <w:p>
            <w:pPr>
              <w:spacing w:after="0"/>
              <w:rPr>
                <w:sz w:val="19"/>
                <w:szCs w:val="19"/>
                <w:color w:val="auto"/>
              </w:rPr>
            </w:pPr>
          </w:p>
        </w:tc>
        <w:tc>
          <w:tcPr>
            <w:tcW w:w="10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vMerge w:val="restart"/>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EAF9E8"/>
          </w:tcPr>
          <w:p>
            <w:pPr>
              <w:jc w:val="right"/>
              <w:ind w:right="110"/>
              <w:spacing w:after="0"/>
              <w:rPr>
                <w:sz w:val="20"/>
                <w:szCs w:val="20"/>
                <w:color w:val="auto"/>
              </w:rPr>
            </w:pPr>
            <w:r>
              <w:rPr>
                <w:rFonts w:ascii="Arial" w:cs="Arial" w:eastAsia="Arial" w:hAnsi="Arial"/>
                <w:sz w:val="18"/>
                <w:szCs w:val="18"/>
                <w:color w:val="auto"/>
              </w:rPr>
              <w:t>20,059,559</w:t>
            </w:r>
          </w:p>
        </w:tc>
        <w:tc>
          <w:tcPr>
            <w:tcW w:w="100" w:type="dxa"/>
            <w:vAlign w:val="bottom"/>
            <w:shd w:val="clear" w:color="auto" w:fill="EAF9E8"/>
          </w:tcPr>
          <w:p>
            <w:pPr>
              <w:spacing w:after="0"/>
              <w:rPr>
                <w:sz w:val="19"/>
                <w:szCs w:val="19"/>
                <w:color w:val="auto"/>
              </w:rPr>
            </w:pPr>
          </w:p>
        </w:tc>
        <w:tc>
          <w:tcPr>
            <w:tcW w:w="320" w:type="dxa"/>
            <w:vAlign w:val="bottom"/>
            <w:vMerge w:val="restart"/>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EAF9E8"/>
          </w:tcPr>
          <w:p>
            <w:pPr>
              <w:jc w:val="right"/>
              <w:ind w:right="90"/>
              <w:spacing w:after="0"/>
              <w:rPr>
                <w:sz w:val="20"/>
                <w:szCs w:val="20"/>
                <w:color w:val="auto"/>
              </w:rPr>
            </w:pPr>
            <w:r>
              <w:rPr>
                <w:rFonts w:ascii="Arial" w:cs="Arial" w:eastAsia="Arial" w:hAnsi="Arial"/>
                <w:sz w:val="18"/>
                <w:szCs w:val="18"/>
                <w:color w:val="auto"/>
              </w:rPr>
              <w:t>37,991,305</w:t>
            </w:r>
          </w:p>
        </w:tc>
        <w:tc>
          <w:tcPr>
            <w:tcW w:w="100" w:type="dxa"/>
            <w:vAlign w:val="bottom"/>
            <w:shd w:val="clear" w:color="auto" w:fill="EAF9E8"/>
          </w:tcPr>
          <w:p>
            <w:pPr>
              <w:spacing w:after="0"/>
              <w:rPr>
                <w:sz w:val="19"/>
                <w:szCs w:val="19"/>
                <w:color w:val="auto"/>
              </w:rPr>
            </w:pPr>
          </w:p>
        </w:tc>
        <w:tc>
          <w:tcPr>
            <w:tcW w:w="102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840" w:type="dxa"/>
            <w:vAlign w:val="bottom"/>
            <w:shd w:val="clear" w:color="auto" w:fill="EAF9E8"/>
          </w:tcPr>
          <w:p>
            <w:pPr>
              <w:ind w:left="200"/>
              <w:spacing w:after="0"/>
              <w:rPr>
                <w:sz w:val="20"/>
                <w:szCs w:val="20"/>
                <w:color w:val="auto"/>
              </w:rPr>
            </w:pPr>
            <w:r>
              <w:rPr>
                <w:rFonts w:ascii="Arial" w:cs="Arial" w:eastAsia="Arial" w:hAnsi="Arial"/>
                <w:sz w:val="18"/>
                <w:szCs w:val="18"/>
                <w:b w:val="1"/>
                <w:bCs w:val="1"/>
                <w:color w:val="auto"/>
              </w:rPr>
              <w:t>others</w:t>
            </w:r>
          </w:p>
        </w:tc>
        <w:tc>
          <w:tcPr>
            <w:tcW w:w="320" w:type="dxa"/>
            <w:vAlign w:val="bottom"/>
            <w:vMerge w:val="continue"/>
            <w:shd w:val="clear" w:color="auto" w:fill="EAF9E8"/>
          </w:tcPr>
          <w:p>
            <w:pPr>
              <w:spacing w:after="0"/>
              <w:rPr>
                <w:sz w:val="20"/>
                <w:szCs w:val="20"/>
                <w:color w:val="auto"/>
              </w:rPr>
            </w:pPr>
          </w:p>
        </w:tc>
        <w:tc>
          <w:tcPr>
            <w:tcW w:w="1180" w:type="dxa"/>
            <w:vAlign w:val="bottom"/>
            <w:vMerge w:val="continue"/>
            <w:shd w:val="clear" w:color="auto" w:fill="EAF9E8"/>
          </w:tcPr>
          <w:p>
            <w:pPr>
              <w:spacing w:after="0"/>
              <w:rPr>
                <w:sz w:val="20"/>
                <w:szCs w:val="20"/>
                <w:color w:val="auto"/>
              </w:rPr>
            </w:pPr>
          </w:p>
        </w:tc>
        <w:tc>
          <w:tcPr>
            <w:tcW w:w="420" w:type="dxa"/>
            <w:vAlign w:val="bottom"/>
            <w:gridSpan w:val="2"/>
            <w:vMerge w:val="continue"/>
            <w:shd w:val="clear" w:color="auto" w:fill="EAF9E8"/>
          </w:tcPr>
          <w:p>
            <w:pPr>
              <w:spacing w:after="0"/>
              <w:rPr>
                <w:sz w:val="20"/>
                <w:szCs w:val="20"/>
                <w:color w:val="auto"/>
              </w:rPr>
            </w:pPr>
          </w:p>
        </w:tc>
        <w:tc>
          <w:tcPr>
            <w:tcW w:w="1200" w:type="dxa"/>
            <w:vAlign w:val="bottom"/>
            <w:vMerge w:val="continue"/>
            <w:shd w:val="clear" w:color="auto" w:fill="EAF9E8"/>
          </w:tcPr>
          <w:p>
            <w:pPr>
              <w:spacing w:after="0"/>
              <w:rPr>
                <w:sz w:val="20"/>
                <w:szCs w:val="20"/>
                <w:color w:val="auto"/>
              </w:rPr>
            </w:pPr>
          </w:p>
        </w:tc>
        <w:tc>
          <w:tcPr>
            <w:tcW w:w="11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EAF9E8"/>
          </w:tcPr>
          <w:p>
            <w:pPr>
              <w:spacing w:after="0"/>
              <w:rPr>
                <w:sz w:val="20"/>
                <w:szCs w:val="20"/>
                <w:color w:val="auto"/>
              </w:rPr>
            </w:pPr>
          </w:p>
        </w:tc>
        <w:tc>
          <w:tcPr>
            <w:tcW w:w="300" w:type="dxa"/>
            <w:vAlign w:val="bottom"/>
            <w:vMerge w:val="continue"/>
            <w:shd w:val="clear" w:color="auto" w:fill="EAF9E8"/>
          </w:tcPr>
          <w:p>
            <w:pPr>
              <w:spacing w:after="0"/>
              <w:rPr>
                <w:sz w:val="20"/>
                <w:szCs w:val="20"/>
                <w:color w:val="auto"/>
              </w:rPr>
            </w:pPr>
          </w:p>
        </w:tc>
        <w:tc>
          <w:tcPr>
            <w:tcW w:w="1200" w:type="dxa"/>
            <w:vAlign w:val="bottom"/>
            <w:vMerge w:val="continue"/>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320" w:type="dxa"/>
            <w:vAlign w:val="bottom"/>
            <w:vMerge w:val="continue"/>
            <w:shd w:val="clear" w:color="auto" w:fill="EAF9E8"/>
          </w:tcPr>
          <w:p>
            <w:pPr>
              <w:spacing w:after="0"/>
              <w:rPr>
                <w:sz w:val="20"/>
                <w:szCs w:val="20"/>
                <w:color w:val="auto"/>
              </w:rPr>
            </w:pPr>
          </w:p>
        </w:tc>
        <w:tc>
          <w:tcPr>
            <w:tcW w:w="1200" w:type="dxa"/>
            <w:vAlign w:val="bottom"/>
            <w:vMerge w:val="continue"/>
            <w:shd w:val="clear" w:color="auto" w:fill="EAF9E8"/>
          </w:tcPr>
          <w:p>
            <w:pPr>
              <w:spacing w:after="0"/>
              <w:rPr>
                <w:sz w:val="20"/>
                <w:szCs w:val="20"/>
                <w:color w:val="auto"/>
              </w:rPr>
            </w:pPr>
          </w:p>
        </w:tc>
        <w:tc>
          <w:tcPr>
            <w:tcW w:w="11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2840" w:type="dxa"/>
            <w:vAlign w:val="bottom"/>
            <w:tcBorders>
              <w:top w:val="single" w:sz="8" w:color="EAF9E8"/>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020" w:type="dxa"/>
            <w:vAlign w:val="bottom"/>
            <w:tcBorders>
              <w:top w:val="single" w:sz="8" w:color="EAF9E8"/>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020" w:type="dxa"/>
            <w:vAlign w:val="bottom"/>
            <w:tcBorders>
              <w:top w:val="single" w:sz="8" w:color="EAF9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ind w:left="500" w:right="420" w:hanging="492"/>
        <w:spacing w:after="0" w:line="255" w:lineRule="auto"/>
        <w:tabs>
          <w:tab w:leader="none" w:pos="5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Performing loans include those loans that are current (less than 90 days past due) and those loans for which borrowers are making scheduled payments under loan modification, forbearance or bankruptcy plans. We consider all other loans to be non-performing.</w:t>
      </w:r>
    </w:p>
    <w:p>
      <w:pPr>
        <w:spacing w:after="0" w:line="1" w:lineRule="exact"/>
        <w:rPr>
          <w:rFonts w:ascii="Arial" w:cs="Arial" w:eastAsia="Arial" w:hAnsi="Arial"/>
          <w:sz w:val="16"/>
          <w:szCs w:val="16"/>
          <w:color w:val="auto"/>
        </w:rPr>
      </w:pPr>
    </w:p>
    <w:p>
      <w:pPr>
        <w:ind w:left="500" w:hanging="492"/>
        <w:spacing w:after="0"/>
        <w:tabs>
          <w:tab w:leader="none" w:pos="5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Includes 614,930 and 678,029 subprime loans with a UPB of $98.8 billion and $112.0 billion at June 30, 2016 and June 30, 2015, respectively.</w:t>
      </w:r>
    </w:p>
    <w:p>
      <w:pPr>
        <w:spacing w:after="0" w:line="5" w:lineRule="exact"/>
        <w:rPr>
          <w:rFonts w:ascii="Arial" w:cs="Arial" w:eastAsia="Arial" w:hAnsi="Arial"/>
          <w:sz w:val="16"/>
          <w:szCs w:val="16"/>
          <w:color w:val="auto"/>
        </w:rPr>
      </w:pPr>
    </w:p>
    <w:p>
      <w:pPr>
        <w:ind w:left="500" w:hanging="492"/>
        <w:spacing w:after="0"/>
        <w:tabs>
          <w:tab w:leader="none" w:pos="500" w:val="left"/>
        </w:tabs>
        <w:numPr>
          <w:ilvl w:val="0"/>
          <w:numId w:val="34"/>
        </w:numPr>
        <w:rPr>
          <w:rFonts w:ascii="Arial" w:cs="Arial" w:eastAsia="Arial" w:hAnsi="Arial"/>
          <w:sz w:val="14"/>
          <w:szCs w:val="14"/>
          <w:color w:val="auto"/>
        </w:rPr>
      </w:pPr>
      <w:r>
        <w:rPr>
          <w:rFonts w:ascii="Arial" w:cs="Arial" w:eastAsia="Arial" w:hAnsi="Arial"/>
          <w:sz w:val="14"/>
          <w:szCs w:val="14"/>
          <w:color w:val="auto"/>
        </w:rPr>
        <w:t>Includes 183,615 and 218,112 prime loans with a UPB of $34.9 billion and $43.8 billion at June 30, 2016 and June 30, 2015, respectively, that we service or subservice.</w:t>
      </w:r>
    </w:p>
    <w:p>
      <w:pPr>
        <w:spacing w:after="0" w:line="28" w:lineRule="exact"/>
        <w:rPr>
          <w:rFonts w:ascii="Arial" w:cs="Arial" w:eastAsia="Arial" w:hAnsi="Arial"/>
          <w:sz w:val="14"/>
          <w:szCs w:val="14"/>
          <w:color w:val="auto"/>
        </w:rPr>
      </w:pPr>
    </w:p>
    <w:p>
      <w:pPr>
        <w:ind w:left="500" w:hanging="492"/>
        <w:spacing w:after="0"/>
        <w:tabs>
          <w:tab w:leader="none" w:pos="500" w:val="left"/>
        </w:tabs>
        <w:numPr>
          <w:ilvl w:val="0"/>
          <w:numId w:val="34"/>
        </w:numPr>
        <w:rPr>
          <w:rFonts w:ascii="Arial" w:cs="Arial" w:eastAsia="Arial" w:hAnsi="Arial"/>
          <w:sz w:val="15"/>
          <w:szCs w:val="15"/>
          <w:color w:val="auto"/>
        </w:rPr>
      </w:pPr>
      <w:r>
        <w:rPr>
          <w:rFonts w:ascii="Arial" w:cs="Arial" w:eastAsia="Arial" w:hAnsi="Arial"/>
          <w:sz w:val="15"/>
          <w:szCs w:val="15"/>
          <w:color w:val="auto"/>
        </w:rPr>
        <w:t>CPR, or the constant prepayment rate, measures loan prepayments as a percentage of the current outstanding loan balance expressed as a compound annual rate.</w:t>
      </w:r>
    </w:p>
    <w:p>
      <w:pPr>
        <w:spacing w:after="0" w:line="16" w:lineRule="exact"/>
        <w:rPr>
          <w:rFonts w:ascii="Arial" w:cs="Arial" w:eastAsia="Arial" w:hAnsi="Arial"/>
          <w:sz w:val="15"/>
          <w:szCs w:val="15"/>
          <w:color w:val="auto"/>
        </w:rPr>
      </w:pPr>
    </w:p>
    <w:p>
      <w:pPr>
        <w:ind w:left="500" w:hanging="492"/>
        <w:spacing w:after="0"/>
        <w:tabs>
          <w:tab w:leader="none" w:pos="5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effective average interest rates include the amortization of facility costs.</w:t>
      </w:r>
    </w:p>
    <w:p>
      <w:pPr>
        <w:spacing w:after="0" w:line="5" w:lineRule="exact"/>
        <w:rPr>
          <w:rFonts w:ascii="Arial" w:cs="Arial" w:eastAsia="Arial" w:hAnsi="Arial"/>
          <w:sz w:val="16"/>
          <w:szCs w:val="16"/>
          <w:color w:val="auto"/>
        </w:rPr>
      </w:pPr>
    </w:p>
    <w:p>
      <w:pPr>
        <w:ind w:left="500" w:right="220" w:hanging="492"/>
        <w:spacing w:after="0" w:line="272" w:lineRule="auto"/>
        <w:tabs>
          <w:tab w:leader="none" w:pos="500" w:val="left"/>
        </w:tabs>
        <w:numPr>
          <w:ilvl w:val="0"/>
          <w:numId w:val="34"/>
        </w:numPr>
        <w:rPr>
          <w:rFonts w:ascii="Arial" w:cs="Arial" w:eastAsia="Arial" w:hAnsi="Arial"/>
          <w:sz w:val="15"/>
          <w:szCs w:val="15"/>
          <w:color w:val="auto"/>
        </w:rPr>
      </w:pPr>
      <w:r>
        <w:rPr>
          <w:rFonts w:ascii="Arial" w:cs="Arial" w:eastAsia="Arial" w:hAnsi="Arial"/>
          <w:sz w:val="15"/>
          <w:szCs w:val="15"/>
          <w:color w:val="auto"/>
        </w:rPr>
        <w:t>The effective average interest rate on the financing liability that we recognized in connection with the sales of Rights to MSRs to NRZ is 40.33% and 48.84% for the three months ended June 30, 2016 and 2015, respectively, and 45.03% and 47.88% for the six months ended June 30, 2016 and 2015. Interest expense on financing liabilities for the six months ended June 30, 2016 includes $10.5 million of fees incurred in connection with our agreement to compensate NRZ for certain increased costs associated with its servicing advance financing facilities that are the direct result of a downgrade of our S&amp;P servicer rating.</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742" w:right="239" w:bottom="1440" w:gutter="0" w:footer="0" w:header="0"/>
        </w:sectPr>
      </w:pPr>
    </w:p>
    <w:bookmarkStart w:id="63" w:name="page64"/>
    <w:bookmarkEnd w:id="63"/>
    <w:p>
      <w:pPr>
        <w:ind w:left="340"/>
        <w:spacing w:after="0"/>
        <w:rPr>
          <w:sz w:val="20"/>
          <w:szCs w:val="20"/>
          <w:color w:val="auto"/>
        </w:rPr>
      </w:pPr>
      <w:r>
        <w:rPr>
          <w:rFonts w:ascii="Arial" w:cs="Arial" w:eastAsia="Arial" w:hAnsi="Arial"/>
          <w:sz w:val="18"/>
          <w:szCs w:val="18"/>
          <w:color w:val="auto"/>
        </w:rPr>
        <w:t>The following table provides information regarding the changes in our portfolio of residential assets serviced or subserviced: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20" w:type="dxa"/>
            <w:vAlign w:val="bottom"/>
            <w:gridSpan w:val="5"/>
          </w:tcPr>
          <w:p>
            <w:pPr>
              <w:ind w:left="660"/>
              <w:spacing w:after="0"/>
              <w:rPr>
                <w:sz w:val="20"/>
                <w:szCs w:val="20"/>
                <w:color w:val="auto"/>
              </w:rPr>
            </w:pPr>
            <w:r>
              <w:rPr>
                <w:rFonts w:ascii="Arial" w:cs="Arial" w:eastAsia="Arial" w:hAnsi="Arial"/>
                <w:sz w:val="18"/>
                <w:szCs w:val="18"/>
                <w:b w:val="1"/>
                <w:bCs w:val="1"/>
                <w:color w:val="auto"/>
              </w:rPr>
              <w:t>Amount of UPB</w:t>
            </w:r>
          </w:p>
        </w:tc>
        <w:tc>
          <w:tcPr>
            <w:tcW w:w="1960" w:type="dxa"/>
            <w:vAlign w:val="bottom"/>
            <w:gridSpan w:val="3"/>
          </w:tcPr>
          <w:p>
            <w:pPr>
              <w:ind w:left="1300"/>
              <w:spacing w:after="0"/>
              <w:rPr>
                <w:sz w:val="20"/>
                <w:szCs w:val="20"/>
                <w:color w:val="auto"/>
              </w:rPr>
            </w:pPr>
            <w:r>
              <w:rPr>
                <w:rFonts w:ascii="Arial" w:cs="Arial" w:eastAsia="Arial" w:hAnsi="Arial"/>
                <w:sz w:val="18"/>
                <w:szCs w:val="18"/>
                <w:b w:val="1"/>
                <w:bCs w:val="1"/>
                <w:color w:val="auto"/>
              </w:rPr>
              <w:t>Count</w:t>
            </w:r>
          </w:p>
        </w:tc>
        <w:tc>
          <w:tcPr>
            <w:tcW w:w="1080" w:type="dxa"/>
            <w:vAlign w:val="bottom"/>
          </w:tcPr>
          <w:p>
            <w:pPr>
              <w:spacing w:after="0"/>
              <w:rPr>
                <w:sz w:val="20"/>
                <w:szCs w:val="20"/>
                <w:color w:val="auto"/>
              </w:rPr>
            </w:pPr>
          </w:p>
        </w:tc>
      </w:tr>
      <w:tr>
        <w:trPr>
          <w:trHeight w:val="27"/>
        </w:trPr>
        <w:tc>
          <w:tcPr>
            <w:tcW w:w="5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5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1460" w:type="dxa"/>
            <w:vAlign w:val="bottom"/>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450"/>
              <w:spacing w:after="0"/>
              <w:rPr>
                <w:sz w:val="20"/>
                <w:szCs w:val="20"/>
                <w:color w:val="auto"/>
              </w:rPr>
            </w:pPr>
            <w:r>
              <w:rPr>
                <w:rFonts w:ascii="Arial" w:cs="Arial" w:eastAsia="Arial" w:hAnsi="Arial"/>
                <w:sz w:val="18"/>
                <w:szCs w:val="18"/>
                <w:b w:val="1"/>
                <w:bCs w:val="1"/>
                <w:color w:val="auto"/>
              </w:rPr>
              <w:t>2015</w:t>
            </w:r>
          </w:p>
        </w:tc>
      </w:tr>
      <w:tr>
        <w:trPr>
          <w:trHeight w:val="27"/>
        </w:trPr>
        <w:tc>
          <w:tcPr>
            <w:tcW w:w="514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51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Portfolio at January 1</w:t>
            </w: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250,966,112</w:t>
            </w: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398,727,727</w:t>
            </w:r>
          </w:p>
        </w:tc>
        <w:tc>
          <w:tcPr>
            <w:tcW w:w="12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1,624,762</w:t>
            </w:r>
          </w:p>
        </w:tc>
        <w:tc>
          <w:tcPr>
            <w:tcW w:w="12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2,486,038</w:t>
            </w: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Additions</w:t>
            </w:r>
          </w:p>
        </w:tc>
        <w:tc>
          <w:tcPr>
            <w:tcW w:w="3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1,531,715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2,246,103</w:t>
            </w:r>
          </w:p>
        </w:tc>
        <w:tc>
          <w:tcPr>
            <w:tcW w:w="12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7,969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10,864</w:t>
            </w: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1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Sales (1)</w:t>
            </w:r>
          </w:p>
        </w:tc>
        <w:tc>
          <w:tcPr>
            <w:tcW w:w="30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(34,643)</w:t>
            </w: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Servicing transfers</w:t>
            </w: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(6,745,819)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(3,267,861)</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(34,506)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(27,980)</w:t>
            </w: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1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Runoff</w:t>
            </w:r>
          </w:p>
        </w:tc>
        <w:tc>
          <w:tcPr>
            <w:tcW w:w="30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(8,636,329)</w:t>
            </w:r>
          </w:p>
        </w:tc>
        <w:tc>
          <w:tcPr>
            <w:tcW w:w="12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(15,491,967)</w:t>
            </w:r>
          </w:p>
        </w:tc>
        <w:tc>
          <w:tcPr>
            <w:tcW w:w="120" w:type="dxa"/>
            <w:vAlign w:val="bottom"/>
            <w:tcBorders>
              <w:bottom w:val="single" w:sz="8" w:color="EAF9E8"/>
            </w:tcBorders>
            <w:shd w:val="clear" w:color="auto" w:fill="EAF9E8"/>
          </w:tcPr>
          <w:p>
            <w:pPr>
              <w:spacing w:after="0"/>
              <w:rPr>
                <w:sz w:val="23"/>
                <w:szCs w:val="23"/>
                <w:color w:val="auto"/>
              </w:rPr>
            </w:pPr>
          </w:p>
        </w:tc>
        <w:tc>
          <w:tcPr>
            <w:tcW w:w="14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(47,132)</w:t>
            </w:r>
          </w:p>
        </w:tc>
        <w:tc>
          <w:tcPr>
            <w:tcW w:w="120" w:type="dxa"/>
            <w:vAlign w:val="bottom"/>
            <w:tcBorders>
              <w:bottom w:val="single" w:sz="8" w:color="EAF9E8"/>
            </w:tcBorders>
            <w:shd w:val="clear" w:color="auto" w:fill="EAF9E8"/>
          </w:tcPr>
          <w:p>
            <w:pPr>
              <w:spacing w:after="0"/>
              <w:rPr>
                <w:sz w:val="23"/>
                <w:szCs w:val="23"/>
                <w:color w:val="auto"/>
              </w:rPr>
            </w:pPr>
          </w:p>
        </w:tc>
        <w:tc>
          <w:tcPr>
            <w:tcW w:w="380" w:type="dxa"/>
            <w:vAlign w:val="bottom"/>
            <w:tcBorders>
              <w:bottom w:val="single" w:sz="8" w:color="EAF9E8"/>
            </w:tcBorders>
            <w:shd w:val="clear" w:color="auto" w:fill="EAF9E8"/>
          </w:tcPr>
          <w:p>
            <w:pPr>
              <w:spacing w:after="0"/>
              <w:rPr>
                <w:sz w:val="23"/>
                <w:szCs w:val="23"/>
                <w:color w:val="auto"/>
              </w:rPr>
            </w:pPr>
          </w:p>
        </w:tc>
        <w:tc>
          <w:tcPr>
            <w:tcW w:w="10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(78,148)</w:t>
            </w:r>
          </w:p>
        </w:tc>
      </w:tr>
      <w:tr>
        <w:trPr>
          <w:trHeight w:val="237"/>
        </w:trPr>
        <w:tc>
          <w:tcPr>
            <w:tcW w:w="5140" w:type="dxa"/>
            <w:vAlign w:val="bottom"/>
          </w:tcPr>
          <w:p>
            <w:pPr>
              <w:ind w:left="40"/>
              <w:spacing w:after="0"/>
              <w:rPr>
                <w:sz w:val="20"/>
                <w:szCs w:val="20"/>
                <w:color w:val="auto"/>
              </w:rPr>
            </w:pPr>
            <w:r>
              <w:rPr>
                <w:rFonts w:ascii="Arial" w:cs="Arial" w:eastAsia="Arial" w:hAnsi="Arial"/>
                <w:sz w:val="18"/>
                <w:szCs w:val="18"/>
                <w:b w:val="1"/>
                <w:bCs w:val="1"/>
                <w:color w:val="auto"/>
              </w:rPr>
              <w:t>Portfolio at March 31</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237,081,036</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382,214,002</w:t>
            </w:r>
          </w:p>
        </w:tc>
        <w:tc>
          <w:tcPr>
            <w:tcW w:w="120" w:type="dxa"/>
            <w:vAlign w:val="bottom"/>
          </w:tcPr>
          <w:p>
            <w:pPr>
              <w:spacing w:after="0"/>
              <w:rPr>
                <w:sz w:val="20"/>
                <w:szCs w:val="20"/>
                <w:color w:val="auto"/>
              </w:rPr>
            </w:pPr>
          </w:p>
        </w:tc>
        <w:tc>
          <w:tcPr>
            <w:tcW w:w="1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1,550,967</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2,390,774</w:t>
            </w: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1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Additions</w:t>
            </w:r>
          </w:p>
        </w:tc>
        <w:tc>
          <w:tcPr>
            <w:tcW w:w="30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2,079,670</w:t>
            </w: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2,340,063</w:t>
            </w:r>
          </w:p>
        </w:tc>
        <w:tc>
          <w:tcPr>
            <w:tcW w:w="12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9,843</w:t>
            </w:r>
          </w:p>
        </w:tc>
        <w:tc>
          <w:tcPr>
            <w:tcW w:w="12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12,116</w:t>
            </w: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Sales (1)</w:t>
            </w: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(179,110)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(43,692,860)</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(831)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(247,760)</w:t>
            </w: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1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Servicing transfers</w:t>
            </w:r>
          </w:p>
        </w:tc>
        <w:tc>
          <w:tcPr>
            <w:tcW w:w="30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(458,189)</w:t>
            </w: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(3,926,601)</w:t>
            </w:r>
          </w:p>
        </w:tc>
        <w:tc>
          <w:tcPr>
            <w:tcW w:w="12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(1,547)</w:t>
            </w:r>
          </w:p>
        </w:tc>
        <w:tc>
          <w:tcPr>
            <w:tcW w:w="12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(22,091)</w:t>
            </w: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Runoff</w:t>
            </w: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(9,247,406)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(15,264,025)</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(51,942)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(78,785)</w:t>
            </w:r>
          </w:p>
        </w:tc>
      </w:tr>
      <w:tr>
        <w:trPr>
          <w:trHeight w:val="27"/>
        </w:trPr>
        <w:tc>
          <w:tcPr>
            <w:tcW w:w="514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51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Portfolio at June 30</w:t>
            </w:r>
          </w:p>
        </w:tc>
        <w:tc>
          <w:tcPr>
            <w:tcW w:w="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229,276,001</w:t>
            </w:r>
          </w:p>
        </w:tc>
        <w:tc>
          <w:tcPr>
            <w:tcW w:w="12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auto"/>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321,670,579</w:t>
            </w:r>
          </w:p>
        </w:tc>
        <w:tc>
          <w:tcPr>
            <w:tcW w:w="120" w:type="dxa"/>
            <w:vAlign w:val="bottom"/>
            <w:tcBorders>
              <w:bottom w:val="single" w:sz="8" w:color="EAF9E8"/>
            </w:tcBorders>
            <w:shd w:val="clear" w:color="auto" w:fill="EAF9E8"/>
          </w:tcPr>
          <w:p>
            <w:pPr>
              <w:spacing w:after="0"/>
              <w:rPr>
                <w:sz w:val="22"/>
                <w:szCs w:val="22"/>
                <w:color w:val="auto"/>
              </w:rPr>
            </w:pPr>
          </w:p>
        </w:tc>
        <w:tc>
          <w:tcPr>
            <w:tcW w:w="146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1,506,490</w:t>
            </w:r>
          </w:p>
        </w:tc>
        <w:tc>
          <w:tcPr>
            <w:tcW w:w="120" w:type="dxa"/>
            <w:vAlign w:val="bottom"/>
            <w:tcBorders>
              <w:bottom w:val="single" w:sz="8" w:color="EAF9E8"/>
            </w:tcBorders>
            <w:shd w:val="clear" w:color="auto" w:fill="EAF9E8"/>
          </w:tcPr>
          <w:p>
            <w:pPr>
              <w:spacing w:after="0"/>
              <w:rPr>
                <w:sz w:val="22"/>
                <w:szCs w:val="22"/>
                <w:color w:val="auto"/>
              </w:rPr>
            </w:pPr>
          </w:p>
        </w:tc>
        <w:tc>
          <w:tcPr>
            <w:tcW w:w="380" w:type="dxa"/>
            <w:vAlign w:val="bottom"/>
            <w:tcBorders>
              <w:bottom w:val="single" w:sz="8" w:color="auto"/>
            </w:tcBorders>
            <w:shd w:val="clear" w:color="auto" w:fill="EAF9E8"/>
          </w:tcPr>
          <w:p>
            <w:pPr>
              <w:spacing w:after="0"/>
              <w:rPr>
                <w:sz w:val="22"/>
                <w:szCs w:val="22"/>
                <w:color w:val="auto"/>
              </w:rPr>
            </w:pPr>
          </w:p>
        </w:tc>
        <w:tc>
          <w:tcPr>
            <w:tcW w:w="10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2,054,254</w:t>
            </w:r>
          </w:p>
        </w:tc>
      </w:tr>
      <w:tr>
        <w:trPr>
          <w:trHeight w:val="20"/>
        </w:trPr>
        <w:tc>
          <w:tcPr>
            <w:tcW w:w="5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500" w:hanging="492"/>
        <w:spacing w:after="0" w:line="252" w:lineRule="auto"/>
        <w:tabs>
          <w:tab w:leader="none" w:pos="5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Following the sale of MSRs, we may continue to subservice the loans on an interim basis between the transaction closing date and the servicing transfer date for a reduced fee. We continue to include such loans in our reported portfolio until the servicing transfer date. On March 31, 2015, we completed the sale of Agency MSRs on a portfolio consisting of 76,000 loans with a UPB of $9.1 billion and continued to subservice the loans until the transfer was completed in April 2015. As of June 30, 2016, we were subservicing 14 loans with a UPB of $0.7 million on an interim basis relating to Non Agency MSRs that we sold during the second quarter. The servicing transfer on these loans was completed in July 2016. See Note 4 — Sales of Advances and MSRs and Note 8 – Mortgage Servicing to the Unaudited Consolidated Financial Statements.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2016 versus 2015</w:t>
      </w:r>
    </w:p>
    <w:p>
      <w:pPr>
        <w:spacing w:after="0" w:line="117" w:lineRule="exact"/>
        <w:rPr>
          <w:sz w:val="20"/>
          <w:szCs w:val="20"/>
          <w:color w:val="auto"/>
        </w:rPr>
      </w:pPr>
    </w:p>
    <w:p>
      <w:pPr>
        <w:ind w:right="280" w:firstLine="324"/>
        <w:spacing w:after="0" w:line="279" w:lineRule="auto"/>
        <w:rPr>
          <w:sz w:val="20"/>
          <w:szCs w:val="20"/>
          <w:color w:val="auto"/>
        </w:rPr>
      </w:pPr>
      <w:r>
        <w:rPr>
          <w:rFonts w:ascii="Arial" w:cs="Arial" w:eastAsia="Arial" w:hAnsi="Arial"/>
          <w:sz w:val="17"/>
          <w:szCs w:val="17"/>
          <w:color w:val="auto"/>
        </w:rPr>
        <w:t>The key driver of our servicing segment operating results, as compared to the second quarter of 2015, was a $98.1 million decrease in total Servicing revenue, resulting from a 35% decline in the average UPB and a 32% decline in the average number of assets in our residential servicing and subservicing portfolio due to MSR sales and portfolio runoff that was not accompanied by an equally significant decline in operating expenses. In order to return to profitability, we will need to decrease our expenses to a level more appropriately aligned with our reduced revenue profile.</w:t>
      </w:r>
    </w:p>
    <w:p>
      <w:pPr>
        <w:spacing w:after="0" w:line="63"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Revenue associated with delinquent loan resolution strategies declined in line with the 15% decline in completed modifications. The portion of modifications completed under HAMP as a percentage of total modifications increased to 55% for the second quarter of 2016 as compared to 49% in the second quarter of 2015. The HAMP program expires on December 31, 2016, with borrowers who have requested assistance or to whom an offer of assistance has been extended as of that date having until September 30, 2017 to finalize their modification. We recognized revenue of $56.3 million and $67.0 million during the second quarter of 2016 and 2015, respectively, in connection with loan modifications. Included in revenue for the second quarter of 2016 is $15.5 million related to the recently implemented streamlined modification process (Streamline HAMP). As of July 25, 2016, over 16,500 borrowers had made an initial payment under a plan, with 4,112 of those having converted to permanent modifications in the second quarter.</w:t>
      </w:r>
    </w:p>
    <w:p>
      <w:pPr>
        <w:spacing w:after="0" w:line="70"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We estimate the balance of deferred servicing fees related to delinquent borrower payments was $423.0 million at June 30, 2016 compared to $488.5 million at June 30, 2015. We are contractually obligated to remit to NRZ all deferred servicing fees collected in connection with MSRs underlying Rights to MSRs. However, in addition to base servicing fees, we are entitled to performance fees that increase to the extent we collect deferred servicing fees. As such, the majority of the deferred servicing fees collected are recognized by us as additional revenue without a corresponding increase in interest expense related to the NRZ financing liability.</w:t>
      </w:r>
    </w:p>
    <w:p>
      <w:pPr>
        <w:spacing w:after="0" w:line="80" w:lineRule="exact"/>
        <w:rPr>
          <w:sz w:val="20"/>
          <w:szCs w:val="20"/>
          <w:color w:val="auto"/>
        </w:rPr>
      </w:pPr>
    </w:p>
    <w:p>
      <w:pPr>
        <w:ind w:right="100" w:firstLine="324"/>
        <w:spacing w:after="0" w:line="297" w:lineRule="auto"/>
        <w:rPr>
          <w:sz w:val="20"/>
          <w:szCs w:val="20"/>
          <w:color w:val="auto"/>
        </w:rPr>
      </w:pPr>
      <w:r>
        <w:rPr>
          <w:rFonts w:ascii="Arial" w:cs="Arial" w:eastAsia="Arial" w:hAnsi="Arial"/>
          <w:sz w:val="16"/>
          <w:szCs w:val="16"/>
          <w:color w:val="auto"/>
        </w:rPr>
        <w:t>Expenses were $24.1 million, or 8%, lower in the second quarter of 2016 as compared to the second quarter of 2015.Excluding MSR amortization and valuation adjustments, expenses decreased by $40.7 million, or 16%. A 29% reduction in average U.S. based headcount and the migration of certain operations offshore, where we believe we realize cost efficiencies while maintaining operational effectiveness, enabled reductions in Compensation and benefits of $16.9 million and servicing-related outsourcing expenses of $2.3 million. We continue to review the efficiency of our servicing operations to take advantage of additional cost improvement strategies aimed at restoring the Servicing business to profitability and improving the borrower experience.</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692" w:right="259" w:bottom="1440" w:gutter="0" w:footer="0" w:header="0"/>
        </w:sectPr>
      </w:pPr>
    </w:p>
    <w:bookmarkStart w:id="64" w:name="page65"/>
    <w:bookmarkEnd w:id="64"/>
    <w:p>
      <w:pPr>
        <w:ind w:firstLine="324"/>
        <w:spacing w:after="0" w:line="288" w:lineRule="auto"/>
        <w:rPr>
          <w:sz w:val="20"/>
          <w:szCs w:val="20"/>
          <w:color w:val="auto"/>
        </w:rPr>
      </w:pPr>
      <w:r>
        <w:rPr>
          <w:rFonts w:ascii="Arial" w:cs="Arial" w:eastAsia="Arial" w:hAnsi="Arial"/>
          <w:sz w:val="16"/>
          <w:szCs w:val="16"/>
          <w:color w:val="auto"/>
        </w:rPr>
        <w:t>Excluding MSR valuation adjustments, we were able to reduce Servicing and origination expense by $10.8 million in the second quarter of 2016 through the execution of process improvements and simplification of our operations in connection with the sale of Agency MSRs. This reduction was achieved despite the accelerated recognition of $7.8 million of expenses related to our participation in HUD’s Aged Delinquent Portfolio Loan Sale (ADPLS) program. The impact of this expense was partially offset by a benefit in MSR amortization. ADPLS and other HUD loan sales programs are alternatives to the normal conveyance claim process in which a servicer must complete the foreclosure process and then convey the vacant, and potentially rehabilitated, home to FHA. Under ADPLS, the assignment of the loan to HUD by the servicer accelerates the receipt of claim proceeds by the servicer, significantly shortening the foreclosure and claim timelines and reducing related servicer expenses. HUD accepts and pools the resulting uninsured loans for resale through an auction process. The cancellation of the FHA insurance by HUD and sale of the uninsured loan delays the foreclosure process and gives the borrower more time and another chance to avoid foreclosure, options that may not have been feasible while the loans were insured. ADPLS differs from other HUD loan sale programs, in which Ocwen has participated on a smaller scale, in that the loans targeted for approval are over 3 years delinquent.</w:t>
      </w:r>
    </w:p>
    <w:p>
      <w:pPr>
        <w:spacing w:after="0" w:line="169" w:lineRule="exact"/>
        <w:rPr>
          <w:sz w:val="20"/>
          <w:szCs w:val="20"/>
          <w:color w:val="auto"/>
        </w:rPr>
      </w:pPr>
    </w:p>
    <w:p>
      <w:pPr>
        <w:ind w:right="120" w:firstLine="324"/>
        <w:spacing w:after="0" w:line="286" w:lineRule="auto"/>
        <w:rPr>
          <w:sz w:val="20"/>
          <w:szCs w:val="20"/>
          <w:color w:val="auto"/>
        </w:rPr>
      </w:pPr>
      <w:r>
        <w:rPr>
          <w:rFonts w:ascii="Arial" w:cs="Arial" w:eastAsia="Arial" w:hAnsi="Arial"/>
          <w:sz w:val="17"/>
          <w:szCs w:val="17"/>
          <w:color w:val="auto"/>
        </w:rPr>
        <w:t>Occupancy and equipment expense declined $8.4 million principally because of a $5.6 million decline in the cost of postage and other delivery services. Costs charged through corporate overhead allocations, which are included in Other expense, declined $2.7 million (excluding a $12.3 million increase in technology allocations that was offset by the $11.4 million decline in Technology and communication costs).</w:t>
      </w:r>
    </w:p>
    <w:p>
      <w:pPr>
        <w:spacing w:after="0" w:line="166"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MSR amortization and valuation adjustments (including both fair value adjustments and impairment charges) increased $16.5 million due to an increase in impairment charges related to our government insured MSRs driven by lower mortgage rates, offset in part by the effects of portfolio runoff and MSR sales, and the removal of the MSR for loans conveyed to HUD as part of the ADPLS process which resulted in a $6.0 million benefit in amortization. Declining interest rates typically result in increased prepayment activity for MSRs, which generally reduces the value of our MSRs as the underlying loans prepay faster. The fair value of our government-insured MSRs fell below their net carrying value, resulting in the recognition of an impairment charge of $9.1 million in the second quarter of 2016. In the second quarter of 2015, the fair value of our government-insured MSRs increased due to higher interest rates and we reversed $16.2 million of the valuation allowance.</w:t>
      </w:r>
    </w:p>
    <w:p>
      <w:pPr>
        <w:spacing w:after="0" w:line="81" w:lineRule="exact"/>
        <w:rPr>
          <w:sz w:val="20"/>
          <w:szCs w:val="20"/>
          <w:color w:val="auto"/>
        </w:rPr>
      </w:pPr>
    </w:p>
    <w:p>
      <w:pPr>
        <w:ind w:right="160" w:firstLine="324"/>
        <w:spacing w:after="0" w:line="272" w:lineRule="auto"/>
        <w:rPr>
          <w:sz w:val="20"/>
          <w:szCs w:val="20"/>
          <w:color w:val="auto"/>
        </w:rPr>
      </w:pPr>
      <w:r>
        <w:rPr>
          <w:rFonts w:ascii="Arial" w:cs="Arial" w:eastAsia="Arial" w:hAnsi="Arial"/>
          <w:sz w:val="17"/>
          <w:szCs w:val="17"/>
          <w:color w:val="auto"/>
        </w:rPr>
        <w:t>Interest expense declined by $34.9 million, or 30%, in the second quarter of 2016 compared to the second quarter of 2015 due principally to a $24.5 million decrease in interest on the NRZ financing liabilities (offset by an increase of $4.3 million in additional payments to NRZ in connection with downgrades to our S&amp;P servicer rating). In addition, interest expense on the SSTL decreased $14.5 million as a result of prepayments totaling $29.4 million during the six months ended June 30, 2016 and significant repayments during the year ended December 31, 2015. The effect of the decreases in average borrowings on interest expense was partially offset by an increase in 1-Month LIBOR, an increase in the margins on the interest rate indexes of our borrowings, higher fixed rates on the match funded term notes under our servicing advance financing facilities as compared to the adjustable rates on the variable funding notes and an increase in facility costs included in interest expense.</w:t>
      </w:r>
    </w:p>
    <w:p>
      <w:pPr>
        <w:spacing w:after="0" w:line="70"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During the second quarter of 2016, we recognized net gains of $0.9 million in Other income on the sale of non-Agency MSRs relating to loans with a UPB of $179.9 million. Other income for the second quarter of 2015 includes net gains of $30.3 million recognized on the sale of Agency MSRs relating to loans with a UPB of $55.3 billion.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2016 versus 2015</w:t>
      </w:r>
    </w:p>
    <w:p>
      <w:pPr>
        <w:spacing w:after="0" w:line="22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Total Servicing revenue declined $261.8 million as the average UPB and the average number of assets in our residential servicing and subservicing portfolio declined by 36% and 34%, respectively, due to portfolio runoff and sales of MSRs completed in 2015. Revenue recognized in connection with loan modifications declined to $98.3 million for the six months ended June 30, 2016 as compared to $131.4 million for the same period in 2015 consistent with the 25% decline in completed modifications.</w:t>
      </w:r>
    </w:p>
    <w:p>
      <w:pPr>
        <w:spacing w:after="0" w:line="79" w:lineRule="exact"/>
        <w:rPr>
          <w:sz w:val="20"/>
          <w:szCs w:val="20"/>
          <w:color w:val="auto"/>
        </w:rPr>
      </w:pPr>
    </w:p>
    <w:p>
      <w:pPr>
        <w:ind w:right="80" w:firstLine="324"/>
        <w:spacing w:after="0" w:line="269" w:lineRule="auto"/>
        <w:rPr>
          <w:sz w:val="20"/>
          <w:szCs w:val="20"/>
          <w:color w:val="auto"/>
        </w:rPr>
      </w:pPr>
      <w:r>
        <w:rPr>
          <w:rFonts w:ascii="Arial" w:cs="Arial" w:eastAsia="Arial" w:hAnsi="Arial"/>
          <w:sz w:val="17"/>
          <w:szCs w:val="17"/>
          <w:color w:val="auto"/>
        </w:rPr>
        <w:t>Expenses were $85.2 million, or 14%, lower in the first six months of 2016 as compared to the first six months of 2015. Excluding MSR amortization and valuation adjustments, expenses decreased by $84.3 million, or 17%, principally because of our progress to date in implementing cost improvement initiatives. The 29% reduction in average U.S. based headcount and the migration of certain operations offshore enabled reductions in compensation and benefits of $31.2 million and in servicing-related outsourcing expenses of $3.5 million. India and other non-U.S. based headcount declined by 14%. We were able to reduce Servicing and origination expense, excluding MSR valuation adjustments, by $25.7 million for the six months ended June 30, 2016 through process improvements and simplification of our operations facilitated in large part by the sale of Agency MSRs. Corporate technology allocations increased by $19.4 million, but this increase was offset by the $20.0 million decline in Technology and communication costs. The remaining corporate overhead allocations declined by $17.0 million, in large part because corporate overhead allocations in 2015 reflected investments made to expand our risk and compliance functions. Professional services increased by $7.7 million compared to the six months ended June 30, 2015 due primarily to the costs of defending ourselves in proceedings alleging violations of federal, state and local laws and regulations governing our servicing activities, including proceedings relating to our lender placed insurance arrangements.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692" w:right="239" w:bottom="1440" w:gutter="0" w:footer="0" w:header="0"/>
        </w:sectPr>
      </w:pPr>
    </w:p>
    <w:bookmarkStart w:id="65" w:name="page66"/>
    <w:bookmarkEnd w:id="65"/>
    <w:p>
      <w:pPr>
        <w:ind w:right="240" w:firstLine="324"/>
        <w:spacing w:after="0" w:line="257" w:lineRule="auto"/>
        <w:rPr>
          <w:sz w:val="20"/>
          <w:szCs w:val="20"/>
          <w:color w:val="auto"/>
        </w:rPr>
      </w:pPr>
      <w:r>
        <w:rPr>
          <w:rFonts w:ascii="Arial" w:cs="Arial" w:eastAsia="Arial" w:hAnsi="Arial"/>
          <w:sz w:val="18"/>
          <w:szCs w:val="18"/>
          <w:color w:val="auto"/>
        </w:rPr>
        <w:t>MSR amortization and valuation adjustments (including both fair value adjustments and impairment charges), decreased $0.9 million because of the effects of portfolio runoff and MSR sales offset by an increase in impairment charges related to our government insured MSRs as a consequence of lower mortgage rates. The fair value of our government-insured MSRs fell below their carrying value during the six months ended June 30, 2016, resulting in the recognition of impairment charges of $39.0 million. During the six months ended June 30, 2015, we recognized impairment charges of $1.6 million on our government-insured MSRs.</w:t>
      </w:r>
    </w:p>
    <w:p>
      <w:pPr>
        <w:spacing w:after="0" w:line="80"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Interest expense declined by $49.1 million, or 22%, for the six months ended June 30, 2016 as compared to the same period of 2015 due principally to a $36.3 million decrease in interest on the NRZ financing liabilities (offset by an increase of $10.5 million in additional payments to NRZ in connection with downgrades to our S&amp;P servicer rating). In addition, interest expense on the SSTL decreased $25.7 million as a result of prepayments totaling $29.4 million during the six months ended June 30, 2016 and the $865.8 million of repayments made during 2015. The effect of the decreases in average borrowings on interest expense was partially offset by an increase in 1-Month LIBOR, an increase in the margins on the interest rate indexes of our borrowings, higher fixed rates on the match funded term notes under our servicing advance financing facilities as compared to the adjustable rates on the variable funding notes and an increase in facility costs included in interest expense.</w:t>
      </w:r>
    </w:p>
    <w:p>
      <w:pPr>
        <w:spacing w:after="0" w:line="70"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During the six months ended June 30, 2016, we recognized net gains of $2.0 million in Other income on the sale of non-Agency MSRs relating to loans with a UPB of $214.4 million. Other income for the six months ended June 30, 2015 includes net gains of $56.7 million recognized on the sale of Agency MSRs relating to loans with a UPB of $64.3 billion.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Lending</w:t>
      </w:r>
    </w:p>
    <w:p>
      <w:pPr>
        <w:spacing w:after="0" w:line="121" w:lineRule="exact"/>
        <w:rPr>
          <w:sz w:val="20"/>
          <w:szCs w:val="20"/>
          <w:color w:val="auto"/>
        </w:rPr>
      </w:pPr>
    </w:p>
    <w:p>
      <w:pPr>
        <w:ind w:right="200" w:firstLine="324"/>
        <w:spacing w:after="0" w:line="255" w:lineRule="auto"/>
        <w:rPr>
          <w:sz w:val="20"/>
          <w:szCs w:val="20"/>
          <w:color w:val="auto"/>
        </w:rPr>
      </w:pPr>
      <w:r>
        <w:rPr>
          <w:rFonts w:ascii="Arial" w:cs="Arial" w:eastAsia="Arial" w:hAnsi="Arial"/>
          <w:sz w:val="18"/>
          <w:szCs w:val="18"/>
          <w:color w:val="auto"/>
        </w:rPr>
        <w:t>We originate and purchase conventional (conforming to the underwriting standards of the GSEs, collectively Agency loans) and government-insured (insured by the FHA or VA) forward mortgage loans through our forward lending operations. Loans are acquired through three primary channels: correspondent lender relationships, broker relationships (wholesale) and directly with mortgage customers (retail). Per-loan margins vary by channel, with correspondent typically being the lowest margin and retail the highest margin. After origination, we generally package and sell the loans in the secondary mortgage market, through GSE securitizations and whole loan transactions. We typically retain the associated MSRs as we view this as a low cost means to acquire MSRs with solid return profiles.</w:t>
      </w:r>
    </w:p>
    <w:p>
      <w:pPr>
        <w:spacing w:after="0" w:line="193"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Reverse mortgages are originated and purchased through our reverse lending operations under the guidelines of the HECM reverse mortgage insurance program of HUD. Loans originated under this program are guaranteed by the FHA, which provides investors with protection against risk of borrower default. We retain the servicing rights to reverse loans securitized through the Ginnie Mae HMBS program. The reverse channel provides both current period and future period gain on sale revenue from new originations as well as from subsequent tail draws taken by the borrower. We have originated variable rate HECM loans under which the borrowers have additional borrowing capacity of $1.0 billion at June 30, 2016. These draws are funded by the servicer and can be subsequently securitized or sold (Future Value). We do not incur any substantive underwriting, marketing or compensation costs in connection with these future draws. We recognize this Future Value over time as future draws are securitized or sold. At June 30, 2016, unrecognized Future Value is estimated to be $63.8 million.</w:t>
      </w:r>
    </w:p>
    <w:p>
      <w:pPr>
        <w:spacing w:after="0" w:line="192"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are working to increase the scale and breadth of our Lending business. Although the slowing of the Home Affordable Refinance Program (HARP) and the sale of Agency MSRs (which decreases loans available to re-finance) present challenges, we are focused on increasing conversion rates (i.e., recapture) on our existing servicing portfolio and expanding our correspondent channel through growing our third-party origination businesses. Additionally we are exploring offering different products we believe we can originate profitably and with acceptable levels of risk. We believe our experience in servicing difficult loans will also allow us to help borrowers obtain loans that are more challenging to originate. Building the sales and operations capacity to meet this need is a goal for the business, as well as investment in the development of our LOS (Loan Operating System) and the continued use of process improvements to drive productivity.</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692" w:right="239" w:bottom="1440" w:gutter="0" w:footer="0" w:header="0"/>
        </w:sectPr>
      </w:pPr>
    </w:p>
    <w:bookmarkStart w:id="66" w:name="page67"/>
    <w:bookmarkEnd w:id="66"/>
    <w:p>
      <w:pPr>
        <w:ind w:left="340"/>
        <w:spacing w:after="0"/>
        <w:rPr>
          <w:sz w:val="20"/>
          <w:szCs w:val="20"/>
          <w:color w:val="auto"/>
        </w:rPr>
      </w:pPr>
      <w:r>
        <w:rPr>
          <w:rFonts w:ascii="Arial" w:cs="Arial" w:eastAsia="Arial" w:hAnsi="Arial"/>
          <w:sz w:val="18"/>
          <w:szCs w:val="18"/>
          <w:color w:val="auto"/>
        </w:rPr>
        <w:t>The UPB of our loan production, by channel,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b w:val="1"/>
                <w:bCs w:val="1"/>
                <w:color w:val="auto"/>
              </w:rPr>
              <w:t>Correspondent</w:t>
            </w:r>
          </w:p>
        </w:tc>
        <w:tc>
          <w:tcPr>
            <w:tcW w:w="260" w:type="dxa"/>
            <w:vAlign w:val="bottom"/>
          </w:tcPr>
          <w:p>
            <w:pPr>
              <w:spacing w:after="0"/>
              <w:rPr>
                <w:sz w:val="20"/>
                <w:szCs w:val="20"/>
                <w:color w:val="auto"/>
              </w:rPr>
            </w:pPr>
          </w:p>
        </w:tc>
        <w:tc>
          <w:tcPr>
            <w:tcW w:w="1440" w:type="dxa"/>
            <w:vAlign w:val="bottom"/>
            <w:gridSpan w:val="2"/>
          </w:tcPr>
          <w:p>
            <w:pPr>
              <w:ind w:left="140"/>
              <w:spacing w:after="0"/>
              <w:rPr>
                <w:sz w:val="20"/>
                <w:szCs w:val="20"/>
                <w:color w:val="auto"/>
              </w:rPr>
            </w:pPr>
            <w:r>
              <w:rPr>
                <w:rFonts w:ascii="Arial" w:cs="Arial" w:eastAsia="Arial" w:hAnsi="Arial"/>
                <w:sz w:val="18"/>
                <w:szCs w:val="18"/>
                <w:b w:val="1"/>
                <w:bCs w:val="1"/>
                <w:color w:val="auto"/>
              </w:rPr>
              <w:t>Wholesale</w:t>
            </w:r>
          </w:p>
        </w:tc>
        <w:tc>
          <w:tcPr>
            <w:tcW w:w="340" w:type="dxa"/>
            <w:vAlign w:val="bottom"/>
          </w:tcPr>
          <w:p>
            <w:pPr>
              <w:spacing w:after="0"/>
              <w:rPr>
                <w:sz w:val="20"/>
                <w:szCs w:val="20"/>
                <w:color w:val="auto"/>
              </w:rPr>
            </w:pPr>
          </w:p>
        </w:tc>
        <w:tc>
          <w:tcPr>
            <w:tcW w:w="1360" w:type="dxa"/>
            <w:vAlign w:val="bottom"/>
            <w:gridSpan w:val="2"/>
          </w:tcPr>
          <w:p>
            <w:pPr>
              <w:ind w:left="240"/>
              <w:spacing w:after="0"/>
              <w:rPr>
                <w:sz w:val="20"/>
                <w:szCs w:val="20"/>
                <w:color w:val="auto"/>
              </w:rPr>
            </w:pPr>
            <w:r>
              <w:rPr>
                <w:rFonts w:ascii="Arial" w:cs="Arial" w:eastAsia="Arial" w:hAnsi="Arial"/>
                <w:sz w:val="18"/>
                <w:szCs w:val="18"/>
                <w:b w:val="1"/>
                <w:bCs w:val="1"/>
                <w:color w:val="auto"/>
              </w:rPr>
              <w:t>Retail</w:t>
            </w:r>
          </w:p>
        </w:tc>
        <w:tc>
          <w:tcPr>
            <w:tcW w:w="36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r>
      <w:tr>
        <w:trPr>
          <w:trHeight w:val="27"/>
        </w:trPr>
        <w:tc>
          <w:tcPr>
            <w:tcW w:w="47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Three months ended June 30, 2016</w:t>
            </w:r>
          </w:p>
        </w:tc>
        <w:tc>
          <w:tcPr>
            <w:tcW w:w="16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Forward loans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539,618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479,299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94,024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1,112,941</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7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Reverse loans</w:t>
            </w:r>
          </w:p>
        </w:tc>
        <w:tc>
          <w:tcPr>
            <w:tcW w:w="160" w:type="dxa"/>
            <w:vAlign w:val="bottom"/>
            <w:tcBorders>
              <w:bottom w:val="single" w:sz="8" w:color="EAF9E8"/>
            </w:tcBorders>
            <w:shd w:val="clear" w:color="auto" w:fill="EAF9E8"/>
          </w:tcPr>
          <w:p>
            <w:pPr>
              <w:spacing w:after="0"/>
              <w:rPr>
                <w:sz w:val="23"/>
                <w:szCs w:val="23"/>
                <w:color w:val="auto"/>
              </w:rPr>
            </w:pPr>
          </w:p>
        </w:tc>
        <w:tc>
          <w:tcPr>
            <w:tcW w:w="14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93,918</w:t>
            </w:r>
          </w:p>
        </w:tc>
        <w:tc>
          <w:tcPr>
            <w:tcW w:w="100" w:type="dxa"/>
            <w:vAlign w:val="bottom"/>
            <w:tcBorders>
              <w:bottom w:val="single" w:sz="8" w:color="EAF9E8"/>
            </w:tcBorders>
            <w:shd w:val="clear" w:color="auto" w:fill="EAF9E8"/>
          </w:tcPr>
          <w:p>
            <w:pPr>
              <w:spacing w:after="0"/>
              <w:rPr>
                <w:sz w:val="23"/>
                <w:szCs w:val="23"/>
                <w:color w:val="auto"/>
              </w:rPr>
            </w:pPr>
          </w:p>
        </w:tc>
        <w:tc>
          <w:tcPr>
            <w:tcW w:w="260" w:type="dxa"/>
            <w:vAlign w:val="bottom"/>
            <w:tcBorders>
              <w:bottom w:val="single" w:sz="8" w:color="EAF9E8"/>
            </w:tcBorders>
            <w:shd w:val="clear" w:color="auto" w:fill="EAF9E8"/>
          </w:tcPr>
          <w:p>
            <w:pPr>
              <w:spacing w:after="0"/>
              <w:rPr>
                <w:sz w:val="23"/>
                <w:szCs w:val="23"/>
                <w:color w:val="auto"/>
              </w:rPr>
            </w:pPr>
          </w:p>
        </w:tc>
        <w:tc>
          <w:tcPr>
            <w:tcW w:w="13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73,147</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39,888</w:t>
            </w:r>
          </w:p>
        </w:tc>
        <w:tc>
          <w:tcPr>
            <w:tcW w:w="10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206,953</w:t>
            </w:r>
          </w:p>
        </w:tc>
      </w:tr>
      <w:tr>
        <w:trPr>
          <w:trHeight w:val="297"/>
        </w:trPr>
        <w:tc>
          <w:tcPr>
            <w:tcW w:w="4700" w:type="dxa"/>
            <w:vAlign w:val="bottom"/>
            <w:tcBorders>
              <w:bottom w:val="single" w:sz="8" w:color="EAF9E8"/>
            </w:tcBorders>
          </w:tcPr>
          <w:p>
            <w:pPr>
              <w:ind w:left="28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633,536</w:t>
            </w:r>
          </w:p>
        </w:tc>
        <w:tc>
          <w:tcPr>
            <w:tcW w:w="100" w:type="dxa"/>
            <w:vAlign w:val="bottom"/>
            <w:tcBorders>
              <w:bottom w:val="single" w:sz="8" w:color="EAF9E8"/>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552,446</w:t>
            </w:r>
          </w:p>
        </w:tc>
        <w:tc>
          <w:tcPr>
            <w:tcW w:w="100" w:type="dxa"/>
            <w:vAlign w:val="bottom"/>
            <w:tcBorders>
              <w:bottom w:val="single" w:sz="8" w:color="EAF9E8"/>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133,912</w:t>
            </w:r>
          </w:p>
        </w:tc>
        <w:tc>
          <w:tcPr>
            <w:tcW w:w="100" w:type="dxa"/>
            <w:vAlign w:val="bottom"/>
            <w:tcBorders>
              <w:bottom w:val="single" w:sz="8" w:color="EAF9E8"/>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1,319,894</w:t>
            </w:r>
          </w:p>
        </w:tc>
      </w:tr>
      <w:tr>
        <w:trPr>
          <w:trHeight w:val="311"/>
        </w:trPr>
        <w:tc>
          <w:tcPr>
            <w:tcW w:w="470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4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60" w:type="dxa"/>
            <w:vAlign w:val="bottom"/>
            <w:shd w:val="clear" w:color="auto" w:fill="EAF9E8"/>
          </w:tcPr>
          <w:p>
            <w:pPr>
              <w:spacing w:after="0"/>
              <w:rPr>
                <w:sz w:val="24"/>
                <w:szCs w:val="24"/>
                <w:color w:val="auto"/>
              </w:rPr>
            </w:pPr>
          </w:p>
        </w:tc>
        <w:tc>
          <w:tcPr>
            <w:tcW w:w="13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1240" w:type="dxa"/>
            <w:vAlign w:val="bottom"/>
            <w:shd w:val="clear" w:color="auto" w:fill="EAF9E8"/>
          </w:tcPr>
          <w:p>
            <w:pPr>
              <w:spacing w:after="0"/>
              <w:rPr>
                <w:sz w:val="24"/>
                <w:szCs w:val="24"/>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Six months ended June 30, 2016</w:t>
            </w: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7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Forward loans</w:t>
            </w: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892,091</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835,179</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173,803</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1,901,073</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Reverse loans</w:t>
            </w:r>
          </w:p>
        </w:tc>
        <w:tc>
          <w:tcPr>
            <w:tcW w:w="1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185,702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140,848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71,559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398,109</w:t>
            </w:r>
          </w:p>
        </w:tc>
      </w:tr>
      <w:tr>
        <w:trPr>
          <w:trHeight w:val="27"/>
        </w:trPr>
        <w:tc>
          <w:tcPr>
            <w:tcW w:w="47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1,077,793</w:t>
            </w:r>
          </w:p>
        </w:tc>
        <w:tc>
          <w:tcPr>
            <w:tcW w:w="10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auto"/>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976,027</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245,362</w:t>
            </w:r>
          </w:p>
        </w:tc>
        <w:tc>
          <w:tcPr>
            <w:tcW w:w="10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auto"/>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2,299,182</w:t>
            </w: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76"/>
        </w:trPr>
        <w:tc>
          <w:tcPr>
            <w:tcW w:w="4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50"/>
        </w:trPr>
        <w:tc>
          <w:tcPr>
            <w:tcW w:w="47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Three months ended June 30, 2015</w:t>
            </w:r>
          </w:p>
        </w:tc>
        <w:tc>
          <w:tcPr>
            <w:tcW w:w="16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Forward loans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510,809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345,338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224,220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1,080,367</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7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Reverse loans</w:t>
            </w:r>
          </w:p>
        </w:tc>
        <w:tc>
          <w:tcPr>
            <w:tcW w:w="160" w:type="dxa"/>
            <w:vAlign w:val="bottom"/>
            <w:tcBorders>
              <w:bottom w:val="single" w:sz="8" w:color="EAF9E8"/>
            </w:tcBorders>
            <w:shd w:val="clear" w:color="auto" w:fill="EAF9E8"/>
          </w:tcPr>
          <w:p>
            <w:pPr>
              <w:spacing w:after="0"/>
              <w:rPr>
                <w:sz w:val="23"/>
                <w:szCs w:val="23"/>
                <w:color w:val="auto"/>
              </w:rPr>
            </w:pPr>
          </w:p>
        </w:tc>
        <w:tc>
          <w:tcPr>
            <w:tcW w:w="14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84,058</w:t>
            </w:r>
          </w:p>
        </w:tc>
        <w:tc>
          <w:tcPr>
            <w:tcW w:w="100" w:type="dxa"/>
            <w:vAlign w:val="bottom"/>
            <w:tcBorders>
              <w:bottom w:val="single" w:sz="8" w:color="EAF9E8"/>
            </w:tcBorders>
            <w:shd w:val="clear" w:color="auto" w:fill="EAF9E8"/>
          </w:tcPr>
          <w:p>
            <w:pPr>
              <w:spacing w:after="0"/>
              <w:rPr>
                <w:sz w:val="23"/>
                <w:szCs w:val="23"/>
                <w:color w:val="auto"/>
              </w:rPr>
            </w:pPr>
          </w:p>
        </w:tc>
        <w:tc>
          <w:tcPr>
            <w:tcW w:w="260" w:type="dxa"/>
            <w:vAlign w:val="bottom"/>
            <w:tcBorders>
              <w:bottom w:val="single" w:sz="8" w:color="EAF9E8"/>
            </w:tcBorders>
            <w:shd w:val="clear" w:color="auto" w:fill="EAF9E8"/>
          </w:tcPr>
          <w:p>
            <w:pPr>
              <w:spacing w:after="0"/>
              <w:rPr>
                <w:sz w:val="23"/>
                <w:szCs w:val="23"/>
                <w:color w:val="auto"/>
              </w:rPr>
            </w:pPr>
          </w:p>
        </w:tc>
        <w:tc>
          <w:tcPr>
            <w:tcW w:w="13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114,724</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47,226</w:t>
            </w:r>
          </w:p>
        </w:tc>
        <w:tc>
          <w:tcPr>
            <w:tcW w:w="10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246,008</w:t>
            </w:r>
          </w:p>
        </w:tc>
      </w:tr>
      <w:tr>
        <w:trPr>
          <w:trHeight w:val="297"/>
        </w:trPr>
        <w:tc>
          <w:tcPr>
            <w:tcW w:w="4700" w:type="dxa"/>
            <w:vAlign w:val="bottom"/>
            <w:tcBorders>
              <w:bottom w:val="single" w:sz="8" w:color="EAF9E8"/>
            </w:tcBorders>
          </w:tcPr>
          <w:p>
            <w:pPr>
              <w:ind w:left="28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594,867</w:t>
            </w:r>
          </w:p>
        </w:tc>
        <w:tc>
          <w:tcPr>
            <w:tcW w:w="100" w:type="dxa"/>
            <w:vAlign w:val="bottom"/>
            <w:tcBorders>
              <w:bottom w:val="single" w:sz="8" w:color="EAF9E8"/>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460,062</w:t>
            </w:r>
          </w:p>
        </w:tc>
        <w:tc>
          <w:tcPr>
            <w:tcW w:w="100" w:type="dxa"/>
            <w:vAlign w:val="bottom"/>
            <w:tcBorders>
              <w:bottom w:val="single" w:sz="8" w:color="EAF9E8"/>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271,446</w:t>
            </w:r>
          </w:p>
        </w:tc>
        <w:tc>
          <w:tcPr>
            <w:tcW w:w="100" w:type="dxa"/>
            <w:vAlign w:val="bottom"/>
            <w:tcBorders>
              <w:bottom w:val="single" w:sz="8" w:color="EAF9E8"/>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1,326,375</w:t>
            </w:r>
          </w:p>
        </w:tc>
      </w:tr>
      <w:tr>
        <w:trPr>
          <w:trHeight w:val="311"/>
        </w:trPr>
        <w:tc>
          <w:tcPr>
            <w:tcW w:w="470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4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60" w:type="dxa"/>
            <w:vAlign w:val="bottom"/>
            <w:shd w:val="clear" w:color="auto" w:fill="EAF9E8"/>
          </w:tcPr>
          <w:p>
            <w:pPr>
              <w:spacing w:after="0"/>
              <w:rPr>
                <w:sz w:val="24"/>
                <w:szCs w:val="24"/>
                <w:color w:val="auto"/>
              </w:rPr>
            </w:pPr>
          </w:p>
        </w:tc>
        <w:tc>
          <w:tcPr>
            <w:tcW w:w="13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1240" w:type="dxa"/>
            <w:vAlign w:val="bottom"/>
            <w:shd w:val="clear" w:color="auto" w:fill="EAF9E8"/>
          </w:tcPr>
          <w:p>
            <w:pPr>
              <w:spacing w:after="0"/>
              <w:rPr>
                <w:sz w:val="24"/>
                <w:szCs w:val="24"/>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Six months ended June 30, 2015</w:t>
            </w: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7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Forward loans</w:t>
            </w: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884,592</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650,406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465,854</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2,000,852</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Reverse loans</w:t>
            </w:r>
          </w:p>
        </w:tc>
        <w:tc>
          <w:tcPr>
            <w:tcW w:w="1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134,453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213,074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90,298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437,825</w:t>
            </w:r>
          </w:p>
        </w:tc>
      </w:tr>
      <w:tr>
        <w:trPr>
          <w:trHeight w:val="27"/>
        </w:trPr>
        <w:tc>
          <w:tcPr>
            <w:tcW w:w="47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1,019,045</w:t>
            </w:r>
          </w:p>
        </w:tc>
        <w:tc>
          <w:tcPr>
            <w:tcW w:w="10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auto"/>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863,480</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556,152</w:t>
            </w:r>
          </w:p>
        </w:tc>
        <w:tc>
          <w:tcPr>
            <w:tcW w:w="10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auto"/>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2,438,677</w:t>
            </w: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446"/>
        </w:trPr>
        <w:tc>
          <w:tcPr>
            <w:tcW w:w="4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jc w:val="right"/>
              <w:ind w:right="43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420"/>
          </w:cols>
          <w:pgMar w:left="240" w:top="692" w:right="239" w:bottom="1440" w:gutter="0" w:footer="0" w:header="0"/>
        </w:sectPr>
      </w:pPr>
    </w:p>
    <w:bookmarkStart w:id="67" w:name="page68"/>
    <w:bookmarkEnd w:id="67"/>
    <w:p>
      <w:pPr>
        <w:ind w:right="560" w:firstLine="324"/>
        <w:spacing w:after="0" w:line="277" w:lineRule="auto"/>
        <w:rPr>
          <w:sz w:val="20"/>
          <w:szCs w:val="20"/>
          <w:color w:val="auto"/>
        </w:rPr>
      </w:pPr>
      <w:r>
        <w:rPr>
          <w:rFonts w:ascii="Arial" w:cs="Arial" w:eastAsia="Arial" w:hAnsi="Arial"/>
          <w:sz w:val="18"/>
          <w:szCs w:val="18"/>
          <w:color w:val="auto"/>
        </w:rPr>
        <w:t>The following table presents the results of operations of the Lending segment for the periods ended June 30. The amounts presented are before the elimination of balances and transactions with our other segments: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w w:val="99"/>
              </w:rPr>
              <w:t>Three Months</w:t>
            </w: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w w:val="99"/>
              </w:rPr>
              <w:t>Six Months</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3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3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360" w:type="dxa"/>
            <w:vAlign w:val="bottom"/>
            <w:gridSpan w:val="2"/>
          </w:tcPr>
          <w:p>
            <w:pPr>
              <w:ind w:left="220"/>
              <w:spacing w:after="0"/>
              <w:rPr>
                <w:sz w:val="20"/>
                <w:szCs w:val="20"/>
                <w:color w:val="auto"/>
              </w:rPr>
            </w:pPr>
            <w:r>
              <w:rPr>
                <w:rFonts w:ascii="Arial" w:cs="Arial" w:eastAsia="Arial" w:hAnsi="Arial"/>
                <w:sz w:val="18"/>
                <w:szCs w:val="18"/>
                <w:b w:val="1"/>
                <w:bCs w:val="1"/>
                <w:color w:val="auto"/>
              </w:rPr>
              <w:t>% Change</w:t>
            </w: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 Change</w:t>
            </w:r>
          </w:p>
        </w:tc>
      </w:tr>
      <w:tr>
        <w:trPr>
          <w:trHeight w:val="27"/>
        </w:trPr>
        <w:tc>
          <w:tcPr>
            <w:tcW w:w="30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30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Revenue</w:t>
            </w:r>
          </w:p>
        </w:tc>
        <w:tc>
          <w:tcPr>
            <w:tcW w:w="3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r>
      <w:tr>
        <w:trPr>
          <w:trHeight w:val="243"/>
        </w:trPr>
        <w:tc>
          <w:tcPr>
            <w:tcW w:w="3000" w:type="dxa"/>
            <w:vAlign w:val="bottom"/>
          </w:tcPr>
          <w:p>
            <w:pPr>
              <w:ind w:left="180"/>
              <w:spacing w:after="0"/>
              <w:rPr>
                <w:sz w:val="20"/>
                <w:szCs w:val="20"/>
                <w:color w:val="auto"/>
              </w:rPr>
            </w:pPr>
            <w:r>
              <w:rPr>
                <w:rFonts w:ascii="Arial" w:cs="Arial" w:eastAsia="Arial" w:hAnsi="Arial"/>
                <w:sz w:val="18"/>
                <w:szCs w:val="18"/>
                <w:color w:val="auto"/>
              </w:rPr>
              <w:t>Gain on loans held for sale, net</w:t>
            </w: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3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0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Forward loans</w:t>
            </w:r>
          </w:p>
        </w:tc>
        <w:tc>
          <w:tcPr>
            <w:tcW w:w="32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9,606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19,961</w:t>
            </w:r>
          </w:p>
        </w:tc>
        <w:tc>
          <w:tcPr>
            <w:tcW w:w="136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22,666</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40,219</w:t>
            </w:r>
          </w:p>
        </w:tc>
        <w:tc>
          <w:tcPr>
            <w:tcW w:w="114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(44)%</w:t>
            </w:r>
          </w:p>
        </w:tc>
      </w:tr>
      <w:tr>
        <w:trPr>
          <w:trHeight w:val="243"/>
        </w:trPr>
        <w:tc>
          <w:tcPr>
            <w:tcW w:w="3000" w:type="dxa"/>
            <w:vAlign w:val="bottom"/>
          </w:tcPr>
          <w:p>
            <w:pPr>
              <w:ind w:left="280"/>
              <w:spacing w:after="0"/>
              <w:rPr>
                <w:sz w:val="20"/>
                <w:szCs w:val="20"/>
                <w:color w:val="auto"/>
              </w:rPr>
            </w:pPr>
            <w:r>
              <w:rPr>
                <w:rFonts w:ascii="Arial" w:cs="Arial" w:eastAsia="Arial" w:hAnsi="Arial"/>
                <w:sz w:val="18"/>
                <w:szCs w:val="18"/>
                <w:color w:val="auto"/>
              </w:rPr>
              <w:t>Reverse loans</w:t>
            </w: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11,472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10,059</w:t>
            </w:r>
          </w:p>
        </w:tc>
        <w:tc>
          <w:tcPr>
            <w:tcW w:w="1360" w:type="dxa"/>
            <w:vAlign w:val="bottom"/>
            <w:gridSpan w:val="2"/>
          </w:tcPr>
          <w:p>
            <w:pPr>
              <w:jc w:val="right"/>
              <w:ind w:right="15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14,915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19,211</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(22)</w:t>
            </w:r>
          </w:p>
        </w:tc>
      </w:tr>
      <w:tr>
        <w:trPr>
          <w:trHeight w:val="27"/>
        </w:trPr>
        <w:tc>
          <w:tcPr>
            <w:tcW w:w="30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r>
      <w:tr>
        <w:trPr>
          <w:trHeight w:val="244"/>
        </w:trPr>
        <w:tc>
          <w:tcPr>
            <w:tcW w:w="30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21,078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30,020</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37,581</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59,430</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(37)</w:t>
            </w:r>
          </w:p>
        </w:tc>
      </w:tr>
      <w:tr>
        <w:trPr>
          <w:trHeight w:val="243"/>
        </w:trPr>
        <w:tc>
          <w:tcPr>
            <w:tcW w:w="3000" w:type="dxa"/>
            <w:vAlign w:val="bottom"/>
          </w:tcPr>
          <w:p>
            <w:pPr>
              <w:ind w:left="18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14,298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9,292</w:t>
            </w:r>
          </w:p>
        </w:tc>
        <w:tc>
          <w:tcPr>
            <w:tcW w:w="1360" w:type="dxa"/>
            <w:vAlign w:val="bottom"/>
            <w:gridSpan w:val="2"/>
          </w:tcPr>
          <w:p>
            <w:pPr>
              <w:jc w:val="right"/>
              <w:ind w:right="15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21,079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17,629</w:t>
            </w:r>
          </w:p>
        </w:tc>
        <w:tc>
          <w:tcPr>
            <w:tcW w:w="1140" w:type="dxa"/>
            <w:vAlign w:val="bottom"/>
            <w:gridSpan w:val="2"/>
          </w:tcPr>
          <w:p>
            <w:pPr>
              <w:jc w:val="right"/>
              <w:ind w:right="150"/>
              <w:spacing w:after="0"/>
              <w:rPr>
                <w:sz w:val="20"/>
                <w:szCs w:val="20"/>
                <w:color w:val="auto"/>
              </w:rPr>
            </w:pPr>
            <w:r>
              <w:rPr>
                <w:rFonts w:ascii="Arial" w:cs="Arial" w:eastAsia="Arial" w:hAnsi="Arial"/>
                <w:sz w:val="18"/>
                <w:szCs w:val="18"/>
                <w:color w:val="auto"/>
              </w:rPr>
              <w:t>20</w:t>
            </w:r>
          </w:p>
        </w:tc>
      </w:tr>
      <w:tr>
        <w:trPr>
          <w:trHeight w:val="27"/>
        </w:trPr>
        <w:tc>
          <w:tcPr>
            <w:tcW w:w="30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r>
      <w:tr>
        <w:trPr>
          <w:trHeight w:val="264"/>
        </w:trPr>
        <w:tc>
          <w:tcPr>
            <w:tcW w:w="30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35,376</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39,312</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58,660</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77,059</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(24)</w:t>
            </w:r>
          </w:p>
        </w:tc>
      </w:tr>
      <w:tr>
        <w:trPr>
          <w:trHeight w:val="264"/>
        </w:trPr>
        <w:tc>
          <w:tcPr>
            <w:tcW w:w="30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50"/>
        </w:trPr>
        <w:tc>
          <w:tcPr>
            <w:tcW w:w="30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Expenses</w:t>
            </w:r>
          </w:p>
        </w:tc>
        <w:tc>
          <w:tcPr>
            <w:tcW w:w="3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r>
      <w:tr>
        <w:trPr>
          <w:trHeight w:val="243"/>
        </w:trPr>
        <w:tc>
          <w:tcPr>
            <w:tcW w:w="3000" w:type="dxa"/>
            <w:vAlign w:val="bottom"/>
          </w:tcPr>
          <w:p>
            <w:pPr>
              <w:ind w:left="180"/>
              <w:spacing w:after="0"/>
              <w:rPr>
                <w:sz w:val="20"/>
                <w:szCs w:val="20"/>
                <w:color w:val="auto"/>
              </w:rPr>
            </w:pPr>
            <w:r>
              <w:rPr>
                <w:rFonts w:ascii="Arial" w:cs="Arial" w:eastAsia="Arial" w:hAnsi="Arial"/>
                <w:sz w:val="18"/>
                <w:szCs w:val="18"/>
                <w:color w:val="auto"/>
              </w:rPr>
              <w:t>Compensation and benefits</w:t>
            </w: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16,219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14,206</w:t>
            </w:r>
          </w:p>
        </w:tc>
        <w:tc>
          <w:tcPr>
            <w:tcW w:w="1360" w:type="dxa"/>
            <w:vAlign w:val="bottom"/>
            <w:gridSpan w:val="2"/>
          </w:tcPr>
          <w:p>
            <w:pPr>
              <w:jc w:val="right"/>
              <w:ind w:right="15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30,832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27,453</w:t>
            </w:r>
          </w:p>
        </w:tc>
        <w:tc>
          <w:tcPr>
            <w:tcW w:w="1140" w:type="dxa"/>
            <w:vAlign w:val="bottom"/>
            <w:gridSpan w:val="2"/>
          </w:tcPr>
          <w:p>
            <w:pPr>
              <w:jc w:val="right"/>
              <w:ind w:right="150"/>
              <w:spacing w:after="0"/>
              <w:rPr>
                <w:sz w:val="20"/>
                <w:szCs w:val="20"/>
                <w:color w:val="auto"/>
              </w:rPr>
            </w:pPr>
            <w:r>
              <w:rPr>
                <w:rFonts w:ascii="Arial" w:cs="Arial" w:eastAsia="Arial" w:hAnsi="Arial"/>
                <w:sz w:val="18"/>
                <w:szCs w:val="18"/>
                <w:color w:val="auto"/>
              </w:rPr>
              <w:t>12</w:t>
            </w:r>
          </w:p>
        </w:tc>
      </w:tr>
      <w:tr>
        <w:trPr>
          <w:trHeight w:val="27"/>
        </w:trPr>
        <w:tc>
          <w:tcPr>
            <w:tcW w:w="3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3000" w:type="dxa"/>
            <w:vAlign w:val="bottom"/>
            <w:shd w:val="clear" w:color="auto" w:fill="EAF9E8"/>
          </w:tcPr>
          <w:p>
            <w:pPr>
              <w:ind w:left="180"/>
              <w:spacing w:after="0"/>
              <w:rPr>
                <w:sz w:val="20"/>
                <w:szCs w:val="20"/>
                <w:color w:val="auto"/>
              </w:rPr>
            </w:pPr>
            <w:r>
              <w:rPr>
                <w:rFonts w:ascii="Arial" w:cs="Arial" w:eastAsia="Arial" w:hAnsi="Arial"/>
                <w:sz w:val="18"/>
                <w:szCs w:val="18"/>
                <w:color w:val="auto"/>
              </w:rPr>
              <w:t>Amortization of mortgage servicing</w:t>
            </w:r>
          </w:p>
        </w:tc>
        <w:tc>
          <w:tcPr>
            <w:tcW w:w="32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040" w:type="dxa"/>
            <w:vAlign w:val="bottom"/>
            <w:shd w:val="clear" w:color="auto" w:fill="EAF9E8"/>
          </w:tcPr>
          <w:p>
            <w:pPr>
              <w:spacing w:after="0"/>
              <w:rPr>
                <w:sz w:val="19"/>
                <w:szCs w:val="19"/>
                <w:color w:val="auto"/>
              </w:rPr>
            </w:pPr>
          </w:p>
        </w:tc>
      </w:tr>
      <w:tr>
        <w:trPr>
          <w:trHeight w:val="237"/>
        </w:trPr>
        <w:tc>
          <w:tcPr>
            <w:tcW w:w="3000" w:type="dxa"/>
            <w:vAlign w:val="bottom"/>
            <w:tcBorders>
              <w:bottom w:val="single" w:sz="8" w:color="EAF9E8"/>
            </w:tcBorders>
            <w:shd w:val="clear" w:color="auto" w:fill="EAF9E8"/>
          </w:tcPr>
          <w:p>
            <w:pPr>
              <w:ind w:left="340"/>
              <w:spacing w:after="0"/>
              <w:rPr>
                <w:sz w:val="20"/>
                <w:szCs w:val="20"/>
                <w:color w:val="auto"/>
              </w:rPr>
            </w:pPr>
            <w:r>
              <w:rPr>
                <w:rFonts w:ascii="Arial" w:cs="Arial" w:eastAsia="Arial" w:hAnsi="Arial"/>
                <w:sz w:val="18"/>
                <w:szCs w:val="18"/>
                <w:color w:val="auto"/>
              </w:rPr>
              <w:t>rights</w:t>
            </w:r>
          </w:p>
        </w:tc>
        <w:tc>
          <w:tcPr>
            <w:tcW w:w="320" w:type="dxa"/>
            <w:vAlign w:val="bottom"/>
            <w:tcBorders>
              <w:bottom w:val="single" w:sz="8" w:color="EAF9E8"/>
            </w:tcBorders>
            <w:shd w:val="clear" w:color="auto" w:fill="EAF9E8"/>
          </w:tcPr>
          <w:p>
            <w:pPr>
              <w:spacing w:after="0"/>
              <w:rPr>
                <w:sz w:val="20"/>
                <w:szCs w:val="20"/>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EAF9E8"/>
            </w:tcBorders>
            <w:shd w:val="clear" w:color="auto" w:fill="EAF9E8"/>
          </w:tcPr>
          <w:p>
            <w:pPr>
              <w:spacing w:after="0"/>
              <w:rPr>
                <w:sz w:val="20"/>
                <w:szCs w:val="20"/>
                <w:color w:val="auto"/>
              </w:rPr>
            </w:pPr>
          </w:p>
        </w:tc>
        <w:tc>
          <w:tcPr>
            <w:tcW w:w="340" w:type="dxa"/>
            <w:vAlign w:val="bottom"/>
            <w:tcBorders>
              <w:bottom w:val="single" w:sz="8" w:color="EAF9E8"/>
            </w:tcBorders>
            <w:shd w:val="clear" w:color="auto" w:fill="EAF9E8"/>
          </w:tcPr>
          <w:p>
            <w:pPr>
              <w:spacing w:after="0"/>
              <w:rPr>
                <w:sz w:val="20"/>
                <w:szCs w:val="20"/>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87</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spacing w:after="0"/>
              <w:rPr>
                <w:sz w:val="20"/>
                <w:szCs w:val="20"/>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spacing w:after="0"/>
              <w:rPr>
                <w:sz w:val="20"/>
                <w:szCs w:val="20"/>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177</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(10)</w:t>
            </w:r>
          </w:p>
        </w:tc>
      </w:tr>
      <w:tr>
        <w:trPr>
          <w:trHeight w:val="243"/>
        </w:trPr>
        <w:tc>
          <w:tcPr>
            <w:tcW w:w="3000" w:type="dxa"/>
            <w:vAlign w:val="bottom"/>
          </w:tcPr>
          <w:p>
            <w:pPr>
              <w:ind w:left="180"/>
              <w:spacing w:after="0"/>
              <w:rPr>
                <w:sz w:val="20"/>
                <w:szCs w:val="20"/>
                <w:color w:val="auto"/>
              </w:rPr>
            </w:pPr>
            <w:r>
              <w:rPr>
                <w:rFonts w:ascii="Arial" w:cs="Arial" w:eastAsia="Arial" w:hAnsi="Arial"/>
                <w:sz w:val="18"/>
                <w:szCs w:val="18"/>
                <w:color w:val="auto"/>
              </w:rPr>
              <w:t>Servicing and origination</w:t>
            </w: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4,159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2,187</w:t>
            </w:r>
          </w:p>
        </w:tc>
        <w:tc>
          <w:tcPr>
            <w:tcW w:w="1360" w:type="dxa"/>
            <w:vAlign w:val="bottom"/>
            <w:gridSpan w:val="2"/>
          </w:tcPr>
          <w:p>
            <w:pPr>
              <w:jc w:val="right"/>
              <w:ind w:right="15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6,366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3,795</w:t>
            </w:r>
          </w:p>
        </w:tc>
        <w:tc>
          <w:tcPr>
            <w:tcW w:w="1140" w:type="dxa"/>
            <w:vAlign w:val="bottom"/>
            <w:gridSpan w:val="2"/>
          </w:tcPr>
          <w:p>
            <w:pPr>
              <w:jc w:val="right"/>
              <w:ind w:right="150"/>
              <w:spacing w:after="0"/>
              <w:rPr>
                <w:sz w:val="20"/>
                <w:szCs w:val="20"/>
                <w:color w:val="auto"/>
              </w:rPr>
            </w:pPr>
            <w:r>
              <w:rPr>
                <w:rFonts w:ascii="Arial" w:cs="Arial" w:eastAsia="Arial" w:hAnsi="Arial"/>
                <w:sz w:val="18"/>
                <w:szCs w:val="18"/>
                <w:color w:val="auto"/>
              </w:rPr>
              <w:t>68</w:t>
            </w:r>
          </w:p>
        </w:tc>
      </w:tr>
      <w:tr>
        <w:trPr>
          <w:trHeight w:val="27"/>
        </w:trPr>
        <w:tc>
          <w:tcPr>
            <w:tcW w:w="3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0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Technology and communications</w:t>
            </w:r>
          </w:p>
        </w:tc>
        <w:tc>
          <w:tcPr>
            <w:tcW w:w="3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726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1,439</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1,729</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2,753</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(37)</w:t>
            </w:r>
          </w:p>
        </w:tc>
      </w:tr>
      <w:tr>
        <w:trPr>
          <w:trHeight w:val="243"/>
        </w:trPr>
        <w:tc>
          <w:tcPr>
            <w:tcW w:w="3000" w:type="dxa"/>
            <w:vAlign w:val="bottom"/>
          </w:tcPr>
          <w:p>
            <w:pPr>
              <w:ind w:left="180"/>
              <w:spacing w:after="0"/>
              <w:rPr>
                <w:sz w:val="20"/>
                <w:szCs w:val="20"/>
                <w:color w:val="auto"/>
              </w:rPr>
            </w:pPr>
            <w:r>
              <w:rPr>
                <w:rFonts w:ascii="Arial" w:cs="Arial" w:eastAsia="Arial" w:hAnsi="Arial"/>
                <w:sz w:val="18"/>
                <w:szCs w:val="18"/>
                <w:color w:val="auto"/>
              </w:rPr>
              <w:t>Professional services</w:t>
            </w: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504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484</w:t>
            </w:r>
          </w:p>
        </w:tc>
        <w:tc>
          <w:tcPr>
            <w:tcW w:w="1360" w:type="dxa"/>
            <w:vAlign w:val="bottom"/>
            <w:gridSpan w:val="2"/>
          </w:tcPr>
          <w:p>
            <w:pPr>
              <w:jc w:val="right"/>
              <w:ind w:right="15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673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982</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(31)</w:t>
            </w:r>
          </w:p>
        </w:tc>
      </w:tr>
      <w:tr>
        <w:trPr>
          <w:trHeight w:val="27"/>
        </w:trPr>
        <w:tc>
          <w:tcPr>
            <w:tcW w:w="3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0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Occupancy and equipment</w:t>
            </w:r>
          </w:p>
        </w:tc>
        <w:tc>
          <w:tcPr>
            <w:tcW w:w="3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1,832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1,527</w:t>
            </w:r>
          </w:p>
        </w:tc>
        <w:tc>
          <w:tcPr>
            <w:tcW w:w="136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2,868</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2,587</w:t>
            </w:r>
          </w:p>
        </w:tc>
        <w:tc>
          <w:tcPr>
            <w:tcW w:w="114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11</w:t>
            </w:r>
          </w:p>
        </w:tc>
      </w:tr>
      <w:tr>
        <w:trPr>
          <w:trHeight w:val="243"/>
        </w:trPr>
        <w:tc>
          <w:tcPr>
            <w:tcW w:w="3000" w:type="dxa"/>
            <w:vAlign w:val="bottom"/>
          </w:tcPr>
          <w:p>
            <w:pPr>
              <w:ind w:left="18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5,139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6,656</w:t>
            </w: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7,830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12,625</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(38)</w:t>
            </w:r>
          </w:p>
        </w:tc>
      </w:tr>
      <w:tr>
        <w:trPr>
          <w:trHeight w:val="27"/>
        </w:trPr>
        <w:tc>
          <w:tcPr>
            <w:tcW w:w="30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r>
      <w:tr>
        <w:trPr>
          <w:trHeight w:val="264"/>
        </w:trPr>
        <w:tc>
          <w:tcPr>
            <w:tcW w:w="30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 expenses</w:t>
            </w:r>
          </w:p>
        </w:tc>
        <w:tc>
          <w:tcPr>
            <w:tcW w:w="32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28,657</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26,586</w:t>
            </w:r>
          </w:p>
        </w:tc>
        <w:tc>
          <w:tcPr>
            <w:tcW w:w="136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50,457</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50,372</w:t>
            </w:r>
          </w:p>
        </w:tc>
        <w:tc>
          <w:tcPr>
            <w:tcW w:w="100" w:type="dxa"/>
            <w:vAlign w:val="bottom"/>
            <w:tcBorders>
              <w:bottom w:val="single" w:sz="8" w:color="EAF9E8"/>
            </w:tcBorders>
            <w:shd w:val="clear" w:color="auto" w:fill="EAF9E8"/>
          </w:tcPr>
          <w:p>
            <w:pPr>
              <w:spacing w:after="0"/>
              <w:rPr>
                <w:sz w:val="22"/>
                <w:szCs w:val="22"/>
                <w:color w:val="auto"/>
              </w:rPr>
            </w:pPr>
          </w:p>
        </w:tc>
        <w:tc>
          <w:tcPr>
            <w:tcW w:w="104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rPr>
              <w:t>—</w:t>
            </w:r>
          </w:p>
        </w:tc>
      </w:tr>
      <w:tr>
        <w:trPr>
          <w:trHeight w:val="291"/>
        </w:trPr>
        <w:tc>
          <w:tcPr>
            <w:tcW w:w="30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30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3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r>
      <w:tr>
        <w:trPr>
          <w:trHeight w:val="243"/>
        </w:trPr>
        <w:tc>
          <w:tcPr>
            <w:tcW w:w="300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4,204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3,547</w:t>
            </w:r>
          </w:p>
        </w:tc>
        <w:tc>
          <w:tcPr>
            <w:tcW w:w="1360" w:type="dxa"/>
            <w:vAlign w:val="bottom"/>
            <w:gridSpan w:val="2"/>
          </w:tcPr>
          <w:p>
            <w:pPr>
              <w:jc w:val="right"/>
              <w:ind w:right="15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7,815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7,143</w:t>
            </w:r>
          </w:p>
        </w:tc>
        <w:tc>
          <w:tcPr>
            <w:tcW w:w="1140" w:type="dxa"/>
            <w:vAlign w:val="bottom"/>
            <w:gridSpan w:val="2"/>
          </w:tcPr>
          <w:p>
            <w:pPr>
              <w:jc w:val="right"/>
              <w:ind w:right="150"/>
              <w:spacing w:after="0"/>
              <w:rPr>
                <w:sz w:val="20"/>
                <w:szCs w:val="20"/>
                <w:color w:val="auto"/>
              </w:rPr>
            </w:pPr>
            <w:r>
              <w:rPr>
                <w:rFonts w:ascii="Arial" w:cs="Arial" w:eastAsia="Arial" w:hAnsi="Arial"/>
                <w:sz w:val="18"/>
                <w:szCs w:val="18"/>
                <w:color w:val="auto"/>
              </w:rPr>
              <w:t>9</w:t>
            </w:r>
          </w:p>
        </w:tc>
      </w:tr>
      <w:tr>
        <w:trPr>
          <w:trHeight w:val="27"/>
        </w:trPr>
        <w:tc>
          <w:tcPr>
            <w:tcW w:w="3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0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(3,697)</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(2,163)</w:t>
            </w:r>
          </w:p>
        </w:tc>
        <w:tc>
          <w:tcPr>
            <w:tcW w:w="136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(7,145)</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(4,802)</w:t>
            </w:r>
          </w:p>
        </w:tc>
        <w:tc>
          <w:tcPr>
            <w:tcW w:w="114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49</w:t>
            </w:r>
          </w:p>
        </w:tc>
      </w:tr>
      <w:tr>
        <w:trPr>
          <w:trHeight w:val="243"/>
        </w:trPr>
        <w:tc>
          <w:tcPr>
            <w:tcW w:w="300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335</w:t>
            </w: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659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1,401</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(53)</w:t>
            </w:r>
          </w:p>
        </w:tc>
      </w:tr>
      <w:tr>
        <w:trPr>
          <w:trHeight w:val="27"/>
        </w:trPr>
        <w:tc>
          <w:tcPr>
            <w:tcW w:w="30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r>
      <w:tr>
        <w:trPr>
          <w:trHeight w:val="264"/>
        </w:trPr>
        <w:tc>
          <w:tcPr>
            <w:tcW w:w="30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Other income, net</w:t>
            </w:r>
          </w:p>
        </w:tc>
        <w:tc>
          <w:tcPr>
            <w:tcW w:w="32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815</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1,719</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1,329</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3,742</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(64)</w:t>
            </w:r>
          </w:p>
        </w:tc>
      </w:tr>
      <w:tr>
        <w:trPr>
          <w:trHeight w:val="210"/>
        </w:trPr>
        <w:tc>
          <w:tcPr>
            <w:tcW w:w="30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64"/>
        </w:trPr>
        <w:tc>
          <w:tcPr>
            <w:tcW w:w="30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32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7,534</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14,445</w:t>
            </w:r>
          </w:p>
        </w:tc>
        <w:tc>
          <w:tcPr>
            <w:tcW w:w="136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9,532</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30,429</w:t>
            </w:r>
          </w:p>
        </w:tc>
        <w:tc>
          <w:tcPr>
            <w:tcW w:w="114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(69)%</w:t>
            </w:r>
          </w:p>
        </w:tc>
      </w:tr>
      <w:tr>
        <w:trPr>
          <w:trHeight w:val="20"/>
        </w:trPr>
        <w:tc>
          <w:tcPr>
            <w:tcW w:w="3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2016 versus 2015</w:t>
      </w:r>
    </w:p>
    <w:p>
      <w:pPr>
        <w:spacing w:after="0" w:line="225"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Lending pre-tax income declined by $6.9 million, or 48%, in second quarter of 2016 as compared to the second quarter of 2015 due to a $15.8 million decrease in pre-tax income of the forward lending operations offset in part by an $8.8 million increase in pre-tax income of the reverse mortgage operations. Our forward lending operations incurred a $2.8 million pre-tax loss for the three months ended June 30, 2016 while our reverse lending operations generated pre-tax income of $10.3 million. Total funding decreased by $6.5 million, or 0.5%, due to a $39.1 million decrease in reverse lending origination volume offset by a $32.6 million increase in forward lending volume. Gains on loans held for sale, net decreased $8.9 million, or 30%, primarily due to the due to a $130.2 million volume decline in the higher yielding forward lending retail channel and lower margins in all forward lending channels. This was partially offset by higher margins in reverse lending.</w:t>
      </w:r>
    </w:p>
    <w:p>
      <w:pPr>
        <w:spacing w:after="0" w:line="81"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Expenses related to the lending platforms are driven largely by production volume, with direct acquisition costs offset by origination fee income that is included in Other revenue.</w:t>
      </w:r>
    </w:p>
    <w:p>
      <w:pPr>
        <w:spacing w:after="0" w:line="170" w:lineRule="exact"/>
        <w:rPr>
          <w:sz w:val="20"/>
          <w:szCs w:val="20"/>
          <w:color w:val="auto"/>
        </w:rPr>
      </w:pPr>
    </w:p>
    <w:p>
      <w:pPr>
        <w:jc w:val="both"/>
        <w:ind w:right="520" w:firstLine="324"/>
        <w:spacing w:after="0" w:line="264" w:lineRule="auto"/>
        <w:rPr>
          <w:sz w:val="20"/>
          <w:szCs w:val="20"/>
          <w:color w:val="auto"/>
        </w:rPr>
      </w:pPr>
      <w:r>
        <w:rPr>
          <w:rFonts w:ascii="Arial" w:cs="Arial" w:eastAsia="Arial" w:hAnsi="Arial"/>
          <w:sz w:val="18"/>
          <w:szCs w:val="18"/>
          <w:color w:val="auto"/>
        </w:rPr>
        <w:t>Interest income consists primarily of interest earned on newly originated and purchased loans prior to sale to investors. Interest income is offset by interest expense incurred to finance the mortgage loans. We finance originated and purchased forward and reverse mortgage loans with repurchase and participation agreements, commonly referred to as warehouse lines.</w:t>
      </w:r>
    </w:p>
    <w:p>
      <w:pPr>
        <w:spacing w:after="0" w:line="181" w:lineRule="exact"/>
        <w:rPr>
          <w:sz w:val="20"/>
          <w:szCs w:val="20"/>
          <w:color w:val="auto"/>
        </w:rPr>
      </w:pPr>
    </w:p>
    <w:p>
      <w:pPr>
        <w:ind w:right="140" w:firstLine="324"/>
        <w:spacing w:after="0" w:line="302" w:lineRule="auto"/>
        <w:rPr>
          <w:sz w:val="20"/>
          <w:szCs w:val="20"/>
          <w:color w:val="auto"/>
        </w:rPr>
      </w:pPr>
      <w:r>
        <w:rPr>
          <w:rFonts w:ascii="Arial" w:cs="Arial" w:eastAsia="Arial" w:hAnsi="Arial"/>
          <w:sz w:val="16"/>
          <w:szCs w:val="16"/>
          <w:color w:val="auto"/>
        </w:rPr>
        <w:t>Forward lending revenues decreased by $12.6 million, or 53%, from second quarter of 2015 levels to a total of $11.1 million. The decrease in revenue was driven by the $130.2 million decline in origination volume in the higher yielding retail channel and lower margins in all forward lending channels. Total forward mortgage originations increased to $1.1 billion, which was $32.6 million, or 3%, higher than originations in the second quarter of 2015. Forward lending expenses of $14.1 million represented an increase of $2.0 million, or 17%, from the second quarter of 2015, principally because of an increase in</w:t>
      </w:r>
    </w:p>
    <w:p>
      <w:pPr>
        <w:sectPr>
          <w:pgSz w:w="11900" w:h="16838" w:orient="portrait"/>
          <w:cols w:equalWidth="0" w:num="1">
            <w:col w:w="11420"/>
          </w:cols>
          <w:pgMar w:left="240" w:top="692" w:right="239" w:bottom="1440" w:gutter="0" w:footer="0" w:header="0"/>
        </w:sect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420"/>
          </w:cols>
          <w:pgMar w:left="240" w:top="692" w:right="239" w:bottom="1440" w:gutter="0" w:footer="0" w:header="0"/>
          <w:type w:val="continuous"/>
        </w:sectPr>
      </w:pPr>
    </w:p>
    <w:bookmarkStart w:id="68" w:name="page69"/>
    <w:bookmarkEnd w:id="68"/>
    <w:p>
      <w:pPr>
        <w:ind w:right="20"/>
        <w:spacing w:after="0" w:line="277" w:lineRule="auto"/>
        <w:rPr>
          <w:sz w:val="20"/>
          <w:szCs w:val="20"/>
          <w:color w:val="auto"/>
        </w:rPr>
      </w:pPr>
      <w:r>
        <w:rPr>
          <w:rFonts w:ascii="Arial" w:cs="Arial" w:eastAsia="Arial" w:hAnsi="Arial"/>
          <w:sz w:val="18"/>
          <w:szCs w:val="18"/>
          <w:color w:val="auto"/>
        </w:rPr>
        <w:t>compensation and benefits due primarily to increased staffing for retail channel expansion and customer targeting and to the migration of certain functions in-house to reduce costs previously paid to third parties.</w:t>
      </w:r>
    </w:p>
    <w:p>
      <w:pPr>
        <w:spacing w:after="0" w:line="170" w:lineRule="exact"/>
        <w:rPr>
          <w:sz w:val="20"/>
          <w:szCs w:val="20"/>
          <w:color w:val="auto"/>
        </w:rPr>
      </w:pPr>
    </w:p>
    <w:p>
      <w:pPr>
        <w:jc w:val="both"/>
        <w:ind w:right="460" w:firstLine="324"/>
        <w:spacing w:after="0" w:line="264" w:lineRule="auto"/>
        <w:rPr>
          <w:sz w:val="20"/>
          <w:szCs w:val="20"/>
          <w:color w:val="auto"/>
        </w:rPr>
      </w:pPr>
      <w:r>
        <w:rPr>
          <w:rFonts w:ascii="Arial" w:cs="Arial" w:eastAsia="Arial" w:hAnsi="Arial"/>
          <w:sz w:val="18"/>
          <w:szCs w:val="18"/>
          <w:color w:val="auto"/>
        </w:rPr>
        <w:t>Reverse lending revenues of $24.3 million increased by $8.6 million, or 55%. Total expenses increased slightly in the second quarter of 2016. The increase in revenue was primarily due to higher margins and increased gains from higher tail draw volume. This increase was partially offset by a $39.1 million decrease in origination volume from the second quarter of 2015.</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2016 versus 2015</w:t>
      </w:r>
    </w:p>
    <w:p>
      <w:pPr>
        <w:spacing w:after="0" w:line="117"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Lending pre-tax income was $20.9 million, or 69%, lower in the first six months of 2016 as compared to the same period of 2015. Pre-tax income of the forward lending operations declined by $25.2 million while pre-tax income of the reverse mortgage operations improved by $4.3 million. Forward lending operations generated $2.5 million of pre-tax income for the six months ended June 30, 2016 and our reverse mortgage operations generated pre-tax income of $7.0 million. Total funding decreased by $139.5 million, or 6%, due to declines of $99.8 million and $39.7 million in forward and reverse lending origination volumes, respectively. Gains on loans held for sale, net decreased $21.8 million, or 37%, primarily due to the overall decline in both forward and reverse origination volume and lower margins in all forward lending channels and reverse lending.</w:t>
      </w:r>
    </w:p>
    <w:p>
      <w:pPr>
        <w:spacing w:after="0" w:line="70"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Forward lending revenues of $25.3 million for the six months ended June 30, 2016 are $22.7 million, or 47%, lower than a year ago. The decline was driven by a $292.1 million decline in origination volume in the higher yielding retail channel and lower margins in all channels. This was partially offset by higher volume in the wholesale channel. Total forward mortgage originations decreased to $1.9 billion, which was $99.8 million, or 5%, lower than originations in the first six months of 2015. Forward lending expenses declined slightly from a year ago.</w:t>
      </w:r>
    </w:p>
    <w:p>
      <w:pPr>
        <w:spacing w:after="0" w:line="187" w:lineRule="exact"/>
        <w:rPr>
          <w:sz w:val="20"/>
          <w:szCs w:val="20"/>
          <w:color w:val="auto"/>
        </w:rPr>
      </w:pPr>
    </w:p>
    <w:p>
      <w:pPr>
        <w:ind w:firstLine="324"/>
        <w:spacing w:after="0" w:line="312" w:lineRule="auto"/>
        <w:rPr>
          <w:sz w:val="20"/>
          <w:szCs w:val="20"/>
          <w:color w:val="auto"/>
        </w:rPr>
      </w:pPr>
      <w:r>
        <w:rPr>
          <w:rFonts w:ascii="Arial" w:cs="Arial" w:eastAsia="Arial" w:hAnsi="Arial"/>
          <w:sz w:val="16"/>
          <w:szCs w:val="16"/>
          <w:color w:val="auto"/>
        </w:rPr>
        <w:t>Reverse mortgage revenues increased by $4.3 million, or 15%, to $33.3 million for the six months ended June 30, 2016. Total expenses increased slightly in the first six months of 2016 as compared to the same period of 2015. The increase in revenue was primarily due to higher overall margins and increased gains from higher tail draw volume, partially offset by a $39.7 million decrease in origination volume as compared to the six months ended June 30, 2015.</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Items and Other</w:t>
      </w:r>
    </w:p>
    <w:p>
      <w:pPr>
        <w:spacing w:after="0" w:line="121" w:lineRule="exact"/>
        <w:rPr>
          <w:sz w:val="20"/>
          <w:szCs w:val="20"/>
          <w:color w:val="auto"/>
        </w:rPr>
      </w:pPr>
    </w:p>
    <w:p>
      <w:pPr>
        <w:ind w:right="280" w:firstLine="324"/>
        <w:spacing w:after="0" w:line="264" w:lineRule="auto"/>
        <w:rPr>
          <w:sz w:val="20"/>
          <w:szCs w:val="20"/>
          <w:color w:val="auto"/>
        </w:rPr>
      </w:pPr>
      <w:r>
        <w:rPr>
          <w:rFonts w:ascii="Arial" w:cs="Arial" w:eastAsia="Arial" w:hAnsi="Arial"/>
          <w:sz w:val="18"/>
          <w:szCs w:val="18"/>
          <w:color w:val="auto"/>
        </w:rPr>
        <w:t>Corporate Items and Other includes revenues and expenses that are not directly related to other reportable segments, business activities that are individually insignificant, interest income on short-term investments of cash, interest expense on unsecured corporate debt and certain corporate expenses. Our cash balances are included in Corporate Items and Other.</w:t>
      </w:r>
    </w:p>
    <w:p>
      <w:pPr>
        <w:spacing w:after="0" w:line="73"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New business activities that are currently insignificant include providing short-term inventory-secured loans to independent used car dealerships through our ACS venture and providing mortgage loans to investors to refinance existing rental properties or to purchase foreclosed properties through our Liberty Rental Finance venture. In addition, Ocwen recently formed a wholly-owned captive reinsurance entity, CR Limited (CRL) and signed a quota share re-insurance agreement with a third-party insurer related to coverage on foreclosed real estate properties owned or serviced by Ocwen.</w:t>
      </w:r>
    </w:p>
    <w:p>
      <w:pPr>
        <w:spacing w:after="0" w:line="171" w:lineRule="exact"/>
        <w:rPr>
          <w:sz w:val="20"/>
          <w:szCs w:val="20"/>
          <w:color w:val="auto"/>
        </w:rPr>
      </w:pPr>
    </w:p>
    <w:p>
      <w:pPr>
        <w:ind w:right="380" w:firstLine="324"/>
        <w:spacing w:after="0" w:line="264" w:lineRule="auto"/>
        <w:rPr>
          <w:sz w:val="20"/>
          <w:szCs w:val="20"/>
          <w:color w:val="auto"/>
        </w:rPr>
      </w:pPr>
      <w:r>
        <w:rPr>
          <w:rFonts w:ascii="Arial" w:cs="Arial" w:eastAsia="Arial" w:hAnsi="Arial"/>
          <w:sz w:val="18"/>
          <w:szCs w:val="18"/>
          <w:color w:val="auto"/>
        </w:rPr>
        <w:t>Portions of interest income and interest expense are allocated to the Servicing and Lending segments, including interest earned on cash balances and short-term investments and interest incurred on corporate debt. Expenses incurred by corporate support services are also allocated to the Servicing and Lending segments.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692" w:right="259" w:bottom="1440" w:gutter="0" w:footer="0" w:header="0"/>
        </w:sectPr>
      </w:pPr>
    </w:p>
    <w:bookmarkStart w:id="69" w:name="page70"/>
    <w:bookmarkEnd w:id="69"/>
    <w:p>
      <w:pPr>
        <w:ind w:right="40" w:firstLine="324"/>
        <w:spacing w:after="0" w:line="277" w:lineRule="auto"/>
        <w:rPr>
          <w:sz w:val="20"/>
          <w:szCs w:val="20"/>
          <w:color w:val="auto"/>
        </w:rPr>
      </w:pPr>
      <w:r>
        <w:rPr>
          <w:rFonts w:ascii="Arial" w:cs="Arial" w:eastAsia="Arial" w:hAnsi="Arial"/>
          <w:sz w:val="18"/>
          <w:szCs w:val="18"/>
          <w:color w:val="auto"/>
        </w:rPr>
        <w:t>The following table presents selected results of operations of Corporate Items and Other for the periods ended June 30. The amounts presented are before the elimination of balances and transactions with our other segments: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w w:val="98"/>
              </w:rPr>
              <w:t>Three Months</w:t>
            </w: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w w:val="97"/>
              </w:rPr>
              <w:t>Six Months</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30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3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360" w:type="dxa"/>
            <w:vAlign w:val="bottom"/>
            <w:gridSpan w:val="2"/>
          </w:tcPr>
          <w:p>
            <w:pPr>
              <w:ind w:left="220"/>
              <w:spacing w:after="0"/>
              <w:rPr>
                <w:sz w:val="20"/>
                <w:szCs w:val="20"/>
                <w:color w:val="auto"/>
              </w:rPr>
            </w:pPr>
            <w:r>
              <w:rPr>
                <w:rFonts w:ascii="Arial" w:cs="Arial" w:eastAsia="Arial" w:hAnsi="Arial"/>
                <w:sz w:val="18"/>
                <w:szCs w:val="18"/>
                <w:b w:val="1"/>
                <w:bCs w:val="1"/>
                <w:color w:val="auto"/>
              </w:rPr>
              <w:t>% Change</w:t>
            </w:r>
          </w:p>
        </w:tc>
        <w:tc>
          <w:tcPr>
            <w:tcW w:w="30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 Change</w:t>
            </w:r>
          </w:p>
        </w:tc>
      </w:tr>
      <w:tr>
        <w:trPr>
          <w:trHeight w:val="27"/>
        </w:trPr>
        <w:tc>
          <w:tcPr>
            <w:tcW w:w="30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3"/>
        </w:trPr>
        <w:tc>
          <w:tcPr>
            <w:tcW w:w="300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0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0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020" w:type="dxa"/>
            <w:vAlign w:val="bottom"/>
            <w:shd w:val="clear" w:color="auto" w:fill="EAF9E8"/>
          </w:tcPr>
          <w:p>
            <w:pPr>
              <w:spacing w:after="0"/>
              <w:rPr>
                <w:sz w:val="19"/>
                <w:szCs w:val="19"/>
                <w:color w:val="auto"/>
              </w:rPr>
            </w:pPr>
          </w:p>
        </w:tc>
      </w:tr>
      <w:tr>
        <w:trPr>
          <w:trHeight w:val="243"/>
        </w:trPr>
        <w:tc>
          <w:tcPr>
            <w:tcW w:w="300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12,558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755</w:t>
            </w:r>
          </w:p>
        </w:tc>
        <w:tc>
          <w:tcPr>
            <w:tcW w:w="100" w:type="dxa"/>
            <w:vAlign w:val="bottom"/>
          </w:tcPr>
          <w:p>
            <w:pPr>
              <w:spacing w:after="0"/>
              <w:rPr>
                <w:sz w:val="21"/>
                <w:szCs w:val="21"/>
                <w:color w:val="auto"/>
              </w:rPr>
            </w:pPr>
          </w:p>
        </w:tc>
        <w:tc>
          <w:tcPr>
            <w:tcW w:w="1360" w:type="dxa"/>
            <w:vAlign w:val="bottom"/>
            <w:gridSpan w:val="2"/>
          </w:tcPr>
          <w:p>
            <w:pPr>
              <w:ind w:left="740"/>
              <w:spacing w:after="0"/>
              <w:rPr>
                <w:sz w:val="20"/>
                <w:szCs w:val="20"/>
                <w:color w:val="auto"/>
              </w:rPr>
            </w:pPr>
            <w:r>
              <w:rPr>
                <w:rFonts w:ascii="Arial" w:cs="Arial" w:eastAsia="Arial" w:hAnsi="Arial"/>
                <w:sz w:val="18"/>
                <w:szCs w:val="18"/>
                <w:color w:val="auto"/>
              </w:rPr>
              <w:t>n/m</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12,604</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2,362</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434 %</w:t>
            </w:r>
          </w:p>
        </w:tc>
      </w:tr>
      <w:tr>
        <w:trPr>
          <w:trHeight w:val="27"/>
        </w:trPr>
        <w:tc>
          <w:tcPr>
            <w:tcW w:w="30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20" w:type="dxa"/>
            <w:vAlign w:val="bottom"/>
            <w:tcBorders>
              <w:bottom w:val="single" w:sz="8" w:color="EAF9E8"/>
            </w:tcBorders>
          </w:tcPr>
          <w:p>
            <w:pPr>
              <w:spacing w:after="0"/>
              <w:rPr>
                <w:sz w:val="2"/>
                <w:szCs w:val="2"/>
                <w:color w:val="auto"/>
              </w:rPr>
            </w:pPr>
          </w:p>
        </w:tc>
      </w:tr>
      <w:tr>
        <w:trPr>
          <w:trHeight w:val="223"/>
        </w:trPr>
        <w:tc>
          <w:tcPr>
            <w:tcW w:w="300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0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0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020" w:type="dxa"/>
            <w:vAlign w:val="bottom"/>
            <w:shd w:val="clear" w:color="auto" w:fill="EAF9E8"/>
          </w:tcPr>
          <w:p>
            <w:pPr>
              <w:spacing w:after="0"/>
              <w:rPr>
                <w:sz w:val="19"/>
                <w:szCs w:val="19"/>
                <w:color w:val="auto"/>
              </w:rPr>
            </w:pPr>
          </w:p>
        </w:tc>
      </w:tr>
      <w:tr>
        <w:trPr>
          <w:trHeight w:val="243"/>
        </w:trPr>
        <w:tc>
          <w:tcPr>
            <w:tcW w:w="3000" w:type="dxa"/>
            <w:vAlign w:val="bottom"/>
          </w:tcPr>
          <w:p>
            <w:pPr>
              <w:ind w:left="40"/>
              <w:spacing w:after="0"/>
              <w:rPr>
                <w:sz w:val="20"/>
                <w:szCs w:val="20"/>
                <w:color w:val="auto"/>
              </w:rPr>
            </w:pPr>
            <w:r>
              <w:rPr>
                <w:rFonts w:ascii="Arial" w:cs="Arial" w:eastAsia="Arial" w:hAnsi="Arial"/>
                <w:sz w:val="18"/>
                <w:szCs w:val="18"/>
                <w:b w:val="1"/>
                <w:bCs w:val="1"/>
                <w:color w:val="auto"/>
              </w:rPr>
              <w:t>Expenses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3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0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Compensation and benefits</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36,623</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29,196</w:t>
            </w:r>
          </w:p>
        </w:tc>
        <w:tc>
          <w:tcPr>
            <w:tcW w:w="1340" w:type="dxa"/>
            <w:vAlign w:val="bottom"/>
            <w:tcBorders>
              <w:bottom w:val="single" w:sz="8" w:color="EAF9E8"/>
            </w:tcBorders>
            <w:gridSpan w:val="2"/>
            <w:shd w:val="clear" w:color="auto" w:fill="EAF9E8"/>
          </w:tcPr>
          <w:p>
            <w:pPr>
              <w:jc w:val="right"/>
              <w:ind w:right="130"/>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71,091</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59,568</w:t>
            </w:r>
          </w:p>
        </w:tc>
        <w:tc>
          <w:tcPr>
            <w:tcW w:w="1140" w:type="dxa"/>
            <w:vAlign w:val="bottom"/>
            <w:tcBorders>
              <w:bottom w:val="single" w:sz="8" w:color="EAF9E8"/>
            </w:tcBorders>
            <w:gridSpan w:val="2"/>
            <w:shd w:val="clear" w:color="auto" w:fill="EAF9E8"/>
          </w:tcPr>
          <w:p>
            <w:pPr>
              <w:jc w:val="right"/>
              <w:ind w:right="130"/>
              <w:spacing w:after="0"/>
              <w:rPr>
                <w:sz w:val="20"/>
                <w:szCs w:val="20"/>
                <w:color w:val="auto"/>
              </w:rPr>
            </w:pPr>
            <w:r>
              <w:rPr>
                <w:rFonts w:ascii="Arial" w:cs="Arial" w:eastAsia="Arial" w:hAnsi="Arial"/>
                <w:sz w:val="18"/>
                <w:szCs w:val="18"/>
                <w:color w:val="auto"/>
              </w:rPr>
              <w:t>19</w:t>
            </w:r>
          </w:p>
        </w:tc>
      </w:tr>
      <w:tr>
        <w:trPr>
          <w:trHeight w:val="243"/>
        </w:trPr>
        <w:tc>
          <w:tcPr>
            <w:tcW w:w="3000" w:type="dxa"/>
            <w:vAlign w:val="bottom"/>
          </w:tcPr>
          <w:p>
            <w:pPr>
              <w:ind w:left="180"/>
              <w:spacing w:after="0"/>
              <w:rPr>
                <w:sz w:val="20"/>
                <w:szCs w:val="20"/>
                <w:color w:val="auto"/>
              </w:rPr>
            </w:pPr>
            <w:r>
              <w:rPr>
                <w:rFonts w:ascii="Arial" w:cs="Arial" w:eastAsia="Arial" w:hAnsi="Arial"/>
                <w:sz w:val="18"/>
                <w:szCs w:val="18"/>
                <w:color w:val="auto"/>
              </w:rPr>
              <w:t>Servicing and origination</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6,923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21"/>
                <w:szCs w:val="21"/>
                <w:color w:val="auto"/>
              </w:rPr>
            </w:pPr>
          </w:p>
        </w:tc>
        <w:tc>
          <w:tcPr>
            <w:tcW w:w="1360" w:type="dxa"/>
            <w:vAlign w:val="bottom"/>
            <w:gridSpan w:val="2"/>
          </w:tcPr>
          <w:p>
            <w:pPr>
              <w:ind w:left="740"/>
              <w:spacing w:after="0"/>
              <w:rPr>
                <w:sz w:val="20"/>
                <w:szCs w:val="20"/>
                <w:color w:val="auto"/>
              </w:rPr>
            </w:pPr>
            <w:r>
              <w:rPr>
                <w:rFonts w:ascii="Arial" w:cs="Arial" w:eastAsia="Arial" w:hAnsi="Arial"/>
                <w:sz w:val="18"/>
                <w:szCs w:val="18"/>
                <w:color w:val="auto"/>
              </w:rPr>
              <w:t>n/m</w:t>
            </w: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7,434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1,049</w:t>
            </w:r>
          </w:p>
        </w:tc>
        <w:tc>
          <w:tcPr>
            <w:tcW w:w="1140" w:type="dxa"/>
            <w:vAlign w:val="bottom"/>
            <w:gridSpan w:val="2"/>
          </w:tcPr>
          <w:p>
            <w:pPr>
              <w:jc w:val="right"/>
              <w:ind w:right="130"/>
              <w:spacing w:after="0"/>
              <w:rPr>
                <w:sz w:val="20"/>
                <w:szCs w:val="20"/>
                <w:color w:val="auto"/>
              </w:rPr>
            </w:pPr>
            <w:r>
              <w:rPr>
                <w:rFonts w:ascii="Arial" w:cs="Arial" w:eastAsia="Arial" w:hAnsi="Arial"/>
                <w:sz w:val="18"/>
                <w:szCs w:val="18"/>
                <w:color w:val="auto"/>
              </w:rPr>
              <w:t>609</w:t>
            </w:r>
          </w:p>
        </w:tc>
      </w:tr>
      <w:tr>
        <w:trPr>
          <w:trHeight w:val="27"/>
        </w:trPr>
        <w:tc>
          <w:tcPr>
            <w:tcW w:w="3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0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Technology and communications</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18,655</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15,825</w:t>
            </w:r>
          </w:p>
        </w:tc>
        <w:tc>
          <w:tcPr>
            <w:tcW w:w="1340" w:type="dxa"/>
            <w:vAlign w:val="bottom"/>
            <w:tcBorders>
              <w:bottom w:val="single" w:sz="8" w:color="EAF9E8"/>
            </w:tcBorders>
            <w:gridSpan w:val="2"/>
            <w:shd w:val="clear" w:color="auto" w:fill="EAF9E8"/>
          </w:tcPr>
          <w:p>
            <w:pPr>
              <w:jc w:val="right"/>
              <w:ind w:right="130"/>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29,507</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30,802</w:t>
            </w:r>
          </w:p>
        </w:tc>
        <w:tc>
          <w:tcPr>
            <w:tcW w:w="1140" w:type="dxa"/>
            <w:vAlign w:val="bottom"/>
            <w:tcBorders>
              <w:bottom w:val="single" w:sz="8" w:color="EAF9E8"/>
            </w:tcBorders>
            <w:gridSpan w:val="2"/>
            <w:shd w:val="clear" w:color="auto" w:fill="EAF9E8"/>
          </w:tcPr>
          <w:p>
            <w:pPr>
              <w:jc w:val="right"/>
              <w:ind w:right="70"/>
              <w:spacing w:after="0"/>
              <w:rPr>
                <w:sz w:val="20"/>
                <w:szCs w:val="20"/>
                <w:color w:val="auto"/>
              </w:rPr>
            </w:pPr>
            <w:r>
              <w:rPr>
                <w:rFonts w:ascii="Arial" w:cs="Arial" w:eastAsia="Arial" w:hAnsi="Arial"/>
                <w:sz w:val="18"/>
                <w:szCs w:val="18"/>
                <w:color w:val="auto"/>
              </w:rPr>
              <w:t>(4)</w:t>
            </w:r>
          </w:p>
        </w:tc>
      </w:tr>
      <w:tr>
        <w:trPr>
          <w:trHeight w:val="243"/>
        </w:trPr>
        <w:tc>
          <w:tcPr>
            <w:tcW w:w="3000" w:type="dxa"/>
            <w:vAlign w:val="bottom"/>
          </w:tcPr>
          <w:p>
            <w:pPr>
              <w:ind w:left="180"/>
              <w:spacing w:after="0"/>
              <w:rPr>
                <w:sz w:val="20"/>
                <w:szCs w:val="20"/>
                <w:color w:val="auto"/>
              </w:rPr>
            </w:pPr>
            <w:r>
              <w:rPr>
                <w:rFonts w:ascii="Arial" w:cs="Arial" w:eastAsia="Arial" w:hAnsi="Arial"/>
                <w:sz w:val="18"/>
                <w:szCs w:val="18"/>
                <w:color w:val="auto"/>
              </w:rPr>
              <w:t>Professional services</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84,900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38,817</w:t>
            </w:r>
          </w:p>
        </w:tc>
        <w:tc>
          <w:tcPr>
            <w:tcW w:w="1340" w:type="dxa"/>
            <w:vAlign w:val="bottom"/>
            <w:gridSpan w:val="2"/>
          </w:tcPr>
          <w:p>
            <w:pPr>
              <w:jc w:val="right"/>
              <w:ind w:right="130"/>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122,246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66,607</w:t>
            </w:r>
          </w:p>
        </w:tc>
        <w:tc>
          <w:tcPr>
            <w:tcW w:w="1140" w:type="dxa"/>
            <w:vAlign w:val="bottom"/>
            <w:gridSpan w:val="2"/>
          </w:tcPr>
          <w:p>
            <w:pPr>
              <w:jc w:val="right"/>
              <w:ind w:right="130"/>
              <w:spacing w:after="0"/>
              <w:rPr>
                <w:sz w:val="20"/>
                <w:szCs w:val="20"/>
                <w:color w:val="auto"/>
              </w:rPr>
            </w:pPr>
            <w:r>
              <w:rPr>
                <w:rFonts w:ascii="Arial" w:cs="Arial" w:eastAsia="Arial" w:hAnsi="Arial"/>
                <w:sz w:val="18"/>
                <w:szCs w:val="18"/>
                <w:color w:val="auto"/>
              </w:rPr>
              <w:t>84</w:t>
            </w:r>
          </w:p>
        </w:tc>
      </w:tr>
      <w:tr>
        <w:trPr>
          <w:trHeight w:val="27"/>
        </w:trPr>
        <w:tc>
          <w:tcPr>
            <w:tcW w:w="3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0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Occupancy and equipment</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4,340</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4,360</w:t>
            </w:r>
          </w:p>
        </w:tc>
        <w:tc>
          <w:tcPr>
            <w:tcW w:w="10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7,871</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10,075</w:t>
            </w:r>
          </w:p>
        </w:tc>
        <w:tc>
          <w:tcPr>
            <w:tcW w:w="1140" w:type="dxa"/>
            <w:vAlign w:val="bottom"/>
            <w:tcBorders>
              <w:bottom w:val="single" w:sz="8" w:color="EAF9E8"/>
            </w:tcBorders>
            <w:gridSpan w:val="2"/>
            <w:shd w:val="clear" w:color="auto" w:fill="EAF9E8"/>
          </w:tcPr>
          <w:p>
            <w:pPr>
              <w:jc w:val="right"/>
              <w:ind w:right="70"/>
              <w:spacing w:after="0"/>
              <w:rPr>
                <w:sz w:val="20"/>
                <w:szCs w:val="20"/>
                <w:color w:val="auto"/>
              </w:rPr>
            </w:pPr>
            <w:r>
              <w:rPr>
                <w:rFonts w:ascii="Arial" w:cs="Arial" w:eastAsia="Arial" w:hAnsi="Arial"/>
                <w:sz w:val="18"/>
                <w:szCs w:val="18"/>
                <w:color w:val="auto"/>
              </w:rPr>
              <w:t>(22)</w:t>
            </w:r>
          </w:p>
        </w:tc>
      </w:tr>
      <w:tr>
        <w:trPr>
          <w:trHeight w:val="243"/>
        </w:trPr>
        <w:tc>
          <w:tcPr>
            <w:tcW w:w="3000" w:type="dxa"/>
            <w:vAlign w:val="bottom"/>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7,860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6,513</w:t>
            </w:r>
          </w:p>
        </w:tc>
        <w:tc>
          <w:tcPr>
            <w:tcW w:w="1340" w:type="dxa"/>
            <w:vAlign w:val="bottom"/>
            <w:gridSpan w:val="2"/>
          </w:tcPr>
          <w:p>
            <w:pPr>
              <w:jc w:val="right"/>
              <w:ind w:right="13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11,657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11,345</w:t>
            </w:r>
          </w:p>
        </w:tc>
        <w:tc>
          <w:tcPr>
            <w:tcW w:w="1140" w:type="dxa"/>
            <w:vAlign w:val="bottom"/>
            <w:gridSpan w:val="2"/>
          </w:tcPr>
          <w:p>
            <w:pPr>
              <w:jc w:val="right"/>
              <w:ind w:right="130"/>
              <w:spacing w:after="0"/>
              <w:rPr>
                <w:sz w:val="20"/>
                <w:szCs w:val="20"/>
                <w:color w:val="auto"/>
              </w:rPr>
            </w:pPr>
            <w:r>
              <w:rPr>
                <w:rFonts w:ascii="Arial" w:cs="Arial" w:eastAsia="Arial" w:hAnsi="Arial"/>
                <w:sz w:val="18"/>
                <w:szCs w:val="18"/>
                <w:color w:val="auto"/>
              </w:rPr>
              <w:t>3</w:t>
            </w:r>
          </w:p>
        </w:tc>
      </w:tr>
      <w:tr>
        <w:trPr>
          <w:trHeight w:val="27"/>
        </w:trPr>
        <w:tc>
          <w:tcPr>
            <w:tcW w:w="30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20" w:type="dxa"/>
            <w:vAlign w:val="bottom"/>
            <w:tcBorders>
              <w:bottom w:val="single" w:sz="8" w:color="EAF9E8"/>
            </w:tcBorders>
          </w:tcPr>
          <w:p>
            <w:pPr>
              <w:spacing w:after="0"/>
              <w:rPr>
                <w:sz w:val="2"/>
                <w:szCs w:val="2"/>
                <w:color w:val="auto"/>
              </w:rPr>
            </w:pPr>
          </w:p>
        </w:tc>
      </w:tr>
      <w:tr>
        <w:trPr>
          <w:trHeight w:val="209"/>
        </w:trPr>
        <w:tc>
          <w:tcPr>
            <w:tcW w:w="3000" w:type="dxa"/>
            <w:vAlign w:val="bottom"/>
            <w:shd w:val="clear" w:color="auto" w:fill="EAF9E8"/>
          </w:tcPr>
          <w:p>
            <w:pPr>
              <w:ind w:left="280"/>
              <w:spacing w:after="0"/>
              <w:rPr>
                <w:sz w:val="20"/>
                <w:szCs w:val="20"/>
                <w:color w:val="auto"/>
              </w:rPr>
            </w:pPr>
            <w:r>
              <w:rPr>
                <w:rFonts w:ascii="Arial" w:cs="Arial" w:eastAsia="Arial" w:hAnsi="Arial"/>
                <w:sz w:val="18"/>
                <w:szCs w:val="18"/>
                <w:color w:val="auto"/>
              </w:rPr>
              <w:t>Total expenses before corporate</w:t>
            </w:r>
          </w:p>
        </w:tc>
        <w:tc>
          <w:tcPr>
            <w:tcW w:w="34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r>
      <w:tr>
        <w:trPr>
          <w:trHeight w:val="237"/>
        </w:trPr>
        <w:tc>
          <w:tcPr>
            <w:tcW w:w="3000" w:type="dxa"/>
            <w:vAlign w:val="bottom"/>
            <w:tcBorders>
              <w:bottom w:val="single" w:sz="8" w:color="EAF9E8"/>
            </w:tcBorders>
            <w:shd w:val="clear" w:color="auto" w:fill="EAF9E8"/>
          </w:tcPr>
          <w:p>
            <w:pPr>
              <w:ind w:left="440"/>
              <w:spacing w:after="0"/>
              <w:rPr>
                <w:sz w:val="20"/>
                <w:szCs w:val="20"/>
                <w:color w:val="auto"/>
              </w:rPr>
            </w:pPr>
            <w:r>
              <w:rPr>
                <w:rFonts w:ascii="Arial" w:cs="Arial" w:eastAsia="Arial" w:hAnsi="Arial"/>
                <w:sz w:val="18"/>
                <w:szCs w:val="18"/>
                <w:color w:val="auto"/>
              </w:rPr>
              <w:t>overhead allocations</w:t>
            </w:r>
          </w:p>
        </w:tc>
        <w:tc>
          <w:tcPr>
            <w:tcW w:w="340" w:type="dxa"/>
            <w:vAlign w:val="bottom"/>
            <w:tcBorders>
              <w:bottom w:val="single" w:sz="8" w:color="EAF9E8"/>
            </w:tcBorders>
            <w:shd w:val="clear" w:color="auto" w:fill="EAF9E8"/>
          </w:tcPr>
          <w:p>
            <w:pPr>
              <w:spacing w:after="0"/>
              <w:rPr>
                <w:sz w:val="20"/>
                <w:szCs w:val="20"/>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159,301</w:t>
            </w:r>
          </w:p>
        </w:tc>
        <w:tc>
          <w:tcPr>
            <w:tcW w:w="100" w:type="dxa"/>
            <w:vAlign w:val="bottom"/>
            <w:tcBorders>
              <w:bottom w:val="single" w:sz="8" w:color="EAF9E8"/>
            </w:tcBorders>
            <w:shd w:val="clear" w:color="auto" w:fill="EAF9E8"/>
          </w:tcPr>
          <w:p>
            <w:pPr>
              <w:spacing w:after="0"/>
              <w:rPr>
                <w:sz w:val="20"/>
                <w:szCs w:val="20"/>
                <w:color w:val="auto"/>
              </w:rPr>
            </w:pPr>
          </w:p>
        </w:tc>
        <w:tc>
          <w:tcPr>
            <w:tcW w:w="340" w:type="dxa"/>
            <w:vAlign w:val="bottom"/>
            <w:tcBorders>
              <w:bottom w:val="single" w:sz="8" w:color="EAF9E8"/>
            </w:tcBorders>
            <w:shd w:val="clear" w:color="auto" w:fill="EAF9E8"/>
          </w:tcPr>
          <w:p>
            <w:pPr>
              <w:spacing w:after="0"/>
              <w:rPr>
                <w:sz w:val="20"/>
                <w:szCs w:val="20"/>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95,134</w:t>
            </w:r>
          </w:p>
        </w:tc>
        <w:tc>
          <w:tcPr>
            <w:tcW w:w="1340" w:type="dxa"/>
            <w:vAlign w:val="bottom"/>
            <w:tcBorders>
              <w:bottom w:val="single" w:sz="8" w:color="EAF9E8"/>
            </w:tcBorders>
            <w:gridSpan w:val="2"/>
            <w:shd w:val="clear" w:color="auto" w:fill="EAF9E8"/>
          </w:tcPr>
          <w:p>
            <w:pPr>
              <w:jc w:val="right"/>
              <w:ind w:right="130"/>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spacing w:after="0"/>
              <w:rPr>
                <w:sz w:val="20"/>
                <w:szCs w:val="20"/>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249,806</w:t>
            </w:r>
          </w:p>
        </w:tc>
        <w:tc>
          <w:tcPr>
            <w:tcW w:w="12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spacing w:after="0"/>
              <w:rPr>
                <w:sz w:val="20"/>
                <w:szCs w:val="20"/>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179,446</w:t>
            </w:r>
          </w:p>
        </w:tc>
        <w:tc>
          <w:tcPr>
            <w:tcW w:w="1140" w:type="dxa"/>
            <w:vAlign w:val="bottom"/>
            <w:tcBorders>
              <w:bottom w:val="single" w:sz="8" w:color="EAF9E8"/>
            </w:tcBorders>
            <w:gridSpan w:val="2"/>
            <w:shd w:val="clear" w:color="auto" w:fill="EAF9E8"/>
          </w:tcPr>
          <w:p>
            <w:pPr>
              <w:jc w:val="right"/>
              <w:ind w:right="130"/>
              <w:spacing w:after="0"/>
              <w:rPr>
                <w:sz w:val="20"/>
                <w:szCs w:val="20"/>
                <w:color w:val="auto"/>
              </w:rPr>
            </w:pPr>
            <w:r>
              <w:rPr>
                <w:rFonts w:ascii="Arial" w:cs="Arial" w:eastAsia="Arial" w:hAnsi="Arial"/>
                <w:sz w:val="18"/>
                <w:szCs w:val="18"/>
                <w:color w:val="auto"/>
              </w:rPr>
              <w:t>39</w:t>
            </w:r>
          </w:p>
        </w:tc>
      </w:tr>
      <w:tr>
        <w:trPr>
          <w:trHeight w:val="243"/>
        </w:trPr>
        <w:tc>
          <w:tcPr>
            <w:tcW w:w="3000" w:type="dxa"/>
            <w:vAlign w:val="bottom"/>
          </w:tcPr>
          <w:p>
            <w:pPr>
              <w:ind w:left="180"/>
              <w:spacing w:after="0"/>
              <w:rPr>
                <w:sz w:val="20"/>
                <w:szCs w:val="20"/>
                <w:color w:val="auto"/>
              </w:rPr>
            </w:pPr>
            <w:r>
              <w:rPr>
                <w:rFonts w:ascii="Arial" w:cs="Arial" w:eastAsia="Arial" w:hAnsi="Arial"/>
                <w:sz w:val="18"/>
                <w:szCs w:val="18"/>
                <w:color w:val="auto"/>
              </w:rPr>
              <w:t>Corporate overhead allocations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3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0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Servicing segment</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(62,086)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(52,526)</w:t>
            </w:r>
          </w:p>
        </w:tc>
        <w:tc>
          <w:tcPr>
            <w:tcW w:w="1340" w:type="dxa"/>
            <w:vAlign w:val="bottom"/>
            <w:tcBorders>
              <w:bottom w:val="single" w:sz="8" w:color="EAF9E8"/>
            </w:tcBorders>
            <w:gridSpan w:val="2"/>
            <w:shd w:val="clear" w:color="auto" w:fill="EAF9E8"/>
          </w:tcPr>
          <w:p>
            <w:pPr>
              <w:jc w:val="right"/>
              <w:ind w:right="130"/>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(120,715)</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(118,310)</w:t>
            </w:r>
          </w:p>
        </w:tc>
        <w:tc>
          <w:tcPr>
            <w:tcW w:w="1140" w:type="dxa"/>
            <w:vAlign w:val="bottom"/>
            <w:tcBorders>
              <w:bottom w:val="single" w:sz="8" w:color="EAF9E8"/>
            </w:tcBorders>
            <w:gridSpan w:val="2"/>
            <w:shd w:val="clear" w:color="auto" w:fill="EAF9E8"/>
          </w:tcPr>
          <w:p>
            <w:pPr>
              <w:jc w:val="right"/>
              <w:ind w:right="130"/>
              <w:spacing w:after="0"/>
              <w:rPr>
                <w:sz w:val="20"/>
                <w:szCs w:val="20"/>
                <w:color w:val="auto"/>
              </w:rPr>
            </w:pPr>
            <w:r>
              <w:rPr>
                <w:rFonts w:ascii="Arial" w:cs="Arial" w:eastAsia="Arial" w:hAnsi="Arial"/>
                <w:sz w:val="18"/>
                <w:szCs w:val="18"/>
                <w:color w:val="auto"/>
              </w:rPr>
              <w:t>2</w:t>
            </w:r>
          </w:p>
        </w:tc>
      </w:tr>
      <w:tr>
        <w:trPr>
          <w:trHeight w:val="243"/>
        </w:trPr>
        <w:tc>
          <w:tcPr>
            <w:tcW w:w="3000" w:type="dxa"/>
            <w:vAlign w:val="bottom"/>
          </w:tcPr>
          <w:p>
            <w:pPr>
              <w:ind w:left="280"/>
              <w:spacing w:after="0"/>
              <w:rPr>
                <w:sz w:val="20"/>
                <w:szCs w:val="20"/>
                <w:color w:val="auto"/>
              </w:rPr>
            </w:pPr>
            <w:r>
              <w:rPr>
                <w:rFonts w:ascii="Arial" w:cs="Arial" w:eastAsia="Arial" w:hAnsi="Arial"/>
                <w:sz w:val="18"/>
                <w:szCs w:val="18"/>
                <w:color w:val="auto"/>
              </w:rPr>
              <w:t>Lending segment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(1,129)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(1,332)</w:t>
            </w:r>
          </w:p>
        </w:tc>
        <w:tc>
          <w:tcPr>
            <w:tcW w:w="1340" w:type="dxa"/>
            <w:vAlign w:val="bottom"/>
            <w:gridSpan w:val="2"/>
          </w:tcPr>
          <w:p>
            <w:pPr>
              <w:jc w:val="right"/>
              <w:ind w:right="7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(3,044)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(3,165)</w:t>
            </w:r>
          </w:p>
        </w:tc>
        <w:tc>
          <w:tcPr>
            <w:tcW w:w="1140" w:type="dxa"/>
            <w:vAlign w:val="bottom"/>
            <w:gridSpan w:val="2"/>
          </w:tcPr>
          <w:p>
            <w:pPr>
              <w:jc w:val="right"/>
              <w:ind w:right="70"/>
              <w:spacing w:after="0"/>
              <w:rPr>
                <w:sz w:val="20"/>
                <w:szCs w:val="20"/>
                <w:color w:val="auto"/>
              </w:rPr>
            </w:pPr>
            <w:r>
              <w:rPr>
                <w:rFonts w:ascii="Arial" w:cs="Arial" w:eastAsia="Arial" w:hAnsi="Arial"/>
                <w:sz w:val="18"/>
                <w:szCs w:val="18"/>
                <w:color w:val="auto"/>
              </w:rPr>
              <w:t>(4)</w:t>
            </w:r>
          </w:p>
        </w:tc>
      </w:tr>
      <w:tr>
        <w:trPr>
          <w:trHeight w:val="27"/>
        </w:trPr>
        <w:tc>
          <w:tcPr>
            <w:tcW w:w="30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20" w:type="dxa"/>
            <w:vAlign w:val="bottom"/>
            <w:tcBorders>
              <w:bottom w:val="single" w:sz="8" w:color="EAF9E8"/>
            </w:tcBorders>
          </w:tcPr>
          <w:p>
            <w:pPr>
              <w:spacing w:after="0"/>
              <w:rPr>
                <w:sz w:val="2"/>
                <w:szCs w:val="2"/>
                <w:color w:val="auto"/>
              </w:rPr>
            </w:pPr>
          </w:p>
        </w:tc>
      </w:tr>
      <w:tr>
        <w:trPr>
          <w:trHeight w:val="264"/>
        </w:trPr>
        <w:tc>
          <w:tcPr>
            <w:tcW w:w="300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rPr>
              <w:t>Total expenses</w:t>
            </w:r>
          </w:p>
        </w:tc>
        <w:tc>
          <w:tcPr>
            <w:tcW w:w="34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96,086</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41,276</w:t>
            </w:r>
          </w:p>
        </w:tc>
        <w:tc>
          <w:tcPr>
            <w:tcW w:w="1340" w:type="dxa"/>
            <w:vAlign w:val="bottom"/>
            <w:tcBorders>
              <w:bottom w:val="single" w:sz="8" w:color="EAF9E8"/>
            </w:tcBorders>
            <w:gridSpan w:val="2"/>
            <w:shd w:val="clear" w:color="auto" w:fill="EAF9E8"/>
          </w:tcPr>
          <w:p>
            <w:pPr>
              <w:jc w:val="right"/>
              <w:ind w:right="130"/>
              <w:spacing w:after="0"/>
              <w:rPr>
                <w:sz w:val="20"/>
                <w:szCs w:val="20"/>
                <w:color w:val="auto"/>
              </w:rPr>
            </w:pPr>
            <w:r>
              <w:rPr>
                <w:rFonts w:ascii="Arial" w:cs="Arial" w:eastAsia="Arial" w:hAnsi="Arial"/>
                <w:sz w:val="18"/>
                <w:szCs w:val="18"/>
                <w:color w:val="auto"/>
              </w:rPr>
              <w:t>133</w:t>
            </w:r>
          </w:p>
        </w:tc>
        <w:tc>
          <w:tcPr>
            <w:tcW w:w="12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126,047</w:t>
            </w:r>
          </w:p>
        </w:tc>
        <w:tc>
          <w:tcPr>
            <w:tcW w:w="12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57,971</w:t>
            </w:r>
          </w:p>
        </w:tc>
        <w:tc>
          <w:tcPr>
            <w:tcW w:w="1140" w:type="dxa"/>
            <w:vAlign w:val="bottom"/>
            <w:tcBorders>
              <w:bottom w:val="single" w:sz="8" w:color="EAF9E8"/>
            </w:tcBorders>
            <w:gridSpan w:val="2"/>
            <w:shd w:val="clear" w:color="auto" w:fill="EAF9E8"/>
          </w:tcPr>
          <w:p>
            <w:pPr>
              <w:jc w:val="right"/>
              <w:ind w:right="130"/>
              <w:spacing w:after="0"/>
              <w:rPr>
                <w:sz w:val="20"/>
                <w:szCs w:val="20"/>
                <w:color w:val="auto"/>
              </w:rPr>
            </w:pPr>
            <w:r>
              <w:rPr>
                <w:rFonts w:ascii="Arial" w:cs="Arial" w:eastAsia="Arial" w:hAnsi="Arial"/>
                <w:sz w:val="18"/>
                <w:szCs w:val="18"/>
                <w:color w:val="auto"/>
              </w:rPr>
              <w:t>117</w:t>
            </w:r>
          </w:p>
        </w:tc>
      </w:tr>
      <w:tr>
        <w:trPr>
          <w:trHeight w:val="264"/>
        </w:trPr>
        <w:tc>
          <w:tcPr>
            <w:tcW w:w="30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50"/>
        </w:trPr>
        <w:tc>
          <w:tcPr>
            <w:tcW w:w="30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Other income (expense), net</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r>
      <w:tr>
        <w:trPr>
          <w:trHeight w:val="243"/>
        </w:trPr>
        <w:tc>
          <w:tcPr>
            <w:tcW w:w="300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951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805</w:t>
            </w:r>
          </w:p>
        </w:tc>
        <w:tc>
          <w:tcPr>
            <w:tcW w:w="1340" w:type="dxa"/>
            <w:vAlign w:val="bottom"/>
            <w:gridSpan w:val="2"/>
          </w:tcPr>
          <w:p>
            <w:pPr>
              <w:jc w:val="right"/>
              <w:ind w:right="13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1,676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1,413</w:t>
            </w:r>
          </w:p>
        </w:tc>
        <w:tc>
          <w:tcPr>
            <w:tcW w:w="1140" w:type="dxa"/>
            <w:vAlign w:val="bottom"/>
            <w:gridSpan w:val="2"/>
          </w:tcPr>
          <w:p>
            <w:pPr>
              <w:jc w:val="right"/>
              <w:ind w:right="130"/>
              <w:spacing w:after="0"/>
              <w:rPr>
                <w:sz w:val="20"/>
                <w:szCs w:val="20"/>
                <w:color w:val="auto"/>
              </w:rPr>
            </w:pPr>
            <w:r>
              <w:rPr>
                <w:rFonts w:ascii="Arial" w:cs="Arial" w:eastAsia="Arial" w:hAnsi="Arial"/>
                <w:sz w:val="18"/>
                <w:szCs w:val="18"/>
                <w:color w:val="auto"/>
              </w:rPr>
              <w:t>19</w:t>
            </w:r>
          </w:p>
        </w:tc>
      </w:tr>
      <w:tr>
        <w:trPr>
          <w:trHeight w:val="27"/>
        </w:trPr>
        <w:tc>
          <w:tcPr>
            <w:tcW w:w="3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0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(6,139)</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(6,633)</w:t>
            </w:r>
          </w:p>
        </w:tc>
        <w:tc>
          <w:tcPr>
            <w:tcW w:w="1340" w:type="dxa"/>
            <w:vAlign w:val="bottom"/>
            <w:tcBorders>
              <w:bottom w:val="single" w:sz="8" w:color="EAF9E8"/>
            </w:tcBorders>
            <w:gridSpan w:val="2"/>
            <w:shd w:val="clear" w:color="auto" w:fill="EAF9E8"/>
          </w:tcPr>
          <w:p>
            <w:pPr>
              <w:jc w:val="right"/>
              <w:ind w:right="7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(12,307)</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(12,761)</w:t>
            </w:r>
          </w:p>
        </w:tc>
        <w:tc>
          <w:tcPr>
            <w:tcW w:w="1140" w:type="dxa"/>
            <w:vAlign w:val="bottom"/>
            <w:tcBorders>
              <w:bottom w:val="single" w:sz="8" w:color="EAF9E8"/>
            </w:tcBorders>
            <w:gridSpan w:val="2"/>
            <w:shd w:val="clear" w:color="auto" w:fill="EAF9E8"/>
          </w:tcPr>
          <w:p>
            <w:pPr>
              <w:jc w:val="right"/>
              <w:ind w:right="70"/>
              <w:spacing w:after="0"/>
              <w:rPr>
                <w:sz w:val="20"/>
                <w:szCs w:val="20"/>
                <w:color w:val="auto"/>
              </w:rPr>
            </w:pPr>
            <w:r>
              <w:rPr>
                <w:rFonts w:ascii="Arial" w:cs="Arial" w:eastAsia="Arial" w:hAnsi="Arial"/>
                <w:sz w:val="18"/>
                <w:szCs w:val="18"/>
                <w:color w:val="auto"/>
              </w:rPr>
              <w:t>(4)</w:t>
            </w:r>
          </w:p>
        </w:tc>
      </w:tr>
      <w:tr>
        <w:trPr>
          <w:trHeight w:val="243"/>
        </w:trPr>
        <w:tc>
          <w:tcPr>
            <w:tcW w:w="3000" w:type="dxa"/>
            <w:vAlign w:val="bottom"/>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(175)</w:t>
            </w:r>
          </w:p>
        </w:tc>
        <w:tc>
          <w:tcPr>
            <w:tcW w:w="1340" w:type="dxa"/>
            <w:vAlign w:val="bottom"/>
            <w:gridSpan w:val="2"/>
          </w:tcPr>
          <w:p>
            <w:pPr>
              <w:jc w:val="right"/>
              <w:ind w:right="130"/>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(1,017)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557</w:t>
            </w:r>
          </w:p>
        </w:tc>
        <w:tc>
          <w:tcPr>
            <w:tcW w:w="1140" w:type="dxa"/>
            <w:vAlign w:val="bottom"/>
            <w:gridSpan w:val="2"/>
          </w:tcPr>
          <w:p>
            <w:pPr>
              <w:jc w:val="right"/>
              <w:ind w:right="70"/>
              <w:spacing w:after="0"/>
              <w:rPr>
                <w:sz w:val="20"/>
                <w:szCs w:val="20"/>
                <w:color w:val="auto"/>
              </w:rPr>
            </w:pPr>
            <w:r>
              <w:rPr>
                <w:rFonts w:ascii="Arial" w:cs="Arial" w:eastAsia="Arial" w:hAnsi="Arial"/>
                <w:sz w:val="18"/>
                <w:szCs w:val="18"/>
                <w:color w:val="auto"/>
              </w:rPr>
              <w:t>(283)</w:t>
            </w:r>
          </w:p>
        </w:tc>
      </w:tr>
      <w:tr>
        <w:trPr>
          <w:trHeight w:val="27"/>
        </w:trPr>
        <w:tc>
          <w:tcPr>
            <w:tcW w:w="30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20" w:type="dxa"/>
            <w:vAlign w:val="bottom"/>
            <w:tcBorders>
              <w:bottom w:val="single" w:sz="8" w:color="EAF9E8"/>
            </w:tcBorders>
          </w:tcPr>
          <w:p>
            <w:pPr>
              <w:spacing w:after="0"/>
              <w:rPr>
                <w:sz w:val="2"/>
                <w:szCs w:val="2"/>
                <w:color w:val="auto"/>
              </w:rPr>
            </w:pPr>
          </w:p>
        </w:tc>
      </w:tr>
      <w:tr>
        <w:trPr>
          <w:trHeight w:val="264"/>
        </w:trPr>
        <w:tc>
          <w:tcPr>
            <w:tcW w:w="30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Other expense, net</w:t>
            </w:r>
          </w:p>
        </w:tc>
        <w:tc>
          <w:tcPr>
            <w:tcW w:w="34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(5,696)</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(6,003)</w:t>
            </w:r>
          </w:p>
        </w:tc>
        <w:tc>
          <w:tcPr>
            <w:tcW w:w="1340" w:type="dxa"/>
            <w:vAlign w:val="bottom"/>
            <w:tcBorders>
              <w:bottom w:val="single" w:sz="8" w:color="EAF9E8"/>
            </w:tcBorders>
            <w:gridSpan w:val="2"/>
            <w:shd w:val="clear" w:color="auto" w:fill="EAF9E8"/>
          </w:tcPr>
          <w:p>
            <w:pPr>
              <w:jc w:val="right"/>
              <w:ind w:right="7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0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(11,648)</w:t>
            </w:r>
          </w:p>
        </w:tc>
        <w:tc>
          <w:tcPr>
            <w:tcW w:w="12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0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(10,791)</w:t>
            </w:r>
          </w:p>
        </w:tc>
        <w:tc>
          <w:tcPr>
            <w:tcW w:w="1140" w:type="dxa"/>
            <w:vAlign w:val="bottom"/>
            <w:tcBorders>
              <w:bottom w:val="single" w:sz="8" w:color="EAF9E8"/>
            </w:tcBorders>
            <w:gridSpan w:val="2"/>
            <w:shd w:val="clear" w:color="auto" w:fill="EAF9E8"/>
          </w:tcPr>
          <w:p>
            <w:pPr>
              <w:jc w:val="right"/>
              <w:ind w:right="130"/>
              <w:spacing w:after="0"/>
              <w:rPr>
                <w:sz w:val="20"/>
                <w:szCs w:val="20"/>
                <w:color w:val="auto"/>
              </w:rPr>
            </w:pPr>
            <w:r>
              <w:rPr>
                <w:rFonts w:ascii="Arial" w:cs="Arial" w:eastAsia="Arial" w:hAnsi="Arial"/>
                <w:sz w:val="18"/>
                <w:szCs w:val="18"/>
                <w:color w:val="auto"/>
              </w:rPr>
              <w:t>8</w:t>
            </w:r>
          </w:p>
        </w:tc>
      </w:tr>
      <w:tr>
        <w:trPr>
          <w:trHeight w:val="223"/>
        </w:trPr>
        <w:tc>
          <w:tcPr>
            <w:tcW w:w="30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64"/>
        </w:trPr>
        <w:tc>
          <w:tcPr>
            <w:tcW w:w="30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Loss before income taxes</w:t>
            </w: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(89,224)</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(46,524)</w:t>
            </w:r>
          </w:p>
        </w:tc>
        <w:tc>
          <w:tcPr>
            <w:tcW w:w="134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92 %</w:t>
            </w:r>
          </w:p>
        </w:tc>
        <w:tc>
          <w:tcPr>
            <w:tcW w:w="12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(125,091)</w:t>
            </w:r>
          </w:p>
        </w:tc>
        <w:tc>
          <w:tcPr>
            <w:tcW w:w="12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(66,400)</w:t>
            </w:r>
          </w:p>
        </w:tc>
        <w:tc>
          <w:tcPr>
            <w:tcW w:w="114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88 %</w:t>
            </w:r>
          </w:p>
        </w:tc>
      </w:tr>
      <w:tr>
        <w:trPr>
          <w:trHeight w:val="20"/>
        </w:trPr>
        <w:tc>
          <w:tcPr>
            <w:tcW w:w="30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2016 versus 2015</w:t>
      </w:r>
    </w:p>
    <w:p>
      <w:pPr>
        <w:spacing w:after="0" w:line="117"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The increase in revenue represents premiums recognized by CRL under a quota share reinsurance agreement executed with a third-party insurer in the second quarter of 2016.</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Total expenses increased by $54.8 million in the second quarter of 2016 as compared to the second quarter of 2015. Professional services increased by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$46.1 million primarily due to a $30.0 million charge to establish an accrual in connection with the settlement in principle of the Fisher Cases, a $15.0 million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charge to establish an accrual in connection with our discussions with the CA DBO regarding the possibility of resolving certain matters relating to OLS’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servicing practices and early termination of the CA DBO Consent Order and a $21.9 million increase in regulatory monitoring costs. These increases were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offset in part by $15.8 million of strategic advisor costs incurred in the second quarter of 2015. The expenses we incurred for the three monitoring firms under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our NY DFS, CA DBO and Ocwen National Mortgage settlements increased from $6.3 million in the second quarter of 2015 to $28.1 million in the second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quarter of 2016, primarily as a result of costs related to the CA Auditor. Compensation and benefits increased by $7.4 million due to increases in headcount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driven by the ongoing in-sourcing of our technology infrastructure and facilities functions, as well as the continued investment in our ACS and Liberty Rental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Finance ventures. In the second quarter of 2016, Servicing and origination expenses increased $6.5 million due to reinsurance commissions incurred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connection with the reinsurance agreement executed by CRL and Other expenses includes a $3.8 million provision for insurance loss reserves recognized by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CRL.</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2016 versus 2015</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in revenue represents the premiums recognized by CRL.</w:t>
      </w:r>
    </w:p>
    <w:p>
      <w:pPr>
        <w:spacing w:after="0" w:line="117"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Total expenses were $68.1 million higher in the first six months of 2016 than the same period of 2015. Professional services accounted for $55.6 million of this increase as a result of a $42.9 million increase in regulatory monitoring costs, the $30.0 million settlement in principle of the Fisher Cases and the $15.0 million charge to establish an accrual in connection with our discussions with the CA DBO. Strategic advisor costs of $24.2 million incurred in 2015 and declines of $3.4 million in</w:t>
      </w:r>
    </w:p>
    <w:p>
      <w:pPr>
        <w:sectPr>
          <w:pgSz w:w="11900" w:h="16838" w:orient="portrait"/>
          <w:cols w:equalWidth="0" w:num="1">
            <w:col w:w="11420"/>
          </w:cols>
          <w:pgMar w:left="240" w:top="692"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420"/>
          </w:cols>
          <w:pgMar w:left="240" w:top="692" w:right="239" w:bottom="1440" w:gutter="0" w:footer="0" w:header="0"/>
          <w:type w:val="continuous"/>
        </w:sectPr>
      </w:pPr>
    </w:p>
    <w:bookmarkStart w:id="70" w:name="page71"/>
    <w:bookmarkEnd w:id="70"/>
    <w:p>
      <w:pPr>
        <w:ind w:right="80"/>
        <w:spacing w:after="0" w:line="255" w:lineRule="auto"/>
        <w:rPr>
          <w:sz w:val="20"/>
          <w:szCs w:val="20"/>
          <w:color w:val="auto"/>
        </w:rPr>
      </w:pPr>
      <w:r>
        <w:rPr>
          <w:rFonts w:ascii="Arial" w:cs="Arial" w:eastAsia="Arial" w:hAnsi="Arial"/>
          <w:sz w:val="18"/>
          <w:szCs w:val="18"/>
          <w:color w:val="auto"/>
        </w:rPr>
        <w:t>audit and accounting fees and $3.2 million in general legal expenses partially offset the effect of higher monitor and settlement expenses in the first six months of 2016. The expenses we incurred for the three monitoring firms under our NY DFS, CA DBO and Ocwen National Mortgage settlements increased from $15.3 million in the second quarter of 2015 to $58.2 million in the second quarter of 2016, primarily as a result of costs related to the CA Auditor. Our in-sourcing of technology infrastructure and facilities functions and our investment in new business ventures has increased headcount, resulting in an $11.5 million increase in Compensation and benefits expense. Servicing and origination expenses increased because of the reinsurance commissions incurred in connection with the reinsurance agreement executed by CRL in the second quarter of 2016 and Other expenses include the CRL provision for insurance loss reserves.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40" w:firstLine="324"/>
        <w:spacing w:after="0" w:line="257" w:lineRule="auto"/>
        <w:rPr>
          <w:sz w:val="20"/>
          <w:szCs w:val="20"/>
          <w:color w:val="auto"/>
        </w:rPr>
      </w:pPr>
      <w:r>
        <w:rPr>
          <w:rFonts w:ascii="Arial" w:cs="Arial" w:eastAsia="Arial" w:hAnsi="Arial"/>
          <w:sz w:val="18"/>
          <w:szCs w:val="18"/>
          <w:color w:val="auto"/>
        </w:rPr>
        <w:t>At June 30, 2016, our cash position was $218.9 million compared to $257.3 million at December 31, 2015. We invest cash that is in excess of our immediate operating needs primarily in money market deposit accounts. Our priorities for deployment of excess cash are: (1) supporting our core servicing and lending businesses and investing in these core assets, (2) reducing corporate leverage, (3) reducing revolving lines of credit in order to reduce interest expense, (4) expanding into similar or complementary businesses that meet our return on capital requirements and (5) repurchasing shares of our common stock.</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Funds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primary sources of funds for near-term liquidity are:</w:t>
      </w:r>
    </w:p>
    <w:p>
      <w:pPr>
        <w:spacing w:after="0" w:line="117"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Collections of servicing fees and ancillary revenues;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Proceeds from match funded liabilities;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Proceeds from other borrowings, including warehouse facilities;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Proceeds from sales of MSRs and related servicing advances;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Proceeds from sales of originated loans and repurchased loans.</w:t>
      </w:r>
    </w:p>
    <w:p>
      <w:pPr>
        <w:spacing w:after="0" w:line="21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Our ability to finance servicing advances is a significant factor that affects our liquidity. Our use of advance financing facilities is integral to our servicing advance financing strategy. The revolving notes issued by our advance funding facilities generally have a 364-day revolving period, although we issue term notes with one- and two-year maturities. The revolving periods for variable funding notes with a total borrowing capacity of $690.0 million as well as $500.0 million of our one-year term notes end in 2016.</w:t>
      </w:r>
    </w:p>
    <w:p>
      <w:pPr>
        <w:spacing w:after="0" w:line="79" w:lineRule="exact"/>
        <w:rPr>
          <w:sz w:val="20"/>
          <w:szCs w:val="20"/>
          <w:color w:val="auto"/>
        </w:rPr>
      </w:pPr>
    </w:p>
    <w:p>
      <w:pPr>
        <w:ind w:right="160" w:firstLine="324"/>
        <w:spacing w:after="0" w:line="297" w:lineRule="auto"/>
        <w:rPr>
          <w:sz w:val="20"/>
          <w:szCs w:val="20"/>
          <w:color w:val="auto"/>
        </w:rPr>
      </w:pPr>
      <w:r>
        <w:rPr>
          <w:rFonts w:ascii="Arial" w:cs="Arial" w:eastAsia="Arial" w:hAnsi="Arial"/>
          <w:sz w:val="16"/>
          <w:szCs w:val="16"/>
          <w:color w:val="auto"/>
        </w:rPr>
        <w:t>Borrowings under our advance financing facilities are incurred by special purpose entities (SPEs) that we consolidate because we have determined that Ocwen is the primary beneficiary of the SPE. We transfer the financed advances to the SPEs, and the SPEs issue debt supported by collections on the transferred advances. Holders of the debt issued by the SPEs have recourse only to the assets of the SPEs for satisfaction of the debt. In connection with our sale of servicing advances to these advance financing SPEs and to NRZ in connection with the Rights to MSRs, we make certain representations, warranties and covenants primarily focused on the nature of the transferred advance receivables and on our servicing practices.</w:t>
      </w:r>
    </w:p>
    <w:p>
      <w:pPr>
        <w:spacing w:after="0" w:line="50" w:lineRule="exact"/>
        <w:rPr>
          <w:sz w:val="20"/>
          <w:szCs w:val="20"/>
          <w:color w:val="auto"/>
        </w:rPr>
      </w:pPr>
    </w:p>
    <w:p>
      <w:pPr>
        <w:jc w:val="both"/>
        <w:ind w:right="120" w:firstLine="324"/>
        <w:spacing w:after="0" w:line="286" w:lineRule="auto"/>
        <w:rPr>
          <w:sz w:val="20"/>
          <w:szCs w:val="20"/>
          <w:color w:val="auto"/>
        </w:rPr>
      </w:pPr>
      <w:r>
        <w:rPr>
          <w:rFonts w:ascii="Arial" w:cs="Arial" w:eastAsia="Arial" w:hAnsi="Arial"/>
          <w:sz w:val="17"/>
          <w:szCs w:val="17"/>
          <w:color w:val="auto"/>
        </w:rPr>
        <w:t>Advances and match funded advances comprised 26% of total assets at June 30, 2016. Our borrowings under our advance funding facilities are secured by pledges of servicing advances that are sold to the related SPE and by cash held in debt service accounts. Since December 31, 2015, we have increased the maximum borrowing capacity of our advance funding facilities by $25.0 million to $1.8 billion. This increase was the result of:</w:t>
      </w:r>
    </w:p>
    <w:p>
      <w:pPr>
        <w:spacing w:after="0" w:line="57"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increase in the borrowing capacity of our OFAF advance financing facility from $150.0 million to $160.0 million; and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increase in the borrowing capacity of our OSART III advance financing facility from $75.0 million to $90.0 million.</w:t>
      </w:r>
    </w:p>
    <w:p>
      <w:pPr>
        <w:spacing w:after="0" w:line="103" w:lineRule="exact"/>
        <w:rPr>
          <w:sz w:val="20"/>
          <w:szCs w:val="20"/>
          <w:color w:val="auto"/>
        </w:rPr>
      </w:pPr>
    </w:p>
    <w:p>
      <w:pPr>
        <w:ind w:right="60" w:firstLine="324"/>
        <w:spacing w:after="0" w:line="342" w:lineRule="auto"/>
        <w:rPr>
          <w:sz w:val="20"/>
          <w:szCs w:val="20"/>
          <w:color w:val="auto"/>
        </w:rPr>
      </w:pPr>
      <w:r>
        <w:rPr>
          <w:rFonts w:ascii="Arial" w:cs="Arial" w:eastAsia="Arial" w:hAnsi="Arial"/>
          <w:sz w:val="16"/>
          <w:szCs w:val="16"/>
          <w:color w:val="auto"/>
        </w:rPr>
        <w:t>During 2015, our investment in advances and match funded advances declined by $1.2 billion, principally as a result of sales of MSRs, which allowed us to negotiate reductions in the maximum borrowing capacity of our advance funding facilities of $650.0 million from $2.4 billion at December 31, 2014.</w:t>
      </w:r>
    </w:p>
    <w:p>
      <w:pPr>
        <w:spacing w:after="0" w:line="16"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Our unused advance borrowing capacity increased by $177.7 million to $318.6 million at June 30, 2016 as compared to December 31, 2015, principally because of a decrease in borrowing, as total advances and match funded advances declined by $209.9 million (before allowance for losses) during the same period. Our ability to continue to pledge collateral under each advance financing facility depends on the performance of the collateral, among other factors. At June 30, 2016, none of the available borrowing capacity could be used based on the amount of available collateral.</w:t>
      </w:r>
    </w:p>
    <w:p>
      <w:pPr>
        <w:spacing w:after="0" w:line="63" w:lineRule="exact"/>
        <w:rPr>
          <w:sz w:val="20"/>
          <w:szCs w:val="20"/>
          <w:color w:val="auto"/>
        </w:rPr>
      </w:pPr>
    </w:p>
    <w:p>
      <w:pPr>
        <w:ind w:right="300" w:firstLine="324"/>
        <w:spacing w:after="0" w:line="264" w:lineRule="auto"/>
        <w:rPr>
          <w:sz w:val="20"/>
          <w:szCs w:val="20"/>
          <w:color w:val="auto"/>
        </w:rPr>
      </w:pPr>
      <w:r>
        <w:rPr>
          <w:rFonts w:ascii="Arial" w:cs="Arial" w:eastAsia="Arial" w:hAnsi="Arial"/>
          <w:sz w:val="18"/>
          <w:szCs w:val="18"/>
          <w:color w:val="auto"/>
        </w:rPr>
        <w:t>We use mortgage loan warehouse facilities to fund newly originated loans on a short-term basis until they are sold to secondary market investors, including GSEs or other third-party investors. These warehouse facilities are structured as repurchase agreements or participation agreements under which ownership of the loans is temporarily transferred to a lender.</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692" w:right="239" w:bottom="1440" w:gutter="0" w:footer="0" w:header="0"/>
        </w:sectPr>
      </w:pPr>
    </w:p>
    <w:bookmarkStart w:id="71" w:name="page72"/>
    <w:bookmarkEnd w:id="71"/>
    <w:p>
      <w:pPr>
        <w:ind w:right="60"/>
        <w:spacing w:after="0" w:line="291" w:lineRule="auto"/>
        <w:rPr>
          <w:sz w:val="20"/>
          <w:szCs w:val="20"/>
          <w:color w:val="auto"/>
        </w:rPr>
      </w:pPr>
      <w:r>
        <w:rPr>
          <w:rFonts w:ascii="Arial" w:cs="Arial" w:eastAsia="Arial" w:hAnsi="Arial"/>
          <w:sz w:val="16"/>
          <w:szCs w:val="16"/>
          <w:color w:val="auto"/>
        </w:rPr>
        <w:t>The loans are transferred at a discount or “haircut” which serves as the primary credit enhancement for the lender. Currently, all of our master repurchase and participation agreements for financing new loan originations have 364-day terms. The funds are repaid using the proceeds from the sale of the loans to the secondary market investors, usually within 30 days. At June 30, 2016, we had total borrowing capacity under our warehouse facilities of $650.0 million. Of the borrowing capacity extended on a committed basis, $44.1 million was available at June 30, 2016, including our warehouse facilities for reverse mortgages. Of the borrowing capacity extended on an uncommitted basis or at the discretion of the lender, $249.1 million remained available at June 30, 2016. At June 30, 2016, only $0.7 million of the available borrowing capacity could be used based on the amount of eligible collateral that had been pledged. See Note 11 – Borrowings to the Unaudited Consolidated Financial Statements for additional details.</w:t>
      </w:r>
    </w:p>
    <w:p>
      <w:pPr>
        <w:spacing w:after="0" w:line="167" w:lineRule="exact"/>
        <w:rPr>
          <w:sz w:val="20"/>
          <w:szCs w:val="20"/>
          <w:color w:val="auto"/>
        </w:rPr>
      </w:pPr>
    </w:p>
    <w:p>
      <w:pPr>
        <w:ind w:right="40" w:firstLine="324"/>
        <w:spacing w:after="0" w:line="312" w:lineRule="auto"/>
        <w:rPr>
          <w:sz w:val="20"/>
          <w:szCs w:val="20"/>
          <w:color w:val="auto"/>
        </w:rPr>
      </w:pPr>
      <w:r>
        <w:rPr>
          <w:rFonts w:ascii="Arial" w:cs="Arial" w:eastAsia="Arial" w:hAnsi="Arial"/>
          <w:sz w:val="16"/>
          <w:szCs w:val="16"/>
          <w:color w:val="auto"/>
        </w:rPr>
        <w:t>We also rely on the secondary mortgage market as a source of long-term capital to support our lending operations. Substantially all of the mortgage loans that we produce are sold in the secondary mortgage market in the form of residential mortgage backed securities guaranteed by Fannie Mae or Freddie Mac and, in the case of mortgage backed securities guaranteed by Ginnie Mae, are mortgage loans insured or guaranteed by the FHA or VA.</w:t>
      </w:r>
    </w:p>
    <w:p>
      <w:pPr>
        <w:spacing w:after="0" w:line="147" w:lineRule="exact"/>
        <w:rPr>
          <w:sz w:val="20"/>
          <w:szCs w:val="20"/>
          <w:color w:val="auto"/>
        </w:rPr>
      </w:pPr>
    </w:p>
    <w:p>
      <w:pPr>
        <w:ind w:right="40" w:firstLine="324"/>
        <w:spacing w:after="0" w:line="268" w:lineRule="auto"/>
        <w:rPr>
          <w:sz w:val="20"/>
          <w:szCs w:val="20"/>
          <w:color w:val="auto"/>
        </w:rPr>
      </w:pPr>
      <w:r>
        <w:rPr>
          <w:rFonts w:ascii="Arial" w:cs="Arial" w:eastAsia="Arial" w:hAnsi="Arial"/>
          <w:sz w:val="17"/>
          <w:szCs w:val="17"/>
          <w:color w:val="auto"/>
        </w:rPr>
        <w:t>Our debt agreements contain various qualitative and quantitative covenants including financial covenants, covenants to operate in material compliance with applicable laws, monitoring and reporting obligations and restrictions on our ability to engage in various activities, including but not limited to incurring additional debt, paying dividends, repurchasing or redeeming capital stock, transferring assets or making loans, investments or acquisitions. As a result of the covenants to which we are subject, we may be limited in the manner in which we conduct our business and may be limited in our ability to engage in favorable business activities or raise additional capital to finance future operations or satisfy future liquidity needs. In addition, breaches or events that may result in a default under our debt agreements include noncompliance with our covenants, nonpayment of principal or interest, material misrepresentations, the occurrence of a material adverse change, insolvency, bankruptcy, certain material judgments and litigation and changes of control. Covenants and default provisions of this type are commonly found in debt agreements such as ours. Certain of these covenants and default provisions are open to subjective interpretation and, if our interpretation were contested by a lender, a court may ultimately be required to determine compliance or lack thereof. In addition, our debt agreements generally include cross default provisions such that a default under one agreement could trigger defaults under other agreements. If we fail to comply with our debt agreements and are unable to avoid, remedy or secure a waiver of any resulting default, we may be subject to adverse action by our lenders, including termination of further funding, acceleration of outstanding obligations, enforcement of liens against the assets securing or otherwise supporting our obligations, and other legal remedies, any of which could have a material adverse effect on our business, financial condition, liquidity and results of operations.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Funds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primary uses of funds are:</w:t>
      </w:r>
    </w:p>
    <w:p>
      <w:pPr>
        <w:spacing w:after="0" w:line="117"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Payments for advances in excess of collections on existing servicing portfolios;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Payment of interest and operating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Funding of originated and repurchased loans;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Repayments of borrowings, including match funded liabilities and warehouse facilities;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Working capital and other general corporate purposes.</w:t>
      </w:r>
    </w:p>
    <w:p>
      <w:pPr>
        <w:spacing w:after="0" w:line="103"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Under the terms of our SSTL facility agreement, we are generally required to prepay the SSTL with 100% of the net cash proceeds from certain permitted asset sales, which generally include our recent and any future MSR sales. During the year ended December 31, 2015, we prepaid $865.8 million of the SSTL facility, including $585.8 million of prepayments from the net proceeds from the sales of MSRs and $280.0 million of voluntary prepayments. During the six months ended June 30, 2016, we prepaid an additional $16.5 million of the SSTL facility, all of which were from the net proceeds from the sales of MSRs. In addition, on July 19, 2016, following receipt of proceeds from the sales of MSRs relating to loans with a UPB of approximately $3.3 billion, we paid down approximately $26.3 million of our SSTL. Following the required prepayment, we had approximately $342.7 million outstanding under our SSTL.</w:t>
      </w:r>
    </w:p>
    <w:p>
      <w:pPr>
        <w:spacing w:after="0" w:line="81" w:lineRule="exact"/>
        <w:rPr>
          <w:sz w:val="20"/>
          <w:szCs w:val="20"/>
          <w:color w:val="auto"/>
        </w:rPr>
      </w:pPr>
    </w:p>
    <w:p>
      <w:pPr>
        <w:ind w:right="480" w:firstLine="324"/>
        <w:spacing w:after="0" w:line="259" w:lineRule="auto"/>
        <w:rPr>
          <w:sz w:val="20"/>
          <w:szCs w:val="20"/>
          <w:color w:val="auto"/>
        </w:rPr>
      </w:pPr>
      <w:r>
        <w:rPr>
          <w:rFonts w:ascii="Arial" w:cs="Arial" w:eastAsia="Arial" w:hAnsi="Arial"/>
          <w:sz w:val="18"/>
          <w:szCs w:val="18"/>
          <w:color w:val="auto"/>
        </w:rPr>
        <w:t>Under our $500.0 million share repurchase program announced in October 2013, we completed the repurchase of 991,985 shares of common stock during the six months ended June 30, 2016 (all during the first quarter) for a total purchase price of $5.9 million. As of June 30, 2016, the approximate remaining value of shares that may be repurchased under the program was $119.7 million. The share repurchase program expires on the earlier of the repurchase of the $500.0 million amount or July 31, 2016.</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121"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We closely monitor our liquidity position and ongoing funding requirements, and we regularly monitor and project cash flow by period to minimize liquidity risk.</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692" w:right="259" w:bottom="1440" w:gutter="0" w:footer="0" w:header="0"/>
        </w:sectPr>
      </w:pPr>
    </w:p>
    <w:bookmarkStart w:id="72" w:name="page73"/>
    <w:bookmarkEnd w:id="72"/>
    <w:p>
      <w:pPr>
        <w:ind w:left="340"/>
        <w:spacing w:after="0"/>
        <w:rPr>
          <w:sz w:val="20"/>
          <w:szCs w:val="20"/>
          <w:color w:val="auto"/>
        </w:rPr>
      </w:pPr>
      <w:r>
        <w:rPr>
          <w:rFonts w:ascii="Arial" w:cs="Arial" w:eastAsia="Arial" w:hAnsi="Arial"/>
          <w:sz w:val="18"/>
          <w:szCs w:val="18"/>
          <w:color w:val="auto"/>
        </w:rPr>
        <w:t>In assessing our liquidity outlook, our primary focus is on six measures:</w:t>
      </w:r>
    </w:p>
    <w:p>
      <w:pPr>
        <w:spacing w:after="0" w:line="117"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Business financial projections for revenues, costs and net income;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Requirements for maturing liabilities compared to amounts generated from maturing assets and operating cash flow;</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Projected future sales of MSRs and servicing advances;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change in advances and match funded advances compared to the change in match funded liabilities and available borrowing capacity;</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Projected future originations and purchases of forward and reverse mortgage loans;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Projected funding requirements of new business initiatives.</w:t>
      </w:r>
    </w:p>
    <w:p>
      <w:pPr>
        <w:spacing w:after="0" w:line="103"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We have considered the impact of financial projections on our liquidity analysis and have evaluated the appropriateness of the key assumptions in our forecast such as revenues, overhead expenses, costs and sales of MSRs and other assets. We have analyzed our cash requirements and financial obligations. Based upon these evaluations and analyses, we believe that we have ample liquidity to meet our obligations and fund our operations for the next twelve months.</w:t>
      </w:r>
    </w:p>
    <w:p>
      <w:pPr>
        <w:spacing w:after="0" w:line="79" w:lineRule="exact"/>
        <w:rPr>
          <w:sz w:val="20"/>
          <w:szCs w:val="20"/>
          <w:color w:val="auto"/>
        </w:rPr>
      </w:pPr>
    </w:p>
    <w:p>
      <w:pPr>
        <w:ind w:right="80" w:firstLine="324"/>
        <w:spacing w:after="0" w:line="302" w:lineRule="auto"/>
        <w:rPr>
          <w:sz w:val="20"/>
          <w:szCs w:val="20"/>
          <w:color w:val="auto"/>
        </w:rPr>
      </w:pPr>
      <w:r>
        <w:rPr>
          <w:rFonts w:ascii="Arial" w:cs="Arial" w:eastAsia="Arial" w:hAnsi="Arial"/>
          <w:sz w:val="16"/>
          <w:szCs w:val="16"/>
          <w:color w:val="auto"/>
        </w:rPr>
        <w:t>The revolving periods of our advance funding facilities end in 2016 for variable funding notes with a total borrowing capacity of $690.0 million and $413.8 million of outstanding borrowings at June 30, 2016. In the event we are unable to renew, replace or extend the revolving period of one or more of these advance funding facilities, monthly amortization of the outstanding balance must generally begin at the end of the respective 364-day revolving period. In addition, we would be required to begin repaying $500.0 million of our one-year term notes if we do not renew, replace or extend these notes in 2016.</w:t>
      </w:r>
    </w:p>
    <w:p>
      <w:pPr>
        <w:spacing w:after="0" w:line="46"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At June 30, 2016, we had $356.7 million outstanding under our mortgage loan warehouse facilities, of which $196.6 million is outstanding under agreements maturing in 2016. We currently expect that we will be able to renew, replace or extend our debt agreements as they become due, consistent with our historical experience.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remain actively engaged with our lenders, and 2016 financing developments include the following:</w:t>
      </w:r>
    </w:p>
    <w:p>
      <w:pPr>
        <w:spacing w:after="0" w:line="117"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On January 5, 2016, we entered into a new one-year $100.0 million mortgage loan warehouse facility to fund the origination of reverse mortgages.</w:t>
      </w:r>
    </w:p>
    <w:p>
      <w:pPr>
        <w:spacing w:after="0" w:line="46" w:lineRule="exact"/>
        <w:rPr>
          <w:rFonts w:ascii="Arial" w:cs="Arial" w:eastAsia="Arial" w:hAnsi="Arial"/>
          <w:sz w:val="16"/>
          <w:szCs w:val="16"/>
          <w:color w:val="auto"/>
        </w:rPr>
      </w:pPr>
    </w:p>
    <w:p>
      <w:pPr>
        <w:ind w:left="660" w:right="240" w:hanging="328"/>
        <w:spacing w:after="0" w:line="250"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On March 31, 2016, we increased the borrowing capacity of our OFAF advance financing facility from $150.0 million to $160.0 million. On June 10, 2016, we renewed this facility for an additional year.</w:t>
      </w:r>
    </w:p>
    <w:p>
      <w:pPr>
        <w:ind w:left="660" w:right="620" w:hanging="328"/>
        <w:spacing w:after="0" w:line="250"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Effective March 24, 2016 we entered into an amendment to our SSTL that, among other things, removed in their entirety or amended certain financial covenants for the remaining term of the SSTL. The amendment also required a prepayment of $6.3 million on May 31, 2016, with additional prepayments of the same amount due on July 29, 2016 and September 30, 2016.</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On March 31, 2016, we increased the borrowing capacity of our OSART III advance financing facility from $75.0 million to $90.0 million.</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On April 26, 2016, we extended the term of two of our Lending warehouse facilities to April 30, 2017.</w:t>
      </w:r>
    </w:p>
    <w:p>
      <w:pPr>
        <w:spacing w:after="0" w:line="103"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Our liquidity forecast requires management to use judgment and estimates and includes factors that may be beyond our control. Additionally, our business has been undergoing substantial change, which has magnified the uncertainties that are inherent in the forecasting process. Our actual results could differ materially from our estimates. If we were to default under any of our debt agreements, it could become very difficult for us to renew, replace or extend our debt agreements. Challenges to our liquidity position could have a material adverse effect on our operating results and financial condition and could cause us to take actions that would be outside the normal course of our operations to generate additional liquidity.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Ratings</w:t>
      </w:r>
    </w:p>
    <w:p>
      <w:pPr>
        <w:spacing w:after="0" w:line="121"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Credit ratings are intended to be an indicator of the creditworthiness of a particular company, security or obligation. Lower ratings generally result in higher borrowing costs and reduced access to capital markets. The following table summarizes our current ratings and outlook by the respective nationally recognized rating agencies. A securities rating is not a recommendation to buy, sell or hold securities and may be subject to revision or withdrawal at any time.</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gridSpan w:val="2"/>
          </w:tcPr>
          <w:p>
            <w:pPr>
              <w:ind w:left="1380"/>
              <w:spacing w:after="0"/>
              <w:rPr>
                <w:sz w:val="20"/>
                <w:szCs w:val="20"/>
                <w:color w:val="auto"/>
              </w:rPr>
            </w:pPr>
            <w:r>
              <w:rPr>
                <w:rFonts w:ascii="Arial" w:cs="Arial" w:eastAsia="Arial" w:hAnsi="Arial"/>
                <w:sz w:val="18"/>
                <w:szCs w:val="18"/>
                <w:b w:val="1"/>
                <w:bCs w:val="1"/>
                <w:color w:val="auto"/>
              </w:rPr>
              <w:t>Rating Agency</w:t>
            </w:r>
          </w:p>
        </w:tc>
        <w:tc>
          <w:tcPr>
            <w:tcW w:w="25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Long-term Corporate Rating</w:t>
            </w:r>
          </w:p>
        </w:tc>
        <w:tc>
          <w:tcPr>
            <w:tcW w:w="25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Review Status / Outlook</w:t>
            </w:r>
          </w:p>
        </w:tc>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88"/>
              </w:rPr>
              <w:t>Date of last action</w:t>
            </w:r>
          </w:p>
        </w:tc>
      </w:tr>
      <w:tr>
        <w:trPr>
          <w:trHeight w:val="27"/>
        </w:trPr>
        <w:tc>
          <w:tcPr>
            <w:tcW w:w="38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Moody’s</w:t>
            </w:r>
          </w:p>
        </w:tc>
        <w:tc>
          <w:tcPr>
            <w:tcW w:w="252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9"/>
              </w:rPr>
              <w:t>B3</w:t>
            </w:r>
          </w:p>
        </w:tc>
        <w:tc>
          <w:tcPr>
            <w:tcW w:w="250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2"/>
              </w:rPr>
              <w:t>Negative</w:t>
            </w:r>
          </w:p>
        </w:tc>
        <w:tc>
          <w:tcPr>
            <w:tcW w:w="238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88"/>
              </w:rPr>
              <w:t>Jun. 7, 2016</w:t>
            </w:r>
          </w:p>
        </w:tc>
      </w:tr>
      <w:tr>
        <w:trPr>
          <w:trHeight w:val="243"/>
        </w:trPr>
        <w:tc>
          <w:tcPr>
            <w:tcW w:w="4000" w:type="dxa"/>
            <w:vAlign w:val="bottom"/>
            <w:gridSpan w:val="2"/>
          </w:tcPr>
          <w:p>
            <w:pPr>
              <w:ind w:left="40"/>
              <w:spacing w:after="0"/>
              <w:rPr>
                <w:sz w:val="20"/>
                <w:szCs w:val="20"/>
                <w:color w:val="auto"/>
              </w:rPr>
            </w:pPr>
            <w:r>
              <w:rPr>
                <w:rFonts w:ascii="Arial" w:cs="Arial" w:eastAsia="Arial" w:hAnsi="Arial"/>
                <w:sz w:val="18"/>
                <w:szCs w:val="18"/>
                <w:color w:val="auto"/>
              </w:rPr>
              <w:t>S&amp;P</w:t>
            </w:r>
          </w:p>
        </w:tc>
        <w:tc>
          <w:tcPr>
            <w:tcW w:w="25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B</w:t>
            </w:r>
          </w:p>
        </w:tc>
        <w:tc>
          <w:tcPr>
            <w:tcW w:w="25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Stable</w:t>
            </w:r>
          </w:p>
        </w:tc>
        <w:tc>
          <w:tcPr>
            <w:tcW w:w="2380" w:type="dxa"/>
            <w:vAlign w:val="bottom"/>
          </w:tcPr>
          <w:p>
            <w:pPr>
              <w:jc w:val="center"/>
              <w:spacing w:after="0"/>
              <w:rPr>
                <w:sz w:val="20"/>
                <w:szCs w:val="20"/>
                <w:color w:val="auto"/>
              </w:rPr>
            </w:pPr>
            <w:r>
              <w:rPr>
                <w:rFonts w:ascii="Arial" w:cs="Arial" w:eastAsia="Arial" w:hAnsi="Arial"/>
                <w:sz w:val="18"/>
                <w:szCs w:val="18"/>
                <w:color w:val="auto"/>
                <w:w w:val="90"/>
              </w:rPr>
              <w:t>Dec. 23, 2015</w:t>
            </w:r>
          </w:p>
        </w:tc>
      </w:tr>
      <w:tr>
        <w:trPr>
          <w:trHeight w:val="27"/>
        </w:trPr>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50"/>
        </w:trPr>
        <w:tc>
          <w:tcPr>
            <w:tcW w:w="400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Fitch</w:t>
            </w:r>
          </w:p>
        </w:tc>
        <w:tc>
          <w:tcPr>
            <w:tcW w:w="252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9"/>
              </w:rPr>
              <w:t>B-</w:t>
            </w:r>
          </w:p>
        </w:tc>
        <w:tc>
          <w:tcPr>
            <w:tcW w:w="250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0"/>
              </w:rPr>
              <w:t>Stable</w:t>
            </w:r>
          </w:p>
        </w:tc>
        <w:tc>
          <w:tcPr>
            <w:tcW w:w="238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89"/>
              </w:rPr>
              <w:t>Jun. 21, 2016</w:t>
            </w:r>
          </w:p>
        </w:tc>
      </w:tr>
      <w:tr>
        <w:trPr>
          <w:trHeight w:val="243"/>
        </w:trPr>
        <w:tc>
          <w:tcPr>
            <w:tcW w:w="4000" w:type="dxa"/>
            <w:vAlign w:val="bottom"/>
            <w:gridSpan w:val="2"/>
          </w:tcPr>
          <w:p>
            <w:pPr>
              <w:ind w:left="40"/>
              <w:spacing w:after="0"/>
              <w:rPr>
                <w:sz w:val="20"/>
                <w:szCs w:val="20"/>
                <w:color w:val="auto"/>
              </w:rPr>
            </w:pPr>
            <w:r>
              <w:rPr>
                <w:rFonts w:ascii="Arial" w:cs="Arial" w:eastAsia="Arial" w:hAnsi="Arial"/>
                <w:sz w:val="18"/>
                <w:szCs w:val="18"/>
                <w:color w:val="auto"/>
              </w:rPr>
              <w:t>Kroll Bond Rating Agency</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B+</w:t>
            </w:r>
          </w:p>
        </w:tc>
        <w:tc>
          <w:tcPr>
            <w:tcW w:w="25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Stable</w:t>
            </w:r>
          </w:p>
        </w:tc>
        <w:tc>
          <w:tcPr>
            <w:tcW w:w="2380" w:type="dxa"/>
            <w:vAlign w:val="bottom"/>
          </w:tcPr>
          <w:p>
            <w:pPr>
              <w:jc w:val="center"/>
              <w:spacing w:after="0"/>
              <w:rPr>
                <w:sz w:val="20"/>
                <w:szCs w:val="20"/>
                <w:color w:val="auto"/>
              </w:rPr>
            </w:pPr>
            <w:r>
              <w:rPr>
                <w:rFonts w:ascii="Arial" w:cs="Arial" w:eastAsia="Arial" w:hAnsi="Arial"/>
                <w:sz w:val="18"/>
                <w:szCs w:val="18"/>
                <w:color w:val="auto"/>
                <w:w w:val="86"/>
              </w:rPr>
              <w:t>Jan. 4, 2016</w:t>
            </w:r>
          </w:p>
        </w:tc>
      </w:tr>
      <w:tr>
        <w:trPr>
          <w:trHeight w:val="486"/>
        </w:trPr>
        <w:tc>
          <w:tcPr>
            <w:tcW w:w="3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0" w:type="dxa"/>
            <w:vAlign w:val="bottom"/>
          </w:tcPr>
          <w:p>
            <w:pPr>
              <w:jc w:val="right"/>
              <w:ind w:right="510"/>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80" w:type="dxa"/>
            <w:vAlign w:val="bottom"/>
          </w:tcPr>
          <w:p>
            <w:pPr>
              <w:spacing w:after="0"/>
              <w:rPr>
                <w:sz w:val="24"/>
                <w:szCs w:val="24"/>
                <w:color w:val="auto"/>
              </w:rPr>
            </w:pPr>
          </w:p>
        </w:tc>
      </w:tr>
    </w:tbl>
    <w:p>
      <w:pPr>
        <w:sectPr>
          <w:pgSz w:w="11900" w:h="16838" w:orient="portrait"/>
          <w:cols w:equalWidth="0" w:num="1">
            <w:col w:w="11400"/>
          </w:cols>
          <w:pgMar w:left="240" w:top="692" w:right="259" w:bottom="1440" w:gutter="0" w:footer="0" w:header="0"/>
        </w:sectPr>
      </w:pPr>
    </w:p>
    <w:bookmarkStart w:id="73" w:name="page74"/>
    <w:bookmarkEnd w:id="73"/>
    <w:p>
      <w:pPr>
        <w:jc w:val="both"/>
        <w:ind w:firstLine="324"/>
        <w:spacing w:after="0" w:line="259" w:lineRule="auto"/>
        <w:rPr>
          <w:sz w:val="20"/>
          <w:szCs w:val="20"/>
          <w:color w:val="auto"/>
        </w:rPr>
      </w:pPr>
      <w:r>
        <w:rPr>
          <w:rFonts w:ascii="Arial" w:cs="Arial" w:eastAsia="Arial" w:hAnsi="Arial"/>
          <w:sz w:val="18"/>
          <w:szCs w:val="18"/>
          <w:color w:val="auto"/>
        </w:rPr>
        <w:t>Moody’s downgraded our corporate rating to “B3” from “B2” on June 7, 2016. On December 23, 2015, S&amp;P changed its outlook from negative to stable. On June 21, 2016, Fitch affirmed our corporate rating and our stable outlook. On January 4, 2016, Kroll Bond Ratings initiated its corporate bond rating at B+ with a stable outlook. It is possible that additional actions by credit rating agencies could have a material adverse impact on our liquidity and funding position, including materially changing the terms on which we may be able to borrow money.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color w:val="auto"/>
        </w:rPr>
        <w:t>Our operating cash flow is primarily impacted by the receipt of servicing fees, changes in our servicing advance balances, operating losses, the level of new loan production and the timing of sales and securitizations of forward mortgage loans. To the extent we sell MSRs related to delinquent loans, we accelerate the recovery of the related advances. We also receive any outstanding deferred servicing fees upon termination of a servicing agreement. We classify proceeds from the sale of servicing advances, including advances sold in connection with the sale of MSRs, as investing activity in the statement of cash flows.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for the six months ended June 30, 2016</w:t>
      </w:r>
    </w:p>
    <w:p>
      <w:pPr>
        <w:spacing w:after="0" w:line="117"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Our operating activities provided $172.2 million of cash largely due to $215.5 million of net collections of servicing advances. Net cash paid on loans held for sale was $93.7 million for the six months ended June 30, 2016.</w:t>
      </w:r>
    </w:p>
    <w:p>
      <w:pPr>
        <w:spacing w:after="0" w:line="62" w:lineRule="exact"/>
        <w:rPr>
          <w:sz w:val="20"/>
          <w:szCs w:val="20"/>
          <w:color w:val="auto"/>
        </w:rPr>
      </w:pPr>
    </w:p>
    <w:p>
      <w:pPr>
        <w:jc w:val="both"/>
        <w:ind w:right="200" w:firstLine="324"/>
        <w:spacing w:after="0" w:line="286" w:lineRule="auto"/>
        <w:rPr>
          <w:sz w:val="20"/>
          <w:szCs w:val="20"/>
          <w:color w:val="auto"/>
        </w:rPr>
      </w:pPr>
      <w:r>
        <w:rPr>
          <w:rFonts w:ascii="Arial" w:cs="Arial" w:eastAsia="Arial" w:hAnsi="Arial"/>
          <w:sz w:val="17"/>
          <w:szCs w:val="17"/>
          <w:color w:val="auto"/>
        </w:rPr>
        <w:t>Our investing activities used $376.6 million of cash. Investing activities include cash outflows in connection with our reverse mortgage originations of $675.7 million and additions to premises and equipment of $17.3 million. Cash inflows include the receipt of $15.1 million of net proceeds from the sale of MSRs, $66.7 million of proceeds from the sale of advances and $238.8 million of collections on reverse mortgages.</w:t>
      </w:r>
    </w:p>
    <w:p>
      <w:pPr>
        <w:spacing w:after="0" w:line="57"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Our financing activities provided $166.1 million of cash. Cash inflows include $523.0 million received in connection with our reverse mortgage securitizations, which are accounted for as secured financings, less repayments on the related financing liability of $98.9 million. Cash inflows also include a $14.4 million increase in net borrowings under our mortgage warehouse facilities used to fund originated loans. Cash outflows include $152.7 million of net repayments on match funded liabilities from net advance recoveries and $29.4 million of repayments on the SSTL, including $16.5 million of prepayments in connection with MSR sales. Cash outflows for the six months ended June 30, 2016 also include the repurchase of 991,985 shares of common stock under our stock repurchase program for $5.9 million and the payment of $2.2 million of costs incurred in connection with amendments to the SSTL.</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for the six months ended June 30, 2015</w:t>
      </w:r>
    </w:p>
    <w:p>
      <w:pPr>
        <w:spacing w:after="0" w:line="117" w:lineRule="exact"/>
        <w:rPr>
          <w:sz w:val="20"/>
          <w:szCs w:val="20"/>
          <w:color w:val="auto"/>
        </w:rPr>
      </w:pPr>
    </w:p>
    <w:p>
      <w:pPr>
        <w:ind w:right="80" w:firstLine="324"/>
        <w:spacing w:after="0" w:line="342" w:lineRule="auto"/>
        <w:rPr>
          <w:sz w:val="20"/>
          <w:szCs w:val="20"/>
          <w:color w:val="auto"/>
        </w:rPr>
      </w:pPr>
      <w:r>
        <w:rPr>
          <w:rFonts w:ascii="Arial" w:cs="Arial" w:eastAsia="Arial" w:hAnsi="Arial"/>
          <w:sz w:val="16"/>
          <w:szCs w:val="16"/>
          <w:color w:val="auto"/>
        </w:rPr>
        <w:t>Our operating activities provided $535.0 million of cash largely due to net income, adjusted for MSR amortization and valuation-related losses and other non-cash items, $383.0 million of net collections of servicing advances and $202.6 million of net proceeds from sales and collections of loans held for sale.</w:t>
      </w:r>
    </w:p>
    <w:p>
      <w:pPr>
        <w:spacing w:after="0" w:line="16" w:lineRule="exact"/>
        <w:rPr>
          <w:sz w:val="20"/>
          <w:szCs w:val="20"/>
          <w:color w:val="auto"/>
        </w:rPr>
      </w:pPr>
    </w:p>
    <w:p>
      <w:pPr>
        <w:ind w:right="380" w:firstLine="324"/>
        <w:spacing w:after="0" w:line="286" w:lineRule="auto"/>
        <w:rPr>
          <w:sz w:val="20"/>
          <w:szCs w:val="20"/>
          <w:color w:val="auto"/>
        </w:rPr>
      </w:pPr>
      <w:r>
        <w:rPr>
          <w:rFonts w:ascii="Arial" w:cs="Arial" w:eastAsia="Arial" w:hAnsi="Arial"/>
          <w:sz w:val="17"/>
          <w:szCs w:val="17"/>
          <w:color w:val="auto"/>
        </w:rPr>
        <w:t>Our investing activities provided $43.9 million of cash. Cash inflows for the six months ended June 30, 2015 include the receipt of $388.9 million of proceeds from the sale of Agency MSRs, $128.8 million of proceeds from the sale of advances and $63.9 million of collections on reverse mortgages. Investing activities include cash outflows in connection with our reverse mortgage originations of $530.4 million.</w:t>
      </w:r>
    </w:p>
    <w:p>
      <w:pPr>
        <w:spacing w:after="0" w:line="166" w:lineRule="exact"/>
        <w:rPr>
          <w:sz w:val="20"/>
          <w:szCs w:val="20"/>
          <w:color w:val="auto"/>
        </w:rPr>
      </w:pPr>
    </w:p>
    <w:p>
      <w:pPr>
        <w:ind w:right="80" w:firstLine="324"/>
        <w:spacing w:after="0" w:line="276" w:lineRule="auto"/>
        <w:rPr>
          <w:sz w:val="20"/>
          <w:szCs w:val="20"/>
          <w:color w:val="auto"/>
        </w:rPr>
      </w:pPr>
      <w:r>
        <w:rPr>
          <w:rFonts w:ascii="Arial" w:cs="Arial" w:eastAsia="Arial" w:hAnsi="Arial"/>
          <w:sz w:val="17"/>
          <w:szCs w:val="17"/>
          <w:color w:val="auto"/>
        </w:rPr>
        <w:t>Our financing activities used $388.3 million of cash. Cash outflows were primarily comprised of $349.1 million of net repayments on match funded liabilities from net advance recoveries, $341.1 million of repayments on the SSTL (including $334.6 million of prepayments in connection with MSR sales) and a $113.7 million net reduction in borrowings under mortgage warehouse facilities used to fund loan originations. Cash outflows for the six months ended June 30, 2015 also include $18.6 million of costs incurred in connection with amendments to the SSTL. These cash outflows were offset by $532.9 million received in connection with our reverse mortgage securitizations, which are accounted for as secured financings.</w:t>
      </w:r>
    </w:p>
    <w:p>
      <w:pPr>
        <w:spacing w:after="0" w:line="60" w:lineRule="exact"/>
        <w:rPr>
          <w:sz w:val="20"/>
          <w:szCs w:val="20"/>
          <w:color w:val="auto"/>
        </w:rPr>
      </w:pPr>
    </w:p>
    <w:p>
      <w:pPr>
        <w:ind w:right="4680"/>
        <w:spacing w:after="0" w:line="378" w:lineRule="auto"/>
        <w:rPr>
          <w:sz w:val="20"/>
          <w:szCs w:val="20"/>
          <w:color w:val="auto"/>
        </w:rPr>
      </w:pPr>
      <w:r>
        <w:rPr>
          <w:rFonts w:ascii="Arial" w:cs="Arial" w:eastAsia="Arial" w:hAnsi="Arial"/>
          <w:sz w:val="18"/>
          <w:szCs w:val="18"/>
          <w:b w:val="1"/>
          <w:bCs w:val="1"/>
          <w:color w:val="auto"/>
        </w:rPr>
        <w:t>CONTRACTUAL OBLIGATIONS AND OFF BALANCE SHEET ARRANGEMENTS Contractual Obligations</w:t>
      </w:r>
    </w:p>
    <w:p>
      <w:pPr>
        <w:ind w:right="260" w:firstLine="324"/>
        <w:spacing w:after="0" w:line="255" w:lineRule="auto"/>
        <w:rPr>
          <w:sz w:val="20"/>
          <w:szCs w:val="20"/>
          <w:color w:val="auto"/>
        </w:rPr>
      </w:pPr>
      <w:r>
        <w:rPr>
          <w:rFonts w:ascii="Arial" w:cs="Arial" w:eastAsia="Arial" w:hAnsi="Arial"/>
          <w:sz w:val="18"/>
          <w:szCs w:val="18"/>
          <w:color w:val="auto"/>
        </w:rPr>
        <w:t>We have analyzed our unfunded commitments and other contractual obligations and have evaluated the appropriateness of the key assumptions in forecasting our ability to satisfy these obligations. Based upon these evaluations and analyses, we believe that we have adequate resources to fund all unfunded commitments to the extent required and meet all contractual obligations as they come due. At June 30, 2016, such contractual obligations were primarily comprised of secured and unsecured borrowings, interest payments, operating leases and commitments to originate or purchase loans. Other than renewals and amendments related to our advance financing facilities, SSTL and other secured borrowings, there were no significant changes to our contractual obligations during the six months ended June 30, 2016.</w:t>
      </w:r>
    </w:p>
    <w:p>
      <w:pPr>
        <w:spacing w:after="0" w:line="85" w:lineRule="exact"/>
        <w:rPr>
          <w:sz w:val="20"/>
          <w:szCs w:val="20"/>
          <w:color w:val="auto"/>
        </w:rPr>
      </w:pPr>
    </w:p>
    <w:p>
      <w:pPr>
        <w:jc w:val="both"/>
        <w:ind w:right="60" w:firstLine="324"/>
        <w:spacing w:after="0" w:line="264" w:lineRule="auto"/>
        <w:rPr>
          <w:sz w:val="20"/>
          <w:szCs w:val="20"/>
          <w:color w:val="auto"/>
        </w:rPr>
      </w:pPr>
      <w:r>
        <w:rPr>
          <w:rFonts w:ascii="Arial" w:cs="Arial" w:eastAsia="Arial" w:hAnsi="Arial"/>
          <w:sz w:val="18"/>
          <w:szCs w:val="18"/>
          <w:color w:val="auto"/>
        </w:rPr>
        <w:t>Our forecasting with respect to our ability to satisfy our contractual obligations requires management to use judgment and estimates and includes factors that may be beyond our control. Additionally, our business has been undergoing substantial change, which has magnified the uncertainties that are inherent in the forecasting process. Our actual results could differ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692" w:right="239" w:bottom="1440" w:gutter="0" w:footer="0" w:header="0"/>
        </w:sectPr>
      </w:pPr>
    </w:p>
    <w:bookmarkStart w:id="74" w:name="page75"/>
    <w:bookmarkEnd w:id="74"/>
    <w:p>
      <w:pPr>
        <w:ind w:right="320"/>
        <w:spacing w:after="0" w:line="277" w:lineRule="auto"/>
        <w:rPr>
          <w:sz w:val="20"/>
          <w:szCs w:val="20"/>
          <w:color w:val="auto"/>
        </w:rPr>
      </w:pPr>
      <w:r>
        <w:rPr>
          <w:rFonts w:ascii="Arial" w:cs="Arial" w:eastAsia="Arial" w:hAnsi="Arial"/>
          <w:sz w:val="18"/>
          <w:szCs w:val="18"/>
          <w:color w:val="auto"/>
        </w:rPr>
        <w:t>materially from our estimates, and if this were to occur, it could have a material adverse effect on our business, financial condition, liquidity and results of operations.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In the normal course of business, we engage in transactions with a variety of financial institutions and other companies that are not reflected on our balance sheet. We are subject to potential financial loss if the counterparties to our off-balance sheet transactions are unable to complete an agreed upon transaction. We manage counterparty credit risk by entering into financial instrument transactions through national exchanges, primary dealers or approved counterparties and the use of mutual margining agreements whenever possible to limit potential exposure. We regularly evaluate the financial position and creditworthiness of our counterparties. Our off-balance sheet arrangements include mortgage loan repurchase and indemnification obligations, unconsolidated SPEs (a type of VIE) and notional amounts of our derivatives. We have also entered into non-cancelable operating leases principally for our office facilities.</w:t>
      </w:r>
    </w:p>
    <w:p>
      <w:pPr>
        <w:spacing w:after="0" w:line="57"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i w:val="1"/>
          <w:iCs w:val="1"/>
          <w:color w:val="auto"/>
        </w:rPr>
        <w:t xml:space="preserve">Mortgage Loan Repurchase and Indemnification Liabilities. </w:t>
      </w:r>
      <w:r>
        <w:rPr>
          <w:rFonts w:ascii="Arial" w:cs="Arial" w:eastAsia="Arial" w:hAnsi="Arial"/>
          <w:sz w:val="17"/>
          <w:szCs w:val="17"/>
          <w:color w:val="auto"/>
        </w:rPr>
        <w:t>We have exposure to representation, warranty and indemnification obligations in our</w:t>
      </w:r>
      <w:r>
        <w:rPr>
          <w:rFonts w:ascii="Arial" w:cs="Arial" w:eastAsia="Arial" w:hAnsi="Arial"/>
          <w:sz w:val="17"/>
          <w:szCs w:val="17"/>
          <w:i w:val="1"/>
          <w:iCs w:val="1"/>
          <w:color w:val="auto"/>
        </w:rPr>
        <w:t xml:space="preserve"> </w:t>
      </w:r>
      <w:r>
        <w:rPr>
          <w:rFonts w:ascii="Arial" w:cs="Arial" w:eastAsia="Arial" w:hAnsi="Arial"/>
          <w:sz w:val="17"/>
          <w:szCs w:val="17"/>
          <w:color w:val="auto"/>
        </w:rPr>
        <w:t>capacity as a loan originator and servicer. We recognize the fair value of representation and warranty obligations in connection with originations upon sale of the loan or upon completion of an acquisition. Thereafter, the estimation of the liability considers probable future obligations based on industry data of loans of similar type segregated by year of origination and estimated loss severity based on current loss rates for similar loans. Our historical loss severity considers the historical loss experience that we incur upon sale or liquidation of a repurchased loan as well as current market conditions.</w:t>
      </w:r>
    </w:p>
    <w:p>
      <w:pPr>
        <w:spacing w:after="0" w:line="64"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The underlying trends for loan repurchases and indemnifications are volatile, and there is significant uncertainty regarding our expectations of future loan repurchases and indemnifications and related loss severities. Due to the significant uncertainties surrounding estimates related to future repurchase and indemnification requests by investors and insurers as well as uncertainties surrounding home prices, it is possible that our exposure could exceed our recorded mortgage loan repurchase and indemnification liability. Our estimate of the mortgage loan repurchase and indemnification liability considers the current macro-economic environment and recent repurchase trends; however, if we experience a prolonged period of higher repurchase and indemnification activity or a decline in home values, then our realized losses from loan repurchases and indemnifications may ultimately be in excess of our recorded liability. Given the levels of realized losses in recent periods, there is a reasonable possibility that future losses may be in excess of our recorded liability. See Note 2 – Securitizations and Variable Interest Entities, Note 12 – Other Liabilities and Note 19 – Contingencies to the Unaudited Consolidated Financial Statements for additional information.</w:t>
      </w:r>
    </w:p>
    <w:p>
      <w:pPr>
        <w:spacing w:after="0" w:line="197"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i w:val="1"/>
          <w:iCs w:val="1"/>
          <w:color w:val="auto"/>
        </w:rPr>
        <w:t>Involvement with SPEs</w:t>
      </w:r>
      <w:r>
        <w:rPr>
          <w:rFonts w:ascii="Arial" w:cs="Arial" w:eastAsia="Arial" w:hAnsi="Arial"/>
          <w:sz w:val="18"/>
          <w:szCs w:val="18"/>
          <w:color w:val="auto"/>
        </w:rPr>
        <w:t>. We use SPEs for a variety of purposes but principally in the financing of our servicing advances and in the securitization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mortgage loans. We consolidate the servicing advance financing SPEs.</w:t>
      </w:r>
    </w:p>
    <w:p>
      <w:pPr>
        <w:spacing w:after="0" w:line="62"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We generally use match funded securitization facilities to finance our servicing advances. The SPEs to which the receivables for servicing advances are transferred in the securitization transaction are included in our consolidated financial statements either because we have the majority equity interest in the SPE or because we are the primary beneficiary where the SPE is a VIE. Holders of the debt issued by the SPEs have recourse only to the assets of the SPEs for satisfaction of the debt.</w:t>
      </w:r>
    </w:p>
    <w:p>
      <w:pPr>
        <w:spacing w:after="0" w:line="187"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i w:val="1"/>
          <w:iCs w:val="1"/>
          <w:color w:val="auto"/>
        </w:rPr>
        <w:t>VIEs</w:t>
      </w:r>
      <w:r>
        <w:rPr>
          <w:rFonts w:ascii="Arial" w:cs="Arial" w:eastAsia="Arial" w:hAnsi="Arial"/>
          <w:sz w:val="18"/>
          <w:szCs w:val="18"/>
          <w:color w:val="auto"/>
        </w:rPr>
        <w:t>. If we determine that we are the primary beneficiary of a VIE, we include the VIE in our consolidated financial statements. We have interests in</w:t>
      </w:r>
      <w:r>
        <w:rPr>
          <w:rFonts w:ascii="Arial" w:cs="Arial" w:eastAsia="Arial" w:hAnsi="Arial"/>
          <w:sz w:val="18"/>
          <w:szCs w:val="18"/>
          <w:i w:val="1"/>
          <w:iCs w:val="1"/>
          <w:color w:val="auto"/>
        </w:rPr>
        <w:t xml:space="preserve"> </w:t>
      </w:r>
      <w:r>
        <w:rPr>
          <w:rFonts w:ascii="Arial" w:cs="Arial" w:eastAsia="Arial" w:hAnsi="Arial"/>
          <w:sz w:val="18"/>
          <w:szCs w:val="18"/>
          <w:color w:val="auto"/>
        </w:rPr>
        <w:t>VIEs that we do not consolidate because we have determined that we are not the primary beneficiary of the VIEs. In addition, we have transferred forward and reverse mortgage loans in transactions accounted for as sales or as secured borrowings for which we retain the obligation for servicing and for standard representations and warranties on the loans. See Note 2 – Securitizations and Variable Interest Entities to the Unaudited Consolidated Financial Statements for additional information.</w:t>
      </w:r>
    </w:p>
    <w:p>
      <w:pPr>
        <w:spacing w:after="0" w:line="80"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i w:val="1"/>
          <w:iCs w:val="1"/>
          <w:color w:val="auto"/>
        </w:rPr>
        <w:t>Derivatives</w:t>
      </w:r>
      <w:r>
        <w:rPr>
          <w:rFonts w:ascii="Arial" w:cs="Arial" w:eastAsia="Arial" w:hAnsi="Arial"/>
          <w:sz w:val="18"/>
          <w:szCs w:val="18"/>
          <w:color w:val="auto"/>
        </w:rPr>
        <w:t>. We record all derivative transactions at fair value on our consolidated balance sheets. We use these derivatives primarily to manage our</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rate risk. The notional amounts of our derivative contracts do not reflect our exposure to credit loss. See Note 13 – Derivative Financial Instruments and Hedging Activities to the Unaudited Consolidated Financial Statements for additional information.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Our ability to measure and report our financial position and operating results is influenced by the need to estimate the impact or outcome of future events on the basis of information available at the time of the financial statements. An accounting estimate is considered critical if it requires that management make assumptions about matters that were highly uncertain at the time the accounting estimate was made. If actual results differ from our judgments and assumptions, then it may have an adverse impact on the results of operations and cash flows. We have processes in place to monitor these judgments and assumptions, and management is required to review critical accounting policies with the Audit Committee of the Board of Directors. Our significant accounting policies and critical accounting estimates are disclosed in our Annual Report on Form 10-</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692" w:right="239" w:bottom="1440" w:gutter="0" w:footer="0" w:header="0"/>
        </w:sectPr>
      </w:pPr>
    </w:p>
    <w:bookmarkStart w:id="75" w:name="page76"/>
    <w:bookmarkEnd w:id="75"/>
    <w:p>
      <w:pPr>
        <w:ind w:right="440"/>
        <w:spacing w:after="0" w:line="277" w:lineRule="auto"/>
        <w:rPr>
          <w:sz w:val="20"/>
          <w:szCs w:val="20"/>
          <w:color w:val="auto"/>
        </w:rPr>
      </w:pPr>
      <w:r>
        <w:rPr>
          <w:rFonts w:ascii="Arial" w:cs="Arial" w:eastAsia="Arial" w:hAnsi="Arial"/>
          <w:sz w:val="18"/>
          <w:szCs w:val="18"/>
          <w:color w:val="auto"/>
        </w:rPr>
        <w:t>K for the year ended December 31, 2015 in Note 1 to the Consolidated Financial Statements and in Management’s Discussion and Analysis of Financial Condition and Results of Operations under “Critical Accounting Policies and Estimates.”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94"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We use fair value measurements to record fair value adjustments to certain instruments and to determine fair value disclosures. Refer to Note 3 – Fair Value to the Unaudited Consolidated Financial Statements for the fair value hierarchy, descriptions of valuation methodologies used to measure significant assets and liabilities at fair value and details of the valuation models, key inputs to those models, and significant assumptions utilized. We follow the fair value hierarchy in order to prioritize the inputs utilized to measure fair value. We review and modify, as necessary, our fair value hierarchy classifications on a quarterly basis. As such, there may be reclassifications between hierarchy levels.</w:t>
      </w:r>
    </w:p>
    <w:p>
      <w:pPr>
        <w:spacing w:after="0" w:line="161"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 following table summarizes assets and liabilities measured at fair value on a recurring and nonrecurring basis and the amounts measured using Level 3 inputs at the dates indicated: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ind w:left="60"/>
              <w:spacing w:after="0"/>
              <w:rPr>
                <w:sz w:val="20"/>
                <w:szCs w:val="20"/>
                <w:color w:val="auto"/>
              </w:rPr>
            </w:pPr>
            <w:r>
              <w:rPr>
                <w:rFonts w:ascii="Arial" w:cs="Arial" w:eastAsia="Arial" w:hAnsi="Arial"/>
                <w:sz w:val="18"/>
                <w:szCs w:val="18"/>
                <w:b w:val="1"/>
                <w:bCs w:val="1"/>
                <w:color w:val="auto"/>
              </w:rPr>
              <w:t>June 30, 2016</w:t>
            </w:r>
          </w:p>
        </w:tc>
        <w:tc>
          <w:tcPr>
            <w:tcW w:w="1560" w:type="dxa"/>
            <w:vAlign w:val="bottom"/>
            <w:gridSpan w:val="2"/>
          </w:tcPr>
          <w:p>
            <w:pPr>
              <w:ind w:left="60"/>
              <w:spacing w:after="0"/>
              <w:rPr>
                <w:sz w:val="20"/>
                <w:szCs w:val="20"/>
                <w:color w:val="auto"/>
              </w:rPr>
            </w:pPr>
            <w:r>
              <w:rPr>
                <w:rFonts w:ascii="Arial" w:cs="Arial" w:eastAsia="Arial" w:hAnsi="Arial"/>
                <w:sz w:val="18"/>
                <w:szCs w:val="18"/>
                <w:b w:val="1"/>
                <w:bCs w:val="1"/>
                <w:color w:val="auto"/>
                <w:w w:val="91"/>
              </w:rPr>
              <w:t>December 31, 2015</w:t>
            </w:r>
          </w:p>
        </w:tc>
      </w:tr>
      <w:tr>
        <w:trPr>
          <w:trHeight w:val="27"/>
        </w:trPr>
        <w:tc>
          <w:tcPr>
            <w:tcW w:w="82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82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Loans held for sale</w:t>
            </w:r>
          </w:p>
        </w:tc>
        <w:tc>
          <w:tcPr>
            <w:tcW w:w="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401,790</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414,046</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Loans held for investment - Reverse mortgages</w:t>
            </w:r>
          </w:p>
        </w:tc>
        <w:tc>
          <w:tcPr>
            <w:tcW w:w="200" w:type="dxa"/>
            <w:vAlign w:val="bottom"/>
          </w:tcPr>
          <w:p>
            <w:pPr>
              <w:spacing w:after="0"/>
              <w:rPr>
                <w:sz w:val="21"/>
                <w:szCs w:val="21"/>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3,057,564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2,488,253</w:t>
            </w:r>
          </w:p>
        </w:tc>
      </w:tr>
      <w:tr>
        <w:trPr>
          <w:trHeight w:val="27"/>
        </w:trPr>
        <w:tc>
          <w:tcPr>
            <w:tcW w:w="8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2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MSRs - recurring basis</w:t>
            </w:r>
          </w:p>
        </w:tc>
        <w:tc>
          <w:tcPr>
            <w:tcW w:w="20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700,668</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761,190</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MSRs - nonrecurring basis, net (1)</w:t>
            </w:r>
          </w:p>
        </w:tc>
        <w:tc>
          <w:tcPr>
            <w:tcW w:w="200" w:type="dxa"/>
            <w:vAlign w:val="bottom"/>
          </w:tcPr>
          <w:p>
            <w:pPr>
              <w:spacing w:after="0"/>
              <w:rPr>
                <w:sz w:val="21"/>
                <w:szCs w:val="21"/>
                <w:color w:val="auto"/>
              </w:rPr>
            </w:pP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97,819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129,120</w:t>
            </w:r>
          </w:p>
        </w:tc>
      </w:tr>
      <w:tr>
        <w:trPr>
          <w:trHeight w:val="27"/>
        </w:trPr>
        <w:tc>
          <w:tcPr>
            <w:tcW w:w="8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2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Derivative assets</w:t>
            </w:r>
          </w:p>
        </w:tc>
        <w:tc>
          <w:tcPr>
            <w:tcW w:w="20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14,776</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8,417</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Mortgage-backed securities</w:t>
            </w:r>
          </w:p>
        </w:tc>
        <w:tc>
          <w:tcPr>
            <w:tcW w:w="200" w:type="dxa"/>
            <w:vAlign w:val="bottom"/>
          </w:tcPr>
          <w:p>
            <w:pPr>
              <w:spacing w:after="0"/>
              <w:rPr>
                <w:sz w:val="21"/>
                <w:szCs w:val="21"/>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9,063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7,985</w:t>
            </w:r>
          </w:p>
        </w:tc>
      </w:tr>
      <w:tr>
        <w:trPr>
          <w:trHeight w:val="27"/>
        </w:trPr>
        <w:tc>
          <w:tcPr>
            <w:tcW w:w="82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82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Assets at fair value</w:t>
            </w:r>
          </w:p>
        </w:tc>
        <w:tc>
          <w:tcPr>
            <w:tcW w:w="2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rPr>
              <w:t>4,281,680</w:t>
            </w:r>
          </w:p>
        </w:tc>
        <w:tc>
          <w:tcPr>
            <w:tcW w:w="100" w:type="dxa"/>
            <w:vAlign w:val="bottom"/>
            <w:tcBorders>
              <w:bottom w:val="single" w:sz="8" w:color="EAF9E8"/>
            </w:tcBorders>
            <w:shd w:val="clear" w:color="auto" w:fill="EAF9E8"/>
          </w:tcPr>
          <w:p>
            <w:pPr>
              <w:spacing w:after="0"/>
              <w:rPr>
                <w:sz w:val="22"/>
                <w:szCs w:val="22"/>
                <w:color w:val="auto"/>
              </w:rPr>
            </w:pPr>
          </w:p>
        </w:tc>
        <w:tc>
          <w:tcPr>
            <w:tcW w:w="380" w:type="dxa"/>
            <w:vAlign w:val="bottom"/>
            <w:tcBorders>
              <w:bottom w:val="single" w:sz="8" w:color="auto"/>
            </w:tcBorders>
            <w:shd w:val="clear" w:color="auto" w:fill="EAF9E8"/>
          </w:tcPr>
          <w:p>
            <w:pPr>
              <w:ind w:left="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3,809,011</w:t>
            </w:r>
          </w:p>
        </w:tc>
      </w:tr>
      <w:tr>
        <w:trPr>
          <w:trHeight w:val="20"/>
        </w:trPr>
        <w:tc>
          <w:tcPr>
            <w:tcW w:w="8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0"/>
        </w:trPr>
        <w:tc>
          <w:tcPr>
            <w:tcW w:w="8200" w:type="dxa"/>
            <w:vAlign w:val="bottom"/>
          </w:tcPr>
          <w:p>
            <w:pPr>
              <w:ind w:left="180"/>
              <w:spacing w:after="0"/>
              <w:rPr>
                <w:sz w:val="20"/>
                <w:szCs w:val="20"/>
                <w:color w:val="auto"/>
              </w:rPr>
            </w:pPr>
            <w:r>
              <w:rPr>
                <w:rFonts w:ascii="Arial" w:cs="Arial" w:eastAsia="Arial" w:hAnsi="Arial"/>
                <w:sz w:val="18"/>
                <w:szCs w:val="18"/>
                <w:color w:val="auto"/>
              </w:rPr>
              <w:t>As a percentage of total assets</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7"/>
        </w:trPr>
        <w:tc>
          <w:tcPr>
            <w:tcW w:w="8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2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Financing liabilities</w:t>
            </w:r>
          </w:p>
        </w:tc>
        <w:tc>
          <w:tcPr>
            <w:tcW w:w="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3,431,054</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2,933,066</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Derivative liabilities</w:t>
            </w:r>
          </w:p>
        </w:tc>
        <w:tc>
          <w:tcPr>
            <w:tcW w:w="200" w:type="dxa"/>
            <w:vAlign w:val="bottom"/>
          </w:tcPr>
          <w:p>
            <w:pPr>
              <w:spacing w:after="0"/>
              <w:rPr>
                <w:sz w:val="21"/>
                <w:szCs w:val="21"/>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7,365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82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82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Liabilities at fair value</w:t>
            </w:r>
          </w:p>
        </w:tc>
        <w:tc>
          <w:tcPr>
            <w:tcW w:w="2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rPr>
              <w:t>3,438,419</w:t>
            </w:r>
          </w:p>
        </w:tc>
        <w:tc>
          <w:tcPr>
            <w:tcW w:w="100" w:type="dxa"/>
            <w:vAlign w:val="bottom"/>
            <w:tcBorders>
              <w:bottom w:val="single" w:sz="8" w:color="EAF9E8"/>
            </w:tcBorders>
            <w:shd w:val="clear" w:color="auto" w:fill="EAF9E8"/>
          </w:tcPr>
          <w:p>
            <w:pPr>
              <w:spacing w:after="0"/>
              <w:rPr>
                <w:sz w:val="22"/>
                <w:szCs w:val="22"/>
                <w:color w:val="auto"/>
              </w:rPr>
            </w:pPr>
          </w:p>
        </w:tc>
        <w:tc>
          <w:tcPr>
            <w:tcW w:w="380" w:type="dxa"/>
            <w:vAlign w:val="bottom"/>
            <w:tcBorders>
              <w:bottom w:val="single" w:sz="8" w:color="auto"/>
            </w:tcBorders>
            <w:shd w:val="clear" w:color="auto" w:fill="EAF9E8"/>
          </w:tcPr>
          <w:p>
            <w:pPr>
              <w:ind w:left="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2,933,066</w:t>
            </w:r>
          </w:p>
        </w:tc>
      </w:tr>
      <w:tr>
        <w:trPr>
          <w:trHeight w:val="20"/>
        </w:trPr>
        <w:tc>
          <w:tcPr>
            <w:tcW w:w="8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0"/>
        </w:trPr>
        <w:tc>
          <w:tcPr>
            <w:tcW w:w="8200" w:type="dxa"/>
            <w:vAlign w:val="bottom"/>
          </w:tcPr>
          <w:p>
            <w:pPr>
              <w:ind w:left="180"/>
              <w:spacing w:after="0"/>
              <w:rPr>
                <w:sz w:val="20"/>
                <w:szCs w:val="20"/>
                <w:color w:val="auto"/>
              </w:rPr>
            </w:pPr>
            <w:r>
              <w:rPr>
                <w:rFonts w:ascii="Arial" w:cs="Arial" w:eastAsia="Arial" w:hAnsi="Arial"/>
                <w:sz w:val="18"/>
                <w:szCs w:val="18"/>
                <w:color w:val="auto"/>
              </w:rPr>
              <w:t>As a percentage of total liabilities</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
        </w:trPr>
        <w:tc>
          <w:tcPr>
            <w:tcW w:w="8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64"/>
        </w:trPr>
        <w:tc>
          <w:tcPr>
            <w:tcW w:w="82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Assets at fair value using Level 3 inputs</w:t>
            </w:r>
          </w:p>
        </w:tc>
        <w:tc>
          <w:tcPr>
            <w:tcW w:w="2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rPr>
              <w:t>3,927,417</w:t>
            </w:r>
          </w:p>
        </w:tc>
        <w:tc>
          <w:tcPr>
            <w:tcW w:w="100" w:type="dxa"/>
            <w:vAlign w:val="bottom"/>
            <w:tcBorders>
              <w:bottom w:val="single" w:sz="8" w:color="EAF9E8"/>
            </w:tcBorders>
            <w:shd w:val="clear" w:color="auto" w:fill="EAF9E8"/>
          </w:tcPr>
          <w:p>
            <w:pPr>
              <w:spacing w:after="0"/>
              <w:rPr>
                <w:sz w:val="22"/>
                <w:szCs w:val="22"/>
                <w:color w:val="auto"/>
              </w:rPr>
            </w:pPr>
          </w:p>
        </w:tc>
        <w:tc>
          <w:tcPr>
            <w:tcW w:w="380" w:type="dxa"/>
            <w:vAlign w:val="bottom"/>
            <w:tcBorders>
              <w:bottom w:val="single" w:sz="8" w:color="auto"/>
            </w:tcBorders>
            <w:shd w:val="clear" w:color="auto" w:fill="EAF9E8"/>
          </w:tcPr>
          <w:p>
            <w:pPr>
              <w:ind w:left="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3,493,582</w:t>
            </w:r>
          </w:p>
        </w:tc>
      </w:tr>
      <w:tr>
        <w:trPr>
          <w:trHeight w:val="20"/>
        </w:trPr>
        <w:tc>
          <w:tcPr>
            <w:tcW w:w="8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0"/>
        </w:trPr>
        <w:tc>
          <w:tcPr>
            <w:tcW w:w="8200" w:type="dxa"/>
            <w:vAlign w:val="bottom"/>
          </w:tcPr>
          <w:p>
            <w:pPr>
              <w:ind w:left="180"/>
              <w:spacing w:after="0"/>
              <w:rPr>
                <w:sz w:val="20"/>
                <w:szCs w:val="20"/>
                <w:color w:val="auto"/>
              </w:rPr>
            </w:pPr>
            <w:r>
              <w:rPr>
                <w:rFonts w:ascii="Arial" w:cs="Arial" w:eastAsia="Arial" w:hAnsi="Arial"/>
                <w:sz w:val="18"/>
                <w:szCs w:val="18"/>
                <w:color w:val="auto"/>
              </w:rPr>
              <w:t>As a percentage of assets at fair value</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7"/>
        </w:trPr>
        <w:tc>
          <w:tcPr>
            <w:tcW w:w="8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64"/>
        </w:trPr>
        <w:tc>
          <w:tcPr>
            <w:tcW w:w="82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Liabilities at fair value using Level 3 inputs</w:t>
            </w:r>
          </w:p>
        </w:tc>
        <w:tc>
          <w:tcPr>
            <w:tcW w:w="2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rPr>
              <w:t>3,438,419</w:t>
            </w:r>
          </w:p>
        </w:tc>
        <w:tc>
          <w:tcPr>
            <w:tcW w:w="100" w:type="dxa"/>
            <w:vAlign w:val="bottom"/>
            <w:tcBorders>
              <w:bottom w:val="single" w:sz="8" w:color="EAF9E8"/>
            </w:tcBorders>
            <w:shd w:val="clear" w:color="auto" w:fill="EAF9E8"/>
          </w:tcPr>
          <w:p>
            <w:pPr>
              <w:spacing w:after="0"/>
              <w:rPr>
                <w:sz w:val="22"/>
                <w:szCs w:val="22"/>
                <w:color w:val="auto"/>
              </w:rPr>
            </w:pPr>
          </w:p>
        </w:tc>
        <w:tc>
          <w:tcPr>
            <w:tcW w:w="380" w:type="dxa"/>
            <w:vAlign w:val="bottom"/>
            <w:tcBorders>
              <w:bottom w:val="single" w:sz="8" w:color="auto"/>
            </w:tcBorders>
            <w:shd w:val="clear" w:color="auto" w:fill="EAF9E8"/>
          </w:tcPr>
          <w:p>
            <w:pPr>
              <w:ind w:left="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2,933,066</w:t>
            </w:r>
          </w:p>
        </w:tc>
      </w:tr>
      <w:tr>
        <w:trPr>
          <w:trHeight w:val="20"/>
        </w:trPr>
        <w:tc>
          <w:tcPr>
            <w:tcW w:w="8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0"/>
        </w:trPr>
        <w:tc>
          <w:tcPr>
            <w:tcW w:w="8200" w:type="dxa"/>
            <w:vAlign w:val="bottom"/>
          </w:tcPr>
          <w:p>
            <w:pPr>
              <w:ind w:left="180"/>
              <w:spacing w:after="0"/>
              <w:rPr>
                <w:sz w:val="20"/>
                <w:szCs w:val="20"/>
                <w:color w:val="auto"/>
              </w:rPr>
            </w:pPr>
            <w:r>
              <w:rPr>
                <w:rFonts w:ascii="Arial" w:cs="Arial" w:eastAsia="Arial" w:hAnsi="Arial"/>
                <w:sz w:val="18"/>
                <w:szCs w:val="18"/>
                <w:color w:val="auto"/>
              </w:rPr>
              <w:t>As a percentage of liabilities at fair value</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100%</w:t>
            </w:r>
          </w:p>
        </w:tc>
      </w:tr>
    </w:tbl>
    <w:p>
      <w:pPr>
        <w:spacing w:after="0" w:line="125" w:lineRule="exact"/>
        <w:rPr>
          <w:sz w:val="20"/>
          <w:szCs w:val="20"/>
          <w:color w:val="auto"/>
        </w:rPr>
      </w:pPr>
    </w:p>
    <w:p>
      <w:pPr>
        <w:ind w:left="500" w:right="120" w:hanging="492"/>
        <w:spacing w:after="0" w:line="310" w:lineRule="auto"/>
        <w:tabs>
          <w:tab w:leader="none" w:pos="500" w:val="left"/>
        </w:tabs>
        <w:numPr>
          <w:ilvl w:val="0"/>
          <w:numId w:val="41"/>
        </w:numPr>
        <w:rPr>
          <w:rFonts w:ascii="Arial" w:cs="Arial" w:eastAsia="Arial" w:hAnsi="Arial"/>
          <w:sz w:val="15"/>
          <w:szCs w:val="15"/>
          <w:color w:val="auto"/>
        </w:rPr>
      </w:pPr>
      <w:r>
        <w:rPr>
          <w:rFonts w:ascii="Arial" w:cs="Arial" w:eastAsia="Arial" w:hAnsi="Arial"/>
          <w:sz w:val="15"/>
          <w:szCs w:val="15"/>
          <w:color w:val="auto"/>
        </w:rPr>
        <w:t>The balance represents our impaired government-insured stratum of amortization method MSRs, which is measured at fair value on a nonrecurring basis. The carrying value of this stratum is net of a valuation allowance of $56.4 million and $17.3 million at June 30, 2016 and December 31, 2015, respectively.</w:t>
      </w:r>
    </w:p>
    <w:p>
      <w:pPr>
        <w:spacing w:after="0" w:line="144"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Assets at fair value using Level 3 inputs increased during the six months ended June 30, 2016 primarily due to reverse mortgage originations. Liabilities at fair value using Level 3 inputs increased primarily in connection with reverse mortgage securitizations, which we account for as secured financings. Our net economic exposure to Loans held for investment - Reverse mortgages and the related Financing liabilities (HMBS-related borrowings) is limited to the residual value we retain. Changes in inputs used to value the loans held for investment are largely offset by changes in the value of the related secured financing.</w:t>
      </w:r>
    </w:p>
    <w:p>
      <w:pPr>
        <w:spacing w:after="0" w:line="80"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We have numerous internal controls in place to ensure the appropriateness of fair value measurements. Significant fair value measures are subject to analysis and management review and approval. Additionally, we utilize a number of operational controls to ensure the results are reasonable, including comparison, or “back testing,” of model results against actual performance and monitoring the market for recent trades, including our own price discovery in connection with potential and completed sales, and other market information that can be used to benchmark inputs or outputs. Considerable judgment is used in forming conclusions about Level 3 inputs such as interest rate movements, prepayment speeds, delinquencies, credit losses and discount rates. Changes to these inputs could have a significant effect on fair value measurements.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and Amortization of MSRs</w:t>
      </w:r>
    </w:p>
    <w:p>
      <w:pPr>
        <w:spacing w:after="0" w:line="121"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For MSRs accounted for using the amortization measurement method, we assess servicing assets or liabilities for impairment or increased obligation based on fair value on a quarterly basis. We group our MSRs by stratum for impairment testing based on the predominant risk characteristics of the underlying mortgage loans. We recognized $39.0 million of impairment charges on our government-insured MSRs during the six months ended June 30, 2016 (including $9.1 million during the second quarter), as the fair value for this stratum declined to less than its carrying value. This impairment was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692" w:right="239" w:bottom="1440" w:gutter="0" w:footer="0" w:header="0"/>
        </w:sectPr>
      </w:pPr>
    </w:p>
    <w:bookmarkStart w:id="76" w:name="page77"/>
    <w:bookmarkEnd w:id="76"/>
    <w:p>
      <w:pPr>
        <w:spacing w:after="0"/>
        <w:rPr>
          <w:sz w:val="20"/>
          <w:szCs w:val="20"/>
          <w:color w:val="auto"/>
        </w:rPr>
      </w:pPr>
      <w:r>
        <w:rPr>
          <w:rFonts w:ascii="Arial" w:cs="Arial" w:eastAsia="Arial" w:hAnsi="Arial"/>
          <w:sz w:val="16"/>
          <w:szCs w:val="16"/>
          <w:color w:val="auto"/>
        </w:rPr>
        <w:t>primarily due to lower interest rates. The carrying value of this stratum at June 30, 2016 was $97.8 million, net of the valuation allowance of $56.4 million.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MSR impairment charges are recognized in Servicing and origination expense in the Unaudited Consolidated Statements of Operations.</w:t>
      </w:r>
    </w:p>
    <w:p>
      <w:pPr>
        <w:spacing w:after="0" w:line="103"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The determination of the fair value of MSRs requires management judgment due to the number of assumptions that underlie the valuation. We estimate the fair value of our MSRs by using a process that is based on the use of independent third-party valuation experts, and supported by commercially available discounted cash flow models and analysis of current market data to arrive at an estimate of fair value. The key assumptions used in the valuation of these MSRs include prepayment speeds, loan delinquency and discount rates.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94"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We record a tax provision for the anticipated tax consequences of the reported results of operations. We compute the provision for income taxes using the asset and liability method, under which deferred tax assets and liabilities are recognized for the expected future tax consequences of temporary differences between the financial reporting and tax bases of assets and liabilities, and for operating losses and tax credit carryforwards. We measure deferred tax assets and liabilities using the currently enacted tax rates in each jurisdiction that applies to taxable income in effect for the years in which those tax assets are expected to be realized or settled. We record a valuation allowance to reduce deferred tax assets to the amount that is believed more likely than not to be realized.</w:t>
      </w:r>
    </w:p>
    <w:p>
      <w:pPr>
        <w:spacing w:after="0" w:line="139"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We recognize tax benefits from uncertain tax positions only if it is more likely than not that the tax position will be sustained on examination by the taxing authorities, based on the technical merits of the position. The tax benefits recognized in the financial statements from such positions are then measured based on the largest benefit that has a greater than 50% likelihood of being realized upon ultimate settlement.</w:t>
      </w:r>
    </w:p>
    <w:p>
      <w:pPr>
        <w:spacing w:after="0" w:line="127" w:lineRule="exact"/>
        <w:rPr>
          <w:sz w:val="20"/>
          <w:szCs w:val="20"/>
          <w:color w:val="auto"/>
        </w:rPr>
      </w:pPr>
    </w:p>
    <w:p>
      <w:pPr>
        <w:ind w:right="260" w:firstLine="324"/>
        <w:spacing w:after="0" w:line="286" w:lineRule="auto"/>
        <w:rPr>
          <w:sz w:val="20"/>
          <w:szCs w:val="20"/>
          <w:color w:val="auto"/>
        </w:rPr>
      </w:pPr>
      <w:r>
        <w:rPr>
          <w:rFonts w:ascii="Arial" w:cs="Arial" w:eastAsia="Arial" w:hAnsi="Arial"/>
          <w:sz w:val="17"/>
          <w:szCs w:val="17"/>
          <w:color w:val="auto"/>
        </w:rPr>
        <w:t>We conduct periodic evaluations of positive and negative evidence to determine whether it is more likely than not that the deferred tax asset can be realized in future periods. In these evaluations, we gave more significant weight to objective evidence, such as our actual financial condition and historical results of operations, as compared to subjective evidence, such as projections of future taxable income or losses.</w:t>
      </w:r>
    </w:p>
    <w:p>
      <w:pPr>
        <w:spacing w:after="0" w:line="111"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As a result of these evaluations, as of December 31, 2015, we recorded a full valuation allowance for the $84.5 million of U.S. net deferred tax assets and for the $17.4 million of USVI net deferred tax assets as the U.S. and USVI jurisdictional deferred tax assets are not considered to be more likely than not realizable based on all available positive and negative evidence. We intend to continue maintaining a full valuation allowance on our deferred tax assets in both the U.S. and USVI until there is sufficient evidence to support the reversal of all or some portion of these allowances.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Obligations</w:t>
      </w:r>
    </w:p>
    <w:p>
      <w:pPr>
        <w:spacing w:after="0" w:line="121"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We have exposure to representation, warranty and indemnification obligations because of our lending, sales and securitization activities, our acquisitions to the extent we assume one or more of these obligations, and in connection with our servicing practices. We initially recognize these obligations at fair value. Thereafter, the estimation of the liability considers probable future obligations based on industry data of loans of similar type segregated by year of origination, to the extent applicable, and estimated loss severity based on current loss rates for similar loans, our historical rescission rates and the current pipeline of unresolved demands. Our historical loss severity considers the historical loss experience that we incur upon sale or liquidation of a repurchased loan as well as current market conditions. We monitor the adequacy of the overall liability and make adjustments, as necessary, after consideration of other qualitative factors including ongoing dialogue and experience with our counterparties.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121"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We monitor our litigation matters, including advice from external legal counsel, and regularly perform assessments of these matters for potential loss accrual and disclosure. We establish liabilities for settlements, judgments on appeal and filed and/or threatened claims for which we believe it is probable that a loss has been or will be incurred and the amount can be reasonably estimated.</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We adopted each recent Accounting Standards Update (ASU) listed below on January 1, 2016. Our adoption of these standards did not have a material impact on our Unaudited Consolidated Financial Statements.</w:t>
      </w:r>
    </w:p>
    <w:p>
      <w:pPr>
        <w:spacing w:after="0" w:line="62"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Consolidation: Measuring the Financial Assets and the Financial Liabilities of a Consolidated Collateralized Financing Entity (ASU 2014-13)</w:t>
      </w:r>
    </w:p>
    <w:p>
      <w:pPr>
        <w:spacing w:after="0" w:line="34" w:lineRule="exact"/>
        <w:rPr>
          <w:rFonts w:ascii="Arial" w:cs="Arial" w:eastAsia="Arial" w:hAnsi="Arial"/>
          <w:sz w:val="17"/>
          <w:szCs w:val="17"/>
          <w:color w:val="auto"/>
        </w:rPr>
      </w:pPr>
    </w:p>
    <w:p>
      <w:pPr>
        <w:ind w:left="660" w:right="360" w:hanging="328"/>
        <w:spacing w:after="0" w:line="261"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Income Statement—Extraordinary and Unusual Items: Simplifying Income Statement Presentation by Eliminating the Concept of Extraordinary Items (ASU 2015-01)</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692" w:right="259" w:bottom="1440" w:gutter="0" w:footer="0" w:header="0"/>
        </w:sectPr>
      </w:pPr>
    </w:p>
    <w:bookmarkStart w:id="77" w:name="page78"/>
    <w:bookmarkEnd w:id="77"/>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Consolidation—Amendments to the Consolidation Analysis (ASU 2015-02)</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Interest—Imputation of Interest: Simplifying the Presentation of Debt Issuance Costs (ASU 2015-03)</w:t>
      </w:r>
    </w:p>
    <w:p>
      <w:pPr>
        <w:spacing w:after="0" w:line="9" w:lineRule="exact"/>
        <w:rPr>
          <w:rFonts w:ascii="Arial" w:cs="Arial" w:eastAsia="Arial" w:hAnsi="Arial"/>
          <w:sz w:val="18"/>
          <w:szCs w:val="18"/>
          <w:color w:val="auto"/>
        </w:rPr>
      </w:pPr>
    </w:p>
    <w:p>
      <w:pPr>
        <w:ind w:left="660" w:right="160" w:hanging="328"/>
        <w:spacing w:after="0" w:line="250"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Intangibles—Goodwill and Other—Internal-Use Software: Customer’s Accounting for Fees Paid in a Cloud Computing Arrangement (ASU 2015-05)</w:t>
      </w:r>
    </w:p>
    <w:p>
      <w:pPr>
        <w:ind w:left="660" w:hanging="328"/>
        <w:spacing w:after="0" w:line="261"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Interest—Imputation of Interest: Presentation and Subsequent Measurement of Debt Issuance Costs Associated with Line-of-Credit Arrangements— Amendments to SEC Paragraphs Pursuant to Staff Announcement at June 18, 2015 EITF Meeting (ASU 2015-15)</w:t>
      </w:r>
    </w:p>
    <w:p>
      <w:pPr>
        <w:spacing w:after="0" w:line="76"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We are also evaluating the impact of recently issued ASUs not yet adopted that are not effective for us until on or after January 1, 2017. We do not anticipate that our adoption of these ASUs will have a material impact on our consolidated financial statements.</w:t>
      </w:r>
    </w:p>
    <w:p>
      <w:pPr>
        <w:spacing w:after="0" w:line="5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 (Dollars in thousands unless otherwise indicated)</w:t>
      </w:r>
    </w:p>
    <w:p>
      <w:pPr>
        <w:spacing w:after="0" w:line="121" w:lineRule="exact"/>
        <w:rPr>
          <w:sz w:val="20"/>
          <w:szCs w:val="20"/>
          <w:color w:val="auto"/>
        </w:rPr>
      </w:pPr>
    </w:p>
    <w:p>
      <w:pPr>
        <w:ind w:right="140" w:firstLine="324"/>
        <w:spacing w:after="0" w:line="312" w:lineRule="auto"/>
        <w:rPr>
          <w:sz w:val="20"/>
          <w:szCs w:val="20"/>
          <w:color w:val="auto"/>
        </w:rPr>
      </w:pPr>
      <w:r>
        <w:rPr>
          <w:rFonts w:ascii="Arial" w:cs="Arial" w:eastAsia="Arial" w:hAnsi="Arial"/>
          <w:sz w:val="16"/>
          <w:szCs w:val="16"/>
          <w:color w:val="auto"/>
        </w:rPr>
        <w:t>Our principal market exposure is to interest rate risk due to the impact on our mortgage-related assets and commitments, including mortgage loans held for sale, IRLCs and MSRs. Changes in interest rates could materially and adversely affect our volume of mortgage loan originations or reduce the value of our MSRs. We also have exposure to the effects of changes in interest rates on our borrowings, including advance financing facilities.</w:t>
      </w:r>
    </w:p>
    <w:p>
      <w:pPr>
        <w:spacing w:after="0" w:line="39" w:lineRule="exact"/>
        <w:rPr>
          <w:sz w:val="20"/>
          <w:szCs w:val="20"/>
          <w:color w:val="auto"/>
        </w:rPr>
      </w:pPr>
    </w:p>
    <w:p>
      <w:pPr>
        <w:ind w:right="280" w:firstLine="324"/>
        <w:spacing w:after="0" w:line="264" w:lineRule="auto"/>
        <w:rPr>
          <w:sz w:val="20"/>
          <w:szCs w:val="20"/>
          <w:color w:val="auto"/>
        </w:rPr>
      </w:pPr>
      <w:r>
        <w:rPr>
          <w:rFonts w:ascii="Arial" w:cs="Arial" w:eastAsia="Arial" w:hAnsi="Arial"/>
          <w:sz w:val="18"/>
          <w:szCs w:val="18"/>
          <w:color w:val="auto"/>
        </w:rPr>
        <w:t>Interest rate risk is a function of (i) the timing of re-pricing and (ii) the dollar amount of assets and liabilities that re-price at various times. We are exposed to interest rate risk to the extent that our interest rate sensitive liabilities mature or re-price at different speeds, or on different bases, than interest-earning assets.</w:t>
      </w:r>
    </w:p>
    <w:p>
      <w:pPr>
        <w:spacing w:after="0" w:line="73"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Our Market Risk Committee establishes and maintains policies that govern our hedging program, including such factors as our target hedge ratio, the hedge instruments that we are permitted to use in our hedging activities and the counterparties with whom we are permitted to enter into hedging transactions. See Note 13 – Derivative Financial Instruments and Hedging Activities to the Unaudited Consolidated Financial Statements for additional information regarding our use of derivatives.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Match Funded Liabilities</w:t>
      </w:r>
    </w:p>
    <w:p>
      <w:pPr>
        <w:spacing w:after="0" w:line="121" w:lineRule="exact"/>
        <w:rPr>
          <w:sz w:val="20"/>
          <w:szCs w:val="20"/>
          <w:color w:val="auto"/>
        </w:rPr>
      </w:pPr>
    </w:p>
    <w:p>
      <w:pPr>
        <w:ind w:right="180" w:firstLine="324"/>
        <w:spacing w:after="0" w:line="302" w:lineRule="auto"/>
        <w:rPr>
          <w:sz w:val="20"/>
          <w:szCs w:val="20"/>
          <w:color w:val="auto"/>
        </w:rPr>
      </w:pPr>
      <w:r>
        <w:rPr>
          <w:rFonts w:ascii="Arial" w:cs="Arial" w:eastAsia="Arial" w:hAnsi="Arial"/>
          <w:sz w:val="16"/>
          <w:szCs w:val="16"/>
          <w:color w:val="auto"/>
        </w:rPr>
        <w:t>We monitor the effect of increases in interest rates on the interest paid on our variable rate advance financing debt. Earnings on cash and float balances are a partial offset to our exposure to changes in interest expense. To the extent the projected excess of our variable rate debt over cash and float balances require, we would consider hedging this exposure with interest rate swaps or other derivative instruments. We may purchase interest rate caps as economic hedges (not designated as a hedge for accounting purposes) as required by certain of our advance financing arrangements.</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IRLCs and Loans Held for Sale</w:t>
      </w:r>
    </w:p>
    <w:p>
      <w:pPr>
        <w:spacing w:after="0" w:line="121"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IRLCs represent an agreement to purchase loans from a third-party originator or an agreement to extend credit to a mortgage loan applicant, whereby the interest rate on the loan is set prior to funding. In our lending business, mortgage loans held for sale and IRLCs are subject to the effects of changes in mortgage interest rates from the date of the commitment through the sale of the loan into the secondary market. As a result, we are exposed to interest rate risk and related price risk during the period from the date of the lock commitment through (i) the lock commitment cancellation or expiration date or (ii) through the date of sale of the resulting loan into the secondary mortgage market. Loan commitments for forward loans range from 5 to 90 days, but the majority of our commitments are for 15 days (in the correspondent and broker channels) or 60 days (for the retail channel). Our holding period for mortgage loans from funding to sale is typically less than 30 days. Our interest rate exposure on these derivative loan commitments is hedged with freestanding derivatives such as forward contracts. We enter into forward contracts with respect to both fixed and variable rate loan commitments.</w:t>
      </w:r>
    </w:p>
    <w:p>
      <w:pPr>
        <w:spacing w:after="0" w:line="5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For loans held for sale that we have elected to carry at fair value, we manage the associated interest rate risk through an active hedging program overseen by our Investment Committee. Our hedging policy determines the hedging instruments to be used in the mortgage loan hedging program, which include forward sales of agency “to be announced” securities (TBAs), whole loan forward sales, Eurodollar futures and interest rate options. Forward mortgage backed securities (MBS) trades are primarily used to fix the forward sales price that will be realized upon the sale of mortgage loans into the secondary market. Our hedging policy also stipulates the hedge ratio we must maintain in managing this interest rate risk, which is also monitored by our Investment Committee.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MSRs</w:t>
      </w:r>
    </w:p>
    <w:p>
      <w:pPr>
        <w:spacing w:after="0" w:line="121" w:lineRule="exact"/>
        <w:rPr>
          <w:sz w:val="20"/>
          <w:szCs w:val="20"/>
          <w:color w:val="auto"/>
        </w:rPr>
      </w:pPr>
    </w:p>
    <w:p>
      <w:pPr>
        <w:jc w:val="both"/>
        <w:ind w:right="60" w:firstLine="324"/>
        <w:spacing w:after="0" w:line="302" w:lineRule="auto"/>
        <w:rPr>
          <w:sz w:val="20"/>
          <w:szCs w:val="20"/>
          <w:color w:val="auto"/>
        </w:rPr>
      </w:pPr>
      <w:r>
        <w:rPr>
          <w:rFonts w:ascii="Arial" w:cs="Arial" w:eastAsia="Arial" w:hAnsi="Arial"/>
          <w:sz w:val="16"/>
          <w:szCs w:val="16"/>
          <w:color w:val="auto"/>
        </w:rPr>
        <w:t>We have elected to account for two classes of MSRs at fair value. The first is a class of Agency MSRs, principally originated during 2012, for which we hedged the interest rate risk because the mortgage notes underlying the MSRs permit the borrowers to prepay the loans. Effective April 1, 2013, we modified our strategy for managing the risks of the portfolio of loans underlying this class of fair value MSRs and closed out the remaining economic hedge positions associated with this class. We terminated these hedges because we determined that they were ineffective for large movements in interest rates and only</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380"/>
          </w:cols>
          <w:pgMar w:left="240" w:top="584" w:right="279" w:bottom="1440" w:gutter="0" w:footer="0" w:header="0"/>
        </w:sectPr>
      </w:pPr>
    </w:p>
    <w:bookmarkStart w:id="78" w:name="page79"/>
    <w:bookmarkEnd w:id="78"/>
    <w:p>
      <w:pPr>
        <w:ind w:right="220"/>
        <w:spacing w:after="0" w:line="308" w:lineRule="auto"/>
        <w:rPr>
          <w:sz w:val="20"/>
          <w:szCs w:val="20"/>
          <w:color w:val="auto"/>
        </w:rPr>
      </w:pPr>
      <w:r>
        <w:rPr>
          <w:rFonts w:ascii="Arial" w:cs="Arial" w:eastAsia="Arial" w:hAnsi="Arial"/>
          <w:sz w:val="17"/>
          <w:szCs w:val="17"/>
          <w:color w:val="auto"/>
        </w:rPr>
        <w:t>assured losses in substantial increasing-rate environments. The second class of MSRs at fair value was designated on January 1, 2015, when we elected fair value accounting for a newly created class of non-Agency MSRs that we previously accounted for using the amortization method.</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Sensitive Financial Instruments</w:t>
      </w:r>
    </w:p>
    <w:p>
      <w:pPr>
        <w:spacing w:after="0" w:line="121"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The tables below present the notional amounts of our financial instruments that are sensitive to changes in interest rates and the related fair value of these instruments at the dates indicated. We use certain assumptions to estimate the fair value of these instruments. See Note 3 – Fair Value to the Unaudited Consolidated Financial Statements for additional information regarding fair value of financial instruments.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60" w:type="dxa"/>
            <w:vAlign w:val="bottom"/>
            <w:gridSpan w:val="5"/>
          </w:tcPr>
          <w:p>
            <w:pPr>
              <w:ind w:left="900"/>
              <w:spacing w:after="0"/>
              <w:rPr>
                <w:sz w:val="20"/>
                <w:szCs w:val="20"/>
                <w:color w:val="auto"/>
              </w:rPr>
            </w:pPr>
            <w:r>
              <w:rPr>
                <w:rFonts w:ascii="Arial" w:cs="Arial" w:eastAsia="Arial" w:hAnsi="Arial"/>
                <w:sz w:val="18"/>
                <w:szCs w:val="18"/>
                <w:b w:val="1"/>
                <w:bCs w:val="1"/>
                <w:color w:val="auto"/>
              </w:rPr>
              <w:t>June 30, 2016</w:t>
            </w:r>
          </w:p>
        </w:tc>
        <w:tc>
          <w:tcPr>
            <w:tcW w:w="140" w:type="dxa"/>
            <w:vAlign w:val="bottom"/>
          </w:tcPr>
          <w:p>
            <w:pPr>
              <w:spacing w:after="0"/>
              <w:rPr>
                <w:sz w:val="20"/>
                <w:szCs w:val="20"/>
                <w:color w:val="auto"/>
              </w:rPr>
            </w:pPr>
          </w:p>
        </w:tc>
        <w:tc>
          <w:tcPr>
            <w:tcW w:w="292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December 31, 2015</w:t>
            </w:r>
          </w:p>
        </w:tc>
      </w:tr>
      <w:tr>
        <w:trPr>
          <w:trHeight w:val="27"/>
        </w:trPr>
        <w:tc>
          <w:tcPr>
            <w:tcW w:w="5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b w:val="1"/>
                <w:bCs w:val="1"/>
                <w:color w:val="auto"/>
              </w:rPr>
              <w:t>Carrying Value</w:t>
            </w:r>
          </w:p>
        </w:tc>
        <w:tc>
          <w:tcPr>
            <w:tcW w:w="240" w:type="dxa"/>
            <w:vAlign w:val="bottom"/>
          </w:tcPr>
          <w:p>
            <w:pPr>
              <w:spacing w:after="0"/>
              <w:rPr>
                <w:sz w:val="20"/>
                <w:szCs w:val="20"/>
                <w:color w:val="auto"/>
              </w:rPr>
            </w:pPr>
          </w:p>
        </w:tc>
        <w:tc>
          <w:tcPr>
            <w:tcW w:w="1340" w:type="dxa"/>
            <w:vAlign w:val="bottom"/>
            <w:gridSpan w:val="2"/>
          </w:tcPr>
          <w:p>
            <w:pPr>
              <w:ind w:left="100"/>
              <w:spacing w:after="0"/>
              <w:rPr>
                <w:sz w:val="20"/>
                <w:szCs w:val="20"/>
                <w:color w:val="auto"/>
              </w:rPr>
            </w:pPr>
            <w:r>
              <w:rPr>
                <w:rFonts w:ascii="Arial" w:cs="Arial" w:eastAsia="Arial" w:hAnsi="Arial"/>
                <w:sz w:val="18"/>
                <w:szCs w:val="18"/>
                <w:b w:val="1"/>
                <w:bCs w:val="1"/>
                <w:color w:val="auto"/>
              </w:rPr>
              <w:t>Fair Value</w:t>
            </w:r>
          </w:p>
        </w:tc>
        <w:tc>
          <w:tcPr>
            <w:tcW w:w="140" w:type="dxa"/>
            <w:vAlign w:val="bottom"/>
          </w:tcPr>
          <w:p>
            <w:pPr>
              <w:spacing w:after="0"/>
              <w:rPr>
                <w:sz w:val="20"/>
                <w:szCs w:val="20"/>
                <w:color w:val="auto"/>
              </w:rPr>
            </w:pPr>
          </w:p>
        </w:tc>
        <w:tc>
          <w:tcPr>
            <w:tcW w:w="1440" w:type="dxa"/>
            <w:vAlign w:val="bottom"/>
            <w:gridSpan w:val="2"/>
          </w:tcPr>
          <w:p>
            <w:pPr>
              <w:spacing w:after="0"/>
              <w:rPr>
                <w:sz w:val="20"/>
                <w:szCs w:val="20"/>
                <w:color w:val="auto"/>
              </w:rPr>
            </w:pPr>
            <w:r>
              <w:rPr>
                <w:rFonts w:ascii="Arial" w:cs="Arial" w:eastAsia="Arial" w:hAnsi="Arial"/>
                <w:sz w:val="18"/>
                <w:szCs w:val="18"/>
                <w:b w:val="1"/>
                <w:bCs w:val="1"/>
                <w:color w:val="auto"/>
              </w:rPr>
              <w:t>Carrying Value</w:t>
            </w:r>
          </w:p>
        </w:tc>
        <w:tc>
          <w:tcPr>
            <w:tcW w:w="240" w:type="dxa"/>
            <w:vAlign w:val="bottom"/>
          </w:tcPr>
          <w:p>
            <w:pPr>
              <w:spacing w:after="0"/>
              <w:rPr>
                <w:sz w:val="20"/>
                <w:szCs w:val="20"/>
                <w:color w:val="auto"/>
              </w:rPr>
            </w:pPr>
          </w:p>
        </w:tc>
        <w:tc>
          <w:tcPr>
            <w:tcW w:w="1240" w:type="dxa"/>
            <w:vAlign w:val="bottom"/>
          </w:tcPr>
          <w:p>
            <w:pPr>
              <w:jc w:val="right"/>
              <w:ind w:right="250"/>
              <w:spacing w:after="0"/>
              <w:rPr>
                <w:sz w:val="20"/>
                <w:szCs w:val="20"/>
                <w:color w:val="auto"/>
              </w:rPr>
            </w:pPr>
            <w:r>
              <w:rPr>
                <w:rFonts w:ascii="Arial" w:cs="Arial" w:eastAsia="Arial" w:hAnsi="Arial"/>
                <w:sz w:val="18"/>
                <w:szCs w:val="18"/>
                <w:b w:val="1"/>
                <w:bCs w:val="1"/>
                <w:color w:val="auto"/>
              </w:rPr>
              <w:t>Fair Value</w:t>
            </w:r>
          </w:p>
        </w:tc>
      </w:tr>
      <w:tr>
        <w:trPr>
          <w:trHeight w:val="27"/>
        </w:trPr>
        <w:tc>
          <w:tcPr>
            <w:tcW w:w="516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Rate-Sensitive Assets:</w:t>
            </w:r>
          </w:p>
        </w:tc>
        <w:tc>
          <w:tcPr>
            <w:tcW w:w="14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Interest-earning cash</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106,244</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106,244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67,001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67,001</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Loans held for sale, at fair value</w:t>
            </w:r>
          </w:p>
        </w:tc>
        <w:tc>
          <w:tcPr>
            <w:tcW w:w="14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339,687</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339,687</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309,054</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309,054</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Loans held for sale, at lower of cost or fair value (1)</w:t>
            </w: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62,103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62,103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104,992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104,992</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Loans held for investment - Reverse mortgages, at fair value</w:t>
            </w:r>
          </w:p>
        </w:tc>
        <w:tc>
          <w:tcPr>
            <w:tcW w:w="14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3,057,564</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3,057,564</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2,488,253</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2,488,253</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Debt service accounts</w:t>
            </w: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59,155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59,155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87,328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87,328</w:t>
            </w:r>
          </w:p>
        </w:tc>
      </w:tr>
      <w:tr>
        <w:trPr>
          <w:trHeight w:val="27"/>
        </w:trPr>
        <w:tc>
          <w:tcPr>
            <w:tcW w:w="516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 rate-sensitive assets</w:t>
            </w:r>
          </w:p>
        </w:tc>
        <w:tc>
          <w:tcPr>
            <w:tcW w:w="1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3,624,753</w:t>
            </w:r>
          </w:p>
        </w:tc>
        <w:tc>
          <w:tcPr>
            <w:tcW w:w="12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3,624,753</w:t>
            </w:r>
          </w:p>
        </w:tc>
        <w:tc>
          <w:tcPr>
            <w:tcW w:w="1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3,056,628</w:t>
            </w:r>
          </w:p>
        </w:tc>
        <w:tc>
          <w:tcPr>
            <w:tcW w:w="10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3,056,628</w:t>
            </w:r>
          </w:p>
        </w:tc>
      </w:tr>
      <w:tr>
        <w:trPr>
          <w:trHeight w:val="20"/>
        </w:trPr>
        <w:tc>
          <w:tcPr>
            <w:tcW w:w="5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17"/>
        </w:trPr>
        <w:tc>
          <w:tcPr>
            <w:tcW w:w="5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50"/>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Rate-Sensitive Liabilities:</w:t>
            </w:r>
          </w:p>
        </w:tc>
        <w:tc>
          <w:tcPr>
            <w:tcW w:w="14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Match funded liabilities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1,431,381</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1,432,592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1,584,049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1,581,786</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HMBS-related borrowings</w:t>
            </w:r>
          </w:p>
        </w:tc>
        <w:tc>
          <w:tcPr>
            <w:tcW w:w="14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2,935,928</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2,935,928</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2,391,362</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2,391,362</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Other secured borrowings (2)</w:t>
            </w: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737,512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753,528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762,411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783,276</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1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Senior unsecured notes (2)</w:t>
            </w:r>
          </w:p>
        </w:tc>
        <w:tc>
          <w:tcPr>
            <w:tcW w:w="140" w:type="dxa"/>
            <w:vAlign w:val="bottom"/>
            <w:tcBorders>
              <w:bottom w:val="single" w:sz="8" w:color="EAF9E8"/>
            </w:tcBorders>
            <w:shd w:val="clear" w:color="auto" w:fill="EAF9E8"/>
          </w:tcPr>
          <w:p>
            <w:pPr>
              <w:spacing w:after="0"/>
              <w:rPr>
                <w:sz w:val="23"/>
                <w:szCs w:val="23"/>
                <w:color w:val="auto"/>
              </w:rPr>
            </w:pPr>
          </w:p>
        </w:tc>
        <w:tc>
          <w:tcPr>
            <w:tcW w:w="13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346,179</w:t>
            </w:r>
          </w:p>
        </w:tc>
        <w:tc>
          <w:tcPr>
            <w:tcW w:w="120" w:type="dxa"/>
            <w:vAlign w:val="bottom"/>
            <w:tcBorders>
              <w:bottom w:val="single" w:sz="8" w:color="EAF9E8"/>
            </w:tcBorders>
            <w:shd w:val="clear" w:color="auto" w:fill="EAF9E8"/>
          </w:tcPr>
          <w:p>
            <w:pPr>
              <w:spacing w:after="0"/>
              <w:rPr>
                <w:sz w:val="23"/>
                <w:szCs w:val="23"/>
                <w:color w:val="auto"/>
              </w:rPr>
            </w:pPr>
          </w:p>
        </w:tc>
        <w:tc>
          <w:tcPr>
            <w:tcW w:w="24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238,000</w:t>
            </w:r>
          </w:p>
        </w:tc>
        <w:tc>
          <w:tcPr>
            <w:tcW w:w="10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345,511</w:t>
            </w:r>
          </w:p>
        </w:tc>
        <w:tc>
          <w:tcPr>
            <w:tcW w:w="100" w:type="dxa"/>
            <w:vAlign w:val="bottom"/>
            <w:tcBorders>
              <w:bottom w:val="single" w:sz="8" w:color="EAF9E8"/>
            </w:tcBorders>
            <w:shd w:val="clear" w:color="auto" w:fill="EAF9E8"/>
          </w:tcPr>
          <w:p>
            <w:pPr>
              <w:spacing w:after="0"/>
              <w:rPr>
                <w:sz w:val="23"/>
                <w:szCs w:val="23"/>
                <w:color w:val="auto"/>
              </w:rPr>
            </w:pPr>
          </w:p>
        </w:tc>
        <w:tc>
          <w:tcPr>
            <w:tcW w:w="24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318,063</w:t>
            </w:r>
          </w:p>
        </w:tc>
      </w:tr>
      <w:tr>
        <w:trPr>
          <w:trHeight w:val="250"/>
        </w:trPr>
        <w:tc>
          <w:tcPr>
            <w:tcW w:w="5160" w:type="dxa"/>
            <w:vAlign w:val="bottom"/>
          </w:tcPr>
          <w:p>
            <w:pPr>
              <w:ind w:left="280"/>
              <w:spacing w:after="0"/>
              <w:rPr>
                <w:sz w:val="20"/>
                <w:szCs w:val="20"/>
                <w:color w:val="auto"/>
              </w:rPr>
            </w:pPr>
            <w:r>
              <w:rPr>
                <w:rFonts w:ascii="Arial" w:cs="Arial" w:eastAsia="Arial" w:hAnsi="Arial"/>
                <w:sz w:val="18"/>
                <w:szCs w:val="18"/>
                <w:color w:val="auto"/>
              </w:rPr>
              <w:t>Total rate-sensitive liabilities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5,451,000</w:t>
            </w:r>
          </w:p>
        </w:tc>
        <w:tc>
          <w:tcPr>
            <w:tcW w:w="120" w:type="dxa"/>
            <w:vAlign w:val="bottom"/>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5,360,048</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5,083,333</w:t>
            </w:r>
          </w:p>
        </w:tc>
        <w:tc>
          <w:tcPr>
            <w:tcW w:w="100" w:type="dxa"/>
            <w:vAlign w:val="bottom"/>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5,074,487</w:t>
            </w:r>
          </w:p>
        </w:tc>
      </w:tr>
      <w:tr>
        <w:trPr>
          <w:trHeight w:val="122"/>
        </w:trPr>
        <w:tc>
          <w:tcPr>
            <w:tcW w:w="51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r>
      <w:tr>
        <w:trPr>
          <w:trHeight w:val="20"/>
        </w:trPr>
        <w:tc>
          <w:tcPr>
            <w:tcW w:w="5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6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 2016</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December 31, 2015</w:t>
            </w:r>
          </w:p>
        </w:tc>
      </w:tr>
      <w:tr>
        <w:trPr>
          <w:trHeight w:val="27"/>
        </w:trPr>
        <w:tc>
          <w:tcPr>
            <w:tcW w:w="5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8"/>
        </w:trPr>
        <w:tc>
          <w:tcPr>
            <w:tcW w:w="5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Notional</w:t>
            </w:r>
          </w:p>
        </w:tc>
        <w:tc>
          <w:tcPr>
            <w:tcW w:w="500" w:type="dxa"/>
            <w:vAlign w:val="bottom"/>
          </w:tcPr>
          <w:p>
            <w:pPr>
              <w:spacing w:after="0"/>
              <w:rPr>
                <w:sz w:val="18"/>
                <w:szCs w:val="18"/>
                <w:color w:val="auto"/>
              </w:rPr>
            </w:pPr>
          </w:p>
        </w:tc>
        <w:tc>
          <w:tcPr>
            <w:tcW w:w="980" w:type="dxa"/>
            <w:vAlign w:val="bottom"/>
          </w:tcPr>
          <w:p>
            <w:pPr>
              <w:jc w:val="right"/>
              <w:ind w:right="490"/>
              <w:spacing w:after="0"/>
              <w:rPr>
                <w:sz w:val="20"/>
                <w:szCs w:val="20"/>
                <w:color w:val="auto"/>
              </w:rPr>
            </w:pPr>
            <w:r>
              <w:rPr>
                <w:rFonts w:ascii="Arial" w:cs="Arial" w:eastAsia="Arial" w:hAnsi="Arial"/>
                <w:sz w:val="18"/>
                <w:szCs w:val="18"/>
                <w:b w:val="1"/>
                <w:bCs w:val="1"/>
                <w:color w:val="auto"/>
              </w:rPr>
              <w:t>Fair</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Notional</w:t>
            </w:r>
          </w:p>
        </w:tc>
        <w:tc>
          <w:tcPr>
            <w:tcW w:w="320" w:type="dxa"/>
            <w:vAlign w:val="bottom"/>
          </w:tcPr>
          <w:p>
            <w:pPr>
              <w:spacing w:after="0"/>
              <w:rPr>
                <w:sz w:val="18"/>
                <w:szCs w:val="18"/>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Fair</w:t>
            </w:r>
          </w:p>
        </w:tc>
      </w:tr>
      <w:tr>
        <w:trPr>
          <w:trHeight w:val="234"/>
        </w:trPr>
        <w:tc>
          <w:tcPr>
            <w:tcW w:w="5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Balance</w:t>
            </w:r>
          </w:p>
        </w:tc>
        <w:tc>
          <w:tcPr>
            <w:tcW w:w="500" w:type="dxa"/>
            <w:vAlign w:val="bottom"/>
          </w:tcPr>
          <w:p>
            <w:pPr>
              <w:spacing w:after="0"/>
              <w:rPr>
                <w:sz w:val="20"/>
                <w:szCs w:val="20"/>
                <w:color w:val="auto"/>
              </w:rPr>
            </w:pPr>
          </w:p>
        </w:tc>
        <w:tc>
          <w:tcPr>
            <w:tcW w:w="980" w:type="dxa"/>
            <w:vAlign w:val="bottom"/>
          </w:tcPr>
          <w:p>
            <w:pPr>
              <w:jc w:val="right"/>
              <w:ind w:right="43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Balance</w:t>
            </w:r>
          </w:p>
        </w:tc>
        <w:tc>
          <w:tcPr>
            <w:tcW w:w="320" w:type="dxa"/>
            <w:vAlign w:val="bottom"/>
          </w:tcPr>
          <w:p>
            <w:pPr>
              <w:spacing w:after="0"/>
              <w:rPr>
                <w:sz w:val="20"/>
                <w:szCs w:val="20"/>
                <w:color w:val="auto"/>
              </w:rPr>
            </w:pPr>
          </w:p>
        </w:tc>
        <w:tc>
          <w:tcPr>
            <w:tcW w:w="1160" w:type="dxa"/>
            <w:vAlign w:val="bottom"/>
          </w:tcPr>
          <w:p>
            <w:pPr>
              <w:jc w:val="right"/>
              <w:ind w:right="430"/>
              <w:spacing w:after="0"/>
              <w:rPr>
                <w:sz w:val="20"/>
                <w:szCs w:val="20"/>
                <w:color w:val="auto"/>
              </w:rPr>
            </w:pPr>
            <w:r>
              <w:rPr>
                <w:rFonts w:ascii="Arial" w:cs="Arial" w:eastAsia="Arial" w:hAnsi="Arial"/>
                <w:sz w:val="18"/>
                <w:szCs w:val="18"/>
                <w:b w:val="1"/>
                <w:bCs w:val="1"/>
                <w:color w:val="auto"/>
              </w:rPr>
              <w:t>Value</w:t>
            </w:r>
          </w:p>
        </w:tc>
      </w:tr>
      <w:tr>
        <w:trPr>
          <w:trHeight w:val="27"/>
        </w:trPr>
        <w:tc>
          <w:tcPr>
            <w:tcW w:w="516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Rate-Sensitive Derivative Financial Instruments:</w:t>
            </w:r>
          </w:p>
        </w:tc>
        <w:tc>
          <w:tcPr>
            <w:tcW w:w="2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50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Derivative assets (liabilities):</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1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Interest rate caps</w:t>
            </w:r>
          </w:p>
        </w:tc>
        <w:tc>
          <w:tcPr>
            <w:tcW w:w="26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1,430,000</w:t>
            </w:r>
          </w:p>
        </w:tc>
        <w:tc>
          <w:tcPr>
            <w:tcW w:w="120" w:type="dxa"/>
            <w:vAlign w:val="bottom"/>
            <w:tcBorders>
              <w:bottom w:val="single" w:sz="8" w:color="EAF9E8"/>
            </w:tcBorders>
            <w:shd w:val="clear" w:color="auto" w:fill="EAF9E8"/>
          </w:tcPr>
          <w:p>
            <w:pPr>
              <w:spacing w:after="0"/>
              <w:rPr>
                <w:sz w:val="21"/>
                <w:szCs w:val="21"/>
                <w:color w:val="auto"/>
              </w:rPr>
            </w:pPr>
          </w:p>
        </w:tc>
        <w:tc>
          <w:tcPr>
            <w:tcW w:w="500" w:type="dxa"/>
            <w:vAlign w:val="bottom"/>
            <w:tcBorders>
              <w:bottom w:val="single" w:sz="8" w:color="EAF9E8"/>
            </w:tcBorders>
            <w:shd w:val="clear" w:color="auto" w:fill="EAF9E8"/>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200</w:t>
            </w:r>
          </w:p>
        </w:tc>
        <w:tc>
          <w:tcPr>
            <w:tcW w:w="360" w:type="dxa"/>
            <w:vAlign w:val="bottom"/>
            <w:tcBorders>
              <w:bottom w:val="single" w:sz="8" w:color="EAF9E8"/>
            </w:tcBorders>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2,110,000</w:t>
            </w: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2,042</w:t>
            </w: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IRLCs</w:t>
            </w:r>
          </w:p>
        </w:tc>
        <w:tc>
          <w:tcPr>
            <w:tcW w:w="2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640,329</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14,576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278,317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6,080</w:t>
            </w: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51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Forward MBS trades</w:t>
            </w:r>
          </w:p>
        </w:tc>
        <w:tc>
          <w:tcPr>
            <w:tcW w:w="26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882,364</w:t>
            </w:r>
          </w:p>
        </w:tc>
        <w:tc>
          <w:tcPr>
            <w:tcW w:w="120" w:type="dxa"/>
            <w:vAlign w:val="bottom"/>
            <w:tcBorders>
              <w:bottom w:val="single" w:sz="8" w:color="EAF9E8"/>
            </w:tcBorders>
            <w:shd w:val="clear" w:color="auto" w:fill="EAF9E8"/>
          </w:tcPr>
          <w:p>
            <w:pPr>
              <w:spacing w:after="0"/>
              <w:rPr>
                <w:sz w:val="23"/>
                <w:szCs w:val="23"/>
                <w:color w:val="auto"/>
              </w:rPr>
            </w:pPr>
          </w:p>
        </w:tc>
        <w:tc>
          <w:tcPr>
            <w:tcW w:w="500" w:type="dxa"/>
            <w:vAlign w:val="bottom"/>
            <w:tcBorders>
              <w:bottom w:val="single" w:sz="8" w:color="EAF9E8"/>
            </w:tcBorders>
            <w:shd w:val="clear" w:color="auto" w:fill="EAF9E8"/>
          </w:tcPr>
          <w:p>
            <w:pPr>
              <w:spacing w:after="0"/>
              <w:rPr>
                <w:sz w:val="23"/>
                <w:szCs w:val="23"/>
                <w:color w:val="auto"/>
              </w:rPr>
            </w:pPr>
          </w:p>
        </w:tc>
        <w:tc>
          <w:tcPr>
            <w:tcW w:w="9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(7,365)</w:t>
            </w:r>
          </w:p>
        </w:tc>
        <w:tc>
          <w:tcPr>
            <w:tcW w:w="100" w:type="dxa"/>
            <w:vAlign w:val="bottom"/>
            <w:tcBorders>
              <w:bottom w:val="single" w:sz="8" w:color="EAF9E8"/>
            </w:tcBorders>
            <w:shd w:val="clear" w:color="auto" w:fill="EAF9E8"/>
          </w:tcPr>
          <w:p>
            <w:pPr>
              <w:spacing w:after="0"/>
              <w:rPr>
                <w:sz w:val="23"/>
                <w:szCs w:val="23"/>
                <w:color w:val="auto"/>
              </w:rPr>
            </w:pPr>
          </w:p>
        </w:tc>
        <w:tc>
          <w:tcPr>
            <w:tcW w:w="26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632,720</w:t>
            </w:r>
          </w:p>
        </w:tc>
        <w:tc>
          <w:tcPr>
            <w:tcW w:w="100" w:type="dxa"/>
            <w:vAlign w:val="bottom"/>
            <w:tcBorders>
              <w:bottom w:val="single" w:sz="8" w:color="EAF9E8"/>
            </w:tcBorders>
            <w:shd w:val="clear" w:color="auto" w:fill="EAF9E8"/>
          </w:tcPr>
          <w:p>
            <w:pPr>
              <w:spacing w:after="0"/>
              <w:rPr>
                <w:sz w:val="23"/>
                <w:szCs w:val="23"/>
                <w:color w:val="auto"/>
              </w:rPr>
            </w:pPr>
          </w:p>
        </w:tc>
        <w:tc>
          <w:tcPr>
            <w:tcW w:w="32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295</w:t>
            </w:r>
          </w:p>
        </w:tc>
      </w:tr>
      <w:tr>
        <w:trPr>
          <w:trHeight w:val="257"/>
        </w:trPr>
        <w:tc>
          <w:tcPr>
            <w:tcW w:w="5160" w:type="dxa"/>
            <w:vAlign w:val="bottom"/>
          </w:tcPr>
          <w:p>
            <w:pPr>
              <w:ind w:left="380"/>
              <w:spacing w:after="0"/>
              <w:rPr>
                <w:sz w:val="20"/>
                <w:szCs w:val="20"/>
                <w:color w:val="auto"/>
              </w:rPr>
            </w:pPr>
            <w:r>
              <w:rPr>
                <w:rFonts w:ascii="Arial" w:cs="Arial" w:eastAsia="Arial" w:hAnsi="Arial"/>
                <w:sz w:val="18"/>
                <w:szCs w:val="18"/>
                <w:color w:val="auto"/>
              </w:rPr>
              <w:t>Derivatives, net</w:t>
            </w:r>
          </w:p>
        </w:tc>
        <w:tc>
          <w:tcPr>
            <w:tcW w:w="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7,411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8,417</w:t>
            </w:r>
          </w:p>
        </w:tc>
      </w:tr>
      <w:tr>
        <w:trPr>
          <w:trHeight w:val="20"/>
        </w:trPr>
        <w:tc>
          <w:tcPr>
            <w:tcW w:w="5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500" w:hanging="492"/>
        <w:spacing w:after="0"/>
        <w:tabs>
          <w:tab w:leader="none" w:pos="5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Net of market valuation allowances and including non-performing loans.</w:t>
      </w:r>
    </w:p>
    <w:p>
      <w:pPr>
        <w:spacing w:after="0" w:line="19" w:lineRule="exact"/>
        <w:rPr>
          <w:rFonts w:ascii="Arial" w:cs="Arial" w:eastAsia="Arial" w:hAnsi="Arial"/>
          <w:sz w:val="16"/>
          <w:szCs w:val="16"/>
          <w:color w:val="auto"/>
        </w:rPr>
      </w:pPr>
    </w:p>
    <w:p>
      <w:pPr>
        <w:ind w:left="500" w:hanging="492"/>
        <w:spacing w:after="0"/>
        <w:tabs>
          <w:tab w:leader="none" w:pos="5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carrying values are net of unamortized debt issuance costs and discount.</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692" w:right="2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auto"/>
        </w:rPr>
        <w:t>Sensitivity Analysis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MSRs, Loans Held for Sale and Related Derivatives</w:t>
      </w:r>
    </w:p>
    <w:p>
      <w:pPr>
        <w:spacing w:after="0" w:line="117" w:lineRule="exact"/>
        <w:rPr>
          <w:sz w:val="20"/>
          <w:szCs w:val="20"/>
          <w:color w:val="auto"/>
        </w:rPr>
      </w:pPr>
    </w:p>
    <w:p>
      <w:pPr>
        <w:ind w:right="180" w:firstLine="324"/>
        <w:spacing w:after="0" w:line="297" w:lineRule="auto"/>
        <w:rPr>
          <w:sz w:val="20"/>
          <w:szCs w:val="20"/>
          <w:color w:val="auto"/>
        </w:rPr>
      </w:pPr>
      <w:r>
        <w:rPr>
          <w:rFonts w:ascii="Arial" w:cs="Arial" w:eastAsia="Arial" w:hAnsi="Arial"/>
          <w:sz w:val="16"/>
          <w:szCs w:val="16"/>
          <w:color w:val="auto"/>
        </w:rPr>
        <w:t>The following table summarizes the estimated change in the fair value of our MSRs and loans held for sale that we have elected to carry at fair value as well as any related derivatives at June 30, 2016, given hypothetical instantaneous parallel shifts in the yield curve. We used June 30, 2016 market rates to perform the sensitivity analysis. The estimates are based on the market risk sensitive portfolios described in the preceding paragraphs and assume instantaneous, parallel shifts in interest rate yield curves. These sensitivities are hypothetical and presented for illustrative purposes only. Changes in fair value based on variations in assumptions generally cannot be extrapolated because the relationship to the change in fair value may not be linear.</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0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Change in Fair Value</w:t>
            </w:r>
          </w:p>
        </w:tc>
      </w:tr>
      <w:tr>
        <w:trPr>
          <w:trHeight w:val="27"/>
        </w:trPr>
        <w:tc>
          <w:tcPr>
            <w:tcW w:w="8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ind w:left="80"/>
              <w:spacing w:after="0"/>
              <w:rPr>
                <w:sz w:val="20"/>
                <w:szCs w:val="20"/>
                <w:color w:val="auto"/>
              </w:rPr>
            </w:pPr>
            <w:r>
              <w:rPr>
                <w:rFonts w:ascii="Arial" w:cs="Arial" w:eastAsia="Arial" w:hAnsi="Arial"/>
                <w:sz w:val="18"/>
                <w:szCs w:val="18"/>
                <w:b w:val="1"/>
                <w:bCs w:val="1"/>
                <w:color w:val="auto"/>
              </w:rPr>
              <w:t>Down 25 bps</w:t>
            </w:r>
          </w:p>
        </w:tc>
        <w:tc>
          <w:tcPr>
            <w:tcW w:w="240" w:type="dxa"/>
            <w:vAlign w:val="bottom"/>
          </w:tcPr>
          <w:p>
            <w:pPr>
              <w:spacing w:after="0"/>
              <w:rPr>
                <w:sz w:val="20"/>
                <w:szCs w:val="20"/>
                <w:color w:val="auto"/>
              </w:rPr>
            </w:pPr>
          </w:p>
        </w:tc>
        <w:tc>
          <w:tcPr>
            <w:tcW w:w="124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Up 25 bps</w:t>
            </w:r>
          </w:p>
        </w:tc>
      </w:tr>
      <w:tr>
        <w:trPr>
          <w:trHeight w:val="27"/>
        </w:trPr>
        <w:tc>
          <w:tcPr>
            <w:tcW w:w="834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Loans held for sale</w:t>
            </w: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5,000</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(7,035)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Forward MBS trades</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(4,926)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6,765</w:t>
            </w:r>
          </w:p>
        </w:tc>
      </w:tr>
      <w:tr>
        <w:trPr>
          <w:trHeight w:val="27"/>
        </w:trPr>
        <w:tc>
          <w:tcPr>
            <w:tcW w:w="834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Total loans held for sale and related derivatives</w:t>
            </w:r>
          </w:p>
        </w:tc>
        <w:tc>
          <w:tcPr>
            <w:tcW w:w="180" w:type="dxa"/>
            <w:vAlign w:val="bottom"/>
            <w:tcBorders>
              <w:bottom w:val="single" w:sz="8" w:color="EAF9E8"/>
            </w:tcBorders>
            <w:shd w:val="clear" w:color="auto" w:fill="EAF9E8"/>
          </w:tcPr>
          <w:p>
            <w:pPr>
              <w:spacing w:after="0"/>
              <w:rPr>
                <w:sz w:val="22"/>
                <w:szCs w:val="22"/>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EAF9E8"/>
            </w:tcBorders>
            <w:shd w:val="clear" w:color="auto" w:fill="EAF9E8"/>
          </w:tcPr>
          <w:p>
            <w:pPr>
              <w:spacing w:after="0"/>
              <w:rPr>
                <w:sz w:val="22"/>
                <w:szCs w:val="22"/>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(270)</w:t>
            </w:r>
          </w:p>
        </w:tc>
      </w:tr>
      <w:tr>
        <w:trPr>
          <w:trHeight w:val="291"/>
        </w:trPr>
        <w:tc>
          <w:tcPr>
            <w:tcW w:w="83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Fair value MSRs (1)</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(2,284)</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2,231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MSRs, embedded in pipeline</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(578)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512</w:t>
            </w:r>
          </w:p>
        </w:tc>
      </w:tr>
      <w:tr>
        <w:trPr>
          <w:trHeight w:val="27"/>
        </w:trPr>
        <w:tc>
          <w:tcPr>
            <w:tcW w:w="834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Total fair value MSRs</w:t>
            </w:r>
          </w:p>
        </w:tc>
        <w:tc>
          <w:tcPr>
            <w:tcW w:w="180" w:type="dxa"/>
            <w:vAlign w:val="bottom"/>
            <w:tcBorders>
              <w:bottom w:val="single" w:sz="8" w:color="EAF9E8"/>
            </w:tcBorders>
            <w:shd w:val="clear" w:color="auto" w:fill="EAF9E8"/>
          </w:tcPr>
          <w:p>
            <w:pPr>
              <w:spacing w:after="0"/>
              <w:rPr>
                <w:sz w:val="22"/>
                <w:szCs w:val="22"/>
                <w:color w:val="auto"/>
              </w:rPr>
            </w:pPr>
          </w:p>
        </w:tc>
        <w:tc>
          <w:tcPr>
            <w:tcW w:w="13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(2,862)</w:t>
            </w:r>
          </w:p>
        </w:tc>
        <w:tc>
          <w:tcPr>
            <w:tcW w:w="10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EAF9E8"/>
            </w:tcBorders>
            <w:shd w:val="clear" w:color="auto" w:fill="EAF9E8"/>
          </w:tcPr>
          <w:p>
            <w:pPr>
              <w:spacing w:after="0"/>
              <w:rPr>
                <w:sz w:val="22"/>
                <w:szCs w:val="22"/>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2,743</w:t>
            </w:r>
          </w:p>
        </w:tc>
      </w:tr>
      <w:tr>
        <w:trPr>
          <w:trHeight w:val="291"/>
        </w:trPr>
        <w:tc>
          <w:tcPr>
            <w:tcW w:w="8340" w:type="dxa"/>
            <w:vAlign w:val="bottom"/>
            <w:tcBorders>
              <w:bottom w:val="single" w:sz="8" w:color="EAF9E8"/>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3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EAF9E8"/>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1240" w:type="dxa"/>
            <w:vAlign w:val="bottom"/>
            <w:tcBorders>
              <w:top w:val="single" w:sz="8" w:color="auto"/>
              <w:bottom w:val="single" w:sz="8" w:color="auto"/>
            </w:tcBorders>
          </w:tcPr>
          <w:p>
            <w:pPr>
              <w:spacing w:after="0"/>
              <w:rPr>
                <w:sz w:val="24"/>
                <w:szCs w:val="24"/>
                <w:color w:val="auto"/>
              </w:rPr>
            </w:pPr>
          </w:p>
        </w:tc>
      </w:tr>
      <w:tr>
        <w:trPr>
          <w:trHeight w:val="257"/>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Total, net</w:t>
            </w: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(2,788)</w:t>
            </w:r>
          </w:p>
        </w:tc>
        <w:tc>
          <w:tcPr>
            <w:tcW w:w="10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2,473</w:t>
            </w:r>
          </w:p>
        </w:tc>
      </w:tr>
      <w:tr>
        <w:trPr>
          <w:trHeight w:val="20"/>
        </w:trPr>
        <w:tc>
          <w:tcPr>
            <w:tcW w:w="8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ind w:left="500" w:right="120" w:hanging="492"/>
        <w:spacing w:after="0" w:line="253" w:lineRule="auto"/>
        <w:tabs>
          <w:tab w:leader="none" w:pos="5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This change in fair value reflects the impact of market rate changes on projected prepayments on the Agency MSR portfolio carried at fair value. Additionally, non-Agency MSRs carried at fair value can exhibit cash flow sensitivity for advance financing costs and / or float earnings indexed to a market rate. However, we believe the pricing levels on aged non-Agency MSRs should remain stable despite the recent rise in LIBOR rates, given the lack of market transactions supporting any pricing change, and the general industry approach to conservatively valuing such assets. As such, we have assumed zero sensitivity to a 25 bps change in market rates for the non-Agency MSR portfolio.</w:t>
      </w:r>
    </w:p>
    <w:p>
      <w:pPr>
        <w:spacing w:after="0" w:line="7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Borrowings</w:t>
      </w:r>
    </w:p>
    <w:p>
      <w:pPr>
        <w:spacing w:after="0" w:line="117" w:lineRule="exact"/>
        <w:rPr>
          <w:sz w:val="20"/>
          <w:szCs w:val="20"/>
          <w:color w:val="auto"/>
        </w:rPr>
      </w:pPr>
    </w:p>
    <w:p>
      <w:pPr>
        <w:ind w:left="60" w:right="300" w:firstLine="324"/>
        <w:spacing w:after="0" w:line="277" w:lineRule="auto"/>
        <w:rPr>
          <w:sz w:val="20"/>
          <w:szCs w:val="20"/>
          <w:color w:val="auto"/>
        </w:rPr>
      </w:pPr>
      <w:r>
        <w:rPr>
          <w:rFonts w:ascii="Arial" w:cs="Arial" w:eastAsia="Arial" w:hAnsi="Arial"/>
          <w:sz w:val="18"/>
          <w:szCs w:val="18"/>
          <w:color w:val="auto"/>
        </w:rPr>
        <w:t>The debt used to finance much of our operations is exposed to interest rate fluctuations. We may purchase interest rate swaps and interest rate caps to minimize future interest rate exposure from increases in one-month LIBOR interest rates.</w:t>
      </w:r>
    </w:p>
    <w:p>
      <w:pPr>
        <w:spacing w:after="0" w:line="62"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Based on June 30, 2016 balances, if interest rates were to increase by 1% on our variable rate debt and interest earning cash and float balances, we estimate a net positive impact of approximately $25.5 million resulting from an increase of $29.8 million in annual interest income and an increase of $4.3 million in annual interest expense. The increase in interest expense reflects the effect of our hedging activities, which would offset $5.9 million of the increase in interest on our variable rate debt.</w:t>
      </w:r>
    </w:p>
    <w:p>
      <w:pPr>
        <w:spacing w:after="0" w:line="7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Our management, under the supervision of and with the participation of our Chief Executive Officer and our Chief Financial Officer, has evaluated the effectiveness of our disclosure controls and procedures, as such term is defined in Rules 13a-15(e) and 15d-15(e) under the Securities Exchange Act of 1934, as amended (Exchange Act), as of June 30, 2016.</w:t>
      </w:r>
    </w:p>
    <w:p>
      <w:pPr>
        <w:spacing w:after="0" w:line="73"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Based on such evaluation, our Chief Executive Officer and Chief Financial Officer have concluded that, as of June 30, 2016, our disclosure controls and procedures (1) were designed and functioning effectively to ensure that material information relating to Ocwen, including its consolidated subsidiaries, is made known to our Chief Executive Officer and Chief Financial Officer by others within those entities, particularly during the period in which this report was being prepared and (2) were operating effectively in that they provided reasonable assurance that information required to be disclosed by Ocwen in the reports that it files or submits under the Securities Exchange Act of 1934 (i) is recorded, processed, summarized and reported within the time periods specified in the SEC’s rules and forms and (ii) accumulated and communicated to management, including the Chief Executive Officer or Chief Financial Officer, as appropriate, to allow timely decisions regarding required disclosure.</w:t>
      </w:r>
    </w:p>
    <w:p>
      <w:pPr>
        <w:spacing w:after="0" w:line="70"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There have not been any changes in our internal control over financial reporting during the fiscal quarter ended June 30, 2016 that have materially affected, or are reasonably likely to materially affect, our internal control over financial reporting.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688" w:right="2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See Note 19 – Contingencies to the Unaudited Consolidated Financial Statements. That information is incorporated into this item by reference.</w:t>
      </w:r>
    </w:p>
    <w:p>
      <w:pPr>
        <w:spacing w:after="0" w:line="1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An investment in our common stock involves significant risk. We describe the most significant risks that management believes affect or could affect us under Part I to our Annual Report on Form 10-K for the year ended December 31, 2015 and below. Understanding these risks is important to understanding any statement in such Annual Report and in this Form 10-Q and to evaluating an investment in our common stock. You should carefully read and consider the risks and uncertainties described therein together with all of the other information included or incorporated by reference in such Annual Report and our subsequent SEC filings before you make any decision regarding an investment in our common stock. You should also consider the information set forth under “Forward-Looking Statements.” If any of the risks actually occur, our business, financial condition and results of operations could be materially and adversely affected. If this were to happen, the value of our common stock could significantly decline, and you could lose some or all of your investment.</w:t>
      </w:r>
    </w:p>
    <w:p>
      <w:pPr>
        <w:spacing w:after="0" w:line="59"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In addition to the risk factors described under Part I to our Annual Report on Form 10-K for the year ended December 31, 2015, we are adding the following risk factor:</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Reinsuring risk through our captive reinsurance entity could adversely impact our results of operation and financial condition.</w:t>
      </w:r>
    </w:p>
    <w:p>
      <w:pPr>
        <w:spacing w:after="0" w:line="117" w:lineRule="exact"/>
        <w:rPr>
          <w:sz w:val="20"/>
          <w:szCs w:val="20"/>
          <w:color w:val="auto"/>
        </w:rPr>
      </w:pPr>
    </w:p>
    <w:p>
      <w:pPr>
        <w:ind w:right="220" w:firstLine="324"/>
        <w:spacing w:after="0" w:line="293" w:lineRule="auto"/>
        <w:rPr>
          <w:sz w:val="20"/>
          <w:szCs w:val="20"/>
          <w:color w:val="auto"/>
        </w:rPr>
      </w:pPr>
      <w:r>
        <w:rPr>
          <w:rFonts w:ascii="Arial" w:cs="Arial" w:eastAsia="Arial" w:hAnsi="Arial"/>
          <w:sz w:val="16"/>
          <w:szCs w:val="16"/>
          <w:color w:val="auto"/>
        </w:rPr>
        <w:t>We recently formed a wholly-owned captive reinsurance entity, CR Limited (CRL), and signed a quota share re-insurance agreement with a third-party insurer related to coverage on foreclosed real estate properties serviced by us. In order to comply with certain state insurance regulatory requirements, cash and cash equivalents must be held by CRL as capital investments and dividends are restricted as certain amounts must be retained to satisfy actual and potential claims. Notwithstanding CRL’s catastrophic reinsurance coverage, the occurrence of losses from a severe catastrophe or series of catastrophes, particularly in areas where a significant portion of the properties securing the mortgage loans that we service are located, could result in claims that substantially exceeds CRL’s expectations, which could adversely impact our results of operation and financial condition.</w:t>
      </w:r>
    </w:p>
    <w:p>
      <w:pPr>
        <w:spacing w:after="0" w:line="5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60" w:type="dxa"/>
            <w:vAlign w:val="bottom"/>
          </w:tcPr>
          <w:p>
            <w:pPr>
              <w:jc w:val="right"/>
              <w:ind w:right="430"/>
              <w:spacing w:after="0"/>
              <w:rPr>
                <w:sz w:val="20"/>
                <w:szCs w:val="20"/>
                <w:color w:val="auto"/>
              </w:rPr>
            </w:pPr>
            <w:r>
              <w:rPr>
                <w:rFonts w:ascii="Arial" w:cs="Arial" w:eastAsia="Arial" w:hAnsi="Arial"/>
                <w:sz w:val="18"/>
                <w:szCs w:val="18"/>
                <w:color w:val="auto"/>
              </w:rPr>
              <w:t>3.1</w:t>
            </w:r>
          </w:p>
        </w:tc>
        <w:tc>
          <w:tcPr>
            <w:tcW w:w="9660" w:type="dxa"/>
            <w:vAlign w:val="bottom"/>
          </w:tcPr>
          <w:p>
            <w:pPr>
              <w:ind w:left="220"/>
              <w:spacing w:after="0"/>
              <w:rPr>
                <w:sz w:val="20"/>
                <w:szCs w:val="20"/>
                <w:color w:val="auto"/>
              </w:rPr>
            </w:pPr>
            <w:r>
              <w:rPr>
                <w:rFonts w:ascii="Arial" w:cs="Arial" w:eastAsia="Arial" w:hAnsi="Arial"/>
                <w:sz w:val="18"/>
                <w:szCs w:val="18"/>
                <w:color w:val="auto"/>
              </w:rPr>
              <w:t>Amended and Restated Articles of Incorporation (1)</w:t>
            </w:r>
          </w:p>
        </w:tc>
      </w:tr>
      <w:tr>
        <w:trPr>
          <w:trHeight w:val="270"/>
        </w:trPr>
        <w:tc>
          <w:tcPr>
            <w:tcW w:w="1760" w:type="dxa"/>
            <w:vAlign w:val="bottom"/>
          </w:tcPr>
          <w:p>
            <w:pPr>
              <w:jc w:val="right"/>
              <w:ind w:right="430"/>
              <w:spacing w:after="0"/>
              <w:rPr>
                <w:sz w:val="20"/>
                <w:szCs w:val="20"/>
                <w:color w:val="auto"/>
              </w:rPr>
            </w:pPr>
            <w:r>
              <w:rPr>
                <w:rFonts w:ascii="Arial" w:cs="Arial" w:eastAsia="Arial" w:hAnsi="Arial"/>
                <w:sz w:val="18"/>
                <w:szCs w:val="18"/>
                <w:color w:val="auto"/>
              </w:rPr>
              <w:t>3.2</w:t>
            </w:r>
          </w:p>
        </w:tc>
        <w:tc>
          <w:tcPr>
            <w:tcW w:w="9660" w:type="dxa"/>
            <w:vAlign w:val="bottom"/>
          </w:tcPr>
          <w:p>
            <w:pPr>
              <w:ind w:left="220"/>
              <w:spacing w:after="0"/>
              <w:rPr>
                <w:sz w:val="20"/>
                <w:szCs w:val="20"/>
                <w:color w:val="auto"/>
              </w:rPr>
            </w:pPr>
            <w:r>
              <w:rPr>
                <w:rFonts w:ascii="Arial" w:cs="Arial" w:eastAsia="Arial" w:hAnsi="Arial"/>
                <w:sz w:val="18"/>
                <w:szCs w:val="18"/>
                <w:color w:val="auto"/>
              </w:rPr>
              <w:t>Articles of Amendment to Articles of Incorporation (2)</w:t>
            </w:r>
          </w:p>
        </w:tc>
      </w:tr>
      <w:tr>
        <w:trPr>
          <w:trHeight w:val="270"/>
        </w:trPr>
        <w:tc>
          <w:tcPr>
            <w:tcW w:w="1760" w:type="dxa"/>
            <w:vAlign w:val="bottom"/>
          </w:tcPr>
          <w:p>
            <w:pPr>
              <w:jc w:val="right"/>
              <w:ind w:right="430"/>
              <w:spacing w:after="0"/>
              <w:rPr>
                <w:sz w:val="20"/>
                <w:szCs w:val="20"/>
                <w:color w:val="auto"/>
              </w:rPr>
            </w:pPr>
            <w:r>
              <w:rPr>
                <w:rFonts w:ascii="Arial" w:cs="Arial" w:eastAsia="Arial" w:hAnsi="Arial"/>
                <w:sz w:val="18"/>
                <w:szCs w:val="18"/>
                <w:color w:val="auto"/>
              </w:rPr>
              <w:t>3.3</w:t>
            </w:r>
          </w:p>
        </w:tc>
        <w:tc>
          <w:tcPr>
            <w:tcW w:w="9660" w:type="dxa"/>
            <w:vAlign w:val="bottom"/>
          </w:tcPr>
          <w:p>
            <w:pPr>
              <w:ind w:left="220"/>
              <w:spacing w:after="0"/>
              <w:rPr>
                <w:sz w:val="20"/>
                <w:szCs w:val="20"/>
                <w:color w:val="auto"/>
              </w:rPr>
            </w:pPr>
            <w:r>
              <w:rPr>
                <w:rFonts w:ascii="Arial" w:cs="Arial" w:eastAsia="Arial" w:hAnsi="Arial"/>
                <w:sz w:val="18"/>
                <w:szCs w:val="18"/>
                <w:color w:val="auto"/>
              </w:rPr>
              <w:t>Articles of Amendment to Articles of Incorporation (2)</w:t>
            </w:r>
          </w:p>
        </w:tc>
      </w:tr>
      <w:tr>
        <w:trPr>
          <w:trHeight w:val="270"/>
        </w:trPr>
        <w:tc>
          <w:tcPr>
            <w:tcW w:w="1760" w:type="dxa"/>
            <w:vAlign w:val="bottom"/>
          </w:tcPr>
          <w:p>
            <w:pPr>
              <w:jc w:val="right"/>
              <w:ind w:right="430"/>
              <w:spacing w:after="0"/>
              <w:rPr>
                <w:sz w:val="20"/>
                <w:szCs w:val="20"/>
                <w:color w:val="auto"/>
              </w:rPr>
            </w:pPr>
            <w:r>
              <w:rPr>
                <w:rFonts w:ascii="Arial" w:cs="Arial" w:eastAsia="Arial" w:hAnsi="Arial"/>
                <w:sz w:val="18"/>
                <w:szCs w:val="18"/>
                <w:color w:val="auto"/>
              </w:rPr>
              <w:t>3.4</w:t>
            </w:r>
          </w:p>
        </w:tc>
        <w:tc>
          <w:tcPr>
            <w:tcW w:w="9660" w:type="dxa"/>
            <w:vAlign w:val="bottom"/>
          </w:tcPr>
          <w:p>
            <w:pPr>
              <w:ind w:left="220"/>
              <w:spacing w:after="0"/>
              <w:rPr>
                <w:sz w:val="20"/>
                <w:szCs w:val="20"/>
                <w:color w:val="auto"/>
              </w:rPr>
            </w:pPr>
            <w:r>
              <w:rPr>
                <w:rFonts w:ascii="Arial" w:cs="Arial" w:eastAsia="Arial" w:hAnsi="Arial"/>
                <w:sz w:val="18"/>
                <w:szCs w:val="18"/>
                <w:color w:val="auto"/>
              </w:rPr>
              <w:t>Articles of Amendment to Articles of Incorporation (3)</w:t>
            </w:r>
          </w:p>
        </w:tc>
      </w:tr>
      <w:tr>
        <w:trPr>
          <w:trHeight w:val="270"/>
        </w:trPr>
        <w:tc>
          <w:tcPr>
            <w:tcW w:w="1760" w:type="dxa"/>
            <w:vAlign w:val="bottom"/>
          </w:tcPr>
          <w:p>
            <w:pPr>
              <w:jc w:val="right"/>
              <w:ind w:right="430"/>
              <w:spacing w:after="0"/>
              <w:rPr>
                <w:sz w:val="20"/>
                <w:szCs w:val="20"/>
                <w:color w:val="auto"/>
              </w:rPr>
            </w:pPr>
            <w:r>
              <w:rPr>
                <w:rFonts w:ascii="Arial" w:cs="Arial" w:eastAsia="Arial" w:hAnsi="Arial"/>
                <w:sz w:val="18"/>
                <w:szCs w:val="18"/>
                <w:color w:val="auto"/>
              </w:rPr>
              <w:t>3.5</w:t>
            </w:r>
          </w:p>
        </w:tc>
        <w:tc>
          <w:tcPr>
            <w:tcW w:w="9660" w:type="dxa"/>
            <w:vAlign w:val="bottom"/>
          </w:tcPr>
          <w:p>
            <w:pPr>
              <w:ind w:left="220"/>
              <w:spacing w:after="0"/>
              <w:rPr>
                <w:sz w:val="20"/>
                <w:szCs w:val="20"/>
                <w:color w:val="auto"/>
              </w:rPr>
            </w:pPr>
            <w:r>
              <w:rPr>
                <w:rFonts w:ascii="Arial" w:cs="Arial" w:eastAsia="Arial" w:hAnsi="Arial"/>
                <w:sz w:val="18"/>
                <w:szCs w:val="18"/>
                <w:color w:val="auto"/>
              </w:rPr>
              <w:t>Articles of Correction (3)</w:t>
            </w:r>
          </w:p>
        </w:tc>
      </w:tr>
      <w:tr>
        <w:trPr>
          <w:trHeight w:val="256"/>
        </w:trPr>
        <w:tc>
          <w:tcPr>
            <w:tcW w:w="1760" w:type="dxa"/>
            <w:vAlign w:val="bottom"/>
          </w:tcPr>
          <w:p>
            <w:pPr>
              <w:jc w:val="right"/>
              <w:ind w:right="430"/>
              <w:spacing w:after="0"/>
              <w:rPr>
                <w:sz w:val="20"/>
                <w:szCs w:val="20"/>
                <w:color w:val="auto"/>
              </w:rPr>
            </w:pPr>
            <w:r>
              <w:rPr>
                <w:rFonts w:ascii="Arial" w:cs="Arial" w:eastAsia="Arial" w:hAnsi="Arial"/>
                <w:sz w:val="18"/>
                <w:szCs w:val="18"/>
                <w:color w:val="auto"/>
              </w:rPr>
              <w:t>3.6</w:t>
            </w:r>
          </w:p>
        </w:tc>
        <w:tc>
          <w:tcPr>
            <w:tcW w:w="9660" w:type="dxa"/>
            <w:vAlign w:val="bottom"/>
          </w:tcPr>
          <w:p>
            <w:pPr>
              <w:ind w:left="220"/>
              <w:spacing w:after="0"/>
              <w:rPr>
                <w:sz w:val="20"/>
                <w:szCs w:val="20"/>
                <w:color w:val="auto"/>
              </w:rPr>
            </w:pPr>
            <w:r>
              <w:rPr>
                <w:rFonts w:ascii="Arial" w:cs="Arial" w:eastAsia="Arial" w:hAnsi="Arial"/>
                <w:sz w:val="18"/>
                <w:szCs w:val="18"/>
                <w:color w:val="auto"/>
                <w:w w:val="98"/>
              </w:rPr>
              <w:t>Articles of Amendment to Articles of Incorporation, Articles of Designation, Preferences and Rights of Series A Perpetual</w:t>
            </w:r>
          </w:p>
        </w:tc>
      </w:tr>
      <w:tr>
        <w:trPr>
          <w:trHeight w:val="230"/>
        </w:trPr>
        <w:tc>
          <w:tcPr>
            <w:tcW w:w="1760" w:type="dxa"/>
            <w:vAlign w:val="bottom"/>
          </w:tcPr>
          <w:p>
            <w:pPr>
              <w:spacing w:after="0"/>
              <w:rPr>
                <w:sz w:val="20"/>
                <w:szCs w:val="20"/>
                <w:color w:val="auto"/>
              </w:rPr>
            </w:pPr>
          </w:p>
        </w:tc>
        <w:tc>
          <w:tcPr>
            <w:tcW w:w="9660" w:type="dxa"/>
            <w:vAlign w:val="bottom"/>
          </w:tcPr>
          <w:p>
            <w:pPr>
              <w:ind w:left="220"/>
              <w:spacing w:after="0"/>
              <w:rPr>
                <w:sz w:val="20"/>
                <w:szCs w:val="20"/>
                <w:color w:val="auto"/>
              </w:rPr>
            </w:pPr>
            <w:r>
              <w:rPr>
                <w:rFonts w:ascii="Arial" w:cs="Arial" w:eastAsia="Arial" w:hAnsi="Arial"/>
                <w:sz w:val="18"/>
                <w:szCs w:val="18"/>
                <w:color w:val="auto"/>
              </w:rPr>
              <w:t>Convertible Preferred Stock (4)</w:t>
            </w:r>
          </w:p>
        </w:tc>
      </w:tr>
      <w:tr>
        <w:trPr>
          <w:trHeight w:val="270"/>
        </w:trPr>
        <w:tc>
          <w:tcPr>
            <w:tcW w:w="1760" w:type="dxa"/>
            <w:vAlign w:val="bottom"/>
          </w:tcPr>
          <w:p>
            <w:pPr>
              <w:jc w:val="right"/>
              <w:ind w:right="430"/>
              <w:spacing w:after="0"/>
              <w:rPr>
                <w:sz w:val="20"/>
                <w:szCs w:val="20"/>
                <w:color w:val="auto"/>
              </w:rPr>
            </w:pPr>
            <w:r>
              <w:rPr>
                <w:rFonts w:ascii="Arial" w:cs="Arial" w:eastAsia="Arial" w:hAnsi="Arial"/>
                <w:sz w:val="18"/>
                <w:szCs w:val="18"/>
                <w:color w:val="auto"/>
              </w:rPr>
              <w:t>3.7</w:t>
            </w:r>
          </w:p>
        </w:tc>
        <w:tc>
          <w:tcPr>
            <w:tcW w:w="9660" w:type="dxa"/>
            <w:vAlign w:val="bottom"/>
          </w:tcPr>
          <w:p>
            <w:pPr>
              <w:ind w:left="220"/>
              <w:spacing w:after="0"/>
              <w:rPr>
                <w:sz w:val="20"/>
                <w:szCs w:val="20"/>
                <w:color w:val="auto"/>
              </w:rPr>
            </w:pPr>
            <w:r>
              <w:rPr>
                <w:rFonts w:ascii="Arial" w:cs="Arial" w:eastAsia="Arial" w:hAnsi="Arial"/>
                <w:sz w:val="18"/>
                <w:szCs w:val="18"/>
                <w:color w:val="auto"/>
              </w:rPr>
              <w:t>Amended and Restated Bylaws of Ocwen Financial Corporation (5)</w:t>
            </w:r>
          </w:p>
        </w:tc>
      </w:tr>
      <w:tr>
        <w:trPr>
          <w:trHeight w:val="270"/>
        </w:trPr>
        <w:tc>
          <w:tcPr>
            <w:tcW w:w="1760" w:type="dxa"/>
            <w:vAlign w:val="bottom"/>
          </w:tcPr>
          <w:p>
            <w:pPr>
              <w:jc w:val="right"/>
              <w:ind w:right="430"/>
              <w:spacing w:after="0"/>
              <w:rPr>
                <w:sz w:val="20"/>
                <w:szCs w:val="20"/>
                <w:color w:val="auto"/>
              </w:rPr>
            </w:pPr>
            <w:r>
              <w:rPr>
                <w:rFonts w:ascii="Arial" w:cs="Arial" w:eastAsia="Arial" w:hAnsi="Arial"/>
                <w:sz w:val="18"/>
                <w:szCs w:val="18"/>
                <w:color w:val="auto"/>
              </w:rPr>
              <w:t>11.1</w:t>
            </w:r>
          </w:p>
        </w:tc>
        <w:tc>
          <w:tcPr>
            <w:tcW w:w="9660" w:type="dxa"/>
            <w:vAlign w:val="bottom"/>
          </w:tcPr>
          <w:p>
            <w:pPr>
              <w:ind w:left="220"/>
              <w:spacing w:after="0"/>
              <w:rPr>
                <w:sz w:val="20"/>
                <w:szCs w:val="20"/>
                <w:color w:val="auto"/>
              </w:rPr>
            </w:pPr>
            <w:r>
              <w:rPr>
                <w:rFonts w:ascii="Arial" w:cs="Arial" w:eastAsia="Arial" w:hAnsi="Arial"/>
                <w:sz w:val="18"/>
                <w:szCs w:val="18"/>
                <w:color w:val="auto"/>
              </w:rPr>
              <w:t>Computation of earnings per share (6)</w:t>
            </w:r>
          </w:p>
        </w:tc>
      </w:tr>
      <w:tr>
        <w:trPr>
          <w:trHeight w:val="270"/>
        </w:trPr>
        <w:tc>
          <w:tcPr>
            <w:tcW w:w="1760" w:type="dxa"/>
            <w:vAlign w:val="bottom"/>
          </w:tcPr>
          <w:p>
            <w:pPr>
              <w:jc w:val="right"/>
              <w:ind w:right="430"/>
              <w:spacing w:after="0"/>
              <w:rPr>
                <w:sz w:val="20"/>
                <w:szCs w:val="20"/>
                <w:color w:val="auto"/>
              </w:rPr>
            </w:pPr>
            <w:r>
              <w:rPr>
                <w:rFonts w:ascii="Arial" w:cs="Arial" w:eastAsia="Arial" w:hAnsi="Arial"/>
                <w:sz w:val="18"/>
                <w:szCs w:val="18"/>
                <w:color w:val="auto"/>
              </w:rPr>
              <w:t>31.1</w:t>
            </w:r>
          </w:p>
        </w:tc>
        <w:tc>
          <w:tcPr>
            <w:tcW w:w="9660" w:type="dxa"/>
            <w:vAlign w:val="bottom"/>
          </w:tcPr>
          <w:p>
            <w:pPr>
              <w:ind w:left="220"/>
              <w:spacing w:after="0"/>
              <w:rPr>
                <w:sz w:val="20"/>
                <w:szCs w:val="20"/>
                <w:color w:val="auto"/>
              </w:rPr>
            </w:pPr>
            <w:r>
              <w:rPr>
                <w:rFonts w:ascii="Arial" w:cs="Arial" w:eastAsia="Arial" w:hAnsi="Arial"/>
                <w:sz w:val="18"/>
                <w:szCs w:val="18"/>
                <w:color w:val="auto"/>
              </w:rPr>
              <w:t>Certification of the Chief Executive Officer pursuant to Section 302 of the Sarbanes-Oxley Act of 2002 (filed herewith)</w:t>
            </w:r>
          </w:p>
        </w:tc>
      </w:tr>
      <w:tr>
        <w:trPr>
          <w:trHeight w:val="270"/>
        </w:trPr>
        <w:tc>
          <w:tcPr>
            <w:tcW w:w="1760" w:type="dxa"/>
            <w:vAlign w:val="bottom"/>
          </w:tcPr>
          <w:p>
            <w:pPr>
              <w:jc w:val="right"/>
              <w:ind w:right="430"/>
              <w:spacing w:after="0"/>
              <w:rPr>
                <w:sz w:val="20"/>
                <w:szCs w:val="20"/>
                <w:color w:val="auto"/>
              </w:rPr>
            </w:pPr>
            <w:r>
              <w:rPr>
                <w:rFonts w:ascii="Arial" w:cs="Arial" w:eastAsia="Arial" w:hAnsi="Arial"/>
                <w:sz w:val="18"/>
                <w:szCs w:val="18"/>
                <w:color w:val="auto"/>
              </w:rPr>
              <w:t>31.2</w:t>
            </w:r>
          </w:p>
        </w:tc>
        <w:tc>
          <w:tcPr>
            <w:tcW w:w="9660" w:type="dxa"/>
            <w:vAlign w:val="bottom"/>
          </w:tcPr>
          <w:p>
            <w:pPr>
              <w:ind w:left="220"/>
              <w:spacing w:after="0"/>
              <w:rPr>
                <w:sz w:val="20"/>
                <w:szCs w:val="20"/>
                <w:color w:val="auto"/>
              </w:rPr>
            </w:pPr>
            <w:r>
              <w:rPr>
                <w:rFonts w:ascii="Arial" w:cs="Arial" w:eastAsia="Arial" w:hAnsi="Arial"/>
                <w:sz w:val="18"/>
                <w:szCs w:val="18"/>
                <w:color w:val="auto"/>
              </w:rPr>
              <w:t>Certification of the Chief Financial Officer pursuant to Section 302 of the Sarbanes-Oxley Act of 2002 (filed herewith)</w:t>
            </w:r>
          </w:p>
        </w:tc>
      </w:tr>
      <w:tr>
        <w:trPr>
          <w:trHeight w:val="256"/>
        </w:trPr>
        <w:tc>
          <w:tcPr>
            <w:tcW w:w="1760" w:type="dxa"/>
            <w:vAlign w:val="bottom"/>
          </w:tcPr>
          <w:p>
            <w:pPr>
              <w:jc w:val="right"/>
              <w:ind w:right="430"/>
              <w:spacing w:after="0"/>
              <w:rPr>
                <w:sz w:val="20"/>
                <w:szCs w:val="20"/>
                <w:color w:val="auto"/>
              </w:rPr>
            </w:pPr>
            <w:r>
              <w:rPr>
                <w:rFonts w:ascii="Arial" w:cs="Arial" w:eastAsia="Arial" w:hAnsi="Arial"/>
                <w:sz w:val="18"/>
                <w:szCs w:val="18"/>
                <w:color w:val="auto"/>
              </w:rPr>
              <w:t>32.1</w:t>
            </w:r>
          </w:p>
        </w:tc>
        <w:tc>
          <w:tcPr>
            <w:tcW w:w="9660" w:type="dxa"/>
            <w:vAlign w:val="bottom"/>
          </w:tcPr>
          <w:p>
            <w:pPr>
              <w:ind w:left="220"/>
              <w:spacing w:after="0"/>
              <w:rPr>
                <w:sz w:val="20"/>
                <w:szCs w:val="20"/>
                <w:color w:val="auto"/>
              </w:rPr>
            </w:pPr>
            <w:r>
              <w:rPr>
                <w:rFonts w:ascii="Arial" w:cs="Arial" w:eastAsia="Arial" w:hAnsi="Arial"/>
                <w:sz w:val="18"/>
                <w:szCs w:val="18"/>
                <w:color w:val="auto"/>
                <w:w w:val="97"/>
              </w:rPr>
              <w:t>Certification of the Chief Executive Officer pursuant to 18 U.S.C. Section 1350, as adopted pursuant to Section 906 of the</w:t>
            </w:r>
          </w:p>
        </w:tc>
      </w:tr>
      <w:tr>
        <w:trPr>
          <w:trHeight w:val="230"/>
        </w:trPr>
        <w:tc>
          <w:tcPr>
            <w:tcW w:w="1760" w:type="dxa"/>
            <w:vAlign w:val="bottom"/>
          </w:tcPr>
          <w:p>
            <w:pPr>
              <w:spacing w:after="0"/>
              <w:rPr>
                <w:sz w:val="20"/>
                <w:szCs w:val="20"/>
                <w:color w:val="auto"/>
              </w:rPr>
            </w:pPr>
          </w:p>
        </w:tc>
        <w:tc>
          <w:tcPr>
            <w:tcW w:w="9660" w:type="dxa"/>
            <w:vAlign w:val="bottom"/>
          </w:tcPr>
          <w:p>
            <w:pPr>
              <w:ind w:left="220"/>
              <w:spacing w:after="0"/>
              <w:rPr>
                <w:sz w:val="20"/>
                <w:szCs w:val="20"/>
                <w:color w:val="auto"/>
              </w:rPr>
            </w:pPr>
            <w:r>
              <w:rPr>
                <w:rFonts w:ascii="Arial" w:cs="Arial" w:eastAsia="Arial" w:hAnsi="Arial"/>
                <w:sz w:val="18"/>
                <w:szCs w:val="18"/>
                <w:color w:val="auto"/>
              </w:rPr>
              <w:t>Sarbanes-Oxley Act of 2002 (furnished herewith)</w:t>
            </w:r>
          </w:p>
        </w:tc>
      </w:tr>
      <w:tr>
        <w:trPr>
          <w:trHeight w:val="256"/>
        </w:trPr>
        <w:tc>
          <w:tcPr>
            <w:tcW w:w="1760" w:type="dxa"/>
            <w:vAlign w:val="bottom"/>
          </w:tcPr>
          <w:p>
            <w:pPr>
              <w:jc w:val="right"/>
              <w:ind w:right="430"/>
              <w:spacing w:after="0"/>
              <w:rPr>
                <w:sz w:val="20"/>
                <w:szCs w:val="20"/>
                <w:color w:val="auto"/>
              </w:rPr>
            </w:pPr>
            <w:r>
              <w:rPr>
                <w:rFonts w:ascii="Arial" w:cs="Arial" w:eastAsia="Arial" w:hAnsi="Arial"/>
                <w:sz w:val="18"/>
                <w:szCs w:val="18"/>
                <w:color w:val="auto"/>
              </w:rPr>
              <w:t>32.2</w:t>
            </w:r>
          </w:p>
        </w:tc>
        <w:tc>
          <w:tcPr>
            <w:tcW w:w="9660" w:type="dxa"/>
            <w:vAlign w:val="bottom"/>
          </w:tcPr>
          <w:p>
            <w:pPr>
              <w:ind w:left="220"/>
              <w:spacing w:after="0"/>
              <w:rPr>
                <w:sz w:val="20"/>
                <w:szCs w:val="20"/>
                <w:color w:val="auto"/>
              </w:rPr>
            </w:pPr>
            <w:r>
              <w:rPr>
                <w:rFonts w:ascii="Arial" w:cs="Arial" w:eastAsia="Arial" w:hAnsi="Arial"/>
                <w:sz w:val="18"/>
                <w:szCs w:val="18"/>
                <w:color w:val="auto"/>
                <w:w w:val="98"/>
              </w:rPr>
              <w:t>Certification of the Chief Financial Officer pursuant to 18 U.S.C. Section 1350, as adopted pursuant to Section 906 of the</w:t>
            </w:r>
          </w:p>
        </w:tc>
      </w:tr>
      <w:tr>
        <w:trPr>
          <w:trHeight w:val="230"/>
        </w:trPr>
        <w:tc>
          <w:tcPr>
            <w:tcW w:w="1760" w:type="dxa"/>
            <w:vAlign w:val="bottom"/>
          </w:tcPr>
          <w:p>
            <w:pPr>
              <w:spacing w:after="0"/>
              <w:rPr>
                <w:sz w:val="20"/>
                <w:szCs w:val="20"/>
                <w:color w:val="auto"/>
              </w:rPr>
            </w:pPr>
          </w:p>
        </w:tc>
        <w:tc>
          <w:tcPr>
            <w:tcW w:w="9660" w:type="dxa"/>
            <w:vAlign w:val="bottom"/>
          </w:tcPr>
          <w:p>
            <w:pPr>
              <w:ind w:left="220"/>
              <w:spacing w:after="0"/>
              <w:rPr>
                <w:sz w:val="20"/>
                <w:szCs w:val="20"/>
                <w:color w:val="auto"/>
              </w:rPr>
            </w:pPr>
            <w:r>
              <w:rPr>
                <w:rFonts w:ascii="Arial" w:cs="Arial" w:eastAsia="Arial" w:hAnsi="Arial"/>
                <w:sz w:val="18"/>
                <w:szCs w:val="18"/>
                <w:color w:val="auto"/>
              </w:rPr>
              <w:t>Sarbanes-Oxley Act of 2002 (furnished herewith)</w:t>
            </w:r>
          </w:p>
        </w:tc>
      </w:tr>
      <w:tr>
        <w:trPr>
          <w:trHeight w:val="270"/>
        </w:trPr>
        <w:tc>
          <w:tcPr>
            <w:tcW w:w="1760" w:type="dxa"/>
            <w:vAlign w:val="bottom"/>
          </w:tcPr>
          <w:p>
            <w:pPr>
              <w:ind w:left="840"/>
              <w:spacing w:after="0"/>
              <w:rPr>
                <w:sz w:val="20"/>
                <w:szCs w:val="20"/>
                <w:color w:val="auto"/>
              </w:rPr>
            </w:pPr>
            <w:r>
              <w:rPr>
                <w:rFonts w:ascii="Arial" w:cs="Arial" w:eastAsia="Arial" w:hAnsi="Arial"/>
                <w:sz w:val="18"/>
                <w:szCs w:val="18"/>
                <w:color w:val="auto"/>
              </w:rPr>
              <w:t>101.INS</w:t>
            </w:r>
          </w:p>
        </w:tc>
        <w:tc>
          <w:tcPr>
            <w:tcW w:w="9660" w:type="dxa"/>
            <w:vAlign w:val="bottom"/>
          </w:tcPr>
          <w:p>
            <w:pPr>
              <w:ind w:left="220"/>
              <w:spacing w:after="0"/>
              <w:rPr>
                <w:sz w:val="20"/>
                <w:szCs w:val="20"/>
                <w:color w:val="auto"/>
              </w:rPr>
            </w:pPr>
            <w:r>
              <w:rPr>
                <w:rFonts w:ascii="Arial" w:cs="Arial" w:eastAsia="Arial" w:hAnsi="Arial"/>
                <w:sz w:val="18"/>
                <w:szCs w:val="18"/>
                <w:color w:val="auto"/>
              </w:rPr>
              <w:t>XBRL Instance Document (filed herewith)</w:t>
            </w:r>
          </w:p>
        </w:tc>
      </w:tr>
      <w:tr>
        <w:trPr>
          <w:trHeight w:val="270"/>
        </w:trPr>
        <w:tc>
          <w:tcPr>
            <w:tcW w:w="1760" w:type="dxa"/>
            <w:vAlign w:val="bottom"/>
          </w:tcPr>
          <w:p>
            <w:pPr>
              <w:ind w:left="840"/>
              <w:spacing w:after="0"/>
              <w:rPr>
                <w:sz w:val="20"/>
                <w:szCs w:val="20"/>
                <w:color w:val="auto"/>
              </w:rPr>
            </w:pPr>
            <w:r>
              <w:rPr>
                <w:rFonts w:ascii="Arial" w:cs="Arial" w:eastAsia="Arial" w:hAnsi="Arial"/>
                <w:sz w:val="18"/>
                <w:szCs w:val="18"/>
                <w:color w:val="auto"/>
              </w:rPr>
              <w:t>101.SCH</w:t>
            </w:r>
          </w:p>
        </w:tc>
        <w:tc>
          <w:tcPr>
            <w:tcW w:w="9660" w:type="dxa"/>
            <w:vAlign w:val="bottom"/>
          </w:tcPr>
          <w:p>
            <w:pPr>
              <w:ind w:left="220"/>
              <w:spacing w:after="0"/>
              <w:rPr>
                <w:sz w:val="20"/>
                <w:szCs w:val="20"/>
                <w:color w:val="auto"/>
              </w:rPr>
            </w:pPr>
            <w:r>
              <w:rPr>
                <w:rFonts w:ascii="Arial" w:cs="Arial" w:eastAsia="Arial" w:hAnsi="Arial"/>
                <w:sz w:val="18"/>
                <w:szCs w:val="18"/>
                <w:color w:val="auto"/>
              </w:rPr>
              <w:t>XBRL Taxonomy Extension Schema Document (filed herewith)</w:t>
            </w:r>
          </w:p>
        </w:tc>
      </w:tr>
      <w:tr>
        <w:trPr>
          <w:trHeight w:val="270"/>
        </w:trPr>
        <w:tc>
          <w:tcPr>
            <w:tcW w:w="1760" w:type="dxa"/>
            <w:vAlign w:val="bottom"/>
          </w:tcPr>
          <w:p>
            <w:pPr>
              <w:ind w:left="840"/>
              <w:spacing w:after="0"/>
              <w:rPr>
                <w:sz w:val="20"/>
                <w:szCs w:val="20"/>
                <w:color w:val="auto"/>
              </w:rPr>
            </w:pPr>
            <w:r>
              <w:rPr>
                <w:rFonts w:ascii="Arial" w:cs="Arial" w:eastAsia="Arial" w:hAnsi="Arial"/>
                <w:sz w:val="18"/>
                <w:szCs w:val="18"/>
                <w:color w:val="auto"/>
              </w:rPr>
              <w:t>101.CAL</w:t>
            </w:r>
          </w:p>
        </w:tc>
        <w:tc>
          <w:tcPr>
            <w:tcW w:w="9660" w:type="dxa"/>
            <w:vAlign w:val="bottom"/>
          </w:tcPr>
          <w:p>
            <w:pPr>
              <w:ind w:left="220"/>
              <w:spacing w:after="0"/>
              <w:rPr>
                <w:sz w:val="20"/>
                <w:szCs w:val="20"/>
                <w:color w:val="auto"/>
              </w:rPr>
            </w:pPr>
            <w:r>
              <w:rPr>
                <w:rFonts w:ascii="Arial" w:cs="Arial" w:eastAsia="Arial" w:hAnsi="Arial"/>
                <w:sz w:val="18"/>
                <w:szCs w:val="18"/>
                <w:color w:val="auto"/>
              </w:rPr>
              <w:t>XBRL Taxonomy Extension Calculation Linkbase Document (filed herewith)</w:t>
            </w:r>
          </w:p>
        </w:tc>
      </w:tr>
      <w:tr>
        <w:trPr>
          <w:trHeight w:val="270"/>
        </w:trPr>
        <w:tc>
          <w:tcPr>
            <w:tcW w:w="1760" w:type="dxa"/>
            <w:vAlign w:val="bottom"/>
          </w:tcPr>
          <w:p>
            <w:pPr>
              <w:ind w:left="840"/>
              <w:spacing w:after="0"/>
              <w:rPr>
                <w:sz w:val="20"/>
                <w:szCs w:val="20"/>
                <w:color w:val="auto"/>
              </w:rPr>
            </w:pPr>
            <w:r>
              <w:rPr>
                <w:rFonts w:ascii="Arial" w:cs="Arial" w:eastAsia="Arial" w:hAnsi="Arial"/>
                <w:sz w:val="18"/>
                <w:szCs w:val="18"/>
                <w:color w:val="auto"/>
              </w:rPr>
              <w:t>101.DEF</w:t>
            </w:r>
          </w:p>
        </w:tc>
        <w:tc>
          <w:tcPr>
            <w:tcW w:w="9660" w:type="dxa"/>
            <w:vAlign w:val="bottom"/>
          </w:tcPr>
          <w:p>
            <w:pPr>
              <w:ind w:left="220"/>
              <w:spacing w:after="0"/>
              <w:rPr>
                <w:sz w:val="20"/>
                <w:szCs w:val="20"/>
                <w:color w:val="auto"/>
              </w:rPr>
            </w:pPr>
            <w:r>
              <w:rPr>
                <w:rFonts w:ascii="Arial" w:cs="Arial" w:eastAsia="Arial" w:hAnsi="Arial"/>
                <w:sz w:val="18"/>
                <w:szCs w:val="18"/>
                <w:color w:val="auto"/>
              </w:rPr>
              <w:t>XBRL Taxonomy Extension Definition Linkbase Document (filed herewith)</w:t>
            </w:r>
          </w:p>
        </w:tc>
      </w:tr>
      <w:tr>
        <w:trPr>
          <w:trHeight w:val="270"/>
        </w:trPr>
        <w:tc>
          <w:tcPr>
            <w:tcW w:w="1760" w:type="dxa"/>
            <w:vAlign w:val="bottom"/>
          </w:tcPr>
          <w:p>
            <w:pPr>
              <w:ind w:left="840"/>
              <w:spacing w:after="0"/>
              <w:rPr>
                <w:sz w:val="20"/>
                <w:szCs w:val="20"/>
                <w:color w:val="auto"/>
              </w:rPr>
            </w:pPr>
            <w:r>
              <w:rPr>
                <w:rFonts w:ascii="Arial" w:cs="Arial" w:eastAsia="Arial" w:hAnsi="Arial"/>
                <w:sz w:val="18"/>
                <w:szCs w:val="18"/>
                <w:color w:val="auto"/>
              </w:rPr>
              <w:t>101.LAB</w:t>
            </w:r>
          </w:p>
        </w:tc>
        <w:tc>
          <w:tcPr>
            <w:tcW w:w="9660" w:type="dxa"/>
            <w:vAlign w:val="bottom"/>
          </w:tcPr>
          <w:p>
            <w:pPr>
              <w:ind w:left="220"/>
              <w:spacing w:after="0"/>
              <w:rPr>
                <w:sz w:val="20"/>
                <w:szCs w:val="20"/>
                <w:color w:val="auto"/>
              </w:rPr>
            </w:pPr>
            <w:r>
              <w:rPr>
                <w:rFonts w:ascii="Arial" w:cs="Arial" w:eastAsia="Arial" w:hAnsi="Arial"/>
                <w:sz w:val="18"/>
                <w:szCs w:val="18"/>
                <w:color w:val="auto"/>
              </w:rPr>
              <w:t>XBRL Taxonomy Extension Label Linkbase Document (filed herewith)</w:t>
            </w:r>
          </w:p>
        </w:tc>
      </w:tr>
      <w:tr>
        <w:trPr>
          <w:trHeight w:val="270"/>
        </w:trPr>
        <w:tc>
          <w:tcPr>
            <w:tcW w:w="1760" w:type="dxa"/>
            <w:vAlign w:val="bottom"/>
          </w:tcPr>
          <w:p>
            <w:pPr>
              <w:ind w:left="840"/>
              <w:spacing w:after="0"/>
              <w:rPr>
                <w:sz w:val="20"/>
                <w:szCs w:val="20"/>
                <w:color w:val="auto"/>
              </w:rPr>
            </w:pPr>
            <w:r>
              <w:rPr>
                <w:rFonts w:ascii="Arial" w:cs="Arial" w:eastAsia="Arial" w:hAnsi="Arial"/>
                <w:sz w:val="18"/>
                <w:szCs w:val="18"/>
                <w:color w:val="auto"/>
              </w:rPr>
              <w:t>101.PRE</w:t>
            </w:r>
          </w:p>
        </w:tc>
        <w:tc>
          <w:tcPr>
            <w:tcW w:w="9660" w:type="dxa"/>
            <w:vAlign w:val="bottom"/>
          </w:tcPr>
          <w:p>
            <w:pPr>
              <w:ind w:left="220"/>
              <w:spacing w:after="0"/>
              <w:rPr>
                <w:sz w:val="20"/>
                <w:szCs w:val="20"/>
                <w:color w:val="auto"/>
              </w:rPr>
            </w:pPr>
            <w:r>
              <w:rPr>
                <w:rFonts w:ascii="Arial" w:cs="Arial" w:eastAsia="Arial" w:hAnsi="Arial"/>
                <w:sz w:val="18"/>
                <w:szCs w:val="18"/>
                <w:color w:val="auto"/>
              </w:rPr>
              <w:t>XBRL Taxonomy Extension Presentation Linkbase Document (filed herewith)</w:t>
            </w:r>
          </w:p>
        </w:tc>
      </w:tr>
      <w:tr>
        <w:trPr>
          <w:trHeight w:val="27"/>
        </w:trPr>
        <w:tc>
          <w:tcPr>
            <w:tcW w:w="1760" w:type="dxa"/>
            <w:vAlign w:val="bottom"/>
            <w:tcBorders>
              <w:bottom w:val="single" w:sz="8" w:color="auto"/>
            </w:tcBorders>
          </w:tcPr>
          <w:p>
            <w:pPr>
              <w:spacing w:after="0"/>
              <w:rPr>
                <w:sz w:val="2"/>
                <w:szCs w:val="2"/>
                <w:color w:val="auto"/>
              </w:rPr>
            </w:pPr>
          </w:p>
        </w:tc>
        <w:tc>
          <w:tcPr>
            <w:tcW w:w="9660" w:type="dxa"/>
            <w:vAlign w:val="bottom"/>
            <w:tcBorders>
              <w:bottom w:val="single" w:sz="8" w:color="auto"/>
            </w:tcBorders>
          </w:tcPr>
          <w:p>
            <w:pPr>
              <w:spacing w:after="0"/>
              <w:rPr>
                <w:sz w:val="2"/>
                <w:szCs w:val="2"/>
                <w:color w:val="auto"/>
              </w:rPr>
            </w:pPr>
          </w:p>
        </w:tc>
      </w:tr>
      <w:tr>
        <w:trPr>
          <w:trHeight w:val="453"/>
        </w:trPr>
        <w:tc>
          <w:tcPr>
            <w:tcW w:w="1760" w:type="dxa"/>
            <w:vAlign w:val="bottom"/>
          </w:tcPr>
          <w:p>
            <w:pPr>
              <w:spacing w:after="0"/>
              <w:rPr>
                <w:sz w:val="24"/>
                <w:szCs w:val="24"/>
                <w:color w:val="auto"/>
              </w:rPr>
            </w:pPr>
          </w:p>
        </w:tc>
        <w:tc>
          <w:tcPr>
            <w:tcW w:w="9660" w:type="dxa"/>
            <w:vAlign w:val="bottom"/>
          </w:tcPr>
          <w:p>
            <w:pPr>
              <w:ind w:left="3860"/>
              <w:spacing w:after="0"/>
              <w:rPr>
                <w:sz w:val="20"/>
                <w:szCs w:val="20"/>
                <w:color w:val="auto"/>
              </w:rPr>
            </w:pPr>
            <w:r>
              <w:rPr>
                <w:rFonts w:ascii="Arial" w:cs="Arial" w:eastAsia="Arial" w:hAnsi="Arial"/>
                <w:sz w:val="18"/>
                <w:szCs w:val="18"/>
                <w:color w:val="auto"/>
              </w:rPr>
              <w:t>79</w:t>
            </w:r>
          </w:p>
        </w:tc>
      </w:tr>
    </w:tbl>
    <w:p>
      <w:pPr>
        <w:sectPr>
          <w:pgSz w:w="11900" w:h="16838" w:orient="portrait"/>
          <w:cols w:equalWidth="0" w:num="1">
            <w:col w:w="11420"/>
          </w:cols>
          <w:pgMar w:left="240" w:top="796" w:right="239" w:bottom="1440" w:gutter="0" w:footer="0" w:header="0"/>
        </w:sectPr>
      </w:pPr>
    </w:p>
    <w:bookmarkStart w:id="81" w:name="page82"/>
    <w:bookmarkEnd w:id="81"/>
    <w:p>
      <w:pPr>
        <w:ind w:left="492" w:hanging="492"/>
        <w:spacing w:after="0" w:line="255" w:lineRule="auto"/>
        <w:tabs>
          <w:tab w:leader="none" w:pos="492"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Incorporated by reference from the similarly described exhibit filed in connection with the Registrant’s Registration Statement on Form S-1 (File No. 333-5153) as amended, declared effective by the SEC on September 25, 1996.</w:t>
      </w:r>
    </w:p>
    <w:p>
      <w:pPr>
        <w:spacing w:after="0" w:line="1" w:lineRule="exact"/>
        <w:rPr>
          <w:rFonts w:ascii="Arial" w:cs="Arial" w:eastAsia="Arial" w:hAnsi="Arial"/>
          <w:sz w:val="16"/>
          <w:szCs w:val="16"/>
          <w:color w:val="auto"/>
        </w:rPr>
      </w:pPr>
    </w:p>
    <w:p>
      <w:pPr>
        <w:ind w:left="492" w:hanging="492"/>
        <w:spacing w:after="0"/>
        <w:tabs>
          <w:tab w:leader="none" w:pos="492" w:val="left"/>
        </w:tabs>
        <w:numPr>
          <w:ilvl w:val="0"/>
          <w:numId w:val="46"/>
        </w:numPr>
        <w:rPr>
          <w:rFonts w:ascii="Arial" w:cs="Arial" w:eastAsia="Arial" w:hAnsi="Arial"/>
          <w:sz w:val="14"/>
          <w:szCs w:val="14"/>
          <w:color w:val="auto"/>
        </w:rPr>
      </w:pPr>
      <w:r>
        <w:rPr>
          <w:rFonts w:ascii="Arial" w:cs="Arial" w:eastAsia="Arial" w:hAnsi="Arial"/>
          <w:sz w:val="14"/>
          <w:szCs w:val="14"/>
          <w:color w:val="auto"/>
        </w:rPr>
        <w:t>Incorporated by reference from the similarly described exhibit included with the Registrant’s Annual Report on Form 10-K for the year ended December 31, 2013.</w:t>
      </w:r>
    </w:p>
    <w:p>
      <w:pPr>
        <w:spacing w:after="0" w:line="28" w:lineRule="exact"/>
        <w:rPr>
          <w:rFonts w:ascii="Arial" w:cs="Arial" w:eastAsia="Arial" w:hAnsi="Arial"/>
          <w:sz w:val="14"/>
          <w:szCs w:val="14"/>
          <w:color w:val="auto"/>
        </w:rPr>
      </w:pPr>
    </w:p>
    <w:p>
      <w:pPr>
        <w:ind w:left="492" w:hanging="492"/>
        <w:spacing w:after="0"/>
        <w:tabs>
          <w:tab w:leader="none" w:pos="492" w:val="left"/>
        </w:tabs>
        <w:numPr>
          <w:ilvl w:val="0"/>
          <w:numId w:val="46"/>
        </w:numPr>
        <w:rPr>
          <w:rFonts w:ascii="Arial" w:cs="Arial" w:eastAsia="Arial" w:hAnsi="Arial"/>
          <w:sz w:val="14"/>
          <w:szCs w:val="14"/>
          <w:color w:val="auto"/>
        </w:rPr>
      </w:pPr>
      <w:r>
        <w:rPr>
          <w:rFonts w:ascii="Arial" w:cs="Arial" w:eastAsia="Arial" w:hAnsi="Arial"/>
          <w:sz w:val="14"/>
          <w:szCs w:val="14"/>
          <w:color w:val="auto"/>
        </w:rPr>
        <w:t>Incorporated by reference from the similarly described exhibit included with the Registrant’s Annual Report on Form 10-K for the year ended December 31, 2010.</w:t>
      </w:r>
    </w:p>
    <w:p>
      <w:pPr>
        <w:spacing w:after="0" w:line="28" w:lineRule="exact"/>
        <w:rPr>
          <w:rFonts w:ascii="Arial" w:cs="Arial" w:eastAsia="Arial" w:hAnsi="Arial"/>
          <w:sz w:val="14"/>
          <w:szCs w:val="14"/>
          <w:color w:val="auto"/>
        </w:rPr>
      </w:pPr>
    </w:p>
    <w:p>
      <w:pPr>
        <w:ind w:left="492" w:hanging="492"/>
        <w:spacing w:after="0"/>
        <w:tabs>
          <w:tab w:leader="none" w:pos="492"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Incorporated by reference from the similarly described exhibit included with the Registrant’s Form 8-K filed with the SEC on December 28, 2012.</w:t>
      </w:r>
    </w:p>
    <w:p>
      <w:pPr>
        <w:spacing w:after="0" w:line="5" w:lineRule="exact"/>
        <w:rPr>
          <w:rFonts w:ascii="Arial" w:cs="Arial" w:eastAsia="Arial" w:hAnsi="Arial"/>
          <w:sz w:val="16"/>
          <w:szCs w:val="16"/>
          <w:color w:val="auto"/>
        </w:rPr>
      </w:pPr>
    </w:p>
    <w:p>
      <w:pPr>
        <w:ind w:left="492" w:hanging="492"/>
        <w:spacing w:after="0"/>
        <w:tabs>
          <w:tab w:leader="none" w:pos="492"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Incorporated by reference to the similarly described exhibit included with the Registrant’s Form 8-K filed with the SEC on February 19, 2016.</w:t>
      </w:r>
    </w:p>
    <w:p>
      <w:pPr>
        <w:spacing w:after="0" w:line="5" w:lineRule="exact"/>
        <w:rPr>
          <w:rFonts w:ascii="Arial" w:cs="Arial" w:eastAsia="Arial" w:hAnsi="Arial"/>
          <w:sz w:val="16"/>
          <w:szCs w:val="16"/>
          <w:color w:val="auto"/>
        </w:rPr>
      </w:pPr>
    </w:p>
    <w:p>
      <w:pPr>
        <w:ind w:left="492" w:hanging="492"/>
        <w:spacing w:after="0"/>
        <w:tabs>
          <w:tab w:leader="none" w:pos="492"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Incorporated by reference from “Note 15 – Basic and Diluted Earnings per Share” to the Unaudited Consolidated Financial Statements.</w:t>
      </w:r>
    </w:p>
    <w:p>
      <w:pPr>
        <w:spacing w:after="0" w:line="230" w:lineRule="exact"/>
        <w:rPr>
          <w:sz w:val="20"/>
          <w:szCs w:val="20"/>
          <w:color w:val="auto"/>
        </w:rPr>
      </w:pPr>
    </w:p>
    <w:p>
      <w:pPr>
        <w:jc w:val="center"/>
        <w:ind w:right="-351"/>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052"/>
          </w:cols>
          <w:pgMar w:left="248" w:top="697" w:right="599" w:bottom="1440" w:gutter="0" w:footer="0" w:header="0"/>
        </w:sectPr>
      </w:pPr>
    </w:p>
    <w:bookmarkStart w:id="82" w:name="page83"/>
    <w:bookmarkEnd w:id="82"/>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1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Ocwen Financial Corporation</w:t>
      </w:r>
    </w:p>
    <w:p>
      <w:pPr>
        <w:spacing w:after="0" w:line="333" w:lineRule="exact"/>
        <w:rPr>
          <w:sz w:val="20"/>
          <w:szCs w:val="20"/>
          <w:color w:val="auto"/>
        </w:rPr>
      </w:pPr>
    </w:p>
    <w:p>
      <w:pPr>
        <w:ind w:left="564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R. Bourque,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Michael R. Bourque, Jr.</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Executive Vice President and Chief Financial Officer</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7"/>
          <w:szCs w:val="17"/>
          <w:color w:val="auto"/>
        </w:rPr>
        <w:t>(On behalf of the Registrant and as its principal financial officer)</w:t>
      </w:r>
    </w:p>
    <w:p>
      <w:pPr>
        <w:spacing w:after="0" w:line="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July 27, 2016</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300"/>
          </w:cols>
          <w:pgMar w:left="240" w:top="688" w:right="35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Ronald M. Faris, certify that:</w:t>
      </w:r>
    </w:p>
    <w:p>
      <w:pPr>
        <w:spacing w:after="0" w:line="225" w:lineRule="exact"/>
        <w:rPr>
          <w:sz w:val="20"/>
          <w:szCs w:val="20"/>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Ocwen Financial Corporation;</w:t>
      </w:r>
    </w:p>
    <w:p>
      <w:pPr>
        <w:spacing w:after="0" w:line="225" w:lineRule="exact"/>
        <w:rPr>
          <w:rFonts w:ascii="Arial" w:cs="Arial" w:eastAsia="Arial" w:hAnsi="Arial"/>
          <w:sz w:val="18"/>
          <w:szCs w:val="18"/>
          <w:color w:val="auto"/>
        </w:rPr>
      </w:pPr>
    </w:p>
    <w:p>
      <w:pPr>
        <w:jc w:val="both"/>
        <w:ind w:left="900" w:right="40" w:hanging="325"/>
        <w:spacing w:after="0" w:line="264"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900" w:right="20" w:hanging="325"/>
        <w:spacing w:after="0" w:line="308" w:lineRule="auto"/>
        <w:tabs>
          <w:tab w:leader="none" w:pos="9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the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900" w:right="60" w:hanging="325"/>
        <w:spacing w:after="0" w:line="264"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220" w:right="160" w:hanging="321"/>
        <w:spacing w:after="0" w:line="264" w:lineRule="auto"/>
        <w:tabs>
          <w:tab w:leader="none" w:pos="12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220" w:right="300" w:hanging="321"/>
        <w:spacing w:after="0" w:line="264" w:lineRule="auto"/>
        <w:tabs>
          <w:tab w:leader="none" w:pos="12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220" w:right="460" w:hanging="321"/>
        <w:spacing w:after="0" w:line="342" w:lineRule="auto"/>
        <w:tabs>
          <w:tab w:leader="none" w:pos="1220" w:val="left"/>
        </w:tabs>
        <w:numPr>
          <w:ilvl w:val="1"/>
          <w:numId w:val="4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220" w:right="160" w:hanging="321"/>
        <w:spacing w:after="0" w:line="264" w:lineRule="auto"/>
        <w:tabs>
          <w:tab w:leader="none" w:pos="12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900" w:right="20" w:hanging="325"/>
        <w:spacing w:after="0" w:line="342" w:lineRule="auto"/>
        <w:tabs>
          <w:tab w:leader="none" w:pos="9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220" w:right="700" w:hanging="321"/>
        <w:spacing w:after="0" w:line="342" w:lineRule="auto"/>
        <w:tabs>
          <w:tab w:leader="none" w:pos="1220" w:val="left"/>
        </w:tabs>
        <w:numPr>
          <w:ilvl w:val="1"/>
          <w:numId w:val="4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220" w:right="400" w:hanging="321"/>
        <w:spacing w:after="0" w:line="258" w:lineRule="auto"/>
        <w:tabs>
          <w:tab w:leader="none" w:pos="12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157" w:lineRule="exact"/>
        <w:rPr>
          <w:sz w:val="20"/>
          <w:szCs w:val="20"/>
          <w:color w:val="auto"/>
        </w:rPr>
      </w:pPr>
    </w:p>
    <w:p>
      <w:pPr>
        <w:ind w:left="40"/>
        <w:spacing w:after="0"/>
        <w:tabs>
          <w:tab w:leader="none" w:pos="6300" w:val="left"/>
        </w:tabs>
        <w:rPr>
          <w:sz w:val="20"/>
          <w:szCs w:val="20"/>
          <w:color w:val="auto"/>
        </w:rPr>
      </w:pPr>
      <w:r>
        <w:rPr>
          <w:rFonts w:ascii="Arial" w:cs="Arial" w:eastAsia="Arial" w:hAnsi="Arial"/>
          <w:sz w:val="18"/>
          <w:szCs w:val="18"/>
          <w:color w:val="auto"/>
        </w:rPr>
        <w:t>Date: July 27, 2016</w:t>
      </w:r>
      <w:r>
        <w:rPr>
          <w:sz w:val="20"/>
          <w:szCs w:val="20"/>
          <w:color w:val="auto"/>
        </w:rPr>
        <w:tab/>
      </w:r>
      <w:r>
        <w:rPr>
          <w:rFonts w:ascii="Arial" w:cs="Arial" w:eastAsia="Arial" w:hAnsi="Arial"/>
          <w:sz w:val="16"/>
          <w:szCs w:val="16"/>
          <w:color w:val="auto"/>
        </w:rPr>
        <w:t>/s/ Ronald M. Faris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Ronald M. Faris, President</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and Chief Executive Officer</w:t>
      </w:r>
    </w:p>
    <w:p>
      <w:pPr>
        <w:sectPr>
          <w:pgSz w:w="11900" w:h="16838" w:orient="portrait"/>
          <w:cols w:equalWidth="0" w:num="1">
            <w:col w:w="11420"/>
          </w:cols>
          <w:pgMar w:left="240" w:top="864" w:right="2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R. Bourque, Jr., certify that:</w:t>
      </w:r>
    </w:p>
    <w:p>
      <w:pPr>
        <w:spacing w:after="0" w:line="225" w:lineRule="exact"/>
        <w:rPr>
          <w:sz w:val="20"/>
          <w:szCs w:val="20"/>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Ocwen Financial Corporation;</w:t>
      </w:r>
    </w:p>
    <w:p>
      <w:pPr>
        <w:spacing w:after="0" w:line="225" w:lineRule="exact"/>
        <w:rPr>
          <w:rFonts w:ascii="Arial" w:cs="Arial" w:eastAsia="Arial" w:hAnsi="Arial"/>
          <w:sz w:val="18"/>
          <w:szCs w:val="18"/>
          <w:color w:val="auto"/>
        </w:rPr>
      </w:pPr>
    </w:p>
    <w:p>
      <w:pPr>
        <w:jc w:val="both"/>
        <w:ind w:left="900" w:right="40" w:hanging="325"/>
        <w:spacing w:after="0" w:line="264"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900" w:right="20" w:hanging="325"/>
        <w:spacing w:after="0" w:line="308" w:lineRule="auto"/>
        <w:tabs>
          <w:tab w:leader="none" w:pos="9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the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900" w:right="60" w:hanging="325"/>
        <w:spacing w:after="0" w:line="264"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220" w:right="160" w:hanging="321"/>
        <w:spacing w:after="0" w:line="264" w:lineRule="auto"/>
        <w:tabs>
          <w:tab w:leader="none" w:pos="12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220" w:right="300" w:hanging="321"/>
        <w:spacing w:after="0" w:line="264" w:lineRule="auto"/>
        <w:tabs>
          <w:tab w:leader="none" w:pos="12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220" w:right="460" w:hanging="321"/>
        <w:spacing w:after="0" w:line="342" w:lineRule="auto"/>
        <w:tabs>
          <w:tab w:leader="none" w:pos="1220" w:val="left"/>
        </w:tabs>
        <w:numPr>
          <w:ilvl w:val="1"/>
          <w:numId w:val="4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220" w:right="160" w:hanging="321"/>
        <w:spacing w:after="0" w:line="264" w:lineRule="auto"/>
        <w:tabs>
          <w:tab w:leader="none" w:pos="12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900" w:right="20" w:hanging="325"/>
        <w:spacing w:after="0" w:line="342" w:lineRule="auto"/>
        <w:tabs>
          <w:tab w:leader="none" w:pos="9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220" w:right="700" w:hanging="321"/>
        <w:spacing w:after="0" w:line="342" w:lineRule="auto"/>
        <w:tabs>
          <w:tab w:leader="none" w:pos="1220" w:val="left"/>
        </w:tabs>
        <w:numPr>
          <w:ilvl w:val="1"/>
          <w:numId w:val="4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220" w:right="400" w:hanging="321"/>
        <w:spacing w:after="0" w:line="277" w:lineRule="auto"/>
        <w:tabs>
          <w:tab w:leader="none" w:pos="12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6300" w:val="left"/>
        </w:tabs>
        <w:rPr>
          <w:sz w:val="20"/>
          <w:szCs w:val="20"/>
          <w:color w:val="auto"/>
        </w:rPr>
      </w:pPr>
      <w:r>
        <w:rPr>
          <w:rFonts w:ascii="Arial" w:cs="Arial" w:eastAsia="Arial" w:hAnsi="Arial"/>
          <w:sz w:val="18"/>
          <w:szCs w:val="18"/>
          <w:color w:val="auto"/>
        </w:rPr>
        <w:t>Date: July 27, 2016</w:t>
      </w:r>
      <w:r>
        <w:rPr>
          <w:sz w:val="20"/>
          <w:szCs w:val="20"/>
          <w:color w:val="auto"/>
        </w:rPr>
        <w:tab/>
      </w:r>
      <w:r>
        <w:rPr>
          <w:rFonts w:ascii="Arial" w:cs="Arial" w:eastAsia="Arial" w:hAnsi="Arial"/>
          <w:sz w:val="16"/>
          <w:szCs w:val="16"/>
          <w:color w:val="auto"/>
        </w:rPr>
        <w:t>/s/ Michael R. Bourque,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Michael R. Bourque, Jr., Executive Vice President</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and Chief Financial Officer</w:t>
      </w:r>
    </w:p>
    <w:p>
      <w:pPr>
        <w:sectPr>
          <w:pgSz w:w="11900" w:h="16838" w:orient="portrait"/>
          <w:cols w:equalWidth="0" w:num="1">
            <w:col w:w="11420"/>
          </w:cols>
          <w:pgMar w:left="240" w:top="864" w:right="2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Ronald M. Faris, state and attest that:</w:t>
      </w:r>
    </w:p>
    <w:p>
      <w:pPr>
        <w:spacing w:after="0" w:line="225" w:lineRule="exact"/>
        <w:rPr>
          <w:sz w:val="20"/>
          <w:szCs w:val="20"/>
          <w:color w:val="auto"/>
        </w:rPr>
      </w:pPr>
    </w:p>
    <w:p>
      <w:pPr>
        <w:ind w:left="500" w:hanging="411"/>
        <w:spacing w:after="0"/>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am the Chief Executive Officer of Ocwen Financial Corporation (the “Registrant”).</w:t>
      </w:r>
    </w:p>
    <w:p>
      <w:pPr>
        <w:spacing w:after="0" w:line="225" w:lineRule="exact"/>
        <w:rPr>
          <w:rFonts w:ascii="Arial" w:cs="Arial" w:eastAsia="Arial" w:hAnsi="Arial"/>
          <w:sz w:val="18"/>
          <w:szCs w:val="18"/>
          <w:color w:val="auto"/>
        </w:rPr>
      </w:pPr>
    </w:p>
    <w:p>
      <w:pPr>
        <w:ind w:left="500" w:hanging="411"/>
        <w:spacing w:after="0"/>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hereby certify, pursuant to 18 U.S.C. Section 1350, as adopted pursuant to Section 906 of the Sarbanes-Oxley Act of 2002, that</w:t>
      </w:r>
    </w:p>
    <w:p>
      <w:pPr>
        <w:spacing w:after="0" w:line="225" w:lineRule="exact"/>
        <w:rPr>
          <w:rFonts w:ascii="Arial" w:cs="Arial" w:eastAsia="Arial" w:hAnsi="Arial"/>
          <w:sz w:val="18"/>
          <w:szCs w:val="18"/>
          <w:color w:val="auto"/>
        </w:rPr>
      </w:pPr>
    </w:p>
    <w:p>
      <w:pPr>
        <w:ind w:left="980" w:hanging="324"/>
        <w:spacing w:after="0" w:line="264" w:lineRule="auto"/>
        <w:tabs>
          <w:tab w:leader="none" w:pos="9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the Quarterly Report on Form 10-Q of the Registrant for the quarter ended June 30, 2016 (the “periodic report”) containing financial statements fully complies with the requirements of Section 13(a) or 15(d), as applicable, of the Securities Exchange Act of 1934 (15 U.S.C. 78m or 78o(d)); and</w:t>
      </w:r>
    </w:p>
    <w:p>
      <w:pPr>
        <w:spacing w:after="0" w:line="181" w:lineRule="exact"/>
        <w:rPr>
          <w:rFonts w:ascii="Arial" w:cs="Arial" w:eastAsia="Arial" w:hAnsi="Arial"/>
          <w:sz w:val="18"/>
          <w:szCs w:val="18"/>
          <w:color w:val="auto"/>
        </w:rPr>
      </w:pPr>
    </w:p>
    <w:p>
      <w:pPr>
        <w:ind w:left="980" w:right="120" w:hanging="324"/>
        <w:spacing w:after="0" w:line="277" w:lineRule="auto"/>
        <w:tabs>
          <w:tab w:leader="none" w:pos="9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represents, in all material respects, the financial condition and results of operations of the Registrant for the periods presented.</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Name:</w:t>
            </w:r>
          </w:p>
        </w:tc>
        <w:tc>
          <w:tcPr>
            <w:tcW w:w="5680" w:type="dxa"/>
            <w:vAlign w:val="bottom"/>
          </w:tcPr>
          <w:p>
            <w:pPr>
              <w:ind w:left="40"/>
              <w:spacing w:after="0"/>
              <w:rPr>
                <w:sz w:val="20"/>
                <w:szCs w:val="20"/>
                <w:color w:val="auto"/>
              </w:rPr>
            </w:pPr>
            <w:r>
              <w:rPr>
                <w:rFonts w:ascii="Arial" w:cs="Arial" w:eastAsia="Arial" w:hAnsi="Arial"/>
                <w:sz w:val="18"/>
                <w:szCs w:val="18"/>
                <w:color w:val="auto"/>
              </w:rPr>
              <w:t>/s/ Ronald M. Faris</w:t>
            </w:r>
          </w:p>
        </w:tc>
      </w:tr>
      <w:tr>
        <w:trPr>
          <w:trHeight w:val="27"/>
        </w:trPr>
        <w:tc>
          <w:tcPr>
            <w:tcW w:w="720" w:type="dxa"/>
            <w:vAlign w:val="bottom"/>
          </w:tcPr>
          <w:p>
            <w:pPr>
              <w:spacing w:after="0"/>
              <w:rPr>
                <w:sz w:val="2"/>
                <w:szCs w:val="2"/>
                <w:color w:val="auto"/>
              </w:rPr>
            </w:pPr>
          </w:p>
        </w:tc>
        <w:tc>
          <w:tcPr>
            <w:tcW w:w="5680" w:type="dxa"/>
            <w:vAlign w:val="bottom"/>
            <w:tcBorders>
              <w:bottom w:val="single" w:sz="8" w:color="auto"/>
            </w:tcBorders>
          </w:tcPr>
          <w:p>
            <w:pPr>
              <w:spacing w:after="0"/>
              <w:rPr>
                <w:sz w:val="2"/>
                <w:szCs w:val="2"/>
                <w:color w:val="auto"/>
              </w:rPr>
            </w:pPr>
          </w:p>
        </w:tc>
      </w:tr>
      <w:tr>
        <w:trPr>
          <w:trHeight w:val="237"/>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5680" w:type="dxa"/>
            <w:vAlign w:val="bottom"/>
          </w:tcPr>
          <w:p>
            <w:pPr>
              <w:ind w:left="40"/>
              <w:spacing w:after="0"/>
              <w:rPr>
                <w:sz w:val="20"/>
                <w:szCs w:val="20"/>
                <w:color w:val="auto"/>
              </w:rPr>
            </w:pPr>
            <w:r>
              <w:rPr>
                <w:rFonts w:ascii="Arial" w:cs="Arial" w:eastAsia="Arial" w:hAnsi="Arial"/>
                <w:sz w:val="18"/>
                <w:szCs w:val="18"/>
                <w:color w:val="auto"/>
              </w:rPr>
              <w:t>President and Chief Executive Officer</w:t>
            </w:r>
          </w:p>
        </w:tc>
      </w:tr>
      <w:tr>
        <w:trPr>
          <w:trHeight w:val="270"/>
        </w:trPr>
        <w:tc>
          <w:tcPr>
            <w:tcW w:w="720" w:type="dxa"/>
            <w:vAlign w:val="bottom"/>
          </w:tcPr>
          <w:p>
            <w:pPr>
              <w:spacing w:after="0"/>
              <w:rPr>
                <w:sz w:val="20"/>
                <w:szCs w:val="20"/>
                <w:color w:val="auto"/>
              </w:rPr>
            </w:pPr>
            <w:r>
              <w:rPr>
                <w:rFonts w:ascii="Arial" w:cs="Arial" w:eastAsia="Arial" w:hAnsi="Arial"/>
                <w:sz w:val="18"/>
                <w:szCs w:val="18"/>
                <w:color w:val="auto"/>
              </w:rPr>
              <w:t>Date:</w:t>
            </w:r>
          </w:p>
        </w:tc>
        <w:tc>
          <w:tcPr>
            <w:tcW w:w="5680" w:type="dxa"/>
            <w:vAlign w:val="bottom"/>
          </w:tcPr>
          <w:p>
            <w:pPr>
              <w:ind w:left="40"/>
              <w:spacing w:after="0"/>
              <w:rPr>
                <w:sz w:val="20"/>
                <w:szCs w:val="20"/>
                <w:color w:val="auto"/>
              </w:rPr>
            </w:pPr>
            <w:r>
              <w:rPr>
                <w:rFonts w:ascii="Arial" w:cs="Arial" w:eastAsia="Arial" w:hAnsi="Arial"/>
                <w:sz w:val="18"/>
                <w:szCs w:val="18"/>
                <w:color w:val="auto"/>
              </w:rPr>
              <w:t>July 27, 2016</w:t>
            </w:r>
          </w:p>
        </w:tc>
      </w:tr>
    </w:tbl>
    <w:p>
      <w:pPr>
        <w:sectPr>
          <w:pgSz w:w="11900" w:h="16838" w:orient="portrait"/>
          <w:cols w:equalWidth="0" w:num="1">
            <w:col w:w="11420"/>
          </w:cols>
          <w:pgMar w:left="240" w:top="864" w:right="2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R. Bourque, Jr., state and attest that:</w:t>
      </w:r>
    </w:p>
    <w:p>
      <w:pPr>
        <w:spacing w:after="0" w:line="225" w:lineRule="exact"/>
        <w:rPr>
          <w:sz w:val="20"/>
          <w:szCs w:val="20"/>
          <w:color w:val="auto"/>
        </w:rPr>
      </w:pPr>
    </w:p>
    <w:p>
      <w:pPr>
        <w:ind w:left="500" w:hanging="411"/>
        <w:spacing w:after="0"/>
        <w:tabs>
          <w:tab w:leader="none" w:pos="5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am the Chief Financial Officer of Ocwen Financial Corporation (the “Registrant”).</w:t>
      </w:r>
    </w:p>
    <w:p>
      <w:pPr>
        <w:spacing w:after="0" w:line="225" w:lineRule="exact"/>
        <w:rPr>
          <w:rFonts w:ascii="Arial" w:cs="Arial" w:eastAsia="Arial" w:hAnsi="Arial"/>
          <w:sz w:val="18"/>
          <w:szCs w:val="18"/>
          <w:color w:val="auto"/>
        </w:rPr>
      </w:pPr>
    </w:p>
    <w:p>
      <w:pPr>
        <w:ind w:left="500" w:hanging="411"/>
        <w:spacing w:after="0"/>
        <w:tabs>
          <w:tab w:leader="none" w:pos="5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hereby certify, pursuant to 18 U.S.C. Section 1350, as adopted pursuant to Section 906 of the Sarbanes-Oxley Act of 2002, that</w:t>
      </w:r>
    </w:p>
    <w:p>
      <w:pPr>
        <w:spacing w:after="0" w:line="225" w:lineRule="exact"/>
        <w:rPr>
          <w:rFonts w:ascii="Arial" w:cs="Arial" w:eastAsia="Arial" w:hAnsi="Arial"/>
          <w:sz w:val="18"/>
          <w:szCs w:val="18"/>
          <w:color w:val="auto"/>
        </w:rPr>
      </w:pPr>
    </w:p>
    <w:p>
      <w:pPr>
        <w:ind w:left="980" w:hanging="324"/>
        <w:spacing w:after="0" w:line="264" w:lineRule="auto"/>
        <w:tabs>
          <w:tab w:leader="none" w:pos="9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the Quarterly Report on Form 10-Q of the Registrant for the quarter ended June 30, 2016 (the “periodic report”) containing financial statements fully complies with the requirements of Section 13(a) or 15(d), as applicable, of the Securities Exchange Act of 1934 (15 U.S.C. 78m or 78o(d)); and</w:t>
      </w:r>
    </w:p>
    <w:p>
      <w:pPr>
        <w:spacing w:after="0" w:line="181" w:lineRule="exact"/>
        <w:rPr>
          <w:rFonts w:ascii="Arial" w:cs="Arial" w:eastAsia="Arial" w:hAnsi="Arial"/>
          <w:sz w:val="18"/>
          <w:szCs w:val="18"/>
          <w:color w:val="auto"/>
        </w:rPr>
      </w:pPr>
    </w:p>
    <w:p>
      <w:pPr>
        <w:ind w:left="980" w:right="120" w:hanging="324"/>
        <w:spacing w:after="0" w:line="277" w:lineRule="auto"/>
        <w:tabs>
          <w:tab w:leader="none" w:pos="9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represents, in all material respects, the financial condition and results of operations of the Registrant for the periods presented.</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Name:</w:t>
            </w:r>
          </w:p>
        </w:tc>
        <w:tc>
          <w:tcPr>
            <w:tcW w:w="5680" w:type="dxa"/>
            <w:vAlign w:val="bottom"/>
          </w:tcPr>
          <w:p>
            <w:pPr>
              <w:ind w:left="40"/>
              <w:spacing w:after="0"/>
              <w:rPr>
                <w:sz w:val="20"/>
                <w:szCs w:val="20"/>
                <w:color w:val="auto"/>
              </w:rPr>
            </w:pPr>
            <w:r>
              <w:rPr>
                <w:rFonts w:ascii="Arial" w:cs="Arial" w:eastAsia="Arial" w:hAnsi="Arial"/>
                <w:sz w:val="18"/>
                <w:szCs w:val="18"/>
                <w:color w:val="auto"/>
              </w:rPr>
              <w:t>/s/ Michael R. Bourque, Jr.</w:t>
            </w:r>
          </w:p>
        </w:tc>
      </w:tr>
      <w:tr>
        <w:trPr>
          <w:trHeight w:val="27"/>
        </w:trPr>
        <w:tc>
          <w:tcPr>
            <w:tcW w:w="720" w:type="dxa"/>
            <w:vAlign w:val="bottom"/>
          </w:tcPr>
          <w:p>
            <w:pPr>
              <w:spacing w:after="0"/>
              <w:rPr>
                <w:sz w:val="2"/>
                <w:szCs w:val="2"/>
                <w:color w:val="auto"/>
              </w:rPr>
            </w:pPr>
          </w:p>
        </w:tc>
        <w:tc>
          <w:tcPr>
            <w:tcW w:w="5680" w:type="dxa"/>
            <w:vAlign w:val="bottom"/>
            <w:tcBorders>
              <w:bottom w:val="single" w:sz="8" w:color="auto"/>
            </w:tcBorders>
          </w:tcPr>
          <w:p>
            <w:pPr>
              <w:spacing w:after="0"/>
              <w:rPr>
                <w:sz w:val="2"/>
                <w:szCs w:val="2"/>
                <w:color w:val="auto"/>
              </w:rPr>
            </w:pPr>
          </w:p>
        </w:tc>
      </w:tr>
      <w:tr>
        <w:trPr>
          <w:trHeight w:val="237"/>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5680" w:type="dxa"/>
            <w:vAlign w:val="bottom"/>
          </w:tcPr>
          <w:p>
            <w:pPr>
              <w:ind w:left="40"/>
              <w:spacing w:after="0"/>
              <w:rPr>
                <w:sz w:val="20"/>
                <w:szCs w:val="20"/>
                <w:color w:val="auto"/>
              </w:rPr>
            </w:pPr>
            <w:r>
              <w:rPr>
                <w:rFonts w:ascii="Arial" w:cs="Arial" w:eastAsia="Arial" w:hAnsi="Arial"/>
                <w:sz w:val="18"/>
                <w:szCs w:val="18"/>
                <w:color w:val="auto"/>
              </w:rPr>
              <w:t>Executive Vice President and Chief Financial Officer</w:t>
            </w:r>
          </w:p>
        </w:tc>
      </w:tr>
      <w:tr>
        <w:trPr>
          <w:trHeight w:val="270"/>
        </w:trPr>
        <w:tc>
          <w:tcPr>
            <w:tcW w:w="720" w:type="dxa"/>
            <w:vAlign w:val="bottom"/>
          </w:tcPr>
          <w:p>
            <w:pPr>
              <w:spacing w:after="0"/>
              <w:rPr>
                <w:sz w:val="20"/>
                <w:szCs w:val="20"/>
                <w:color w:val="auto"/>
              </w:rPr>
            </w:pPr>
            <w:r>
              <w:rPr>
                <w:rFonts w:ascii="Arial" w:cs="Arial" w:eastAsia="Arial" w:hAnsi="Arial"/>
                <w:sz w:val="18"/>
                <w:szCs w:val="18"/>
                <w:color w:val="auto"/>
              </w:rPr>
              <w:t>Date:</w:t>
            </w:r>
          </w:p>
        </w:tc>
        <w:tc>
          <w:tcPr>
            <w:tcW w:w="5680" w:type="dxa"/>
            <w:vAlign w:val="bottom"/>
          </w:tcPr>
          <w:p>
            <w:pPr>
              <w:ind w:left="40"/>
              <w:spacing w:after="0"/>
              <w:rPr>
                <w:sz w:val="20"/>
                <w:szCs w:val="20"/>
                <w:color w:val="auto"/>
              </w:rPr>
            </w:pPr>
            <w:r>
              <w:rPr>
                <w:rFonts w:ascii="Arial" w:cs="Arial" w:eastAsia="Arial" w:hAnsi="Arial"/>
                <w:sz w:val="18"/>
                <w:szCs w:val="18"/>
                <w:color w:val="auto"/>
              </w:rPr>
              <w:t>July 27, 2016</w:t>
            </w:r>
          </w:p>
        </w:tc>
      </w:tr>
    </w:tbl>
    <w:p>
      <w:pPr>
        <w:spacing w:after="0" w:line="1" w:lineRule="exact"/>
        <w:rPr>
          <w:sz w:val="20"/>
          <w:szCs w:val="20"/>
          <w:color w:val="auto"/>
        </w:rPr>
      </w:pPr>
    </w:p>
    <w:sectPr>
      <w:pgSz w:w="11900" w:h="16838" w:orient="portrait"/>
      <w:cols w:equalWidth="0" w:num="1">
        <w:col w:w="11420"/>
      </w:cols>
      <w:pgMar w:left="240" w:top="8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53D0CD"/>
    <w:multiLevelType w:val="hybridMultilevel"/>
    <w:lvl w:ilvl="0">
      <w:lvlJc w:val="left"/>
      <w:lvlText w:val="x"/>
      <w:numFmt w:val="bullet"/>
      <w:start w:val="1"/>
    </w:lvl>
  </w:abstractNum>
  <w:abstractNum w:abstractNumId="1">
    <w:nsid w:val="B03E0C6"/>
    <w:multiLevelType w:val="hybridMultilevel"/>
    <w:lvl w:ilvl="0">
      <w:lvlJc w:val="left"/>
      <w:lvlText w:val="o"/>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1)"/>
      <w:numFmt w:val="decimal"/>
      <w:start w:val="1"/>
    </w:lvl>
  </w:abstractNum>
  <w:abstractNum w:abstractNumId="5">
    <w:nsid w:val="2CA88611"/>
    <w:multiLevelType w:val="hybridMultilevel"/>
    <w:lvl w:ilvl="0">
      <w:lvlJc w:val="left"/>
      <w:lvlText w:val="(%1)"/>
      <w:numFmt w:val="lowerLetter"/>
      <w:start w:val="1"/>
    </w:lvl>
  </w:abstractNum>
  <w:abstractNum w:abstractNumId="6">
    <w:nsid w:val="836C40E"/>
    <w:multiLevelType w:val="hybridMultilevel"/>
    <w:lvl w:ilvl="0">
      <w:lvlJc w:val="left"/>
      <w:lvlText w:val="(%1)"/>
      <w:numFmt w:val="decimal"/>
      <w:start w:val="1"/>
    </w:lvl>
  </w:abstractNum>
  <w:abstractNum w:abstractNumId="7">
    <w:nsid w:val="2901D82"/>
    <w:multiLevelType w:val="hybridMultilevel"/>
    <w:lvl w:ilvl="0">
      <w:lvlJc w:val="left"/>
      <w:lvlText w:val="(%1)"/>
      <w:numFmt w:val="decimal"/>
      <w:start w:val="2"/>
    </w:lvl>
  </w:abstractNum>
  <w:abstractNum w:abstractNumId="8">
    <w:nsid w:val="3A95F874"/>
    <w:multiLevelType w:val="hybridMultilevel"/>
    <w:lvl w:ilvl="0">
      <w:lvlJc w:val="left"/>
      <w:lvlText w:val="•"/>
      <w:numFmt w:val="bullet"/>
      <w:start w:val="1"/>
    </w:lvl>
  </w:abstractNum>
  <w:abstractNum w:abstractNumId="9">
    <w:nsid w:val="8138641"/>
    <w:multiLevelType w:val="hybridMultilevel"/>
    <w:lvl w:ilvl="0">
      <w:lvlJc w:val="left"/>
      <w:lvlText w:val="•"/>
      <w:numFmt w:val="bullet"/>
      <w:start w:val="1"/>
    </w:lvl>
  </w:abstractNum>
  <w:abstractNum w:abstractNumId="10">
    <w:nsid w:val="1E7FF521"/>
    <w:multiLevelType w:val="hybridMultilevel"/>
    <w:lvl w:ilvl="0">
      <w:lvlJc w:val="left"/>
      <w:lvlText w:val="(%1)"/>
      <w:numFmt w:val="decimal"/>
      <w:start w:val="1"/>
    </w:lvl>
  </w:abstractNum>
  <w:abstractNum w:abstractNumId="11">
    <w:nsid w:val="7C3DBD3D"/>
    <w:multiLevelType w:val="hybridMultilevel"/>
    <w:lvl w:ilvl="0">
      <w:lvlJc w:val="left"/>
      <w:lvlText w:val="(%1)"/>
      <w:numFmt w:val="decimal"/>
      <w:start w:val="1"/>
    </w:lvl>
  </w:abstractNum>
  <w:abstractNum w:abstractNumId="12">
    <w:nsid w:val="737B8DDC"/>
    <w:multiLevelType w:val="hybridMultilevel"/>
    <w:lvl w:ilvl="0">
      <w:lvlJc w:val="left"/>
      <w:lvlText w:val="(%1)"/>
      <w:numFmt w:val="decimal"/>
      <w:start w:val="1"/>
    </w:lvl>
  </w:abstractNum>
  <w:abstractNum w:abstractNumId="13">
    <w:nsid w:val="6CEAF087"/>
    <w:multiLevelType w:val="hybridMultilevel"/>
    <w:lvl w:ilvl="0">
      <w:lvlJc w:val="left"/>
      <w:lvlText w:val="(%1)"/>
      <w:numFmt w:val="decimal"/>
      <w:start w:val="1"/>
    </w:lvl>
  </w:abstractNum>
  <w:abstractNum w:abstractNumId="14">
    <w:nsid w:val="22221A70"/>
    <w:multiLevelType w:val="hybridMultilevel"/>
    <w:lvl w:ilvl="0">
      <w:lvlJc w:val="left"/>
      <w:lvlText w:val="(%1)"/>
      <w:numFmt w:val="decimal"/>
      <w:start w:val="1"/>
    </w:lvl>
  </w:abstractNum>
  <w:abstractNum w:abstractNumId="15">
    <w:nsid w:val="4516DDE9"/>
    <w:multiLevelType w:val="hybridMultilevel"/>
    <w:lvl w:ilvl="0">
      <w:lvlJc w:val="left"/>
      <w:lvlText w:val="(%1)"/>
      <w:numFmt w:val="decimal"/>
      <w:start w:val="1"/>
    </w:lvl>
  </w:abstractNum>
  <w:abstractNum w:abstractNumId="16">
    <w:nsid w:val="3006C83E"/>
    <w:multiLevelType w:val="hybridMultilevel"/>
    <w:lvl w:ilvl="0">
      <w:lvlJc w:val="left"/>
      <w:lvlText w:val="(%1)"/>
      <w:numFmt w:val="decimal"/>
      <w:start w:val="1"/>
    </w:lvl>
  </w:abstractNum>
  <w:abstractNum w:abstractNumId="17">
    <w:nsid w:val="614FD4A1"/>
    <w:multiLevelType w:val="hybridMultilevel"/>
    <w:lvl w:ilvl="0">
      <w:lvlJc w:val="left"/>
      <w:lvlText w:val="(%1)"/>
      <w:numFmt w:val="decimal"/>
      <w:start w:val="1"/>
    </w:lvl>
  </w:abstractNum>
  <w:abstractNum w:abstractNumId="18">
    <w:nsid w:val="419AC241"/>
    <w:multiLevelType w:val="hybridMultilevel"/>
    <w:lvl w:ilvl="0">
      <w:lvlJc w:val="left"/>
      <w:lvlText w:val="(%1)"/>
      <w:numFmt w:val="decimal"/>
      <w:start w:val="7"/>
    </w:lvl>
  </w:abstractNum>
  <w:abstractNum w:abstractNumId="19">
    <w:nsid w:val="5577F8E1"/>
    <w:multiLevelType w:val="hybridMultilevel"/>
    <w:lvl w:ilvl="0">
      <w:lvlJc w:val="left"/>
      <w:lvlText w:val="(%1)"/>
      <w:numFmt w:val="decimal"/>
      <w:start w:val="1"/>
    </w:lvl>
  </w:abstractNum>
  <w:abstractNum w:abstractNumId="20">
    <w:nsid w:val="440BADFC"/>
    <w:multiLevelType w:val="hybridMultilevel"/>
    <w:lvl w:ilvl="0">
      <w:lvlJc w:val="left"/>
      <w:lvlText w:val="(%1)"/>
      <w:numFmt w:val="decimal"/>
      <w:start w:val="1"/>
    </w:lvl>
    <w:lvl w:ilvl="1">
      <w:lvlJc w:val="left"/>
      <w:lvlText w:val="•"/>
      <w:numFmt w:val="bullet"/>
      <w:start w:val="1"/>
    </w:lvl>
  </w:abstractNum>
  <w:abstractNum w:abstractNumId="21">
    <w:nsid w:val="5072367"/>
    <w:multiLevelType w:val="hybridMultilevel"/>
    <w:lvl w:ilvl="0">
      <w:lvlJc w:val="left"/>
      <w:lvlText w:val="(%1)"/>
      <w:numFmt w:val="decimal"/>
      <w:start w:val="3"/>
    </w:lvl>
  </w:abstractNum>
  <w:abstractNum w:abstractNumId="22">
    <w:nsid w:val="3804823E"/>
    <w:multiLevelType w:val="hybridMultilevel"/>
    <w:lvl w:ilvl="0">
      <w:lvlJc w:val="left"/>
      <w:lvlText w:val="•"/>
      <w:numFmt w:val="bullet"/>
      <w:start w:val="1"/>
    </w:lvl>
  </w:abstractNum>
  <w:abstractNum w:abstractNumId="23">
    <w:nsid w:val="77465F01"/>
    <w:multiLevelType w:val="hybridMultilevel"/>
    <w:lvl w:ilvl="0">
      <w:lvlJc w:val="left"/>
      <w:lvlText w:val="•"/>
      <w:numFmt w:val="bullet"/>
      <w:start w:val="1"/>
    </w:lvl>
  </w:abstractNum>
  <w:abstractNum w:abstractNumId="24">
    <w:nsid w:val="7724C67E"/>
    <w:multiLevelType w:val="hybridMultilevel"/>
    <w:lvl w:ilvl="0">
      <w:lvlJc w:val="left"/>
      <w:lvlText w:val="(%1)"/>
      <w:numFmt w:val="decimal"/>
      <w:start w:val="1"/>
    </w:lvl>
  </w:abstractNum>
  <w:abstractNum w:abstractNumId="25">
    <w:nsid w:val="5C482A97"/>
    <w:multiLevelType w:val="hybridMultilevel"/>
    <w:lvl w:ilvl="0">
      <w:lvlJc w:val="left"/>
      <w:lvlText w:val="(%1)"/>
      <w:numFmt w:val="decimal"/>
      <w:start w:val="1"/>
    </w:lvl>
  </w:abstractNum>
  <w:abstractNum w:abstractNumId="26">
    <w:nsid w:val="2463B9EA"/>
    <w:multiLevelType w:val="hybridMultilevel"/>
    <w:lvl w:ilvl="0">
      <w:lvlJc w:val="left"/>
      <w:lvlText w:val="(%1)"/>
      <w:numFmt w:val="decimal"/>
      <w:start w:val="1"/>
    </w:lvl>
  </w:abstractNum>
  <w:abstractNum w:abstractNumId="27">
    <w:nsid w:val="5E884ADC"/>
    <w:multiLevelType w:val="hybridMultilevel"/>
    <w:lvl w:ilvl="0">
      <w:lvlJc w:val="left"/>
      <w:lvlText w:val="(%1)"/>
      <w:numFmt w:val="decimal"/>
      <w:start w:val="2"/>
    </w:lvl>
  </w:abstractNum>
  <w:abstractNum w:abstractNumId="28">
    <w:nsid w:val="51EAD36B"/>
    <w:multiLevelType w:val="hybridMultilevel"/>
    <w:lvl w:ilvl="0">
      <w:lvlJc w:val="left"/>
      <w:lvlText w:val="(%1)"/>
      <w:numFmt w:val="decimal"/>
      <w:start w:val="1"/>
    </w:lvl>
  </w:abstractNum>
  <w:abstractNum w:abstractNumId="29">
    <w:nsid w:val="2D517796"/>
    <w:multiLevelType w:val="hybridMultilevel"/>
    <w:lvl w:ilvl="0">
      <w:lvlJc w:val="left"/>
      <w:lvlText w:val="(%1)"/>
      <w:numFmt w:val="decimal"/>
      <w:start w:val="1"/>
    </w:lvl>
  </w:abstractNum>
  <w:abstractNum w:abstractNumId="30">
    <w:nsid w:val="580BD78F"/>
    <w:multiLevelType w:val="hybridMultilevel"/>
    <w:lvl w:ilvl="0">
      <w:lvlJc w:val="left"/>
      <w:lvlText w:val="(%1)"/>
      <w:numFmt w:val="decimal"/>
      <w:start w:val="2"/>
    </w:lvl>
  </w:abstractNum>
  <w:abstractNum w:abstractNumId="31">
    <w:nsid w:val="153EA438"/>
    <w:multiLevelType w:val="hybridMultilevel"/>
    <w:lvl w:ilvl="0">
      <w:lvlJc w:val="left"/>
      <w:lvlText w:val="•"/>
      <w:numFmt w:val="bullet"/>
      <w:start w:val="1"/>
    </w:lvl>
  </w:abstractNum>
  <w:abstractNum w:abstractNumId="32">
    <w:nsid w:val="3855585C"/>
    <w:multiLevelType w:val="hybridMultilevel"/>
    <w:lvl w:ilvl="0">
      <w:lvlJc w:val="left"/>
      <w:lvlText w:val="(%1)"/>
      <w:numFmt w:val="decimal"/>
      <w:start w:val="1"/>
    </w:lvl>
  </w:abstractNum>
  <w:abstractNum w:abstractNumId="33">
    <w:nsid w:val="70A64E2A"/>
    <w:multiLevelType w:val="hybridMultilevel"/>
    <w:lvl w:ilvl="0">
      <w:lvlJc w:val="left"/>
      <w:lvlText w:val="(%1)"/>
      <w:numFmt w:val="decimal"/>
      <w:start w:val="1"/>
    </w:lvl>
  </w:abstractNum>
  <w:abstractNum w:abstractNumId="34">
    <w:nsid w:val="6A2342EC"/>
    <w:multiLevelType w:val="hybridMultilevel"/>
    <w:lvl w:ilvl="0">
      <w:lvlJc w:val="left"/>
      <w:lvlText w:val="(%1)"/>
      <w:numFmt w:val="decimal"/>
      <w:start w:val="1"/>
    </w:lvl>
  </w:abstractNum>
  <w:abstractNum w:abstractNumId="35">
    <w:nsid w:val="2A487CB0"/>
    <w:multiLevelType w:val="hybridMultilevel"/>
    <w:lvl w:ilvl="0">
      <w:lvlJc w:val="left"/>
      <w:lvlText w:val="•"/>
      <w:numFmt w:val="bullet"/>
      <w:start w:val="1"/>
    </w:lvl>
  </w:abstractNum>
  <w:abstractNum w:abstractNumId="36">
    <w:nsid w:val="1D4ED43B"/>
    <w:multiLevelType w:val="hybridMultilevel"/>
    <w:lvl w:ilvl="0">
      <w:lvlJc w:val="left"/>
      <w:lvlText w:val="•"/>
      <w:numFmt w:val="bullet"/>
      <w:start w:val="1"/>
    </w:lvl>
  </w:abstractNum>
  <w:abstractNum w:abstractNumId="37">
    <w:nsid w:val="725A06FB"/>
    <w:multiLevelType w:val="hybridMultilevel"/>
    <w:lvl w:ilvl="0">
      <w:lvlJc w:val="left"/>
      <w:lvlText w:val="•"/>
      <w:numFmt w:val="bullet"/>
      <w:start w:val="1"/>
    </w:lvl>
  </w:abstractNum>
  <w:abstractNum w:abstractNumId="38">
    <w:nsid w:val="2CD89A32"/>
    <w:multiLevelType w:val="hybridMultilevel"/>
    <w:lvl w:ilvl="0">
      <w:lvlJc w:val="left"/>
      <w:lvlText w:val="•"/>
      <w:numFmt w:val="bullet"/>
      <w:start w:val="1"/>
    </w:lvl>
  </w:abstractNum>
  <w:abstractNum w:abstractNumId="39">
    <w:nsid w:val="57E4CCAF"/>
    <w:multiLevelType w:val="hybridMultilevel"/>
    <w:lvl w:ilvl="0">
      <w:lvlJc w:val="left"/>
      <w:lvlText w:val="•"/>
      <w:numFmt w:val="bullet"/>
      <w:start w:val="1"/>
    </w:lvl>
  </w:abstractNum>
  <w:abstractNum w:abstractNumId="40">
    <w:nsid w:val="7A6D8D3C"/>
    <w:multiLevelType w:val="hybridMultilevel"/>
    <w:lvl w:ilvl="0">
      <w:lvlJc w:val="left"/>
      <w:lvlText w:val="(%1)"/>
      <w:numFmt w:val="decimal"/>
      <w:start w:val="1"/>
    </w:lvl>
  </w:abstractNum>
  <w:abstractNum w:abstractNumId="41">
    <w:nsid w:val="4B588F54"/>
    <w:multiLevelType w:val="hybridMultilevel"/>
    <w:lvl w:ilvl="0">
      <w:lvlJc w:val="left"/>
      <w:lvlText w:val="•"/>
      <w:numFmt w:val="bullet"/>
      <w:start w:val="1"/>
    </w:lvl>
  </w:abstractNum>
  <w:abstractNum w:abstractNumId="42">
    <w:nsid w:val="542289EC"/>
    <w:multiLevelType w:val="hybridMultilevel"/>
    <w:lvl w:ilvl="0">
      <w:lvlJc w:val="left"/>
      <w:lvlText w:val="•"/>
      <w:numFmt w:val="bullet"/>
      <w:start w:val="1"/>
    </w:lvl>
  </w:abstractNum>
  <w:abstractNum w:abstractNumId="43">
    <w:nsid w:val="6DE91B18"/>
    <w:multiLevelType w:val="hybridMultilevel"/>
    <w:lvl w:ilvl="0">
      <w:lvlJc w:val="left"/>
      <w:lvlText w:val="(%1)"/>
      <w:numFmt w:val="decimal"/>
      <w:start w:val="1"/>
    </w:lvl>
  </w:abstractNum>
  <w:abstractNum w:abstractNumId="44">
    <w:nsid w:val="38437FDB"/>
    <w:multiLevelType w:val="hybridMultilevel"/>
    <w:lvl w:ilvl="0">
      <w:lvlJc w:val="left"/>
      <w:lvlText w:val="(%1)"/>
      <w:numFmt w:val="decimal"/>
      <w:start w:val="1"/>
    </w:lvl>
  </w:abstractNum>
  <w:abstractNum w:abstractNumId="45">
    <w:nsid w:val="7644A45C"/>
    <w:multiLevelType w:val="hybridMultilevel"/>
    <w:lvl w:ilvl="0">
      <w:lvlJc w:val="left"/>
      <w:lvlText w:val="(%1)"/>
      <w:numFmt w:val="decimal"/>
      <w:start w:val="1"/>
    </w:lvl>
  </w:abstractNum>
  <w:abstractNum w:abstractNumId="46">
    <w:nsid w:val="32FFF902"/>
    <w:multiLevelType w:val="hybridMultilevel"/>
    <w:lvl w:ilvl="0">
      <w:lvlJc w:val="left"/>
      <w:lvlText w:val="(%1)"/>
      <w:numFmt w:val="decimal"/>
      <w:start w:val="1"/>
    </w:lvl>
    <w:lvl w:ilvl="1">
      <w:lvlJc w:val="left"/>
      <w:lvlText w:val="%2."/>
      <w:numFmt w:val="lowerLetter"/>
      <w:start w:val="1"/>
    </w:lvl>
  </w:abstractNum>
  <w:abstractNum w:abstractNumId="47">
    <w:nsid w:val="684A481A"/>
    <w:multiLevelType w:val="hybridMultilevel"/>
    <w:lvl w:ilvl="0">
      <w:lvlJc w:val="left"/>
      <w:lvlText w:val="(%1)"/>
      <w:numFmt w:val="decimal"/>
      <w:start w:val="1"/>
    </w:lvl>
    <w:lvl w:ilvl="1">
      <w:lvlJc w:val="left"/>
      <w:lvlText w:val="%2."/>
      <w:numFmt w:val="lowerLetter"/>
      <w:start w:val="1"/>
    </w:lvl>
  </w:abstractNum>
  <w:abstractNum w:abstractNumId="48">
    <w:nsid w:val="579478FE"/>
    <w:multiLevelType w:val="hybridMultilevel"/>
    <w:lvl w:ilvl="0">
      <w:lvlJc w:val="left"/>
      <w:lvlText w:val="(%1)"/>
      <w:numFmt w:val="decimal"/>
      <w:start w:val="1"/>
    </w:lvl>
    <w:lvl w:ilvl="1">
      <w:lvlJc w:val="left"/>
      <w:lvlText w:val="•"/>
      <w:numFmt w:val="bullet"/>
      <w:start w:val="1"/>
    </w:lvl>
  </w:abstractNum>
  <w:abstractNum w:abstractNumId="49">
    <w:nsid w:val="749ABB43"/>
    <w:multiLevelType w:val="hybridMultilevel"/>
    <w:lvl w:ilvl="0">
      <w:lvlJc w:val="left"/>
      <w:lvlText w:val="(%1)"/>
      <w:numFmt w:val="decimal"/>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2019-12-29T10:45:54Z</dcterms:created>
  <dcterms:modified xsi:type="dcterms:W3CDTF">2019-12-29T10:45:54Z</dcterms:modified>
</cp:coreProperties>
</file>