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614045</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quarterly period ended March 31, 2026</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4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transition period from: ____________________ to ____________________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No. 1-13219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83185</wp:posOffset>
            </wp:positionV>
            <wp:extent cx="1017270" cy="238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23812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Onity Group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6140" w:type="dxa"/>
            <w:vAlign w:val="bottom"/>
            <w:gridSpan w:val="4"/>
          </w:tcPr>
          <w:p>
            <w:pPr>
              <w:jc w:val="right"/>
              <w:ind w:right="2034"/>
              <w:spacing w:after="0"/>
              <w:rPr>
                <w:sz w:val="20"/>
                <w:szCs w:val="20"/>
                <w:color w:val="auto"/>
              </w:rPr>
            </w:pPr>
            <w:r>
              <w:rPr>
                <w:rFonts w:ascii="Times New Roman" w:cs="Times New Roman" w:eastAsia="Times New Roman" w:hAnsi="Times New Roman"/>
                <w:sz w:val="17"/>
                <w:szCs w:val="17"/>
                <w:b w:val="1"/>
                <w:bCs w:val="1"/>
                <w:color w:val="auto"/>
              </w:rPr>
              <w:t>65-0039856</w:t>
            </w:r>
          </w:p>
        </w:tc>
      </w:tr>
      <w:tr>
        <w:trPr>
          <w:trHeight w:val="216"/>
        </w:trPr>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6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55"/>
        </w:trPr>
        <w:tc>
          <w:tcPr>
            <w:tcW w:w="5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r>
      <w:tr>
        <w:trPr>
          <w:trHeight w:val="245"/>
        </w:trPr>
        <w:tc>
          <w:tcPr>
            <w:tcW w:w="508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West Palm Beach, Florida</w:t>
            </w:r>
          </w:p>
        </w:tc>
        <w:tc>
          <w:tcPr>
            <w:tcW w:w="6140" w:type="dxa"/>
            <w:vAlign w:val="bottom"/>
            <w:gridSpan w:val="4"/>
          </w:tcPr>
          <w:p>
            <w:pPr>
              <w:jc w:val="right"/>
              <w:ind w:right="2234"/>
              <w:spacing w:after="0"/>
              <w:rPr>
                <w:sz w:val="20"/>
                <w:szCs w:val="20"/>
                <w:color w:val="auto"/>
              </w:rPr>
            </w:pPr>
            <w:r>
              <w:rPr>
                <w:rFonts w:ascii="Times New Roman" w:cs="Times New Roman" w:eastAsia="Times New Roman" w:hAnsi="Times New Roman"/>
                <w:sz w:val="17"/>
                <w:szCs w:val="17"/>
                <w:b w:val="1"/>
                <w:bCs w:val="1"/>
                <w:color w:val="auto"/>
              </w:rPr>
              <w:t>33409</w:t>
            </w:r>
          </w:p>
        </w:tc>
      </w:tr>
      <w:tr>
        <w:trPr>
          <w:trHeight w:val="216"/>
        </w:trPr>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tc>
        <w:tc>
          <w:tcPr>
            <w:tcW w:w="6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r>
        <w:trPr>
          <w:trHeight w:val="293"/>
        </w:trPr>
        <w:tc>
          <w:tcPr>
            <w:tcW w:w="5080" w:type="dxa"/>
            <w:vAlign w:val="bottom"/>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(561) 682-8000</w:t>
            </w:r>
          </w:p>
        </w:tc>
        <w:tc>
          <w:tcPr>
            <w:tcW w:w="5060" w:type="dxa"/>
            <w:vAlign w:val="bottom"/>
          </w:tcPr>
          <w:p>
            <w:pPr>
              <w:spacing w:after="0"/>
              <w:rPr>
                <w:sz w:val="24"/>
                <w:szCs w:val="24"/>
                <w:color w:val="auto"/>
              </w:rPr>
            </w:pPr>
          </w:p>
        </w:tc>
      </w:tr>
    </w:tbl>
    <w:p>
      <w:pPr>
        <w:spacing w:after="0" w:line="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1056" w:right="359" w:bottom="1440" w:gutter="0" w:footer="0" w:header="0"/>
        </w:sectPr>
      </w:pPr>
    </w:p>
    <w:p>
      <w:pPr>
        <w:spacing w:after="0" w:line="136"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2"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ONIT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160" w:space="720"/>
            <w:col w:w="1860" w:space="720"/>
            <w:col w:w="3760"/>
          </w:cols>
          <w:pgMar w:left="320" w:top="1056" w:right="359" w:bottom="1440" w:gutter="0" w:footer="0" w:header="0"/>
          <w:type w:val="continuous"/>
        </w:sectPr>
      </w:pPr>
    </w:p>
    <w:p>
      <w:pPr>
        <w:spacing w:after="0" w:line="1"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5"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9"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90"/>
        </w:trPr>
        <w:tc>
          <w:tcPr>
            <w:tcW w:w="3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99" w:lineRule="exact"/>
        <w:rPr>
          <w:sz w:val="24"/>
          <w:szCs w:val="24"/>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 w:lineRule="exact"/>
        <w:rPr>
          <w:sz w:val="24"/>
          <w:szCs w:val="24"/>
          <w:color w:val="auto"/>
        </w:rPr>
      </w:pPr>
    </w:p>
    <w:p>
      <w:pPr>
        <w:ind w:right="3180"/>
        <w:spacing w:after="0" w:line="26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Number of shares of common stock outstanding as of May 1, 2026: 8,432,137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323850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056" w:right="3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ONITY GROUP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0"/>
        </w:trPr>
        <w:tc>
          <w:tcPr>
            <w:tcW w:w="105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Unaudited Consolidated Financial Statements</w:t>
            </w: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auto"/>
              </w:rPr>
              <w:t>Consolidated Balance Sheets at March 31, 2026 and December 31, 2025</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4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auto"/>
              </w:rPr>
              <w:t>Consolidated Statements of Operations for the Three Months Ended March 31, 2026 and 2025</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4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240"/>
              <w:spacing w:after="0" w:line="187" w:lineRule="exact"/>
              <w:rPr>
                <w:sz w:val="20"/>
                <w:szCs w:val="20"/>
                <w:color w:val="auto"/>
              </w:rPr>
            </w:pPr>
            <w:r>
              <w:rPr>
                <w:rFonts w:ascii="Times New Roman" w:cs="Times New Roman" w:eastAsia="Times New Roman" w:hAnsi="Times New Roman"/>
                <w:sz w:val="17"/>
                <w:szCs w:val="17"/>
                <w:color w:val="auto"/>
              </w:rPr>
              <w:t>Consolidated Statements of Comprehensive Income for the Three Months Ended March 31, 2026 and 2025</w:t>
            </w:r>
          </w:p>
        </w:tc>
        <w:tc>
          <w:tcPr>
            <w:tcW w:w="400" w:type="dxa"/>
            <w:vAlign w:val="bottom"/>
            <w:gridSpan w:val="3"/>
          </w:tcPr>
          <w:p>
            <w:pPr>
              <w:jc w:val="center"/>
              <w:ind w:left="234"/>
              <w:spacing w:after="0" w:line="187" w:lineRule="exact"/>
              <w:rPr>
                <w:sz w:val="20"/>
                <w:szCs w:val="20"/>
                <w:color w:val="auto"/>
              </w:rPr>
            </w:pPr>
            <w:r>
              <w:rPr>
                <w:rFonts w:ascii="Times New Roman" w:cs="Times New Roman" w:eastAsia="Times New Roman" w:hAnsi="Times New Roman"/>
                <w:sz w:val="17"/>
                <w:szCs w:val="17"/>
                <w:color w:val="0000FF"/>
                <w:w w:val="93"/>
              </w:rPr>
              <w:t>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40" w:type="dxa"/>
            <w:vAlign w:val="bottom"/>
          </w:tcPr>
          <w:p>
            <w:pPr>
              <w:spacing w:after="0"/>
              <w:rPr>
                <w:sz w:val="20"/>
                <w:szCs w:val="20"/>
                <w:color w:val="auto"/>
              </w:rPr>
            </w:pPr>
          </w:p>
        </w:tc>
        <w:tc>
          <w:tcPr>
            <w:tcW w:w="9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Consolidated Statements of Changes in Equity for the Three Months Ended March 31, 2026 and 2025</w:t>
            </w: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Consolidated Statements of Cash Flows for the Three Months Ended March 31, 2026 and 2025</w:t>
            </w: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Notes to Unaudited Consolidated Financial Statements</w:t>
            </w: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 Organization and Basis of Presentation</w:t>
            </w:r>
          </w:p>
        </w:tc>
        <w:tc>
          <w:tcPr>
            <w:tcW w:w="40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2. Securitizations and Variable Interest Entities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3. Fair Value</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4. Loans Held for Sale</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5. Reverse Mortgages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6. Advances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7. Mortgage Servicing</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8. MSR Related Financing Liabilities, at Fair Value</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9. MSR Valuation Adjustments, Net</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10. Receivables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11. Other Assets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12. Borrowings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13. Other Liabilities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14. Stockholders’ Equity</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15. Derivative Financial Instruments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16. Interest Expense</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17. Income Taxes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18. Basic and Diluted Earnings Per Share</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19. Business Segment Reporting</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20. Regulatory Requirements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21. Commitments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22. Contingencies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Note 23. Subsequent Events</w:t>
            </w:r>
          </w:p>
        </w:tc>
        <w:tc>
          <w:tcPr>
            <w:tcW w:w="2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Controls and Procedures</w:t>
            </w:r>
          </w:p>
        </w:tc>
        <w:tc>
          <w:tcPr>
            <w:tcW w:w="440" w:type="dxa"/>
            <w:vAlign w:val="bottom"/>
            <w:gridSpan w:val="4"/>
          </w:tcPr>
          <w:p>
            <w:pPr>
              <w:jc w:val="center"/>
              <w:ind w:left="174"/>
              <w:spacing w:after="0"/>
              <w:rPr>
                <w:sz w:val="20"/>
                <w:szCs w:val="20"/>
                <w:color w:val="auto"/>
              </w:rPr>
            </w:pPr>
            <w:r>
              <w:rPr>
                <w:rFonts w:ascii="Times New Roman" w:cs="Times New Roman" w:eastAsia="Times New Roman" w:hAnsi="Times New Roman"/>
                <w:sz w:val="17"/>
                <w:szCs w:val="17"/>
                <w:color w:val="0000FF"/>
              </w:rPr>
              <w:t>91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2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Legal Proceedings</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Factors</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Information</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Exhibits</w:t>
            </w: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9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856"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78105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2025 and the following:</w:t>
      </w:r>
    </w:p>
    <w:p>
      <w:pPr>
        <w:spacing w:after="0" w:line="76" w:lineRule="exact"/>
        <w:rPr>
          <w:sz w:val="20"/>
          <w:szCs w:val="20"/>
          <w:color w:val="auto"/>
        </w:rPr>
      </w:pPr>
    </w:p>
    <w:p>
      <w:pPr>
        <w:ind w:left="620" w:right="4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changes in monetary and fiscal policy, United States political developments, geopolitical events and other sources of instability;</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inflation, employment disruption, and other financial difficulties facing our borrowers;</w:t>
      </w:r>
    </w:p>
    <w:p>
      <w:pPr>
        <w:spacing w:after="0" w:line="33" w:lineRule="exact"/>
        <w:rPr>
          <w:rFonts w:ascii="Times New Roman" w:cs="Times New Roman" w:eastAsia="Times New Roman" w:hAnsi="Times New Roman"/>
          <w:sz w:val="17"/>
          <w:szCs w:val="17"/>
          <w:color w:val="auto"/>
        </w:rPr>
      </w:pPr>
    </w:p>
    <w:p>
      <w:pPr>
        <w:ind w:left="620" w:right="26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if so, when and under what conditions we will receive regulatory approval to close our announced transaction with Finance of America Reverse LLC, and the resulting impact on our operations, reputation, and financial results, including as a result of factors such as the amount of assets transferred at closing, the nature and amount of post-closing adjustments, and future payments related to indemnification obligations;</w:t>
      </w:r>
    </w:p>
    <w:p>
      <w:pPr>
        <w:spacing w:after="0" w:line="1" w:lineRule="exact"/>
        <w:rPr>
          <w:rFonts w:ascii="Times New Roman" w:cs="Times New Roman" w:eastAsia="Times New Roman" w:hAnsi="Times New Roman"/>
          <w:sz w:val="17"/>
          <w:szCs w:val="17"/>
          <w:color w:val="auto"/>
        </w:rPr>
      </w:pPr>
    </w:p>
    <w:p>
      <w:pPr>
        <w:ind w:left="620" w:right="10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common stock that we may repurchase under our announced stock repurchase program, the timing of such repurchases, and the long-term impact, if any, of repurchases on the trading price of our stock or our financial condition;</w:t>
      </w:r>
    </w:p>
    <w:p>
      <w:pPr>
        <w:spacing w:after="0" w:line="1" w:lineRule="exact"/>
        <w:rPr>
          <w:rFonts w:ascii="Times New Roman" w:cs="Times New Roman" w:eastAsia="Times New Roman" w:hAnsi="Times New Roman"/>
          <w:sz w:val="17"/>
          <w:szCs w:val="17"/>
          <w:color w:val="auto"/>
        </w:rPr>
      </w:pPr>
    </w:p>
    <w:p>
      <w:pPr>
        <w:ind w:left="620" w:right="46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 including our ability to compete against larger more conservatively capitalized companies, or privately funded companies with different profit objectives;</w:t>
      </w:r>
    </w:p>
    <w:p>
      <w:pPr>
        <w:ind w:left="620" w:right="36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spacing w:after="0" w:line="1" w:lineRule="exact"/>
        <w:rPr>
          <w:rFonts w:ascii="Times New Roman" w:cs="Times New Roman" w:eastAsia="Times New Roman" w:hAnsi="Times New Roman"/>
          <w:sz w:val="17"/>
          <w:szCs w:val="17"/>
          <w:color w:val="auto"/>
        </w:rPr>
      </w:pPr>
    </w:p>
    <w:p>
      <w:pPr>
        <w:jc w:val="both"/>
        <w:ind w:left="620" w:right="120" w:hanging="307"/>
        <w:spacing w:after="0" w:line="25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jc w:val="both"/>
        <w:ind w:left="620" w:right="48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w:t>
      </w:r>
    </w:p>
    <w:p>
      <w:pPr>
        <w:spacing w:after="0" w:line="2" w:lineRule="exact"/>
        <w:rPr>
          <w:rFonts w:ascii="Times New Roman" w:cs="Times New Roman" w:eastAsia="Times New Roman" w:hAnsi="Times New Roman"/>
          <w:sz w:val="17"/>
          <w:szCs w:val="17"/>
          <w:color w:val="auto"/>
        </w:rPr>
      </w:pPr>
    </w:p>
    <w:p>
      <w:pPr>
        <w:ind w:left="620" w:right="2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repay, renew and extend our other borrowings, borrow additional amounts as and when required, meet our mortgage servicing rights (MSR) or other asset investment objectives and comply with our debt agreements, including the financial and other covenants contained in them;</w:t>
      </w:r>
    </w:p>
    <w:p>
      <w:pPr>
        <w:ind w:left="620" w:right="68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strategic transactions and enterprise sales initiatives will generate additional subservicing volume and result in increased profitability;</w:t>
      </w:r>
    </w:p>
    <w:p>
      <w:pPr>
        <w:spacing w:after="0" w:line="1" w:lineRule="exact"/>
        <w:rPr>
          <w:rFonts w:ascii="Times New Roman" w:cs="Times New Roman" w:eastAsia="Times New Roman" w:hAnsi="Times New Roman"/>
          <w:sz w:val="17"/>
          <w:szCs w:val="17"/>
          <w:color w:val="auto"/>
        </w:rPr>
      </w:pPr>
    </w:p>
    <w:p>
      <w:pPr>
        <w:ind w:left="620" w:right="260" w:hanging="307"/>
        <w:spacing w:after="0" w:line="24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non-renewal by Rithm Capital Corp. (Rithm) of its subservicing agreements with us effective January 31, 2026, including the timing for servicing transfer, the extent to which we will restructure our operations and support functions and the timing for doing so, and our ability to offset reduced subservicing income with other income-generating activities;</w:t>
      </w:r>
    </w:p>
    <w:p>
      <w:pPr>
        <w:ind w:left="620" w:right="62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extent to which MSR Asset Vehicle LLC will exercise its rights to sell MSRs which are presently subserviced by Onity Mortgage Corporation (OMC) and the impact to our subservicing portfolio;</w:t>
      </w:r>
    </w:p>
    <w:p>
      <w:pPr>
        <w:spacing w:after="0" w:line="1" w:lineRule="exact"/>
        <w:rPr>
          <w:rFonts w:ascii="Times New Roman" w:cs="Times New Roman" w:eastAsia="Times New Roman" w:hAnsi="Times New Roman"/>
          <w:sz w:val="17"/>
          <w:szCs w:val="17"/>
          <w:color w:val="auto"/>
        </w:rPr>
      </w:pPr>
    </w:p>
    <w:p>
      <w:pPr>
        <w:ind w:left="620" w:right="46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3" w:name="page4"/>
    <w:bookmarkEnd w:id="3"/>
    <w:p>
      <w:pPr>
        <w:ind w:left="620" w:right="220" w:hanging="307"/>
        <w:spacing w:after="0" w:line="26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 party obligors and financing sources to fund servicing advances on a timely basis on loans serviced by us;</w:t>
      </w:r>
    </w:p>
    <w:p>
      <w:pPr>
        <w:spacing w:after="0" w:line="27" w:lineRule="exact"/>
        <w:rPr>
          <w:rFonts w:ascii="Times New Roman" w:cs="Times New Roman" w:eastAsia="Times New Roman" w:hAnsi="Times New Roman"/>
          <w:sz w:val="17"/>
          <w:szCs w:val="17"/>
          <w:color w:val="auto"/>
        </w:rPr>
      </w:pPr>
    </w:p>
    <w:p>
      <w:pPr>
        <w:ind w:left="620" w:right="18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and reduced or delayed servicing income due to rising borrower delinquency levels, forbearance plans, moratoria on evictions and delays in foreclosure proceedings;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collect certain expedited payment or convenience fees and potential liability for charging such fees;</w:t>
      </w:r>
    </w:p>
    <w:p>
      <w:pPr>
        <w:spacing w:after="0" w:line="27" w:lineRule="exact"/>
        <w:rPr>
          <w:rFonts w:ascii="Times New Roman" w:cs="Times New Roman" w:eastAsia="Times New Roman" w:hAnsi="Times New Roman"/>
          <w:sz w:val="17"/>
          <w:szCs w:val="17"/>
          <w:color w:val="auto"/>
        </w:rPr>
      </w:pPr>
    </w:p>
    <w:p>
      <w:pPr>
        <w:ind w:left="620" w:right="38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severe weather or natural disaster events resulting in costly disruptions to our operations and increased servicing costs due to property damage;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maintain and sell foreclosed properties;</w:t>
      </w:r>
    </w:p>
    <w:p>
      <w:pPr>
        <w:spacing w:after="0" w:line="33" w:lineRule="exact"/>
        <w:rPr>
          <w:rFonts w:ascii="Times New Roman" w:cs="Times New Roman" w:eastAsia="Times New Roman" w:hAnsi="Times New Roman"/>
          <w:sz w:val="17"/>
          <w:szCs w:val="17"/>
          <w:color w:val="auto"/>
        </w:rPr>
      </w:pPr>
    </w:p>
    <w:p>
      <w:pPr>
        <w:ind w:left="620" w:hanging="307"/>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of our compliance with rules and regulations instituted by state governments, the GSEs, Ginnie Mae and regulators;</w:t>
      </w:r>
    </w:p>
    <w:p>
      <w:pPr>
        <w:spacing w:after="0" w:line="2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reactions of key counterparties, including lenders, the GSEs and Ginnie Mae, to our regulatory engagements and litigation matters;</w:t>
      </w:r>
    </w:p>
    <w:p>
      <w:pPr>
        <w:spacing w:after="0" w:line="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27" w:lineRule="exact"/>
        <w:rPr>
          <w:rFonts w:ascii="Times New Roman" w:cs="Times New Roman" w:eastAsia="Times New Roman" w:hAnsi="Times New Roman"/>
          <w:sz w:val="17"/>
          <w:szCs w:val="17"/>
          <w:color w:val="auto"/>
        </w:rPr>
      </w:pPr>
    </w:p>
    <w:p>
      <w:pPr>
        <w:ind w:left="620" w:right="16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 and the costs of doing so;</w:t>
      </w:r>
    </w:p>
    <w:p>
      <w:pPr>
        <w:spacing w:after="0" w:line="1" w:lineRule="exact"/>
        <w:rPr>
          <w:rFonts w:ascii="Times New Roman" w:cs="Times New Roman" w:eastAsia="Times New Roman" w:hAnsi="Times New Roman"/>
          <w:sz w:val="17"/>
          <w:szCs w:val="17"/>
          <w:color w:val="auto"/>
        </w:rPr>
      </w:pPr>
    </w:p>
    <w:p>
      <w:pPr>
        <w:ind w:left="620" w:right="2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ind w:left="620" w:right="80" w:hanging="307"/>
        <w:spacing w:after="0" w:line="26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or in the interpretation of, laws or regulations may require us to modify our business practices and expose us to increased expense, regulatory engagement and litigation risk, including with respect to the collection of expedited payment, or convenience fees;</w:t>
      </w:r>
    </w:p>
    <w:p>
      <w:pPr>
        <w:ind w:left="620" w:right="2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spacing w:after="0" w:line="1" w:lineRule="exact"/>
        <w:rPr>
          <w:rFonts w:ascii="Times New Roman" w:cs="Times New Roman" w:eastAsia="Times New Roman" w:hAnsi="Times New Roman"/>
          <w:sz w:val="17"/>
          <w:szCs w:val="17"/>
          <w:color w:val="auto"/>
        </w:rPr>
      </w:pPr>
    </w:p>
    <w:p>
      <w:pPr>
        <w:ind w:left="620" w:right="26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ind w:left="620" w:right="400" w:hanging="307"/>
        <w:spacing w:after="0" w:line="26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ind w:left="620" w:right="2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senior managers and key employees;</w:t>
      </w:r>
    </w:p>
    <w:p>
      <w:pPr>
        <w:spacing w:after="0" w:line="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2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33" w:lineRule="exact"/>
        <w:rPr>
          <w:rFonts w:ascii="Times New Roman" w:cs="Times New Roman" w:eastAsia="Times New Roman" w:hAnsi="Times New Roman"/>
          <w:sz w:val="17"/>
          <w:szCs w:val="17"/>
          <w:color w:val="auto"/>
        </w:rPr>
      </w:pPr>
    </w:p>
    <w:p>
      <w:pPr>
        <w:ind w:left="620" w:right="20" w:hanging="307"/>
        <w:spacing w:after="0" w:line="26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economic stability in the foreign countries in which we operate; and</w:t>
      </w:r>
    </w:p>
    <w:p>
      <w:pPr>
        <w:spacing w:after="0" w:line="24" w:lineRule="exact"/>
        <w:rPr>
          <w:rFonts w:ascii="Times New Roman" w:cs="Times New Roman" w:eastAsia="Times New Roman" w:hAnsi="Times New Roman"/>
          <w:sz w:val="17"/>
          <w:szCs w:val="17"/>
          <w:color w:val="auto"/>
        </w:rPr>
      </w:pPr>
    </w:p>
    <w:p>
      <w:pPr>
        <w:ind w:left="620" w:right="560" w:hanging="307"/>
        <w:spacing w:after="0" w:line="28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Further information on the risks specific to our business is detailed within this report and our other reports and filings with the SEC including our Annual Report on Form 10-K for the year ended December 31, 2025,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UNAUDITED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180.5</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 ($58.9 and $37.3 related to variable interest entities (VIEs))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servicing rights (MSRs), at fair value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Advances, net ($316.0 and $364.5 related to VIEs)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483.4</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 at fair value ($1,785.7 and $1,199.8 related to VIEs)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1,891.7</w:t>
            </w:r>
          </w:p>
        </w:tc>
      </w:tr>
      <w:tr>
        <w:trPr>
          <w:trHeight w:val="168"/>
        </w:trPr>
        <w:tc>
          <w:tcPr>
            <w:tcW w:w="810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Reverse loans held for sale pooled into Home Equity Conversion Mortgage-Backed Securities (HMBS), at fair</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3"/>
        </w:trPr>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value</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 ($254.9 and $64.2 related to VIEs)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assets ($39.9 and $28.4 carried at fair value) ($100.4 and $83.4 related to VIEs)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17,735.2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16,170.6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8"/>
        </w:trPr>
        <w:tc>
          <w:tcPr>
            <w:tcW w:w="8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9,437.4</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9,611.7</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MSR related financing liabilities,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1,285.2</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Advance match funded liabilities ($291.3 and $341.4 related to VIEs)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1,224.6</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Reverse mortgage securitization notes, net (related to VIE)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899.3</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Senior notes,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489.6</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 ($27.9 and $10.2 carried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r>
      <w:tr>
        <w:trPr>
          <w:trHeight w:val="22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423.6</w:t>
            </w:r>
          </w:p>
        </w:tc>
      </w:tr>
      <w:tr>
        <w:trPr>
          <w:trHeight w:val="21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17,056.0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15,492.8</w:t>
            </w:r>
          </w:p>
        </w:tc>
      </w:tr>
      <w:tr>
        <w:trPr>
          <w:trHeight w:val="122"/>
        </w:trPr>
        <w:tc>
          <w:tcPr>
            <w:tcW w:w="8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21 and 22)</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42"/>
        </w:trPr>
        <w:tc>
          <w:tcPr>
            <w:tcW w:w="8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Mezzanine Equity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8"/>
        </w:trPr>
        <w:tc>
          <w:tcPr>
            <w:tcW w:w="810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Series B Preferred stock, $0.01 par value and $25.00 liquidation preference value; 2,400,000 shares authorized;</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3"/>
        </w:trPr>
        <w:tc>
          <w:tcPr>
            <w:tcW w:w="8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2,111,786 and 2,111,786 shares issued and outstanding at March 31, 2026 and December 31, 2025, respectively</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142"/>
        </w:trPr>
        <w:tc>
          <w:tcPr>
            <w:tcW w:w="8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8"/>
        </w:trPr>
        <w:tc>
          <w:tcPr>
            <w:tcW w:w="810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$0.01 par value; 13,333,333 shares authorized; 8,410,618 and 8,521,636 shares issued and</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3"/>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outstanding at March 31, 2026 and December 31, 2025, respectively</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556.1</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income taxes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3"/>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627.9</w:t>
            </w:r>
          </w:p>
        </w:tc>
      </w:tr>
      <w:tr>
        <w:trPr>
          <w:trHeight w:val="238"/>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mezzanine equity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249.8</w:t>
            </w:r>
          </w:p>
        </w:tc>
      </w:tr>
      <w:tr>
        <w:trPr>
          <w:trHeight w:val="135"/>
        </w:trPr>
        <w:tc>
          <w:tcPr>
            <w:tcW w:w="8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155"/>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8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r>
      <w:tr>
        <w:trPr>
          <w:trHeight w:val="135"/>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w:t>
            </w:r>
          </w:p>
        </w:tc>
      </w:tr>
      <w:tr>
        <w:trPr>
          <w:trHeight w:val="213"/>
        </w:trPr>
        <w:tc>
          <w:tcPr>
            <w:tcW w:w="81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21"/>
                <w:szCs w:val="21"/>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87"/>
        </w:trPr>
        <w:tc>
          <w:tcPr>
            <w:tcW w:w="8100" w:type="dxa"/>
            <w:vAlign w:val="bottom"/>
          </w:tcPr>
          <w:p>
            <w:pPr>
              <w:ind w:left="12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21.1</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 attributable to common stockholders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155"/>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7,873,989</w:t>
            </w:r>
          </w:p>
        </w:tc>
      </w:tr>
      <w:tr>
        <w:trPr>
          <w:trHeight w:val="22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8,981,972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8,436,874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 w:name="page7"/>
    <w:bookmarkEnd w:id="6"/>
    <w:p>
      <w:pPr>
        <w:jc w:val="center"/>
        <w:ind w:left="340" w:right="2460"/>
        <w:spacing w:after="0" w:line="284"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COMPREHENSIVE INCOME (Dollars in millions)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10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8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spacing w:after="0" w:line="308"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CHANGES IN EQUITY FOR THE THREE MONTHS ENDED MARCH 31, 2026 AND 2025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7"/>
                <w:szCs w:val="17"/>
                <w:color w:val="auto"/>
              </w:rPr>
            </w:pPr>
          </w:p>
        </w:tc>
        <w:tc>
          <w:tcPr>
            <w:tcW w:w="214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3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520" w:type="dxa"/>
            <w:vAlign w:val="bottom"/>
            <w:gridSpan w:val="3"/>
            <w:vMerge w:val="restart"/>
          </w:tcPr>
          <w:p>
            <w:pPr>
              <w:ind w:left="40"/>
              <w:spacing w:after="0" w:line="168" w:lineRule="exact"/>
              <w:rPr>
                <w:sz w:val="20"/>
                <w:szCs w:val="20"/>
                <w:color w:val="auto"/>
              </w:rPr>
            </w:pPr>
            <w:r>
              <w:rPr>
                <w:rFonts w:ascii="Times New Roman" w:cs="Times New Roman" w:eastAsia="Times New Roman" w:hAnsi="Times New Roman"/>
                <w:sz w:val="17"/>
                <w:szCs w:val="17"/>
                <w:b w:val="1"/>
                <w:bCs w:val="1"/>
                <w:color w:val="auto"/>
              </w:rPr>
              <w:t>Retained Earnings</w:t>
            </w:r>
          </w:p>
        </w:tc>
        <w:tc>
          <w:tcPr>
            <w:tcW w:w="160" w:type="dxa"/>
            <w:vAlign w:val="bottom"/>
          </w:tcPr>
          <w:p>
            <w:pPr>
              <w:spacing w:after="0"/>
              <w:rPr>
                <w:sz w:val="4"/>
                <w:szCs w:val="4"/>
                <w:color w:val="auto"/>
              </w:rPr>
            </w:pPr>
          </w:p>
        </w:tc>
        <w:tc>
          <w:tcPr>
            <w:tcW w:w="1520" w:type="dxa"/>
            <w:vAlign w:val="bottom"/>
            <w:gridSpan w:val="2"/>
            <w:vMerge w:val="restart"/>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3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04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680" w:type="dxa"/>
            <w:vAlign w:val="bottom"/>
            <w:gridSpan w:val="3"/>
          </w:tcPr>
          <w:p>
            <w:pPr>
              <w:jc w:val="center"/>
              <w:ind w:right="100"/>
              <w:spacing w:after="0" w:line="168" w:lineRule="exact"/>
              <w:rPr>
                <w:sz w:val="20"/>
                <w:szCs w:val="20"/>
                <w:color w:val="auto"/>
              </w:rPr>
            </w:pPr>
            <w:r>
              <w:rPr>
                <w:rFonts w:ascii="Times New Roman" w:cs="Times New Roman" w:eastAsia="Times New Roman" w:hAnsi="Times New Roman"/>
                <w:sz w:val="17"/>
                <w:szCs w:val="17"/>
                <w:b w:val="1"/>
                <w:bCs w:val="1"/>
                <w:color w:val="auto"/>
              </w:rPr>
              <w:t>Income (Loss), Net</w:t>
            </w:r>
          </w:p>
        </w:tc>
        <w:tc>
          <w:tcPr>
            <w:tcW w:w="260" w:type="dxa"/>
            <w:vAlign w:val="bottom"/>
          </w:tcPr>
          <w:p>
            <w:pPr>
              <w:spacing w:after="0"/>
              <w:rPr>
                <w:sz w:val="14"/>
                <w:szCs w:val="14"/>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3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Paid-in Capital</w:t>
            </w:r>
          </w:p>
        </w:tc>
        <w:tc>
          <w:tcPr>
            <w:tcW w:w="1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6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of Taxes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8,521,636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w:t>
            </w: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 dividend ($0.49 per share)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168"/>
        </w:trPr>
        <w:tc>
          <w:tcPr>
            <w:tcW w:w="334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Other comprehensive income (loss), net of</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March 31, 2026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8,410,618</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 dividend ($0.49 per share)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Exercise of common stock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168"/>
        </w:trPr>
        <w:tc>
          <w:tcPr>
            <w:tcW w:w="334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Other comprehensive income, net of income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7,981,005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left="1940" w:right="1939"/>
        <w:spacing w:after="0" w:line="273"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CASH FLOWS (Dollars in millions)</w:t>
      </w:r>
    </w:p>
    <w:p>
      <w:pPr>
        <w:sectPr>
          <w:pgSz w:w="11900" w:h="16838" w:orient="portrait"/>
          <w:cols w:equalWidth="0" w:num="1">
            <w:col w:w="9019"/>
          </w:cols>
          <w:pgMar w:left="1440" w:top="11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0"/>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Provision for bad debts (advances and receivables)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Provision for indemnification obligations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Amortization of debt issuance costs, discount and premium</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Interest capitalized on reverse buyouts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20"/>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0"/>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Decrease in advances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20"/>
        </w:trPr>
        <w:tc>
          <w:tcPr>
            <w:tcW w:w="8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Increase in receivables and 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20"/>
        </w:trPr>
        <w:tc>
          <w:tcPr>
            <w:tcW w:w="8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Decrease (increase) in derivatives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20"/>
        </w:trPr>
        <w:tc>
          <w:tcPr>
            <w:tcW w:w="8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Decrease in other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20"/>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Cash flows from loans held for sale: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Origination and purchase of loans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(4,273.3)</w:t>
            </w:r>
          </w:p>
        </w:tc>
      </w:tr>
      <w:tr>
        <w:trPr>
          <w:trHeight w:val="220"/>
        </w:trPr>
        <w:tc>
          <w:tcPr>
            <w:tcW w:w="80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Proceeds from sale and collections of loans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4,114.6</w:t>
            </w:r>
          </w:p>
        </w:tc>
      </w:tr>
      <w:tr>
        <w:trPr>
          <w:trHeight w:val="220"/>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8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r>
      <w:tr>
        <w:trPr>
          <w:trHeight w:val="122"/>
        </w:trPr>
        <w:tc>
          <w:tcPr>
            <w:tcW w:w="8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Origination of loans held for investment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payments received on loans previously held for 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786.1</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MSRs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MSRs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advances in connection with MSR transactions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advances in connection with MSR transactions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real estate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real estate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3"/>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w:t>
            </w:r>
          </w:p>
        </w:tc>
      </w:tr>
      <w:tr>
        <w:trPr>
          <w:trHeight w:val="21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 of advance match funded liabilities,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mortgage warehouse facilities,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reverse mortgage securitization notes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 of reverse mortgage securitization notes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MSR financing facilities,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Senior notes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MSR related financing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 of MSR related financing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HECM or reverse mortgages, accounted for as a financing (HMBS-related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 of HMBS-related borrowings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(777.1)</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preferred stock dividend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Payment on exercise of common stock warrants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3"/>
        </w:trPr>
        <w:tc>
          <w:tcPr>
            <w:tcW w:w="8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(300.4)</w:t>
            </w:r>
          </w:p>
        </w:tc>
      </w:tr>
      <w:tr>
        <w:trPr>
          <w:trHeight w:val="122"/>
        </w:trPr>
        <w:tc>
          <w:tcPr>
            <w:tcW w:w="8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8"/>
        </w:trPr>
        <w:tc>
          <w:tcPr>
            <w:tcW w:w="80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paid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 payments (refunds),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80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8"/>
        </w:trPr>
        <w:tc>
          <w:tcPr>
            <w:tcW w:w="80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Recognition of gross right-of-use asset and lease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Right-of-use asset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Lease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142"/>
        </w:trPr>
        <w:tc>
          <w:tcPr>
            <w:tcW w:w="8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Derecognition of MSRs and MSR related financing liabilities, at fair value: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at fair value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related financing liability, at fair value - MSR pledged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ectPr>
          <w:pgSz w:w="11900" w:h="16838" w:orient="portrait"/>
          <w:cols w:equalWidth="0" w:num="1">
            <w:col w:w="11220"/>
          </w:cols>
          <w:pgMar w:left="340" w:top="158" w:right="339" w:bottom="0" w:gutter="0" w:footer="0" w:header="0"/>
        </w:sectPr>
      </w:pPr>
    </w:p>
    <w:bookmarkStart w:id="10" w:name="page11"/>
    <w:bookmarkEnd w:id="10"/>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unaudited consolidated balance sheets and the unaudited consolidated statements of cash flows: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equivalents: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service accounts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20"/>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restricted cash</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reported in the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 and unless otherwise indicated)</w:t>
      </w: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Onity Group Inc. (NYSE: ONIT) (Onity, we, us and our) is a non-bank mortgage servicer and originator providing solutions to homeowners, clients, investors and others through its primary operating subsidiary, Onity Mortgage Corporation (formerly PHH Mortgage Corporation). On March 23, 2026, PHH Mortgage Corporation changed its name to Onity Mortgage Corporation (OMC)</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OMC is a wholly-owned subsidiary of PHH Corporation, an intermediate holding company and wholly-owned subsidiary of Onity. We are headquartered in West Palm Beach, Florida with offices and operations in the United States (U.S.), the United States Virgin Islands (USVI), India and the Philippines. Onity is a Florida corporation organized in February 1988.</w:t>
      </w:r>
    </w:p>
    <w:p>
      <w:pPr>
        <w:spacing w:after="0" w:line="7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Onity directly or indirectly owns all of the outstanding common stock of its operating subsidiaries, including OMC since its acquisition on October 4, 2018, PHH Asset Services, LLC (PAS), Ocwen Financial Solutions Private Limited (OFSPL) and Ocwen USVI Services, LLC (OVIS).</w:t>
      </w:r>
    </w:p>
    <w:p>
      <w:pPr>
        <w:spacing w:after="0" w:line="4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We perform servicing activities related to our own MSR portfolio (primary) and on behalf of other servicers (subservicing),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w:t>
      </w:r>
    </w:p>
    <w:p>
      <w:pPr>
        <w:spacing w:after="0" w:line="6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source our servicing portfolio through multiple channels, including retail, wholesale, correspondent, flow MSR purchase agreements, the Agency Cash Window programs and bulk MSR purchases. We originate, purchase, sell and securitize conventional (conforming to the GSE underwriting standards) loans and government-insured (Federal Housing Administration (FHA), Department of Veterans Affairs (VA) or United States Department of Agriculture (USDA)) and other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w:t>
      </w:r>
    </w:p>
    <w:p>
      <w:pPr>
        <w:spacing w:after="0" w:line="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November 2025, OMC agreed to sell at book value its entire HECM loan portfolio and HMBS related borrowings to Finance of America Reverse LLC (FAR) and subservice the sold portfolio and additional loans from FAR for an initial three-year term. FAR agreed to acquire OMC’s originations pipeline of reverse mortgage loans and assume some of OMC’s U.S. based reverse originations employees. OMC agreed to discontinue its reverse originations business upon closing. At March 31, 2026, the closing of the transaction was contingent on Ginnie Mae's approval. On April 30, 2026, the parties entered into an amendment to the November 2025 agreements for the sale of a portion of OMC’s HECM loan portfolio and associated HMBS related borrowings, subject to Ginnie Mae approval and customary closing conditions (see Note 5 - Reverse Mortgages and Note 23 - Subsequent Events).</w:t>
      </w:r>
    </w:p>
    <w:p>
      <w:pPr>
        <w:spacing w:after="0" w:line="7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We had a total of approximately 4,200 employees at March 31, 2026 of which approximately 2,700 were located in India and approximately 400 were based in the Philippines. Our operations in India and the Philippines provide support services to our loan servicing and originations businesses and our corporate functions.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2026 are not necessarily indicative of the results that may be expected for any other interim period or for the year ending December 31, 2026. The unaudited consolidated financial statements presented herein should be read in conjunction with the audited consolidated financial statements and related notes thereto included in our Annual Report on Form 10-K for the year ended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may not add in certain tables due to rounding.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Use of Estimates and Assumptions</w:t>
      </w:r>
    </w:p>
    <w:p>
      <w:pPr>
        <w:spacing w:after="0" w:line="1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 - Credit Losses (Topic 326) Measurement of Credit Losses for Accounts Receivable and Contract Assets (ASU 2025-05)</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amendments in this ASU provide a practical expedient that permits entities to assume that current conditions as of the balance sheet date will remain unchanged for the remaining life of certain current accounts receivable and contract assets when estimating expected credit losses arising from contracts with customers.</w:t>
      </w:r>
    </w:p>
    <w:p>
      <w:pPr>
        <w:spacing w:after="0" w:line="27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amendments are effective prospectively for 2026 annual and interim periods. Our adoption of the ASU on January 1, 2026 did not have a material impact on our consolidated financial statements, results of operations, or cash flows.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115"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7"/>
          <w:szCs w:val="17"/>
          <w:b w:val="1"/>
          <w:bCs w:val="1"/>
          <w:color w:val="auto"/>
        </w:rPr>
        <w:t>Intangibles—Goodwill and Other—Internal-Use Software (ASC 350-40): Targeted Improvements to the Accounting for Internal-Use Software (ASU 2025-06)</w:t>
      </w:r>
    </w:p>
    <w:p>
      <w:pPr>
        <w:spacing w:after="0" w:line="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amendments in this ASU remove references to software development stages and require entities to start capitalizing software costs when (1) management has authorized and committed to funding the software project, and (2) it is probable that the project will be completed and the software will be used to perform the function intended (referred to as the “probable-to-complete recognition threshold”).</w:t>
      </w:r>
    </w:p>
    <w:p>
      <w:pPr>
        <w:spacing w:after="0" w:line="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amendments in this ASU are effective in the 2028 annual period and in 2029 for interim reporting periods. Early adoption is permitted. The standard may be applied using a prospective transition approach, a modified transition approach that is based on the status of the project and whether software costs were capitalized before the date of adoption, or a retrospective transition approach.</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 – Securitizations and Variable Interest Entities</w:t>
      </w:r>
    </w:p>
    <w:p>
      <w:pPr>
        <w:spacing w:after="0" w:line="30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VIEs into the following groups: (1) securitizations of residential mortgage loans, (2) financings of loans held for sale and other related assets, (3) financings of advances and (4) MSR financings. Financing transactions that do not use SPEs or VIEs are disclosed in Note 12 – Borrowings.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Securitizations of Residential Mortgage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Forward Loans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cash flows received from and paid to securitization trusts related to transfers of loans accounted for as sales that were outstanding: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25"/>
        </w:trPr>
        <w:tc>
          <w:tcPr>
            <w:tcW w:w="5120" w:type="dxa"/>
            <w:vAlign w:val="bottom"/>
          </w:tcPr>
          <w:p>
            <w:pPr>
              <w:spacing w:after="0"/>
              <w:rPr>
                <w:sz w:val="19"/>
                <w:szCs w:val="19"/>
                <w:color w:val="auto"/>
              </w:rPr>
            </w:pP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received from securitizations</w:t>
            </w:r>
          </w:p>
        </w:tc>
        <w:tc>
          <w:tcPr>
            <w:tcW w:w="2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5,983.5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4,068.8</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Servicing fees collected </w:t>
            </w:r>
            <w:r>
              <w:rPr>
                <w:rFonts w:ascii="Times New Roman" w:cs="Times New Roman" w:eastAsia="Times New Roman" w:hAnsi="Times New Roman"/>
                <w:sz w:val="22"/>
                <w:szCs w:val="22"/>
                <w:color w:val="auto"/>
                <w:vertAlign w:val="superscript"/>
              </w:rPr>
              <w:t>(1)</w:t>
            </w:r>
          </w:p>
        </w:tc>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previously transferred assets, net of claims reimbursed</w:t>
            </w:r>
          </w:p>
        </w:tc>
        <w:tc>
          <w:tcPr>
            <w:tcW w:w="29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6,031.3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4,104.6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980" w:type="dxa"/>
            <w:vAlign w:val="bottom"/>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10</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51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12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3" w:name="page14"/>
    <w:bookmarkEnd w:id="13"/>
    <w:p>
      <w:pPr>
        <w:ind w:left="320" w:right="280" w:hanging="317"/>
        <w:spacing w:after="0" w:line="257"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unpaid principal balance (UPB) and certain ancillary fees, all of which are reported in Servicing and subservicing fees in the unaudited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these transfers, we retained MSRs of $104.8 million and $60.5 million during the three months ended March 31, 2026 and 2025, respectively.</w:t>
      </w:r>
    </w:p>
    <w:p>
      <w:pPr>
        <w:spacing w:after="0" w:line="11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22 – Contingencies.</w:t>
      </w:r>
    </w:p>
    <w:p>
      <w:pPr>
        <w:spacing w:after="0" w:line="67"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assets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w:t>
            </w:r>
          </w:p>
        </w:tc>
      </w:tr>
      <w:tr>
        <w:trPr>
          <w:trHeight w:val="220"/>
        </w:trPr>
        <w:tc>
          <w:tcPr>
            <w:tcW w:w="810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UPB of loans transferred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67,477.0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64,876.2</w:t>
            </w:r>
          </w:p>
        </w:tc>
      </w:tr>
      <w:tr>
        <w:trPr>
          <w:trHeight w:val="238"/>
        </w:trPr>
        <w:tc>
          <w:tcPr>
            <w:tcW w:w="810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Maximum exposure to loss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65,974.0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640" w:hanging="317"/>
        <w:spacing w:after="0" w:line="248"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$18.6 billion and $17.5 billion of loans delivered to Ginnie Mae as of March 31, 2026 and December 31, 2025, respectively, and includes loan modifications repurchased and delivered through the Ginnie Mae Early Buyout Program (EBO).</w:t>
      </w:r>
    </w:p>
    <w:p>
      <w:pPr>
        <w:ind w:left="320" w:right="40" w:hanging="317"/>
        <w:spacing w:after="0" w:line="243"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of Note 22 – Contingencies.</w:t>
      </w:r>
    </w:p>
    <w:p>
      <w:pPr>
        <w:spacing w:after="0" w:line="9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At March 31, 2026 and December 31, 2025, 2.3% and 2.2%, respectively, of the transferred residential loans that we service were 60 days or more past due, including 60 days or more past due loans under forbearance. This includes 5.6% and 5.5%, respectively, of loans delivered to Ginnie Mae that are 60 days or more past due.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Reverse Mortgages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pool HECM loans into HMBS that we sell into the secondary market with servicing rights retained.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secured financings, with the HECM loans classified as Reverse loans held for sale pooled into HMBS, at fair value (previously Loans held for investment, at fair value through November 2025) on our consolidated balance sheets. Holders of participating interests in the HMBS have no recourse against the assets of Onity, except with respect to standard representations and warranties and our contractual obligation to service the HECM loans and the HMBS.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of Loans Held for Sale, Receivables and Other Assets using SPEs</w:t>
      </w:r>
    </w:p>
    <w:p>
      <w:pPr>
        <w:spacing w:after="0" w:line="11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We consolidate SPEs (trusts) in connection with mortgage warehouse financing facilities structured as repurchase or gestation repurchase facilities whereby mortgage loans held for sale, claim receivables and REO properties, or participation interests therein, are transferred by OMC to trusts for collateralization purposes. We have determined that the trusts are VIEs for which we are the primary beneficiary. Therefore, we have included the trusts in our consolidated financial statements. As of March 31, 2026 and December 31, 2025, $905.6 million and $507.6 million, respectively, assets were pledged as collateral for debt issuances by the trusts in the amount of $876.2 million and $496.1 million, respectively. See Note 12 – Borrowings.</w:t>
      </w:r>
    </w:p>
    <w:p>
      <w:pPr>
        <w:spacing w:after="0" w:line="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finance certain reverse mortgage buyouts that are insured by the FHA, including loans held for sale, claim receivables from HUD and REO properties, through private placement securitizations, referred to as “OLIT transactions”. The securitized assets include assets we purchased from third parties along with mortgage buyouts from our own reverse mortgage portfolio. The securitization trusts issued senior and mezzanine class Notes to third party investors. We retain certain mezzanine class Notes and ownership interests and service the underlying assets. As servicer, we are required to make certain servicing and principal advances that will not be reimbursable to us until all payments of interest and principal have been made to</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 w:name="page15"/>
    <w:bookmarkEnd w:id="14"/>
    <w:p>
      <w:pPr>
        <w:ind w:right="520"/>
        <w:spacing w:after="0" w:line="288" w:lineRule="auto"/>
        <w:rPr>
          <w:sz w:val="20"/>
          <w:szCs w:val="20"/>
          <w:color w:val="auto"/>
        </w:rPr>
      </w:pPr>
      <w:r>
        <w:rPr>
          <w:rFonts w:ascii="Times New Roman" w:cs="Times New Roman" w:eastAsia="Times New Roman" w:hAnsi="Times New Roman"/>
          <w:sz w:val="17"/>
          <w:szCs w:val="17"/>
          <w:color w:val="auto"/>
        </w:rPr>
        <w:t>noteholders. We determined we were the primary beneficiary, and thus consolidate the securitization trusts and related depositors. Recourse for the Notes is limited to the assets of the respective securitization trusts. Also refer to Note 12 – Borrowings.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reported on our consolidated balance sheet that are associated with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OLIT transactions:</w:t>
      </w:r>
    </w:p>
    <w:p>
      <w:pPr>
        <w:sectPr>
          <w:pgSz w:w="11900" w:h="16838" w:orient="portrait"/>
          <w:cols w:equalWidth="0" w:num="1">
            <w:col w:w="11240"/>
          </w:cols>
          <w:pgMar w:left="320" w:top="963" w:right="339" w:bottom="1440" w:gutter="0" w:footer="0" w:header="0"/>
        </w:sect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OLIT transactions -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Mortgage loans (Loans held for sale, at fair value)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REO (Other assets)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Debt service and Interest reserve accounts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163830"/>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41" w:lineRule="exact"/>
        <w:rPr>
          <w:sz w:val="20"/>
          <w:szCs w:val="20"/>
          <w:color w:val="auto"/>
        </w:rPr>
      </w:pPr>
    </w:p>
    <w:p>
      <w:pPr>
        <w:ind w:left="1044" w:hanging="1044"/>
        <w:spacing w:after="0"/>
        <w:tabs>
          <w:tab w:leader="none" w:pos="10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967.2</w:t>
      </w:r>
    </w:p>
    <w:p>
      <w:pPr>
        <w:spacing w:after="0" w:line="27" w:lineRule="exact"/>
        <w:rPr>
          <w:rFonts w:ascii="Times New Roman" w:cs="Times New Roman" w:eastAsia="Times New Roman" w:hAnsi="Times New Roman"/>
          <w:sz w:val="17"/>
          <w:szCs w:val="17"/>
          <w:color w:val="auto"/>
        </w:rPr>
      </w:pPr>
    </w:p>
    <w:p>
      <w:pPr>
        <w:ind w:left="10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168.8</w:t>
      </w:r>
    </w:p>
    <w:p>
      <w:pPr>
        <w:spacing w:after="0" w:line="24" w:lineRule="exact"/>
        <w:rPr>
          <w:rFonts w:ascii="Times New Roman" w:cs="Times New Roman" w:eastAsia="Times New Roman" w:hAnsi="Times New Roman"/>
          <w:sz w:val="17"/>
          <w:szCs w:val="17"/>
          <w:color w:val="auto"/>
        </w:rPr>
      </w:pPr>
    </w:p>
    <w:p>
      <w:pPr>
        <w:ind w:left="1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97.7</w:t>
      </w:r>
    </w:p>
    <w:p>
      <w:pPr>
        <w:spacing w:after="0" w:line="24" w:lineRule="exact"/>
        <w:rPr>
          <w:rFonts w:ascii="Times New Roman" w:cs="Times New Roman" w:eastAsia="Times New Roman" w:hAnsi="Times New Roman"/>
          <w:sz w:val="17"/>
          <w:szCs w:val="17"/>
          <w:color w:val="auto"/>
        </w:rPr>
      </w:pPr>
    </w:p>
    <w:p>
      <w:pPr>
        <w:ind w:left="1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50.7</w:t>
      </w:r>
    </w:p>
    <w:p>
      <w:pPr>
        <w:spacing w:after="0" w:line="33" w:lineRule="exact"/>
        <w:rPr>
          <w:sz w:val="20"/>
          <w:szCs w:val="20"/>
          <w:color w:val="auto"/>
        </w:rPr>
      </w:pPr>
    </w:p>
    <w:p>
      <w:pPr>
        <w:ind w:left="924" w:hanging="924"/>
        <w:spacing w:after="0"/>
        <w:tabs>
          <w:tab w:leader="none" w:pos="9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968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49"/>
        <w:spacing w:after="0"/>
        <w:rPr>
          <w:sz w:val="20"/>
          <w:szCs w:val="20"/>
          <w:color w:val="auto"/>
        </w:rPr>
      </w:pPr>
      <w:r>
        <w:rPr>
          <w:rFonts w:ascii="Times New Roman" w:cs="Times New Roman" w:eastAsia="Times New Roman" w:hAnsi="Times New Roman"/>
          <w:sz w:val="17"/>
          <w:szCs w:val="17"/>
          <w:b w:val="1"/>
          <w:bCs w:val="1"/>
          <w:u w:val="single" w:color="auto"/>
          <w:color w:val="auto"/>
        </w:rPr>
        <w:t>December 31, 2025</w:t>
      </w:r>
    </w:p>
    <w:p>
      <w:pPr>
        <w:spacing w:after="0" w:line="41" w:lineRule="exact"/>
        <w:rPr>
          <w:sz w:val="20"/>
          <w:szCs w:val="20"/>
          <w:color w:val="auto"/>
        </w:rPr>
      </w:pPr>
    </w:p>
    <w:p>
      <w:pPr>
        <w:ind w:left="1049" w:hanging="1049"/>
        <w:spacing w:after="0"/>
        <w:tabs>
          <w:tab w:leader="none" w:pos="104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698.2</w:t>
      </w:r>
    </w:p>
    <w:p>
      <w:pPr>
        <w:spacing w:after="0" w:line="27" w:lineRule="exact"/>
        <w:rPr>
          <w:rFonts w:ascii="Times New Roman" w:cs="Times New Roman" w:eastAsia="Times New Roman" w:hAnsi="Times New Roman"/>
          <w:sz w:val="17"/>
          <w:szCs w:val="17"/>
          <w:color w:val="auto"/>
        </w:rPr>
      </w:pPr>
    </w:p>
    <w:p>
      <w:pPr>
        <w:ind w:left="112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62.6</w:t>
      </w:r>
    </w:p>
    <w:p>
      <w:pPr>
        <w:spacing w:after="0" w:line="24" w:lineRule="exact"/>
        <w:rPr>
          <w:rFonts w:ascii="Times New Roman" w:cs="Times New Roman" w:eastAsia="Times New Roman" w:hAnsi="Times New Roman"/>
          <w:sz w:val="17"/>
          <w:szCs w:val="17"/>
          <w:color w:val="auto"/>
        </w:rPr>
      </w:pPr>
    </w:p>
    <w:p>
      <w:pPr>
        <w:ind w:left="112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81.0</w:t>
      </w:r>
    </w:p>
    <w:p>
      <w:pPr>
        <w:spacing w:after="0" w:line="24" w:lineRule="exact"/>
        <w:rPr>
          <w:rFonts w:ascii="Times New Roman" w:cs="Times New Roman" w:eastAsia="Times New Roman" w:hAnsi="Times New Roman"/>
          <w:sz w:val="17"/>
          <w:szCs w:val="17"/>
          <w:color w:val="auto"/>
        </w:rPr>
      </w:pPr>
    </w:p>
    <w:p>
      <w:pPr>
        <w:ind w:left="112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26.5</w:t>
      </w:r>
    </w:p>
    <w:p>
      <w:pPr>
        <w:spacing w:after="0" w:line="33" w:lineRule="exact"/>
        <w:rPr>
          <w:sz w:val="20"/>
          <w:szCs w:val="20"/>
          <w:color w:val="auto"/>
        </w:rPr>
      </w:pPr>
    </w:p>
    <w:p>
      <w:pPr>
        <w:ind w:left="1049" w:hanging="1049"/>
        <w:spacing w:after="0"/>
        <w:tabs>
          <w:tab w:leader="none" w:pos="104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968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3">
            <w:col w:w="7376" w:space="720"/>
            <w:col w:w="1444" w:space="171"/>
            <w:col w:w="1529"/>
          </w:cols>
          <w:pgMar w:left="320" w:top="963" w:right="3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 UPB (Reverse mortgage securitization notes, net)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951.9</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 and debt issuance costs (Reverse mortgage securitization notes, net)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Accrued interest (Other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901.9</w:t>
            </w:r>
          </w:p>
        </w:tc>
      </w:tr>
      <w:tr>
        <w:trPr>
          <w:trHeight w:val="20"/>
        </w:trPr>
        <w:tc>
          <w:tcPr>
            <w:tcW w:w="8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of Servicing Advances using SPEs</w:t>
      </w:r>
    </w:p>
    <w:p>
      <w:pPr>
        <w:spacing w:after="0" w:line="11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We pledged certain servicing advances as collateral to our advance financing facilities, referred to as advance match funded liabilities. with the use of SPEs that we consolidate and include in our consolidated financial statements. Holders of the debt issued by these entities have recourse only to the assets of the SPE for satisfaction of the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advance financing facilities: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Match funded advances (Advances,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accounts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341.4</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Financings using SPEs</w:t>
      </w:r>
    </w:p>
    <w:p>
      <w:pPr>
        <w:spacing w:after="0" w:line="11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We consolidate SPEs (referred to as ESR Trusts) in connection with third-party financing facilities secured by GSE MSRs and one SPE (PMC PLS ESR Issuer LLC or PLS Issuer) in connection with our PLS MSR financing facility.</w:t>
      </w:r>
    </w:p>
    <w:p>
      <w:pPr>
        <w:spacing w:after="0" w:line="4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determined that the ESR Trusts established in connection with the GSE MSR financing facilities, and PLS Issuer established in connection with the PLS MSR financing facility, are VIEs for which we are the primary beneficiary. Therefore, we have included the ESR Trusts and PLS Issuer in our consolidated financial statements. In addition, Onity guarantees the obligations under the ESR Trusts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GSE MSR financing facilities and the PLS MSR financing facility: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1,035.7</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3 – Fair Value</w:t>
      </w:r>
    </w:p>
    <w:p>
      <w:pPr>
        <w:spacing w:after="0" w:line="30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prioritizes the inputs to valuation techniques into three broad levels whereby the highest priority is given to Level 1 inputs and the lowest to Level 3 inputs.</w:t>
      </w:r>
    </w:p>
    <w:p>
      <w:pPr>
        <w:spacing w:after="0" w:line="11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5"/>
          </w:tcPr>
          <w:p>
            <w:pPr>
              <w:ind w:left="8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0" w:type="dxa"/>
            <w:vAlign w:val="bottom"/>
          </w:tcPr>
          <w:p>
            <w:pPr>
              <w:spacing w:after="0"/>
              <w:rPr>
                <w:sz w:val="19"/>
                <w:szCs w:val="19"/>
                <w:color w:val="auto"/>
              </w:rPr>
            </w:pPr>
          </w:p>
        </w:tc>
        <w:tc>
          <w:tcPr>
            <w:tcW w:w="2980" w:type="dxa"/>
            <w:vAlign w:val="bottom"/>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400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0"/>
        </w:trPr>
        <w:tc>
          <w:tcPr>
            <w:tcW w:w="40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Advances, net </w:t>
            </w:r>
            <w:r>
              <w:rPr>
                <w:rFonts w:ascii="Times New Roman" w:cs="Times New Roman" w:eastAsia="Times New Roman" w:hAnsi="Times New Roman"/>
                <w:sz w:val="22"/>
                <w:szCs w:val="22"/>
                <w:color w:val="auto"/>
                <w:vertAlign w:val="superscript"/>
              </w:rPr>
              <w:t>(b)</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w:t>
            </w:r>
          </w:p>
        </w:tc>
      </w:tr>
      <w:tr>
        <w:trPr>
          <w:trHeight w:val="220"/>
        </w:trPr>
        <w:tc>
          <w:tcPr>
            <w:tcW w:w="40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Loans held for sale, at fair value </w:t>
            </w:r>
            <w:r>
              <w:rPr>
                <w:rFonts w:ascii="Times New Roman" w:cs="Times New Roman" w:eastAsia="Times New Roman" w:hAnsi="Times New Roman"/>
                <w:sz w:val="22"/>
                <w:szCs w:val="22"/>
                <w:color w:val="auto"/>
                <w:vertAlign w:val="superscript"/>
              </w:rPr>
              <w:t>(a) (d)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1,891.7</w:t>
            </w:r>
          </w:p>
        </w:tc>
      </w:tr>
      <w:tr>
        <w:trPr>
          <w:trHeight w:val="168"/>
        </w:trPr>
        <w:tc>
          <w:tcPr>
            <w:tcW w:w="400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Reverse loans held for sale pooled into HMBS, at fair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3"/>
        </w:trPr>
        <w:tc>
          <w:tcPr>
            <w:tcW w:w="4000" w:type="dxa"/>
            <w:vAlign w:val="bottom"/>
          </w:tcPr>
          <w:p>
            <w:pPr>
              <w:ind w:left="200"/>
              <w:spacing w:after="0" w:line="232" w:lineRule="exact"/>
              <w:rPr>
                <w:sz w:val="20"/>
                <w:szCs w:val="20"/>
                <w:color w:val="auto"/>
              </w:rPr>
            </w:pPr>
            <w:r>
              <w:rPr>
                <w:rFonts w:ascii="Times New Roman" w:cs="Times New Roman" w:eastAsia="Times New Roman" w:hAnsi="Times New Roman"/>
                <w:sz w:val="17"/>
                <w:szCs w:val="17"/>
                <w:color w:val="auto"/>
              </w:rPr>
              <w:t xml:space="preserve">value </w:t>
            </w:r>
            <w:r>
              <w:rPr>
                <w:rFonts w:ascii="Times New Roman" w:cs="Times New Roman" w:eastAsia="Times New Roman" w:hAnsi="Times New Roman"/>
                <w:sz w:val="22"/>
                <w:szCs w:val="22"/>
                <w:color w:val="auto"/>
                <w:vertAlign w:val="superscript"/>
              </w:rPr>
              <w:t>(a)</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9,807.5</w:t>
            </w:r>
          </w:p>
        </w:tc>
      </w:tr>
      <w:tr>
        <w:trPr>
          <w:trHeight w:val="220"/>
        </w:trPr>
        <w:tc>
          <w:tcPr>
            <w:tcW w:w="40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Receivables, net </w:t>
            </w:r>
            <w:r>
              <w:rPr>
                <w:rFonts w:ascii="Times New Roman" w:cs="Times New Roman" w:eastAsia="Times New Roman" w:hAnsi="Times New Roman"/>
                <w:sz w:val="22"/>
                <w:szCs w:val="22"/>
                <w:color w:val="auto"/>
                <w:vertAlign w:val="superscript"/>
              </w:rPr>
              <w:t>(b)</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r>
      <w:tr>
        <w:trPr>
          <w:trHeight w:val="245"/>
        </w:trPr>
        <w:tc>
          <w:tcPr>
            <w:tcW w:w="4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40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HMBS-related borrowings, at fair value </w:t>
            </w:r>
            <w:r>
              <w:rPr>
                <w:rFonts w:ascii="Times New Roman" w:cs="Times New Roman" w:eastAsia="Times New Roman" w:hAnsi="Times New Roman"/>
                <w:sz w:val="22"/>
                <w:szCs w:val="22"/>
                <w:color w:val="auto"/>
                <w:vertAlign w:val="superscript"/>
              </w:rPr>
              <w:t>(a)</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9,437.4</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9,611.7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9,611.7</w:t>
            </w:r>
          </w:p>
        </w:tc>
      </w:tr>
      <w:tr>
        <w:trPr>
          <w:trHeight w:val="220"/>
        </w:trPr>
        <w:tc>
          <w:tcPr>
            <w:tcW w:w="40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MSR related financing liabilities, at fair value </w:t>
            </w:r>
            <w:r>
              <w:rPr>
                <w:rFonts w:ascii="Times New Roman" w:cs="Times New Roman" w:eastAsia="Times New Roman" w:hAnsi="Times New Roman"/>
                <w:sz w:val="22"/>
                <w:szCs w:val="22"/>
                <w:color w:val="auto"/>
                <w:vertAlign w:val="superscript"/>
              </w:rPr>
              <w:t>(a)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w:t>
            </w:r>
          </w:p>
        </w:tc>
      </w:tr>
      <w:tr>
        <w:trPr>
          <w:trHeight w:val="220"/>
        </w:trPr>
        <w:tc>
          <w:tcPr>
            <w:tcW w:w="40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MSR financing facilities </w:t>
            </w:r>
            <w:r>
              <w:rPr>
                <w:rFonts w:ascii="Times New Roman" w:cs="Times New Roman" w:eastAsia="Times New Roman" w:hAnsi="Times New Roman"/>
                <w:sz w:val="22"/>
                <w:szCs w:val="22"/>
                <w:color w:val="auto"/>
                <w:vertAlign w:val="superscript"/>
              </w:rPr>
              <w:t>(b) (c)</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1,278.3</w:t>
            </w:r>
          </w:p>
        </w:tc>
      </w:tr>
      <w:tr>
        <w:trPr>
          <w:trHeight w:val="220"/>
        </w:trPr>
        <w:tc>
          <w:tcPr>
            <w:tcW w:w="40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Advance match funded liabilities </w:t>
            </w:r>
            <w:r>
              <w:rPr>
                <w:rFonts w:ascii="Times New Roman" w:cs="Times New Roman" w:eastAsia="Times New Roman" w:hAnsi="Times New Roman"/>
                <w:sz w:val="22"/>
                <w:szCs w:val="22"/>
                <w:color w:val="auto"/>
                <w:vertAlign w:val="superscript"/>
              </w:rPr>
              <w:t>(b)</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w:t>
            </w:r>
          </w:p>
        </w:tc>
      </w:tr>
      <w:tr>
        <w:trPr>
          <w:trHeight w:val="220"/>
        </w:trPr>
        <w:tc>
          <w:tcPr>
            <w:tcW w:w="40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Mortgage warehouse facilities </w:t>
            </w:r>
            <w:r>
              <w:rPr>
                <w:rFonts w:ascii="Times New Roman" w:cs="Times New Roman" w:eastAsia="Times New Roman" w:hAnsi="Times New Roman"/>
                <w:sz w:val="22"/>
                <w:szCs w:val="22"/>
                <w:color w:val="auto"/>
                <w:vertAlign w:val="superscript"/>
              </w:rPr>
              <w:t>(b)</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1,224.6</w:t>
            </w:r>
          </w:p>
        </w:tc>
      </w:tr>
      <w:tr>
        <w:trPr>
          <w:trHeight w:val="220"/>
        </w:trPr>
        <w:tc>
          <w:tcPr>
            <w:tcW w:w="40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securitization notes </w:t>
            </w:r>
            <w:r>
              <w:rPr>
                <w:rFonts w:ascii="Times New Roman" w:cs="Times New Roman" w:eastAsia="Times New Roman" w:hAnsi="Times New Roman"/>
                <w:sz w:val="22"/>
                <w:szCs w:val="22"/>
                <w:color w:val="auto"/>
                <w:vertAlign w:val="superscript"/>
              </w:rPr>
              <w:t>(b) (c)</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909.6</w:t>
            </w:r>
          </w:p>
        </w:tc>
      </w:tr>
      <w:tr>
        <w:trPr>
          <w:trHeight w:val="220"/>
        </w:trPr>
        <w:tc>
          <w:tcPr>
            <w:tcW w:w="40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Senior notes </w:t>
            </w:r>
            <w:r>
              <w:rPr>
                <w:rFonts w:ascii="Times New Roman" w:cs="Times New Roman" w:eastAsia="Times New Roman" w:hAnsi="Times New Roman"/>
                <w:sz w:val="22"/>
                <w:szCs w:val="22"/>
                <w:color w:val="auto"/>
                <w:vertAlign w:val="superscript"/>
              </w:rPr>
              <w:t>(b) (c)</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515.0</w:t>
            </w:r>
          </w:p>
        </w:tc>
      </w:tr>
      <w:tr>
        <w:trPr>
          <w:trHeight w:val="245"/>
        </w:trPr>
        <w:tc>
          <w:tcPr>
            <w:tcW w:w="40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 assets (liabilities), net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40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Interest rate lock commitments (IRLCs) </w:t>
            </w:r>
            <w:r>
              <w:rPr>
                <w:rFonts w:ascii="Times New Roman" w:cs="Times New Roman" w:eastAsia="Times New Roman" w:hAnsi="Times New Roman"/>
                <w:sz w:val="22"/>
                <w:szCs w:val="22"/>
                <w:color w:val="auto"/>
                <w:vertAlign w:val="superscript"/>
              </w:rPr>
              <w:t>(a)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20"/>
        </w:trPr>
        <w:tc>
          <w:tcPr>
            <w:tcW w:w="40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Other derivatives </w:t>
            </w:r>
            <w:r>
              <w:rPr>
                <w:rFonts w:ascii="Times New Roman" w:cs="Times New Roman" w:eastAsia="Times New Roman" w:hAnsi="Times New Roman"/>
                <w:sz w:val="22"/>
                <w:szCs w:val="22"/>
                <w:color w:val="auto"/>
                <w:vertAlign w:val="superscript"/>
              </w:rPr>
              <w:t>(a)</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45"/>
        </w:trPr>
        <w:tc>
          <w:tcPr>
            <w:tcW w:w="40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95"/>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MSRs </w:t>
            </w:r>
            <w:r>
              <w:rPr>
                <w:rFonts w:ascii="Times New Roman" w:cs="Times New Roman" w:eastAsia="Times New Roman" w:hAnsi="Times New Roman"/>
                <w:sz w:val="22"/>
                <w:szCs w:val="22"/>
                <w:color w:val="auto"/>
                <w:vertAlign w:val="superscript"/>
              </w:rPr>
              <w:t>(a)</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3,025.9</w:t>
            </w:r>
          </w:p>
        </w:tc>
        <w:tc>
          <w:tcPr>
            <w:tcW w:w="8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2,825.3</w:t>
            </w:r>
          </w:p>
        </w:tc>
        <w:tc>
          <w:tcPr>
            <w:tcW w:w="10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2,825.3</w:t>
            </w:r>
          </w:p>
        </w:tc>
      </w:tr>
    </w:tbl>
    <w:p>
      <w:pPr>
        <w:spacing w:after="0" w:line="42"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 in our financial statements.</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 in our financial statements.</w:t>
      </w:r>
    </w:p>
    <w:p>
      <w:pPr>
        <w:spacing w:after="0" w:line="6" w:lineRule="exact"/>
        <w:rPr>
          <w:rFonts w:ascii="Times New Roman" w:cs="Times New Roman" w:eastAsia="Times New Roman" w:hAnsi="Times New Roman"/>
          <w:sz w:val="16"/>
          <w:szCs w:val="16"/>
          <w:color w:val="auto"/>
        </w:rPr>
      </w:pPr>
    </w:p>
    <w:p>
      <w:pPr>
        <w:ind w:left="300" w:hanging="297"/>
        <w:spacing w:after="0" w:line="235" w:lineRule="auto"/>
        <w:tabs>
          <w:tab w:leader="none" w:pos="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12 – Borrowings for additional information</w:t>
      </w:r>
      <w:r>
        <w:rPr>
          <w:rFonts w:ascii="Times New Roman" w:cs="Times New Roman" w:eastAsia="Times New Roman" w:hAnsi="Times New Roman"/>
          <w:sz w:val="16"/>
          <w:szCs w:val="16"/>
          <w:b w:val="1"/>
          <w:bCs w:val="1"/>
          <w:color w:val="auto"/>
        </w:rPr>
        <w:t>.</w:t>
      </w:r>
    </w:p>
    <w:p>
      <w:pPr>
        <w:ind w:left="320" w:hanging="317"/>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newly originated portfolio of loans held for sale pending securitization with the Agencies or sale is classified as Level 2; all other loans are classified as Level 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p>
      <w:pPr>
        <w:ind w:right="140"/>
        <w:spacing w:after="0" w:line="275" w:lineRule="auto"/>
        <w:rPr>
          <w:sz w:val="20"/>
          <w:szCs w:val="20"/>
          <w:color w:val="auto"/>
        </w:rPr>
      </w:pPr>
      <w:r>
        <w:rPr>
          <w:rFonts w:ascii="Times New Roman" w:cs="Times New Roman" w:eastAsia="Times New Roman" w:hAnsi="Times New Roman"/>
          <w:sz w:val="17"/>
          <w:szCs w:val="17"/>
          <w:color w:val="auto"/>
        </w:rPr>
        <w:t>The following tables present a reconciliation of the changes in fair value of certain Level 3 assets and liabilities that we measure at fair value on a recurring basis (refer to the respective notes for other Level 3 assets and liabilities):</w:t>
      </w:r>
    </w:p>
    <w:tbl>
      <w:tblPr>
        <w:tblLayout w:type="fixed"/>
        <w:tblInd w:w="0" w:type="dxa"/>
        <w:tblCellMar>
          <w:top w:w="0" w:type="dxa"/>
          <w:left w:w="0" w:type="dxa"/>
          <w:bottom w:w="0" w:type="dxa"/>
          <w:right w:w="0" w:type="dxa"/>
        </w:tblCellMar>
      </w:tblPr>
      <w:tr>
        <w:trPr>
          <w:trHeight w:val="227"/>
        </w:trPr>
        <w:tc>
          <w:tcPr>
            <w:tcW w:w="4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3"/>
                <w:szCs w:val="13"/>
                <w:color w:val="auto"/>
              </w:rPr>
            </w:pPr>
          </w:p>
        </w:tc>
        <w:tc>
          <w:tcPr>
            <w:tcW w:w="160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 Sale</w:t>
            </w:r>
          </w:p>
        </w:tc>
        <w:tc>
          <w:tcPr>
            <w:tcW w:w="26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IRLCs</w:t>
            </w:r>
          </w:p>
        </w:tc>
        <w:tc>
          <w:tcPr>
            <w:tcW w:w="1600" w:type="dxa"/>
            <w:vAlign w:val="bottom"/>
            <w:gridSpan w:val="3"/>
          </w:tcPr>
          <w:p>
            <w:pPr>
              <w:jc w:val="right"/>
              <w:ind w:right="12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 Sale</w:t>
            </w:r>
          </w:p>
        </w:tc>
        <w:tc>
          <w:tcPr>
            <w:tcW w:w="300" w:type="dxa"/>
            <w:vAlign w:val="bottom"/>
          </w:tcPr>
          <w:p>
            <w:pPr>
              <w:spacing w:after="0"/>
              <w:rPr>
                <w:sz w:val="13"/>
                <w:szCs w:val="13"/>
                <w:color w:val="auto"/>
              </w:rPr>
            </w:pPr>
          </w:p>
        </w:tc>
        <w:tc>
          <w:tcPr>
            <w:tcW w:w="120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0"/>
        </w:trPr>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Issuances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Settlements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Loans held for sale, at fair value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loans, at fair value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Advances (incl. capitalization upon Ginnie Mae modification)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additions (disposition/derecognition)</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254.6</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Change in fair value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20" w:hanging="317"/>
        <w:spacing w:after="0" w:line="246"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$(12.3) million and $9.9 million for the three months ended March 31, 2026 and 2025, respectively. See Note 15 – Derivative Financial Instruments and Hedging Activities. A reconciliation from the beginning balances to the ending balances of Reverse loans held for sale pooled into HMBS, HMBS-related borrowings, MSRs and MSR related financing liabilities that we measure at fair value on a recurring basis is disclosed in Note 5 - Reverse Mortgages, Note 7 – Mortgage Servicing and Note 8 — MSR Related Financing Liabilities, at Fair Value, respectively.</w:t>
      </w:r>
    </w:p>
    <w:p>
      <w:pPr>
        <w:spacing w:after="0" w:line="3"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three months ended March 31, 2025, transfers from loans held for investment, at fair value.</w:t>
      </w:r>
    </w:p>
    <w:p>
      <w:pPr>
        <w:spacing w:after="0" w:line="9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significant unobservable assumptions that we make to estimate the fair value of certain assets and liabilities classified as Level 3 and measured at fair value on a recurring basis are provided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11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Repurchased Ginnie Mae forward and reverse loans are classified as Level 3 within the valuation hierarchy. We repurchase certain loans from Ginnie Mae guaranteed securitizations in connection with loan modifications, strategic EBO and loan resolution activity as part of our contractual obligations as the servicer of the loans. The fair value of the forward mortgage loans we purchased from Ginnie Mae guaranteed securitizations is estimated using both observable and</w:t>
      </w:r>
    </w:p>
    <w:p>
      <w:pPr>
        <w:spacing w:after="0" w:line="2"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unobservable inputs, including estimated default, prepayment, and discount rates. Significant unobservable inputs in estimating fair value include the estimated default rate and, for reverse loans the prepayment rate and liquidation timeline.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and Reverse loans Held for Sale pooled into HMBS - Reverse Mortgages</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Reverse mortgage loans classified as loans held for investment through November 2025 and Reverse loans held for sale pooled into HMBS thereafter are carried at fair value and classified as Level 3 within the valuation hierarchy. These loans are not actively traded, and quoted market prices are not available. We measure these loans at fair value based on the expected future cash flows discounted over the expected life of the loans at a rate commensurate with the risk of the estimated cash flows, including future draw commitments for HECM loans. Inputs of the discounted cash flows of these assets include future draws and tail securitization spreads, conditional prepayment rate (including voluntary and involuntary prepayments) and discount rate. We engage third-party valuation experts in the determination of fair value.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7" w:name="page18"/>
    <w:bookmarkEnd w:id="17"/>
    <w:p>
      <w:pPr>
        <w:ind w:right="220"/>
        <w:spacing w:after="0" w:line="265" w:lineRule="auto"/>
        <w:rPr>
          <w:sz w:val="20"/>
          <w:szCs w:val="20"/>
          <w:color w:val="auto"/>
        </w:rPr>
      </w:pPr>
      <w:r>
        <w:rPr>
          <w:rFonts w:ascii="Times New Roman" w:cs="Times New Roman" w:eastAsia="Times New Roman" w:hAnsi="Times New Roman"/>
          <w:sz w:val="17"/>
          <w:szCs w:val="17"/>
          <w:color w:val="auto"/>
        </w:rPr>
        <w:t>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0.8 to 7.8</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to 7.8</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782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Conditional prepayment rate (CPR), including voluntary and involuntary prepayments </w:t>
            </w:r>
            <w:r>
              <w:rPr>
                <w:rFonts w:ascii="Times New Roman" w:cs="Times New Roman" w:eastAsia="Times New Roman" w:hAnsi="Times New Roman"/>
                <w:sz w:val="22"/>
                <w:szCs w:val="22"/>
                <w:color w:val="auto"/>
                <w:vertAlign w:val="superscript"/>
              </w:rPr>
              <w:t>(a)</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 to 26.0%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to 26.6%</w:t>
            </w:r>
          </w:p>
        </w:tc>
        <w:tc>
          <w:tcPr>
            <w:tcW w:w="0" w:type="dxa"/>
            <w:vAlign w:val="bottom"/>
          </w:tcPr>
          <w:p>
            <w:pPr>
              <w:spacing w:after="0"/>
              <w:rPr>
                <w:sz w:val="1"/>
                <w:szCs w:val="1"/>
                <w:color w:val="auto"/>
              </w:rPr>
            </w:pP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 Annualized rate of lifetime projected prepayments as a percentage of the UPB at the beginning of any given period.</w:t>
      </w:r>
    </w:p>
    <w:p>
      <w:pPr>
        <w:spacing w:after="0" w:line="10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Significant changes in any of these assumptions in isolation could result in a significant change in fair value. The effects of changes in the assumptions used to value the securitized reverse loans held for sale pooled into HMBS,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w:t>
      </w:r>
    </w:p>
    <w:p>
      <w:pPr>
        <w:spacing w:after="0" w:line="1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MSRs are carried at fair value and classified within Level 3 of the valuation hierarchy. MSRs are not actively traded, and quoted market prices are not available. 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67"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7"/>
          <w:szCs w:val="17"/>
          <w:color w:val="auto"/>
        </w:rPr>
        <w:t>Effective in the first quarter of 2026, we brought the valuation of our MSRs in-house, and implemented internally managed industry standard valuation and prepayment models to estimate the fair value of MSRs. Previously we outsourced the valuation of our MSRs to third-party valuation experts to provide an estimated fair value of our MSRs.</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To benchmark the reasonableness of our determination of fair value, we supply our portfolio information to multiple third-party valuation experts who generate an independent assessment of fair value. In arriving at their estimated benchmark fair value ranges, the valuation experts utilize industry standard discounted cash flow modeling incorporating an estimate of prepayments, and other usual and customary inputs which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w:t>
      </w:r>
    </w:p>
    <w:p>
      <w:pPr>
        <w:spacing w:after="0" w:line="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The MSR valuation process is subject to significant senior management oversight, including formal approval of MSR valuations and related model and/or assumption updates by Onity’s MSR Valuation Committee.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fair value is equal to the internally modeled fair value mark without adjustment except in the event we have a potential or completed sale, including transactions where we have executed letters of intent, in which case the fair value of the MSRs is recorded at the estimated sale price, or the modeled fair value is outside the range of third-party valuation(s) (benchmarking), in which case we adjust the modeled fair value to ensure it remains within the valuation range provided by at least one of the MSR valuation experts. This determination is separately made for each class of MSR.</w:t>
      </w:r>
    </w:p>
    <w:p>
      <w:pPr>
        <w:spacing w:after="0" w:line="6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p>
      <w:pPr>
        <w:ind w:right="60"/>
        <w:spacing w:after="0" w:line="288" w:lineRule="auto"/>
        <w:rPr>
          <w:sz w:val="20"/>
          <w:szCs w:val="20"/>
          <w:color w:val="auto"/>
        </w:rPr>
      </w:pPr>
      <w:r>
        <w:rPr>
          <w:rFonts w:ascii="Times New Roman" w:cs="Times New Roman" w:eastAsia="Times New Roman" w:hAnsi="Times New Roman"/>
          <w:sz w:val="17"/>
          <w:szCs w:val="17"/>
          <w:color w:val="auto"/>
        </w:rPr>
        <w:t>market interest rates impact float income. The significant unobservable assumptions used in the valuation of these MSRs include discount rate, prepayment speed, delinquency rates, and cost to service.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5"/>
        </w:trPr>
        <w:tc>
          <w:tcPr>
            <w:tcW w:w="2420" w:type="dxa"/>
            <w:vAlign w:val="bottom"/>
          </w:tcPr>
          <w:p>
            <w:pPr>
              <w:ind w:left="20"/>
              <w:spacing w:after="0" w:line="225" w:lineRule="exact"/>
              <w:rPr>
                <w:sz w:val="20"/>
                <w:szCs w:val="20"/>
                <w:color w:val="auto"/>
              </w:rPr>
            </w:pPr>
            <w:r>
              <w:rPr>
                <w:rFonts w:ascii="Times New Roman" w:cs="Times New Roman" w:eastAsia="Times New Roman" w:hAnsi="Times New Roman"/>
                <w:sz w:val="17"/>
                <w:szCs w:val="17"/>
                <w:b w:val="1"/>
                <w:bCs w:val="1"/>
                <w:color w:val="auto"/>
              </w:rPr>
              <w:t xml:space="preserve">assumptions </w:t>
            </w:r>
            <w:r>
              <w:rPr>
                <w:rFonts w:ascii="Times New Roman" w:cs="Times New Roman" w:eastAsia="Times New Roman" w:hAnsi="Times New Roman"/>
                <w:sz w:val="22"/>
                <w:szCs w:val="22"/>
                <w:b w:val="1"/>
                <w:bCs w:val="1"/>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GSE</w:t>
            </w:r>
          </w:p>
        </w:tc>
        <w:tc>
          <w:tcPr>
            <w:tcW w:w="240" w:type="dxa"/>
            <w:vAlign w:val="bottom"/>
          </w:tcPr>
          <w:p>
            <w:pPr>
              <w:spacing w:after="0"/>
              <w:rPr>
                <w:sz w:val="19"/>
                <w:szCs w:val="19"/>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Ginnie Mae</w:t>
            </w:r>
          </w:p>
        </w:tc>
        <w:tc>
          <w:tcPr>
            <w:tcW w:w="18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GSE</w:t>
            </w:r>
          </w:p>
        </w:tc>
        <w:tc>
          <w:tcPr>
            <w:tcW w:w="240" w:type="dxa"/>
            <w:vAlign w:val="bottom"/>
          </w:tcPr>
          <w:p>
            <w:pPr>
              <w:spacing w:after="0"/>
              <w:rPr>
                <w:sz w:val="19"/>
                <w:szCs w:val="19"/>
                <w:color w:val="auto"/>
              </w:rPr>
            </w:pP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Ginnie Mae</w:t>
            </w:r>
          </w:p>
        </w:tc>
        <w:tc>
          <w:tcPr>
            <w:tcW w:w="22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Non-Agency</w:t>
            </w:r>
          </w:p>
        </w:tc>
      </w:tr>
      <w:tr>
        <w:trPr>
          <w:trHeight w:val="22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Discount rate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0"/>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Range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to 9.0%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 to 13.4%</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 to 12.7%</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to 15.1%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 to 15.0%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to 14.5%</w:t>
            </w:r>
          </w:p>
        </w:tc>
      </w:tr>
      <w:tr>
        <w:trPr>
          <w:trHeight w:val="22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r>
      <w:tr>
        <w:trPr>
          <w:trHeight w:val="220"/>
        </w:trPr>
        <w:tc>
          <w:tcPr>
            <w:tcW w:w="2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Prepayment speed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68"/>
        </w:trPr>
        <w:tc>
          <w:tcPr>
            <w:tcW w:w="2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line="168" w:lineRule="exact"/>
              <w:rPr>
                <w:sz w:val="20"/>
                <w:szCs w:val="20"/>
                <w:color w:val="auto"/>
              </w:rPr>
            </w:pPr>
            <w:r>
              <w:rPr>
                <w:rFonts w:ascii="Times New Roman" w:cs="Times New Roman" w:eastAsia="Times New Roman" w:hAnsi="Times New Roman"/>
                <w:sz w:val="17"/>
                <w:szCs w:val="17"/>
                <w:color w:val="auto"/>
              </w:rPr>
              <w:t>4.3% to</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5.4% to</w:t>
            </w:r>
          </w:p>
        </w:tc>
      </w:tr>
      <w:tr>
        <w:trPr>
          <w:trHeight w:val="233"/>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Range</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to 8.5%</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to 9.0%</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to 10.0%</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to 10.6%</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0"/>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18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2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Delinquency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68"/>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7"/>
                <w:szCs w:val="17"/>
                <w:color w:val="auto"/>
              </w:rPr>
              <w:t>11.9% to</w:t>
            </w:r>
          </w:p>
        </w:tc>
        <w:tc>
          <w:tcPr>
            <w:tcW w:w="148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0.4% to</w:t>
            </w:r>
          </w:p>
        </w:tc>
        <w:tc>
          <w:tcPr>
            <w:tcW w:w="2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4.8% to</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3"/>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Range</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to 2.0%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to 12.8%</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to 17.7%</w:t>
            </w:r>
          </w:p>
        </w:tc>
      </w:tr>
      <w:tr>
        <w:trPr>
          <w:trHeight w:val="22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w:t>
            </w: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to service (in dollars)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68"/>
        </w:trPr>
        <w:tc>
          <w:tcPr>
            <w:tcW w:w="2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$71 to</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$110 to</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line="168" w:lineRule="exact"/>
              <w:rPr>
                <w:sz w:val="20"/>
                <w:szCs w:val="20"/>
                <w:color w:val="auto"/>
              </w:rPr>
            </w:pPr>
            <w:r>
              <w:rPr>
                <w:rFonts w:ascii="Times New Roman" w:cs="Times New Roman" w:eastAsia="Times New Roman" w:hAnsi="Times New Roman"/>
                <w:sz w:val="17"/>
                <w:szCs w:val="17"/>
                <w:color w:val="auto"/>
              </w:rPr>
              <w:t>$174 to</w:t>
            </w:r>
          </w:p>
        </w:tc>
        <w:tc>
          <w:tcPr>
            <w:tcW w:w="14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$67 to</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$92 to</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$158 to</w:t>
            </w:r>
          </w:p>
        </w:tc>
      </w:tr>
      <w:tr>
        <w:trPr>
          <w:trHeight w:val="23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Range</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3"/>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72</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173</w:t>
            </w:r>
          </w:p>
        </w:tc>
      </w:tr>
    </w:tbl>
    <w:p>
      <w:pPr>
        <w:spacing w:after="0" w:line="113" w:lineRule="exact"/>
        <w:rPr>
          <w:sz w:val="20"/>
          <w:szCs w:val="20"/>
          <w:color w:val="auto"/>
        </w:rPr>
      </w:pPr>
    </w:p>
    <w:p>
      <w:pPr>
        <w:ind w:left="320" w:right="320" w:hanging="317"/>
        <w:spacing w:after="0" w:line="273" w:lineRule="auto"/>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31, 2026 assumptions reflect the internal model approach implemented in the current quarter, with December 31, 2025 reflecting the assumptions in place under the prior approach.</w:t>
      </w:r>
    </w:p>
    <w:p>
      <w:pPr>
        <w:spacing w:after="0" w:line="5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March 31, 2026 given hypothetical increases in significant unobservable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fair value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discount rate (in percentage points)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discount rate</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prepayment speeds (in percentage points)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prepayment speeds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delinquency (in percentage points)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delinquency</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cost to service (in dollars)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cost to service</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HMBS-Related Borrowings</w:t>
      </w:r>
    </w:p>
    <w:p>
      <w:pPr>
        <w:spacing w:after="0" w:line="119"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7"/>
          <w:szCs w:val="17"/>
          <w:color w:val="auto"/>
        </w:rPr>
        <w:t>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6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0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 to 7.8</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to 7.8</w:t>
            </w: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13.1% to 26.0%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to 26.6%</w:t>
            </w:r>
          </w:p>
        </w:tc>
        <w:tc>
          <w:tcPr>
            <w:tcW w:w="0" w:type="dxa"/>
            <w:vAlign w:val="bottom"/>
          </w:tcPr>
          <w:p>
            <w:pPr>
              <w:spacing w:after="0"/>
              <w:rPr>
                <w:sz w:val="1"/>
                <w:szCs w:val="1"/>
                <w:color w:val="auto"/>
              </w:rPr>
            </w:pPr>
          </w:p>
        </w:tc>
      </w:tr>
      <w:tr>
        <w:trPr>
          <w:trHeight w:val="220"/>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18.9 %</w:t>
            </w: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Significant changes in any of these assumptions in isolation could result in a significant change in fair value. The effects of changes in the assumptions used to value the HMBS-related borrowings are partially offset by the effects of changes in the assumptions used to value the associated pledged reverse loans held for sale pooled into HMBS, excluding future draw commitments.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Pledged MSR Liabilities</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Pledged MSR liabilities are carried at fair value and classified as Level 3 within the valuation hierarchy. We determine the fair value of the pledged MSR liability following a similar approach as for the associated transferred MSRs. Fair value of the pledged MSR liability in connection with the MSR capital partner transactions is determined consistent with the associated MSR, using the same methodology and assumptions, while considering cash flows contractually retained by OMC and expected life of the subservicing agreement, when applicable.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28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7"/>
                <w:szCs w:val="17"/>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20"/>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delinquency rate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subservicing life (in years)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changes in these assumptions in isolation would result in a significant change in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ESS Financing Liability</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Excess Servicing Spread (ESS) financing liability is carried at fair value and classified as Level 3 within the valuation hierarchy. The ESS financing liability consists of the obligation to remit to third parties a specified percentage of future servicing fee collections (excess servicing spread) on reference pools of mortgage loans, which we are entitled to as owner of the related MSRs. The fair value represents the net present value of the expected servicing spread cash flows, consistent with the valuation model and behavioral projections of the underlying MSR, as applicable.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to incorporate discount rate assumption updates for the underlying MSR or other factors. At March 31, 2026 and December 31, 2025, the weighted average discount rate of the ESS financing liability was 9.4% and 9.8%, respectively. Refer to MSRs above for a description of other significant unobservable assumptions.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1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Fair value amounts of IRLCs are adjusted for expected “fallout” (locked pipeline loans not expected to close) using models that consider cumulative historical fallout rates and other factors. IRLCs are classified as Level 3 assets as fallout rates were determined to be significant unobservable assumptions.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4 – Loans Held for Sale - Fair Value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Loans held for sale:</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2,008.5</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 (discount)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1,891.7</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Loans held for sale, at fair value by type:</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c>
          <w:tcPr>
            <w:tcW w:w="0" w:type="dxa"/>
            <w:vAlign w:val="bottom"/>
          </w:tcPr>
          <w:p>
            <w:pPr>
              <w:spacing w:after="0"/>
              <w:rPr>
                <w:sz w:val="1"/>
                <w:szCs w:val="1"/>
                <w:color w:val="auto"/>
              </w:rPr>
            </w:pP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Government- Forward loans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40"/>
              <w:spacing w:after="0" w:line="220" w:lineRule="exact"/>
              <w:rPr>
                <w:sz w:val="20"/>
                <w:szCs w:val="20"/>
                <w:color w:val="auto"/>
              </w:rPr>
            </w:pPr>
            <w:r>
              <w:rPr>
                <w:rFonts w:ascii="Times New Roman" w:cs="Times New Roman" w:eastAsia="Times New Roman" w:hAnsi="Times New Roman"/>
                <w:sz w:val="17"/>
                <w:szCs w:val="17"/>
                <w:color w:val="auto"/>
              </w:rPr>
              <w:t xml:space="preserve">Forward loans repurchased from Ginnie Mae guaranteed securitization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20"/>
        </w:trPr>
        <w:tc>
          <w:tcPr>
            <w:tcW w:w="8100" w:type="dxa"/>
            <w:vAlign w:val="bottom"/>
          </w:tcPr>
          <w:p>
            <w:pPr>
              <w:ind w:left="40"/>
              <w:spacing w:after="0" w:line="220" w:lineRule="exact"/>
              <w:rPr>
                <w:sz w:val="20"/>
                <w:szCs w:val="20"/>
                <w:color w:val="auto"/>
              </w:rPr>
            </w:pPr>
            <w:r>
              <w:rPr>
                <w:rFonts w:ascii="Times New Roman" w:cs="Times New Roman" w:eastAsia="Times New Roman" w:hAnsi="Times New Roman"/>
                <w:sz w:val="17"/>
                <w:szCs w:val="17"/>
                <w:color w:val="auto"/>
              </w:rPr>
              <w:t xml:space="preserve">Reverse loans </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residential mortgage loans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0" w:type="dxa"/>
            <w:vAlign w:val="bottom"/>
          </w:tcPr>
          <w:p>
            <w:pPr>
              <w:spacing w:after="0"/>
              <w:rPr>
                <w:sz w:val="1"/>
                <w:szCs w:val="1"/>
                <w:color w:val="auto"/>
              </w:rPr>
            </w:pP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Ginnie Mae servicing guidelines.</w:t>
      </w:r>
    </w:p>
    <w:p>
      <w:pPr>
        <w:spacing w:after="0" w:line="12" w:lineRule="exact"/>
        <w:rPr>
          <w:rFonts w:ascii="Times New Roman" w:cs="Times New Roman" w:eastAsia="Times New Roman" w:hAnsi="Times New Roman"/>
          <w:sz w:val="16"/>
          <w:szCs w:val="16"/>
          <w:color w:val="auto"/>
        </w:rPr>
      </w:pPr>
    </w:p>
    <w:p>
      <w:pPr>
        <w:ind w:left="320" w:right="60" w:hanging="317"/>
        <w:spacing w:after="0" w:line="277"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reverse mortgage loans purchased from Ginnie Mae securitization pools that reached the 98% of maximum claim amount and are generally liquidated through foreclosure and subsequent sale of the REO properties. As of March 31, 2026 and December 31, 2025, the balance includes $967.2 million and $698.2 million, respectively, of loans pledged as collateral for the Asset-Backed Notes issued by OLIT. Also see Note 2 – Securitizations and Variable Interest Entities and Note 12 – Borrowings.</w:t>
      </w:r>
    </w:p>
    <w:p>
      <w:pPr>
        <w:spacing w:after="0" w:line="1"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second-lien loans and non-Qualified Mortgages.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the activity of Loans held for sale, at fair value: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3"/>
        </w:trPr>
        <w:tc>
          <w:tcPr>
            <w:tcW w:w="1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100" w:type="dxa"/>
            <w:vAlign w:val="bottom"/>
          </w:tcPr>
          <w:p>
            <w:pPr>
              <w:spacing w:after="0"/>
              <w:rPr>
                <w:sz w:val="19"/>
                <w:szCs w:val="19"/>
                <w:color w:val="auto"/>
              </w:rPr>
            </w:pPr>
          </w:p>
        </w:tc>
        <w:tc>
          <w:tcPr>
            <w:tcW w:w="7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100" w:type="dxa"/>
            <w:vAlign w:val="bottom"/>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1,290.2</w:t>
            </w:r>
          </w:p>
        </w:tc>
      </w:tr>
      <w:tr>
        <w:trPr>
          <w:trHeight w:val="220"/>
        </w:trPr>
        <w:tc>
          <w:tcPr>
            <w:tcW w:w="100" w:type="dxa"/>
            <w:vAlign w:val="bottom"/>
          </w:tcPr>
          <w:p>
            <w:pPr>
              <w:spacing w:after="0"/>
              <w:rPr>
                <w:sz w:val="19"/>
                <w:szCs w:val="19"/>
                <w:color w:val="auto"/>
              </w:rPr>
            </w:pPr>
          </w:p>
        </w:tc>
        <w:tc>
          <w:tcPr>
            <w:tcW w:w="7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 and purchases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4,273.3</w:t>
            </w:r>
          </w:p>
        </w:tc>
      </w:tr>
      <w:tr>
        <w:trPr>
          <w:trHeight w:val="220"/>
        </w:trPr>
        <w:tc>
          <w:tcPr>
            <w:tcW w:w="100" w:type="dxa"/>
            <w:vAlign w:val="bottom"/>
          </w:tcPr>
          <w:p>
            <w:pPr>
              <w:spacing w:after="0"/>
              <w:rPr>
                <w:sz w:val="19"/>
                <w:szCs w:val="19"/>
                <w:color w:val="auto"/>
              </w:rPr>
            </w:pPr>
          </w:p>
        </w:tc>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(4,082.6)</w:t>
            </w:r>
          </w:p>
        </w:tc>
      </w:tr>
      <w:tr>
        <w:trPr>
          <w:trHeight w:val="220"/>
        </w:trPr>
        <w:tc>
          <w:tcPr>
            <w:tcW w:w="100" w:type="dxa"/>
            <w:vAlign w:val="bottom"/>
          </w:tcPr>
          <w:p>
            <w:pPr>
              <w:spacing w:after="0"/>
              <w:rPr>
                <w:sz w:val="19"/>
                <w:szCs w:val="19"/>
                <w:color w:val="auto"/>
              </w:rPr>
            </w:pPr>
          </w:p>
        </w:tc>
        <w:tc>
          <w:tcPr>
            <w:tcW w:w="7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collections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20"/>
        </w:trPr>
        <w:tc>
          <w:tcPr>
            <w:tcW w:w="100" w:type="dxa"/>
            <w:vAlign w:val="bottom"/>
          </w:tcPr>
          <w:p>
            <w:pPr>
              <w:spacing w:after="0"/>
              <w:rPr>
                <w:sz w:val="19"/>
                <w:szCs w:val="19"/>
                <w:color w:val="auto"/>
              </w:rPr>
            </w:pPr>
          </w:p>
        </w:tc>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from (to):</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100" w:type="dxa"/>
            <w:vAlign w:val="bottom"/>
          </w:tcPr>
          <w:p>
            <w:pPr>
              <w:spacing w:after="0"/>
              <w:rPr>
                <w:sz w:val="19"/>
                <w:szCs w:val="19"/>
                <w:color w:val="auto"/>
              </w:rPr>
            </w:pPr>
          </w:p>
        </w:tc>
        <w:tc>
          <w:tcPr>
            <w:tcW w:w="7880" w:type="dxa"/>
            <w:vAlign w:val="bottom"/>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loans, at fair value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100" w:type="dxa"/>
            <w:vAlign w:val="bottom"/>
          </w:tcPr>
          <w:p>
            <w:pPr>
              <w:spacing w:after="0"/>
              <w:rPr>
                <w:sz w:val="19"/>
                <w:szCs w:val="19"/>
                <w:color w:val="auto"/>
              </w:rPr>
            </w:pPr>
          </w:p>
        </w:tc>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20"/>
        </w:trPr>
        <w:tc>
          <w:tcPr>
            <w:tcW w:w="100" w:type="dxa"/>
            <w:vAlign w:val="bottom"/>
          </w:tcPr>
          <w:p>
            <w:pPr>
              <w:spacing w:after="0"/>
              <w:rPr>
                <w:sz w:val="19"/>
                <w:szCs w:val="19"/>
                <w:color w:val="auto"/>
              </w:rPr>
            </w:pPr>
          </w:p>
        </w:tc>
        <w:tc>
          <w:tcPr>
            <w:tcW w:w="7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REO (Other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20"/>
        </w:trPr>
        <w:tc>
          <w:tcPr>
            <w:tcW w:w="100" w:type="dxa"/>
            <w:vAlign w:val="bottom"/>
          </w:tcPr>
          <w:p>
            <w:pPr>
              <w:spacing w:after="0"/>
              <w:rPr>
                <w:sz w:val="19"/>
                <w:szCs w:val="19"/>
                <w:color w:val="auto"/>
              </w:rPr>
            </w:pPr>
          </w:p>
        </w:tc>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Advances (incl. capitalization upon Ginnie Mae modifications)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100" w:type="dxa"/>
            <w:vAlign w:val="bottom"/>
          </w:tcPr>
          <w:p>
            <w:pPr>
              <w:spacing w:after="0"/>
              <w:rPr>
                <w:sz w:val="19"/>
                <w:szCs w:val="19"/>
                <w:color w:val="auto"/>
              </w:rPr>
            </w:pPr>
          </w:p>
        </w:tc>
        <w:tc>
          <w:tcPr>
            <w:tcW w:w="788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Fair value gain (loss) on loans held for sale, at fair value </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0"/>
        </w:trPr>
        <w:tc>
          <w:tcPr>
            <w:tcW w:w="100" w:type="dxa"/>
            <w:vAlign w:val="bottom"/>
          </w:tcPr>
          <w:p>
            <w:pPr>
              <w:spacing w:after="0"/>
              <w:rPr>
                <w:sz w:val="19"/>
                <w:szCs w:val="19"/>
                <w:color w:val="auto"/>
              </w:rPr>
            </w:pPr>
          </w:p>
        </w:tc>
        <w:tc>
          <w:tcPr>
            <w:tcW w:w="78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13"/>
        </w:trPr>
        <w:tc>
          <w:tcPr>
            <w:tcW w:w="1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1,402.2</w:t>
            </w:r>
          </w:p>
        </w:tc>
      </w:tr>
      <w:tr>
        <w:trPr>
          <w:trHeight w:val="20"/>
        </w:trPr>
        <w:tc>
          <w:tcPr>
            <w:tcW w:w="1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hanging="317"/>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three months ended March 31, 2025, transfers from loans held for investment, at fair value.</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below table of Gain (loss) on loans held for sale, net, excluding MSRs retained on transfers of forward mortgage loans.</w:t>
      </w:r>
    </w:p>
    <w:p>
      <w:pPr>
        <w:ind w:left="320" w:hanging="317"/>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capitalized interest on reverse loans, reported within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components of Gain (loss) on loans held for sale, net: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8"/>
        </w:trPr>
        <w:tc>
          <w:tcPr>
            <w:tcW w:w="8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Loans Held for Sale,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retained on transfers of forward mortgage loans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r>
      <w:tr>
        <w:trPr>
          <w:trHeight w:val="220"/>
        </w:trPr>
        <w:tc>
          <w:tcPr>
            <w:tcW w:w="81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Loss on sale of forward mortgage loans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Gain (loss) on sale of repurchased Ginnie Mae loans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3"/>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at fair value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economic hedge derivative instruments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IRLCs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representation and warranty obligations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Realized gain (loss) on sale of loans, excluding retained MSRs.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5 - Reverse Mortgages</w:t>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following table presents the estimated fair value of reverse mortgage loans classified as held for sale, at fair value and previously classified as Loans held for investment, at fair value. Loans were reclassified to loans held for sale, at fair value (pursuant to the fair value election) at December 31, 2025 as we intend, and agreed to sell the loans to FAR in November 2025 along with the HMBS-related borrowings at book value (determined at closing of the transaction). At March 31, 2026, the transaction remained contingent on Ginnie Mae’s approval. On April 30, 2026, the parties entered into an amendment to the</w:t>
      </w:r>
    </w:p>
    <w:p>
      <w:pPr>
        <w:spacing w:after="0" w:line="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November 2025 agreements whereby OMC has agreed to sell reverse MSRs comprised of approximately 20,000 HECM loans and the HMBS related borrowings, subject to Ginnie Mae approval and customary closing conditions. Gross proceeds from the amended sale are an estimated $105 to $115 million after pricing related adjustments, including a slight discount to book value, and before transaction costs, repayment of certain warehouse financings, and other adjustments, including as a result of asset and liabilities balances as of the closing date. Following these payments and adjustments, the transaction is expected to result in net proceeds at closing of approximately $70 to $80 million. As of March 31, 2026, the balances include $5,525 million securitized assets ($5,145 million UPB), the associated $5,451 million HMBS-related borrowings (or net $74 million reverse MSR), and approximately $43 million newly originated reverse loans and tails pending securitization and net servicing related liabilities. See Note 23 - Subsequent Events for additional information.</w:t>
      </w:r>
    </w:p>
    <w:p>
      <w:pPr>
        <w:spacing w:after="0" w:line="7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7"/>
          <w:szCs w:val="17"/>
          <w:color w:val="auto"/>
        </w:rPr>
        <w:t>The reverse loans described herein exclude reverse loans pledged as collateral for the asset-backed securitization notes issued by OLIT and certain non HECM loans which are classified as Loans held for sale, at fair value on the face of the consolidated balance sheets for all periods presented.</w:t>
      </w:r>
    </w:p>
    <w:tbl>
      <w:tblPr>
        <w:tblLayout w:type="fixed"/>
        <w:tblInd w:w="240" w:type="dxa"/>
        <w:tblCellMar>
          <w:top w:w="0" w:type="dxa"/>
          <w:left w:w="0" w:type="dxa"/>
          <w:bottom w:w="0" w:type="dxa"/>
          <w:right w:w="0" w:type="dxa"/>
        </w:tblCellMar>
      </w:tblPr>
      <w:tr>
        <w:trPr>
          <w:trHeight w:val="227"/>
        </w:trPr>
        <w:tc>
          <w:tcPr>
            <w:tcW w:w="7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9,083.4</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9,333.0</w:t>
            </w:r>
          </w:p>
        </w:tc>
      </w:tr>
      <w:tr>
        <w:trPr>
          <w:trHeight w:val="22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adjustments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474.5</w:t>
            </w:r>
          </w:p>
        </w:tc>
      </w:tr>
      <w:tr>
        <w:trPr>
          <w:trHeight w:val="238"/>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reverse mortgage loans by type: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9"/>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1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HECM loans - securitized, pledged to HMBS-related borrowings </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9,703.1</w:t>
            </w:r>
          </w:p>
        </w:tc>
      </w:tr>
      <w:tr>
        <w:trPr>
          <w:trHeight w:val="220"/>
        </w:trPr>
        <w:tc>
          <w:tcPr>
            <w:tcW w:w="8100" w:type="dxa"/>
            <w:vAlign w:val="bottom"/>
            <w:tcBorders>
              <w:bottom w:val="single" w:sz="8" w:color="CCEEFF"/>
            </w:tcBorders>
          </w:tcPr>
          <w:p>
            <w:pPr>
              <w:ind w:left="40"/>
              <w:spacing w:after="0" w:line="220" w:lineRule="exact"/>
              <w:rPr>
                <w:sz w:val="20"/>
                <w:szCs w:val="20"/>
                <w:color w:val="auto"/>
              </w:rPr>
            </w:pPr>
            <w:r>
              <w:rPr>
                <w:rFonts w:ascii="Times New Roman" w:cs="Times New Roman" w:eastAsia="Times New Roman" w:hAnsi="Times New Roman"/>
                <w:sz w:val="17"/>
                <w:szCs w:val="17"/>
                <w:color w:val="auto"/>
              </w:rPr>
              <w:t xml:space="preserve">New HECM loan originations and HECM loan tails </w:t>
            </w:r>
            <w:r>
              <w:rPr>
                <w:rFonts w:ascii="Times New Roman" w:cs="Times New Roman" w:eastAsia="Times New Roman" w:hAnsi="Times New Roman"/>
                <w:sz w:val="22"/>
                <w:szCs w:val="22"/>
                <w:color w:val="auto"/>
                <w:vertAlign w:val="superscript"/>
              </w:rPr>
              <w:t>(2) (3)</w:t>
            </w:r>
            <w:r>
              <w:rPr>
                <w:rFonts w:ascii="Times New Roman" w:cs="Times New Roman" w:eastAsia="Times New Roman" w:hAnsi="Times New Roman"/>
                <w:sz w:val="17"/>
                <w:szCs w:val="17"/>
                <w:color w:val="auto"/>
              </w:rPr>
              <w:t xml:space="preserve"> - unsecuritized</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right="260" w:hanging="317"/>
        <w:spacing w:after="0" w:line="252"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Ginnie Mae securitization of conventional, HECM loans does not qualify for sale accounting treatment and is accounted for as a secured financing transaction, with the recognition of both loans and HMBS-related borrowing on the consolidated balance sheets.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Tails include draws on securitized HECM loans, mortgage insurance premium, servicing fee and other advances which we subsequently securitize.</w:t>
      </w:r>
    </w:p>
    <w:p>
      <w:pPr>
        <w:spacing w:after="0" w:line="22" w:lineRule="exact"/>
        <w:rPr>
          <w:rFonts w:ascii="Times New Roman" w:cs="Times New Roman" w:eastAsia="Times New Roman" w:hAnsi="Times New Roman"/>
          <w:sz w:val="16"/>
          <w:szCs w:val="16"/>
          <w:color w:val="auto"/>
        </w:rPr>
      </w:pPr>
    </w:p>
    <w:p>
      <w:pPr>
        <w:ind w:left="320" w:right="480" w:hanging="317"/>
        <w:spacing w:after="0" w:line="257"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and December 31, 2025, the balance includes $27.2 million and $58.4 million, respectively, of new HECM loan originations pending pooling into HMBS (pipeline loans).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2" w:name="page23"/>
    <w:bookmarkEnd w:id="22"/>
    <w:p>
      <w:pPr>
        <w:ind w:right="140" w:firstLine="155"/>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activity in reverse mortgage loans and HMBS-related borrowings that do not qualify for sale accounting and for which we elected the fair value option:</w:t>
      </w:r>
    </w:p>
    <w:p>
      <w:pPr>
        <w:sectPr>
          <w:pgSz w:w="11900" w:h="16838" w:orient="portrait"/>
          <w:cols w:equalWidth="0" w:num="1">
            <w:col w:w="11240"/>
          </w:cols>
          <w:pgMar w:left="320" w:top="9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Originations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Securitization of HECM loans accounted for as a financing</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Additional proceeds from securitization of HECM loans and tails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Transfers to:</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Receivables, net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REO (Other assets)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Other</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Fair value gains (losses) included in earnings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Reverse Mortgage</w:t>
            </w:r>
          </w:p>
        </w:tc>
        <w:tc>
          <w:tcPr>
            <w:tcW w:w="16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40" w:type="dxa"/>
            <w:vAlign w:val="bottom"/>
          </w:tcPr>
          <w:p>
            <w:pPr>
              <w:spacing w:after="0"/>
              <w:rPr>
                <w:sz w:val="13"/>
                <w:szCs w:val="13"/>
                <w:color w:val="auto"/>
              </w:rPr>
            </w:pPr>
          </w:p>
        </w:tc>
        <w:tc>
          <w:tcPr>
            <w:tcW w:w="13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68"/>
        </w:trPr>
        <w:tc>
          <w:tcPr>
            <w:tcW w:w="1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1320" w:type="dxa"/>
            <w:vAlign w:val="bottom"/>
            <w:gridSpan w:val="2"/>
          </w:tcPr>
          <w:p>
            <w:pPr>
              <w:jc w:val="center"/>
              <w:ind w:right="380"/>
              <w:spacing w:after="0" w:line="232" w:lineRule="exact"/>
              <w:rPr>
                <w:sz w:val="20"/>
                <w:szCs w:val="20"/>
                <w:color w:val="auto"/>
              </w:rPr>
            </w:pPr>
            <w:r>
              <w:rPr>
                <w:rFonts w:ascii="Times New Roman" w:cs="Times New Roman" w:eastAsia="Times New Roman" w:hAnsi="Times New Roman"/>
                <w:sz w:val="17"/>
                <w:szCs w:val="17"/>
                <w:b w:val="1"/>
                <w:bCs w:val="1"/>
                <w:color w:val="auto"/>
                <w:w w:val="94"/>
              </w:rPr>
              <w:t xml:space="preserve">Loans </w:t>
            </w:r>
            <w:r>
              <w:rPr>
                <w:rFonts w:ascii="Times New Roman" w:cs="Times New Roman" w:eastAsia="Times New Roman" w:hAnsi="Times New Roman"/>
                <w:sz w:val="22"/>
                <w:szCs w:val="22"/>
                <w:b w:val="1"/>
                <w:bCs w:val="1"/>
                <w:color w:val="auto"/>
                <w:w w:val="94"/>
                <w:vertAlign w:val="superscript"/>
              </w:rPr>
              <w:t>(1)</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40" w:type="dxa"/>
            <w:vAlign w:val="bottom"/>
          </w:tcPr>
          <w:p>
            <w:pPr>
              <w:spacing w:after="0"/>
              <w:rPr>
                <w:sz w:val="20"/>
                <w:szCs w:val="20"/>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0" w:type="dxa"/>
            <w:vAlign w:val="bottom"/>
          </w:tcPr>
          <w:p>
            <w:pPr>
              <w:spacing w:after="0"/>
              <w:rPr>
                <w:sz w:val="1"/>
                <w:szCs w:val="1"/>
                <w:color w:val="auto"/>
              </w:rPr>
            </w:pPr>
          </w:p>
        </w:tc>
      </w:tr>
      <w:tr>
        <w:trPr>
          <w:trHeight w:val="209"/>
        </w:trPr>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9,807.5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(9,611.7)</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11,125.3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(10,872.1)</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(309.1)</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777.1</w:t>
            </w:r>
          </w:p>
        </w:tc>
        <w:tc>
          <w:tcPr>
            <w:tcW w:w="0" w:type="dxa"/>
            <w:vAlign w:val="bottom"/>
          </w:tcPr>
          <w:p>
            <w:pPr>
              <w:spacing w:after="0"/>
              <w:rPr>
                <w:sz w:val="1"/>
                <w:szCs w:val="1"/>
                <w:color w:val="auto"/>
              </w:rPr>
            </w:pPr>
          </w:p>
        </w:tc>
      </w:tr>
      <w:tr>
        <w:trPr>
          <w:trHeight w:val="436"/>
        </w:trPr>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(9,437.4)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(10,587.6)</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-1722120</wp:posOffset>
            </wp:positionV>
            <wp:extent cx="7138035"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-1435100</wp:posOffset>
            </wp:positionV>
            <wp:extent cx="7138035"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-1156335</wp:posOffset>
            </wp:positionV>
            <wp:extent cx="7138035" cy="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-877570</wp:posOffset>
            </wp:positionV>
            <wp:extent cx="7138035" cy="139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-598170</wp:posOffset>
            </wp:positionV>
            <wp:extent cx="7138035" cy="139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-319405</wp:posOffset>
            </wp:positionV>
            <wp:extent cx="7138035" cy="139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620" w:space="260"/>
            <w:col w:w="6360"/>
          </w:cols>
          <w:pgMar w:left="320" w:top="963" w:right="339" w:bottom="1440" w:gutter="0" w:footer="0" w:header="0"/>
          <w:type w:val="continuous"/>
        </w:sectPr>
      </w:pPr>
    </w:p>
    <w:p>
      <w:pPr>
        <w:ind w:left="320" w:right="280" w:hanging="317"/>
        <w:spacing w:after="0" w:line="246"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were reclassified from held for investment, at fair value to held for sale, at fair value in November 2025. The $560.1 million repayments of reverse mortgage loans for the three months ended March 31, 2026 include $559.8 million of repayments of loans that were classified as held for sale at December 31, 2025 and previously held for investment, which remain presented as investing cash flows in the consolidated statement of cash flows.</w:t>
      </w:r>
    </w:p>
    <w:p>
      <w:pPr>
        <w:spacing w:after="0" w:line="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further breakdown of the net gain (loss) in the table below. Includes interest accruals.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presents the Fair value gains (losses) on reverse loans and HMBS-related borrowings included in earnings: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gains (losses) included in earnings</w:t>
            </w: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gains (losses) of Reverse mortgage loans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gains (losses) of HMBS related borrowings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fair value gains (losses) included in earnings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the components of Gain (loss) on reverse loans and HMBS-related borrowings,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Reverse Loans and HMBS-related Borrowings, Net</w:t>
            </w: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Gain on new originations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Net interest income (servicing fee) </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change in fair value of securitized loans and HMBS-related borrowings,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3"/>
        </w:trPr>
        <w:tc>
          <w:tcPr>
            <w:tcW w:w="8100" w:type="dxa"/>
            <w:vAlign w:val="bottom"/>
          </w:tcPr>
          <w:p>
            <w:pPr>
              <w:ind w:left="100"/>
              <w:spacing w:after="0" w:line="212" w:lineRule="exact"/>
              <w:rPr>
                <w:sz w:val="20"/>
                <w:szCs w:val="20"/>
                <w:color w:val="auto"/>
              </w:rPr>
            </w:pPr>
            <w:r>
              <w:rPr>
                <w:rFonts w:ascii="Times New Roman" w:cs="Times New Roman" w:eastAsia="Times New Roman" w:hAnsi="Times New Roman"/>
                <w:sz w:val="17"/>
                <w:szCs w:val="17"/>
                <w:color w:val="auto"/>
              </w:rPr>
              <w:t xml:space="preserve">Fair value gains (losses) included in earnings </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HECM hedging derivative gains (losses) </w:t>
            </w:r>
            <w:r>
              <w:rPr>
                <w:rFonts w:ascii="Times New Roman" w:cs="Times New Roman" w:eastAsia="Times New Roman" w:hAnsi="Times New Roman"/>
                <w:sz w:val="22"/>
                <w:szCs w:val="22"/>
                <w:color w:val="auto"/>
                <w:vertAlign w:val="superscript"/>
              </w:rPr>
              <w:t>(4)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fees and 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2"/>
                <w:szCs w:val="22"/>
                <w:color w:val="auto"/>
                <w:vertAlign w:val="superscript"/>
              </w:rPr>
              <w:t>(5)</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changes in fair value of newly originated reverse mortgage loans in the period from interest rate lock commitment date through securitization date.</w:t>
      </w:r>
    </w:p>
    <w:p>
      <w:pPr>
        <w:spacing w:after="0" w:line="16" w:lineRule="exact"/>
        <w:rPr>
          <w:rFonts w:ascii="Times New Roman" w:cs="Times New Roman" w:eastAsia="Times New Roman" w:hAnsi="Times New Roman"/>
          <w:sz w:val="16"/>
          <w:szCs w:val="16"/>
          <w:color w:val="auto"/>
        </w:rPr>
      </w:pPr>
    </w:p>
    <w:p>
      <w:pPr>
        <w:ind w:left="320" w:right="400" w:hanging="317"/>
        <w:spacing w:after="0" w:line="265"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interest income on reverse mortgage loans less the interest expense on HMBS-related borrowings. The net interest income includes the servicing fee Onity is contractually entitled to on securitized loans.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23" w:name="page24"/>
    <w:bookmarkEnd w:id="23"/>
    <w:p>
      <w:pPr>
        <w:ind w:left="320" w:hanging="317"/>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breakdown between Reverse mortgage loans and HMBS-related borrowings in the table above.</w:t>
      </w:r>
    </w:p>
    <w:p>
      <w:pPr>
        <w:spacing w:after="0" w:line="22" w:lineRule="exact"/>
        <w:rPr>
          <w:rFonts w:ascii="Times New Roman" w:cs="Times New Roman" w:eastAsia="Times New Roman" w:hAnsi="Times New Roman"/>
          <w:sz w:val="16"/>
          <w:szCs w:val="16"/>
          <w:color w:val="auto"/>
        </w:rPr>
      </w:pPr>
    </w:p>
    <w:p>
      <w:pPr>
        <w:ind w:left="320" w:right="660" w:hanging="317"/>
        <w:spacing w:after="0" w:line="248"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began separately hedging our reverse exposure to interest rate in the fourth quarter of 2025 (also refer to Note 15 – Derivative Financial Instruments and Hedging Activities).</w:t>
      </w:r>
    </w:p>
    <w:p>
      <w:pPr>
        <w:ind w:left="320" w:hanging="317"/>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were reclassified from held for investment, at fair value to held for sale, at fair value in November 2025.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6 – Advances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5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servicing advances by type:</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and interest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and insurance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w:t>
            </w: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Foreclosures, bankruptcy, REO and other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w:t>
            </w: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advances, before allowance for losses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487.9</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3"/>
        </w:trPr>
        <w:tc>
          <w:tcPr>
            <w:tcW w:w="810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Advances, net </w:t>
            </w:r>
            <w:r>
              <w:rPr>
                <w:rFonts w:ascii="Times New Roman" w:cs="Times New Roman" w:eastAsia="Times New Roman" w:hAnsi="Times New Roman"/>
                <w:sz w:val="22"/>
                <w:szCs w:val="22"/>
                <w:b w:val="1"/>
                <w:b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483.4</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40" w:right="60" w:hanging="237"/>
        <w:spacing w:after="0" w:line="246" w:lineRule="auto"/>
        <w:tabs>
          <w:tab w:leader="none" w:pos="37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no state represented a balance exceeding 5% of the total advances (based on the underlying property location of the related mortgage loans), except for the state of New York with $24.6 million.</w:t>
      </w:r>
    </w:p>
    <w:p>
      <w:pPr>
        <w:ind w:left="240" w:right="220" w:hanging="237"/>
        <w:spacing w:after="0" w:line="253" w:lineRule="auto"/>
        <w:tabs>
          <w:tab w:leader="none" w:pos="2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no single counterparty represented a balance exceeding 5% of the total, except for one subservicing client with $30.6 million. Generally, unreimbursed advances may be recovered from principal and interest collections or advance recoveries.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servicing advances by investor:</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0" w:type="dxa"/>
            <w:vAlign w:val="bottom"/>
          </w:tcPr>
          <w:p>
            <w:pPr>
              <w:spacing w:after="0"/>
              <w:rPr>
                <w:sz w:val="1"/>
                <w:szCs w:val="1"/>
                <w:color w:val="auto"/>
              </w:rPr>
            </w:pPr>
          </w:p>
        </w:tc>
      </w:tr>
      <w:tr>
        <w:trPr>
          <w:trHeight w:val="22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Ginnie Mae</w:t>
            </w:r>
          </w:p>
        </w:tc>
        <w:tc>
          <w:tcPr>
            <w:tcW w:w="140" w:type="dxa"/>
            <w:vAlign w:val="bottom"/>
          </w:tcPr>
          <w:p>
            <w:pPr>
              <w:spacing w:after="0"/>
              <w:rPr>
                <w:sz w:val="19"/>
                <w:szCs w:val="19"/>
                <w:color w:val="auto"/>
              </w:rPr>
            </w:pPr>
          </w:p>
        </w:tc>
        <w:tc>
          <w:tcPr>
            <w:tcW w:w="136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0" w:type="dxa"/>
            <w:vAlign w:val="bottom"/>
          </w:tcPr>
          <w:p>
            <w:pPr>
              <w:spacing w:after="0"/>
              <w:rPr>
                <w:sz w:val="1"/>
                <w:szCs w:val="1"/>
                <w:color w:val="auto"/>
              </w:rPr>
            </w:pPr>
          </w:p>
        </w:tc>
      </w:tr>
      <w:tr>
        <w:trPr>
          <w:trHeight w:val="21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in net advances: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Allowance for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584.6</w:t>
            </w:r>
          </w:p>
        </w:tc>
        <w:tc>
          <w:tcPr>
            <w:tcW w:w="0" w:type="dxa"/>
            <w:vAlign w:val="bottom"/>
          </w:tcPr>
          <w:p>
            <w:pPr>
              <w:spacing w:after="0"/>
              <w:rPr>
                <w:sz w:val="1"/>
                <w:szCs w:val="1"/>
                <w:color w:val="auto"/>
              </w:rPr>
            </w:pPr>
          </w:p>
        </w:tc>
      </w:tr>
      <w:tr>
        <w:trPr>
          <w:trHeight w:val="220"/>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New advances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from (to) Receivables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0"/>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Transfer from (to) REO</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of advances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0"/>
        </w:trPr>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Acquisition of advances in connection with the purchase of MSRs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 to Loans held for sale (incl. capitalization upon Ginnie Mae modifications)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0"/>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Collections of advances and other</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(261.4)</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Allowance for Losses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Allowance for Losses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0"/>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Provision expense</w:t>
            </w:r>
          </w:p>
        </w:tc>
        <w:tc>
          <w:tcPr>
            <w:tcW w:w="140" w:type="dxa"/>
            <w:vAlign w:val="bottom"/>
          </w:tcPr>
          <w:p>
            <w:pPr>
              <w:spacing w:after="0"/>
              <w:rPr>
                <w:sz w:val="19"/>
                <w:szCs w:val="19"/>
                <w:color w:val="auto"/>
              </w:rPr>
            </w:pPr>
          </w:p>
        </w:tc>
        <w:tc>
          <w:tcPr>
            <w:tcW w:w="136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charge-offs and other</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Allowance for Losses</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135"/>
        </w:trPr>
        <w:tc>
          <w:tcPr>
            <w:tcW w:w="810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7"/>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7 – Mortgage Servicing</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504"/>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MSR portfolio:</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8"/>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780" w:type="dxa"/>
            <w:vAlign w:val="bottom"/>
            <w:tcBorders>
              <w:bottom w:val="single" w:sz="8" w:color="auto"/>
            </w:tcBorders>
          </w:tcPr>
          <w:p>
            <w:pPr>
              <w:spacing w:after="0"/>
              <w:rPr>
                <w:sz w:val="24"/>
                <w:szCs w:val="24"/>
                <w:color w:val="auto"/>
              </w:rPr>
            </w:pPr>
          </w:p>
        </w:tc>
      </w:tr>
      <w:tr>
        <w:trPr>
          <w:trHeight w:val="381"/>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240" w:type="dxa"/>
            <w:vAlign w:val="bottom"/>
          </w:tcPr>
          <w:p>
            <w:pPr>
              <w:spacing w:after="0"/>
              <w:rPr>
                <w:sz w:val="24"/>
                <w:szCs w:val="24"/>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billions)</w:t>
            </w:r>
          </w:p>
        </w:tc>
        <w:tc>
          <w:tcPr>
            <w:tcW w:w="240" w:type="dxa"/>
            <w:vAlign w:val="bottom"/>
          </w:tcPr>
          <w:p>
            <w:pPr>
              <w:spacing w:after="0"/>
              <w:rPr>
                <w:sz w:val="24"/>
                <w:szCs w:val="24"/>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8"/>
              </w:rPr>
              <w:t>billions)</w:t>
            </w:r>
          </w:p>
        </w:tc>
      </w:tr>
      <w:tr>
        <w:trPr>
          <w:trHeight w:val="213"/>
        </w:trPr>
        <w:tc>
          <w:tcPr>
            <w:tcW w:w="506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7"/>
                <w:szCs w:val="17"/>
                <w:color w:val="auto"/>
              </w:rPr>
              <w:t xml:space="preserve">Owned MSRs </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2,479.3</w:t>
            </w:r>
          </w:p>
        </w:tc>
        <w:tc>
          <w:tcPr>
            <w:tcW w:w="76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2,244.3</w:t>
            </w:r>
          </w:p>
        </w:tc>
        <w:tc>
          <w:tcPr>
            <w:tcW w:w="76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r>
      <w:tr>
        <w:trPr>
          <w:trHeight w:val="220"/>
        </w:trPr>
        <w:tc>
          <w:tcPr>
            <w:tcW w:w="506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Transferred MSR, subject to Pledged MSR liability </w:t>
            </w:r>
            <w:r>
              <w:rPr>
                <w:rFonts w:ascii="Times New Roman" w:cs="Times New Roman" w:eastAsia="Times New Roman" w:hAnsi="Times New Roman"/>
                <w:sz w:val="22"/>
                <w:szCs w:val="22"/>
                <w:color w:val="auto"/>
                <w:vertAlign w:val="superscript"/>
              </w:rPr>
              <w:t>(2) (3)</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546.6</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581.0</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38"/>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MSRs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3,025.9</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2,825.3</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$343.0 million and $373.5 million fair value of MSRs related to ESS financing liabilities at March 31, 2026 and December 31, 2025, respectively.</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subject to sale or transfer agreements that do not meet sale accounting criteria. See Note 8 — MSR Related Financing Liabilities, at Fair Value.</w:t>
      </w:r>
    </w:p>
    <w:p>
      <w:pPr>
        <w:spacing w:after="0" w:line="6" w:lineRule="exact"/>
        <w:rPr>
          <w:rFonts w:ascii="Times New Roman" w:cs="Times New Roman" w:eastAsia="Times New Roman" w:hAnsi="Times New Roman"/>
          <w:sz w:val="16"/>
          <w:szCs w:val="16"/>
          <w:color w:val="auto"/>
        </w:rPr>
      </w:pPr>
    </w:p>
    <w:p>
      <w:pPr>
        <w:ind w:left="320" w:right="40" w:hanging="317"/>
        <w:spacing w:after="0" w:line="238"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$84.2 million fair value and $6.9 billion UPB related to Rithm at March 31, 2026 subject to termination notice - refer to Note 8 — MSR Related Financing Liabilities, at Fair Value.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MSR portfolio by investor: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381"/>
        </w:trPr>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7"/>
                <w:szCs w:val="17"/>
                <w:b w:val="1"/>
                <w:bCs w:val="1"/>
                <w:color w:val="auto"/>
              </w:rPr>
              <w:t>UPB ($ billions)</w:t>
            </w:r>
          </w:p>
        </w:tc>
        <w:tc>
          <w:tcPr>
            <w:tcW w:w="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UPB ($</w:t>
            </w: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billions)</w:t>
            </w:r>
          </w:p>
        </w:tc>
      </w:tr>
      <w:tr>
        <w:trPr>
          <w:trHeight w:val="213"/>
        </w:trPr>
        <w:tc>
          <w:tcPr>
            <w:tcW w:w="2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2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Ginnie Mae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0" w:type="dxa"/>
            <w:vAlign w:val="bottom"/>
            <w:tcBorders>
              <w:bottom w:val="single" w:sz="8" w:color="auto"/>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MSRs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3,025.9</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2,825.3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3"/>
        </w:trPr>
        <w:tc>
          <w:tcPr>
            <w:tcW w:w="6340" w:type="dxa"/>
            <w:vAlign w:val="bottom"/>
            <w:gridSpan w:val="10"/>
          </w:tcPr>
          <w:p>
            <w:pPr>
              <w:jc w:val="right"/>
              <w:ind w:right="274"/>
              <w:spacing w:after="0"/>
              <w:rPr>
                <w:sz w:val="20"/>
                <w:szCs w:val="20"/>
                <w:color w:val="auto"/>
              </w:rPr>
            </w:pPr>
            <w:r>
              <w:rPr>
                <w:rFonts w:ascii="Times New Roman" w:cs="Times New Roman" w:eastAsia="Times New Roman" w:hAnsi="Times New Roman"/>
                <w:sz w:val="17"/>
                <w:szCs w:val="17"/>
                <w:color w:val="auto"/>
              </w:rPr>
              <w:t>The following table summarizes the delinquency status of loans underlying our MSRs: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Delinquent loans</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GSE</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Ginnie Mae</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Non - Agency</w:t>
            </w:r>
          </w:p>
        </w:tc>
        <w:tc>
          <w:tcPr>
            <w:tcW w:w="1000" w:type="dxa"/>
            <w:vAlign w:val="bottom"/>
            <w:gridSpan w:val="4"/>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GSE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Ginnie Mae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Non - Agency</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days</w:t>
            </w:r>
          </w:p>
        </w:tc>
        <w:tc>
          <w:tcPr>
            <w:tcW w:w="9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2.5 %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5"/>
              </w:rPr>
              <w:t>4.9 %</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2.9 %</w:t>
            </w:r>
          </w:p>
        </w:tc>
        <w:tc>
          <w:tcPr>
            <w:tcW w:w="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days</w:t>
            </w:r>
          </w:p>
        </w:tc>
        <w:tc>
          <w:tcPr>
            <w:tcW w:w="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0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days or more</w:t>
            </w:r>
          </w:p>
        </w:tc>
        <w:tc>
          <w:tcPr>
            <w:tcW w:w="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30-60-90 days or more</w:t>
            </w: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8"/>
                <w:szCs w:val="18"/>
                <w:color w:val="auto"/>
              </w:rPr>
            </w:pP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9.2 %</w:t>
            </w: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5.1 %</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7"/>
                <w:szCs w:val="17"/>
                <w:color w:val="auto"/>
                <w:w w:val="95"/>
              </w:rPr>
              <w:t>9.9 %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17.5 %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5.7 %</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22</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of our MSRs: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Servicing Rights – At Fair Value</w:t>
            </w: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84"/>
        </w:trPr>
        <w:tc>
          <w:tcPr>
            <w:tcW w:w="8100" w:type="dxa"/>
            <w:vAlign w:val="bottom"/>
            <w:vMerge w:val="continue"/>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42"/>
        </w:trPr>
        <w:tc>
          <w:tcPr>
            <w:tcW w:w="8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2,825.3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2,466.3</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Sales </w:t>
            </w:r>
            <w:r>
              <w:rPr>
                <w:rFonts w:ascii="Times New Roman" w:cs="Times New Roman" w:eastAsia="Times New Roman" w:hAnsi="Times New Roman"/>
                <w:sz w:val="22"/>
                <w:szCs w:val="22"/>
                <w:color w:val="auto"/>
                <w:vertAlign w:val="superscript"/>
              </w:rPr>
              <w:t>(3)</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Recognized on the sale of residential mortgage loans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MSRs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Servicing transfers and adjustments </w:t>
            </w:r>
            <w:r>
              <w:rPr>
                <w:rFonts w:ascii="Times New Roman" w:cs="Times New Roman" w:eastAsia="Times New Roman" w:hAnsi="Times New Roman"/>
                <w:sz w:val="22"/>
                <w:szCs w:val="22"/>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additions (sales)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0" w:type="dxa"/>
            <w:vAlign w:val="bottom"/>
          </w:tcPr>
          <w:p>
            <w:pPr>
              <w:spacing w:after="0"/>
              <w:rPr>
                <w:sz w:val="1"/>
                <w:szCs w:val="1"/>
                <w:color w:val="auto"/>
              </w:rPr>
            </w:pPr>
          </w:p>
        </w:tc>
      </w:tr>
      <w:tr>
        <w:trPr>
          <w:trHeight w:val="20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recognized in earnings: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valuation inputs or assumptions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Realization of cash flows </w:t>
            </w:r>
            <w:r>
              <w:rPr>
                <w:rFonts w:ascii="Times New Roman" w:cs="Times New Roman" w:eastAsia="Times New Roman" w:hAnsi="Times New Roman"/>
                <w:sz w:val="22"/>
                <w:szCs w:val="22"/>
                <w:color w:val="auto"/>
                <w:vertAlign w:val="superscript"/>
              </w:rPr>
              <w:t>(2)</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gains (losses) recognized in earnings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0" w:type="dxa"/>
            <w:vAlign w:val="bottom"/>
          </w:tcPr>
          <w:p>
            <w:pPr>
              <w:spacing w:after="0"/>
              <w:rPr>
                <w:sz w:val="1"/>
                <w:szCs w:val="1"/>
                <w:color w:val="auto"/>
              </w:rPr>
            </w:pPr>
          </w:p>
        </w:tc>
      </w:tr>
      <w:tr>
        <w:trPr>
          <w:trHeight w:val="135"/>
        </w:trPr>
        <w:tc>
          <w:tcPr>
            <w:tcW w:w="8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3,025.9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80" w:hanging="317"/>
        <w:spacing w:after="0" w:line="24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 2026, we derecognized a portion of the Rithm Pledged MSR liability with a UPB of $1.2 billion associated with Rithm servicing agreements for which MSR sale accounting criteria were met. See Note 8 — MSR Related Financing Liabilities, at Fair Value.</w:t>
      </w: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Realization of expected cash flows and passage of time.</w:t>
      </w:r>
    </w:p>
    <w:p>
      <w:pPr>
        <w:ind w:left="320" w:right="440" w:hanging="317"/>
        <w:spacing w:after="0" w:line="248"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5, 2026 we completed a sale of certain owned MSRs, with subservicing retained with a UPB of $1.3 billion. The sale proceeds were used to settle the related outstanding ESS financing liability. Refer to Note 8 — MSR Related Financing Liabilities, at Fair Value.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our servicing and subservicing fee revenue: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61"/>
        </w:trPr>
        <w:tc>
          <w:tcPr>
            <w:tcW w:w="8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Revenue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and subservicing fees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fee on owned MSR</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20"/>
        </w:trPr>
        <w:tc>
          <w:tcPr>
            <w:tcW w:w="81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Servicing fee on transferred MSR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Servicing fees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 fees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Late charges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Servicing and subservicing fees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Owned MSR and Subservicing</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r>
      <w:tr>
        <w:trPr>
          <w:trHeight w:val="295"/>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Transferred MSR </w:t>
            </w:r>
            <w:r>
              <w:rPr>
                <w:rFonts w:ascii="Times New Roman" w:cs="Times New Roman" w:eastAsia="Times New Roman" w:hAnsi="Times New Roman"/>
                <w:sz w:val="22"/>
                <w:szCs w:val="22"/>
                <w:color w:val="auto"/>
                <w:vertAlign w:val="superscript"/>
              </w:rPr>
              <w:t>(1) (2)</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r>
    </w:tbl>
    <w:p>
      <w:pPr>
        <w:spacing w:after="0" w:line="55" w:lineRule="exact"/>
        <w:rPr>
          <w:sz w:val="20"/>
          <w:szCs w:val="20"/>
          <w:color w:val="auto"/>
        </w:rPr>
      </w:pPr>
    </w:p>
    <w:p>
      <w:pPr>
        <w:ind w:left="320" w:right="440" w:hanging="317"/>
        <w:spacing w:after="0" w:line="248"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collected on behalf of, and remitted to, respective parties related to transferred MSRs that do not achieve sale accounting. Remittances are reported within Pledged MSR liability expense. See Note 8 — MSR Related Financing Liabilities, at Fair Value</w:t>
      </w:r>
      <w:r>
        <w:rPr>
          <w:rFonts w:ascii="Times New Roman" w:cs="Times New Roman" w:eastAsia="Times New Roman" w:hAnsi="Times New Roman"/>
          <w:sz w:val="16"/>
          <w:szCs w:val="16"/>
          <w:b w:val="1"/>
          <w:bCs w:val="1"/>
          <w:color w:val="auto"/>
        </w:rPr>
        <w:t>.</w:t>
      </w:r>
    </w:p>
    <w:p>
      <w:pPr>
        <w:ind w:left="320" w:right="280" w:hanging="317"/>
        <w:spacing w:after="0" w:line="265"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 million and $3.5 million for the three months ended March 31, 2026 and 2025, respectively, of ancillary income associated with transferred MSRs that do not achieve sale accounting, and is subject to remittances reported within Pledged MSR liability expense.</w:t>
      </w:r>
    </w:p>
    <w:p>
      <w:pPr>
        <w:spacing w:after="0" w:line="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consolidated balance sheets. Float balances amounted to $3.40 billion and $2.58 billion at March 31, 2026 and December 31, 2025,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7"/>
          <w:szCs w:val="17"/>
          <w:b w:val="1"/>
          <w:bCs w:val="1"/>
          <w:color w:val="auto"/>
        </w:rPr>
        <w:t>Note 8 — MSR Related Financing Liabilities, at Fair Value</w:t>
      </w:r>
    </w:p>
    <w:p>
      <w:pPr>
        <w:spacing w:after="0" w:line="31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following table presents MSR related financing liabilities carried at fair value which include pledged MSR liabilities recorded in connection with MSR transfers, subservicing retained, that do not qualify for sale accounting, and MSR excess servicing spread (ESS) financing liability carried at fair value pursuant to our election of the fair value option for risk management purposes.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20" w:type="dxa"/>
            <w:vAlign w:val="bottom"/>
            <w:tcBorders>
              <w:bottom w:val="single" w:sz="8" w:color="auto"/>
            </w:tcBorders>
          </w:tcPr>
          <w:p>
            <w:pPr>
              <w:spacing w:after="0"/>
              <w:rPr>
                <w:sz w:val="19"/>
                <w:szCs w:val="19"/>
                <w:color w:val="auto"/>
              </w:rPr>
            </w:pPr>
          </w:p>
        </w:tc>
      </w:tr>
      <w:tr>
        <w:trPr>
          <w:trHeight w:val="213"/>
        </w:trPr>
        <w:tc>
          <w:tcPr>
            <w:tcW w:w="8100" w:type="dxa"/>
            <w:vAlign w:val="bottom"/>
            <w:gridSpan w:val="2"/>
          </w:tcPr>
          <w:p>
            <w:pPr>
              <w:ind w:left="342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020" w:type="dxa"/>
            <w:vAlign w:val="bottom"/>
            <w:tcBorders>
              <w:top w:val="single" w:sz="8" w:color="auto"/>
            </w:tcBorders>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Pledged MSR liability, at fair value </w:t>
            </w:r>
            <w:r>
              <w:rPr>
                <w:rFonts w:ascii="Times New Roman" w:cs="Times New Roman" w:eastAsia="Times New Roman" w:hAnsi="Times New Roman"/>
                <w:sz w:val="22"/>
                <w:szCs w:val="22"/>
                <w:color w:val="auto"/>
                <w:vertAlign w:val="superscript"/>
              </w:rPr>
              <w:t>(1) (3)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573.2</w:t>
            </w:r>
          </w:p>
        </w:tc>
      </w:tr>
      <w:tr>
        <w:trPr>
          <w:trHeight w:val="220"/>
        </w:trPr>
        <w:tc>
          <w:tcPr>
            <w:tcW w:w="810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ESS financing liability, at fair value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268.8</w:t>
            </w:r>
          </w:p>
        </w:tc>
      </w:tr>
      <w:tr>
        <w:trPr>
          <w:trHeight w:val="238"/>
        </w:trPr>
        <w:tc>
          <w:tcPr>
            <w:tcW w:w="8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MSR related financing liabilities,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80" w:hanging="317"/>
        <w:spacing w:after="0" w:line="249"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transferred in transactions which do not qualify for sale accounting treatment.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The fair value of the Pledged MSR liability may differ from the fair value of the associated transferred MSR asset mostly due to the portion of ancillary income that is contractually retained by OMC or other contractual cash flows.</w:t>
      </w:r>
    </w:p>
    <w:p>
      <w:pPr>
        <w:spacing w:after="0" w:line="1" w:lineRule="exact"/>
        <w:rPr>
          <w:rFonts w:ascii="Times New Roman" w:cs="Times New Roman" w:eastAsia="Times New Roman" w:hAnsi="Times New Roman"/>
          <w:sz w:val="16"/>
          <w:szCs w:val="16"/>
          <w:color w:val="auto"/>
        </w:rPr>
      </w:pPr>
    </w:p>
    <w:p>
      <w:pPr>
        <w:ind w:left="320" w:right="40" w:hanging="317"/>
        <w:spacing w:after="0" w:line="246"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obligation to remit to third parties a specified percentage of future servicing fee collections (excess servicing spread) on reference pools of mortgage loans, which we are entitled to as owner of the related MSRs. The servicing spread remittance is reported in Pledged MSR liability expense and fair value gains and losses of the ESS financing liability are reported in MSR valuation adjustments, net - See Note 9 – MSR Valuation Adjustments, Net.</w:t>
      </w:r>
    </w:p>
    <w:p>
      <w:pPr>
        <w:spacing w:after="0" w:line="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$84.2 million fair value and $6.9 billion UPB related to Rithm at March 31, 2026 subject to termination notice - see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activity of the MSR related financing liabilities, at fair value that are classified as Level 3 within the valuation hierarchy.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MSR related financing liabilities - Fair value</w:t>
            </w: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84"/>
        </w:trPr>
        <w:tc>
          <w:tcPr>
            <w:tcW w:w="8100" w:type="dxa"/>
            <w:vAlign w:val="bottom"/>
            <w:vMerge w:val="continue"/>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42"/>
        </w:trPr>
        <w:tc>
          <w:tcPr>
            <w:tcW w:w="8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w:t>
            </w:r>
          </w:p>
        </w:tc>
        <w:tc>
          <w:tcPr>
            <w:tcW w:w="0" w:type="dxa"/>
            <w:vAlign w:val="bottom"/>
          </w:tcPr>
          <w:p>
            <w:pPr>
              <w:spacing w:after="0"/>
              <w:rPr>
                <w:sz w:val="1"/>
                <w:szCs w:val="1"/>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transfers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ESS settlement </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Derecognition of financing liability </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 loss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fair value due to inputs and assumptions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Realization of cash flows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fair value (gain) loss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240" w:hanging="317"/>
        <w:spacing w:after="0" w:line="256"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 2026, we derecognized a portion of the Rithm Pledged MSR liability with a UPB of $1.2 billion as MSR sale accounting criteria were met upon our transfer of title to the MSRs in connection with Rithm’s exercise of its termination right of the agreement with Onity disclosed below.</w:t>
      </w:r>
    </w:p>
    <w:p>
      <w:pPr>
        <w:spacing w:after="0" w:line="1" w:lineRule="exact"/>
        <w:rPr>
          <w:rFonts w:ascii="Times New Roman" w:cs="Times New Roman" w:eastAsia="Times New Roman" w:hAnsi="Times New Roman"/>
          <w:sz w:val="16"/>
          <w:szCs w:val="16"/>
          <w:color w:val="auto"/>
        </w:rPr>
      </w:pPr>
    </w:p>
    <w:p>
      <w:pPr>
        <w:ind w:left="320" w:right="440" w:hanging="317"/>
        <w:spacing w:after="0" w:line="265"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5, 2026 we completed a sale of certain owned MSRs, with subservicing retained with a UPB of $1.3 billion. The sale proceeds were used to settle the related outstanding ESS financing liability. Refer to Note 7 – Mortgage Servicing.</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7" w:name="page28"/>
    <w:bookmarkEnd w:id="27"/>
    <w:p>
      <w:pPr>
        <w:ind w:right="66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Pledged MSR liability expense recorded in connection with MSR sale agreements that do not qualify for sale accounting (transferred MSR) and ESS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Borders>
              <w:bottom w:val="single" w:sz="8" w:color="auto"/>
            </w:tcBorders>
          </w:tcPr>
          <w:p>
            <w:pPr>
              <w:spacing w:after="0"/>
              <w:rPr>
                <w:sz w:val="18"/>
                <w:szCs w:val="18"/>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transferred MSRs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Onity</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fee/income and other settlement (including expense reimbursement)</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Transferred MSR net servicing fee remittance</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servicing spread remittance</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Pledged MSR liability expense</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0"/>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Three Months Ended March 31,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Rithm Transactions</w:t>
      </w:r>
    </w:p>
    <w:p>
      <w:pPr>
        <w:spacing w:after="0" w:line="1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Starting in 2012, Onity and OMC entered into agreements to sell MSRs and the related servicing advances to Rithm, for which OMC has been retained as subservicer. Since December 31, 2023, we have accounted for the relationships in two ways: (i) as an MSR transfer that does not qualify for sale accounting for a UPB of $6.9 billion which are referred to as Rights to MSRs (RMSR) and accounted for as a secured borrowing, with $84.2 million MSR and associated Pledged MSR liability on our consolidated balance sheet as of March 31, 2026; and (ii) as subservicing agreements for a UPB of $22.7 billion (UPB balances as of March 31, 2026).</w:t>
      </w:r>
    </w:p>
    <w:p>
      <w:pPr>
        <w:spacing w:after="0" w:line="7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The RMSR agreement and subservicing agreements were subject to automatic one-year renewals, subject to advance notice of termination. On October 31, 2025, we were notified by Rithm of its intent not to renew its subservicing agreements effective January 31, 2026. The termination is for convenience and not for cause. The servicing transfer to Rithm’s own servicing platform began in 2026 with the transfer of $1.2 billion RMSR UPB and $0.6 billion subservicing UPB on March 1, 2026 (also refer to Note 23 – Subsequent Events).</w:t>
      </w:r>
    </w:p>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transfer of the remaining $6.9 billion UPB of the RMSR agreement is subject to the receipt of necessary consents from trustees and others, the timing and success of which are uncertain. Upon exercise of its termination right of the RMSR agreement, Rithm has the option of seeking (i) the transfer of the MSRs through a sale to a third party of its Rights to MSRs (together with a transfer of Onity’s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specified in the RMSR Agreements.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RMSR Agreements would be transferred to up to three subservicers who would subservice under Onity’s oversight. If such a subservicing arrangement were established, Onity would receive an oversight fee and reimbursement of expenses. We may also agree on alternative arrangements that are not contemplated under our existing agreements or that are variations of those contemplated under our existing agreements.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Capital Partner Transactions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OMC entered into agreements to sell MSR portfolios to different third parties, referred to as MSR capital partners, on a bulk and flow basis, for which OMC has been retained as subservicer. While MSR legal title has transferred to the MSR capital partners, the transactions do not qualify for sale accounting treatment primarily due to the termination restrictions of the subservicing agreements. Accordingly, we continue to report the MSR and an associated Pledged MSR liability on our consolidated balance sheets.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MSR Valuation Adjustments, Net</w:t>
      </w:r>
    </w:p>
    <w:p>
      <w:pPr>
        <w:spacing w:after="0" w:line="119"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7"/>
          <w:szCs w:val="17"/>
          <w:color w:val="auto"/>
        </w:rPr>
        <w:t>The table below presents the components of MSR valuation adjustments, net, that include four MSR related instruments which we account for at fair value with changes in fair value recorded in earnings (also refer to Note 7 – Mortgage Servicing and Note 8 — MSR Related Financing Liabilities, at Fair Value):</w:t>
      </w:r>
    </w:p>
    <w:p>
      <w:pPr>
        <w:spacing w:after="0" w:line="1" w:lineRule="exact"/>
        <w:rPr>
          <w:sz w:val="20"/>
          <w:szCs w:val="20"/>
          <w:color w:val="auto"/>
        </w:rPr>
      </w:pPr>
    </w:p>
    <w:p>
      <w:pPr>
        <w:ind w:left="700" w:right="40" w:hanging="231"/>
        <w:spacing w:after="0" w:line="270" w:lineRule="auto"/>
        <w:tabs>
          <w:tab w:leader="none" w:pos="67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total MSR portfolio (Total MSRs) recorded on our consolidated balance sheets ($3.0 billion fair value asset at March 31, 2026). Total MSRs include owned MSRs and MSRs that have been sold or transferred to third parties in transactions that do not achieve sale accounting criteria. Owned MSRs include MSRs subject to ESS financing transactions;</w:t>
      </w:r>
    </w:p>
    <w:p>
      <w:pPr>
        <w:spacing w:after="0" w:line="12" w:lineRule="exact"/>
        <w:rPr>
          <w:rFonts w:ascii="Times New Roman" w:cs="Times New Roman" w:eastAsia="Times New Roman" w:hAnsi="Times New Roman"/>
          <w:sz w:val="17"/>
          <w:szCs w:val="17"/>
          <w:color w:val="auto"/>
        </w:rPr>
      </w:pPr>
    </w:p>
    <w:p>
      <w:pPr>
        <w:ind w:left="700" w:right="220" w:hanging="231"/>
        <w:spacing w:after="0" w:line="288" w:lineRule="auto"/>
        <w:tabs>
          <w:tab w:leader="none" w:pos="72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Pledged MSR liabilities recorded as liabilities on our consolidated balance sheets when MSR sale accounting criteria are not achieved ($541.2 million fair value liability at March 31,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8" w:name="page29"/>
    <w:bookmarkEnd w:id="28"/>
    <w:p>
      <w:pPr>
        <w:ind w:left="700" w:right="80" w:hanging="231"/>
        <w:spacing w:after="0" w:line="285" w:lineRule="auto"/>
        <w:tabs>
          <w:tab w:leader="none" w:pos="76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ESS financing liabilities for which we elected the fair value option ($253.4 million fair value liability at March 31, 2026); and</w:t>
      </w:r>
    </w:p>
    <w:p>
      <w:pPr>
        <w:ind w:left="760" w:hanging="291"/>
        <w:spacing w:after="0"/>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derivative instruments economically hedging the MSR exposure.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20"/>
        </w:trPr>
        <w:tc>
          <w:tcPr>
            <w:tcW w:w="81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Pledged MSR liabilities </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financing liabilities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155"/>
        </w:trPr>
        <w:tc>
          <w:tcPr>
            <w:tcW w:w="8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Derivative fair value gain (loss) (MSR economic hedges) </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155"/>
        </w:trPr>
        <w:tc>
          <w:tcPr>
            <w:tcW w:w="8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changes in fair value due to realization of cash flows, net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95"/>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Total changes in fair value due to inputs and assumptions </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106" w:lineRule="exact"/>
        <w:rPr>
          <w:sz w:val="20"/>
          <w:szCs w:val="20"/>
          <w:color w:val="auto"/>
        </w:rPr>
      </w:pPr>
    </w:p>
    <w:p>
      <w:pPr>
        <w:ind w:left="320" w:hanging="317"/>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 transfers that do not achieve sale accounting.</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15 – Derivative Financial Instruments and Hedging Activities.</w:t>
      </w:r>
    </w:p>
    <w:p>
      <w:pPr>
        <w:ind w:left="320" w:hanging="317"/>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MSR hedging derivative gains (losses); excludes reverse mortgage exposure (see below).</w:t>
      </w:r>
    </w:p>
    <w:p>
      <w:pPr>
        <w:spacing w:after="0" w:line="9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MSR valuation adjustments, net exclude fair value changes of reverse mortgage loans net of HMBS related-borrowings which were included in our economic MSR interest rate risk hedge strategy through September 30, 2025 (refer to Note 15 – Derivative Financial Instruments and Hedging Activities), and are separately presented as Gain on reverse loans and HMBS-related borrowings, net (Other change in fair value of securitized loans and HMBS-related borrowings, net) within our consolidated statements of operations (refer to Note 5 - Reverse Mortgages).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Note 10 – Receivables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29"/>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receivables: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Reverse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Forward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custodial accounts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and reimbursable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 from sale of MSRs (holdback)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3"/>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Income taxes receivable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3"/>
        </w:trPr>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20" w:right="40" w:hanging="317"/>
        <w:spacing w:after="0" w:line="247"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$28.2 million and $27.9 million at March 31, 2026 and December 31, 2025, respectively, from the USVI Bureau of Internal Revenue (BIR) for a refund of income taxes paid in prior years. In December 2022, we executed an agreement with the BIR for payment of the income tax refunds related to tax years 2013 through 2015, plus accrued interest, over a two-year period ending December 31, 2024. The BIR did not make the payment that was due on December 31, 2023 nor any subsequent payments pursuant to the agreement. On February 8, 2024, we filed a lawsuit against the USVI for the refund of income taxes paid in prior years and for the USVI’s breach of the above-referenced agreement; the USVI is defending against such claims and contesting that such refunds are owed. On April 30, 2025, the USVI filed an additional lawsuit against us alleging that we did not meet the conditions for receiving benefits under our Economic Development Commission Certificate. We have filed a motion to dismiss, which remains pending. See Note 22 –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Losses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Charge-offs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At March 31, 2026 and December 31, 2025, the allowance for losses related to FHA-, VA- or USDA insured loans repurchased from Ginnie Mae guaranteed securitizations (government-insured claims) was $17.0 million and $15.5 million, respectively.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Note 11 – Other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4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 net - See Note 17</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REO ($97.7 and $81.0 related to VIEs)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 - See Note 15</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(including prepaid lender fees)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related receivable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Intangible assets, net (net of accumulated amortization of $14.3 and $14.0)</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Note 12 – Borrowings</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40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Remaining Borrowing Capacity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60" w:type="dxa"/>
            <w:vAlign w:val="bottom"/>
          </w:tcPr>
          <w:p>
            <w:pPr>
              <w:spacing w:after="0"/>
              <w:rPr>
                <w:sz w:val="8"/>
                <w:szCs w:val="8"/>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Expected</w:t>
            </w:r>
          </w:p>
        </w:tc>
        <w:tc>
          <w:tcPr>
            <w:tcW w:w="14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5"/>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60" w:type="dxa"/>
            <w:vAlign w:val="bottom"/>
            <w:vMerge w:val="restart"/>
          </w:tcPr>
          <w:p>
            <w:pPr>
              <w:ind w:left="142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22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b w:val="1"/>
                <w:bCs w:val="1"/>
                <w:color w:val="auto"/>
              </w:rPr>
              <w:t>Repayment</w:t>
            </w:r>
          </w:p>
        </w:tc>
        <w:tc>
          <w:tcPr>
            <w:tcW w:w="140" w:type="dxa"/>
            <w:vAlign w:val="bottom"/>
          </w:tcPr>
          <w:p>
            <w:pPr>
              <w:spacing w:after="0"/>
              <w:rPr>
                <w:sz w:val="14"/>
                <w:szCs w:val="14"/>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0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Committed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33"/>
        </w:trPr>
        <w:tc>
          <w:tcPr>
            <w:tcW w:w="40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7"/>
                <w:szCs w:val="17"/>
                <w:b w:val="1"/>
                <w:bCs w:val="1"/>
                <w:color w:val="auto"/>
                <w:w w:val="90"/>
              </w:rPr>
              <w:t xml:space="preserve">Date </w:t>
            </w:r>
            <w:r>
              <w:rPr>
                <w:rFonts w:ascii="Times New Roman" w:cs="Times New Roman" w:eastAsia="Times New Roman" w:hAnsi="Times New Roman"/>
                <w:sz w:val="22"/>
                <w:szCs w:val="22"/>
                <w:b w:val="1"/>
                <w:bCs w:val="1"/>
                <w:color w:val="auto"/>
                <w:w w:val="90"/>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60" w:type="dxa"/>
            <w:vAlign w:val="bottom"/>
            <w:shd w:val="clear" w:color="auto" w:fill="CCEEFF"/>
          </w:tcPr>
          <w:p>
            <w:pPr>
              <w:ind w:left="60"/>
              <w:spacing w:after="0" w:line="161" w:lineRule="exact"/>
              <w:rPr>
                <w:sz w:val="20"/>
                <w:szCs w:val="20"/>
                <w:color w:val="auto"/>
              </w:rPr>
            </w:pPr>
            <w:r>
              <w:rPr>
                <w:rFonts w:ascii="Times New Roman" w:cs="Times New Roman" w:eastAsia="Times New Roman" w:hAnsi="Times New Roman"/>
                <w:sz w:val="17"/>
                <w:szCs w:val="17"/>
                <w:color w:val="auto"/>
              </w:rPr>
              <w:t>$350 million Ocwen Master Advance Receivables Trust</w:t>
            </w:r>
          </w:p>
        </w:tc>
        <w:tc>
          <w:tcPr>
            <w:tcW w:w="12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September</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100"/>
              <w:spacing w:after="0" w:line="168" w:lineRule="exact"/>
              <w:rPr>
                <w:sz w:val="20"/>
                <w:szCs w:val="20"/>
                <w:color w:val="auto"/>
              </w:rPr>
            </w:pPr>
            <w:r>
              <w:rPr>
                <w:rFonts w:ascii="Times New Roman" w:cs="Times New Roman" w:eastAsia="Times New Roman" w:hAnsi="Times New Roman"/>
                <w:sz w:val="17"/>
                <w:szCs w:val="17"/>
                <w:color w:val="auto"/>
              </w:rPr>
              <w:t>(OMART) - Advance Receivables Backed Notes -</w:t>
            </w:r>
          </w:p>
        </w:tc>
        <w:tc>
          <w:tcPr>
            <w:tcW w:w="12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Series 2025-VF1 </w:t>
            </w:r>
            <w:r>
              <w:rPr>
                <w:rFonts w:ascii="Times New Roman" w:cs="Times New Roman" w:eastAsia="Times New Roman" w:hAnsi="Times New Roman"/>
                <w:sz w:val="22"/>
                <w:szCs w:val="22"/>
                <w:color w:val="auto"/>
                <w:vertAlign w:val="superscript"/>
              </w:rPr>
              <w:t>(2)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239.1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273.2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4" w:right="339" w:bottom="1440" w:gutter="0" w:footer="0" w:header="0"/>
        </w:sectPr>
      </w:pPr>
    </w:p>
    <w:p>
      <w:pPr>
        <w:ind w:left="100" w:hanging="33"/>
        <w:spacing w:after="0" w:line="234" w:lineRule="auto"/>
        <w:rPr>
          <w:sz w:val="20"/>
          <w:szCs w:val="20"/>
          <w:color w:val="auto"/>
        </w:rPr>
      </w:pPr>
      <w:r>
        <w:rPr>
          <w:rFonts w:ascii="Times New Roman" w:cs="Times New Roman" w:eastAsia="Times New Roman" w:hAnsi="Times New Roman"/>
          <w:sz w:val="16"/>
          <w:szCs w:val="16"/>
          <w:color w:val="auto"/>
        </w:rPr>
        <w:t xml:space="preserve">$100 million Ocwen GSE Advance Funding (OGAF) - Advance Receivables Backed Notes, Series 2015-VF1 </w:t>
      </w:r>
      <w:r>
        <w:rPr>
          <w:rFonts w:ascii="Times New Roman" w:cs="Times New Roman" w:eastAsia="Times New Roman" w:hAnsi="Times New Roman"/>
          <w:sz w:val="21"/>
          <w:szCs w:val="21"/>
          <w:color w:val="auto"/>
          <w:vertAlign w:val="superscript"/>
        </w:rPr>
        <w:t>(2)</w:t>
      </w:r>
    </w:p>
    <w:p>
      <w:pPr>
        <w:ind w:left="100" w:right="120" w:hanging="33"/>
        <w:spacing w:after="0" w:line="208" w:lineRule="auto"/>
        <w:rPr>
          <w:sz w:val="20"/>
          <w:szCs w:val="20"/>
          <w:color w:val="auto"/>
        </w:rPr>
      </w:pPr>
      <w:r>
        <w:rPr>
          <w:rFonts w:ascii="Times New Roman" w:cs="Times New Roman" w:eastAsia="Times New Roman" w:hAnsi="Times New Roman"/>
          <w:sz w:val="17"/>
          <w:szCs w:val="17"/>
          <w:color w:val="auto"/>
        </w:rPr>
        <w:t xml:space="preserve">$350 million PGAF Issuer LLC - Advance Receivables Backed Notes, Series 2025-VF1 </w:t>
      </w:r>
      <w:r>
        <w:rPr>
          <w:rFonts w:ascii="Times New Roman" w:cs="Times New Roman" w:eastAsia="Times New Roman" w:hAnsi="Times New Roman"/>
          <w:sz w:val="22"/>
          <w:szCs w:val="22"/>
          <w:color w:val="auto"/>
          <w:vertAlign w:val="superscript"/>
        </w:rPr>
        <w:t>(2)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$14.4 million EBO Advance facility </w:t>
      </w:r>
      <w:r>
        <w:rPr>
          <w:rFonts w:ascii="Times New Roman" w:cs="Times New Roman" w:eastAsia="Times New Roman" w:hAnsi="Times New Roman"/>
          <w:sz w:val="22"/>
          <w:szCs w:val="22"/>
          <w:color w:val="auto"/>
          <w:vertAlign w:val="superscript"/>
        </w:rPr>
        <w:t>(3)</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Advance match funded liabilities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Weighted average interest rate </w:t>
      </w:r>
      <w:r>
        <w:rPr>
          <w:rFonts w:ascii="Times New Roman" w:cs="Times New Roman" w:eastAsia="Times New Roman" w:hAnsi="Times New Roman"/>
          <w:sz w:val="22"/>
          <w:szCs w:val="22"/>
          <w:color w:val="auto"/>
          <w:vertAlign w:val="superscript"/>
        </w:rPr>
        <w:t>(4)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2027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w:t>
            </w:r>
          </w:p>
        </w:tc>
      </w:tr>
      <w:tr>
        <w:trPr>
          <w:trHeight w:val="397"/>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2027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63.7</w:t>
            </w:r>
          </w:p>
        </w:tc>
      </w:tr>
      <w:tr>
        <w:trPr>
          <w:trHeight w:val="223"/>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10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508.7</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291.3</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341.9</w:t>
            </w:r>
          </w:p>
        </w:tc>
      </w:tr>
      <w:tr>
        <w:trPr>
          <w:trHeight w:val="20"/>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1"/>
        </w:trPr>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5.51 %</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-795655</wp:posOffset>
            </wp:positionV>
            <wp:extent cx="7138035" cy="254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-401320</wp:posOffset>
            </wp:positionV>
            <wp:extent cx="7138035" cy="163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16383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-139065</wp:posOffset>
            </wp:positionV>
            <wp:extent cx="7138035" cy="139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4000" w:space="260"/>
            <w:col w:w="6980"/>
          </w:cols>
          <w:pgMar w:left="320" w:top="1024" w:right="339" w:bottom="1440" w:gutter="0" w:footer="0" w:header="0"/>
          <w:type w:val="continuous"/>
        </w:sectPr>
      </w:pPr>
    </w:p>
    <w:p>
      <w:pPr>
        <w:ind w:left="320" w:right="200" w:hanging="317"/>
        <w:spacing w:after="0" w:line="256"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Repayment Date of our facilities, as defined, is the date on which the revolving period ends under each advance facility note and repayment of the outstanding balance is required if the note is not renewed or extended.</w:t>
      </w:r>
    </w:p>
    <w:p>
      <w:pPr>
        <w:spacing w:after="0" w:line="1" w:lineRule="exact"/>
        <w:rPr>
          <w:rFonts w:ascii="Times New Roman" w:cs="Times New Roman" w:eastAsia="Times New Roman" w:hAnsi="Times New Roman"/>
          <w:sz w:val="16"/>
          <w:szCs w:val="16"/>
          <w:color w:val="auto"/>
        </w:rPr>
      </w:pPr>
    </w:p>
    <w:p>
      <w:pPr>
        <w:ind w:left="320" w:right="20" w:hanging="317"/>
        <w:spacing w:after="0" w:line="257"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committed borrowing capacity under the OMART, OGAF and PGAF facilities is available to us provided that we have sufficient eligible collateral to pledge. At March 31, 2026, none of the remaining borrowing capacity of these advance financing notes could be used based on the amount of eligible collateral.</w:t>
      </w:r>
    </w:p>
    <w:p>
      <w:pPr>
        <w:ind w:left="320" w:hanging="317"/>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2026, none of the remaining borrowing capacity of the facility could be used based on the amount of eligible collateral.</w:t>
      </w:r>
    </w:p>
    <w:p>
      <w:pPr>
        <w:spacing w:after="0" w:line="16" w:lineRule="exact"/>
        <w:rPr>
          <w:rFonts w:ascii="Times New Roman" w:cs="Times New Roman" w:eastAsia="Times New Roman" w:hAnsi="Times New Roman"/>
          <w:sz w:val="16"/>
          <w:szCs w:val="16"/>
          <w:color w:val="auto"/>
        </w:rPr>
      </w:pPr>
    </w:p>
    <w:p>
      <w:pPr>
        <w:ind w:left="320" w:right="440" w:hanging="317"/>
        <w:spacing w:after="0" w:line="265"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prepaid lender fees. At March 31, 2026 and December 31, 2025, the balance of unamortized prepaid lender fees was $1.9 million and $2.0 million, respectively, and are included in Other assets in our consolidated balance sheets.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2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Warehouse Facilities</w:t>
            </w:r>
          </w:p>
        </w:tc>
        <w:tc>
          <w:tcPr>
            <w:tcW w:w="160" w:type="dxa"/>
            <w:vAlign w:val="bottom"/>
          </w:tcPr>
          <w:p>
            <w:pPr>
              <w:spacing w:after="0"/>
              <w:rPr>
                <w:sz w:val="19"/>
                <w:szCs w:val="19"/>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Remaining Borrowing Capacity</w:t>
            </w:r>
          </w:p>
        </w:tc>
        <w:tc>
          <w:tcPr>
            <w:tcW w:w="16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60" w:type="dxa"/>
            <w:vAlign w:val="bottom"/>
          </w:tcPr>
          <w:p>
            <w:pPr>
              <w:spacing w:after="0"/>
              <w:rPr>
                <w:sz w:val="19"/>
                <w:szCs w:val="19"/>
                <w:color w:val="auto"/>
              </w:rPr>
            </w:pPr>
          </w:p>
        </w:tc>
      </w:tr>
      <w:tr>
        <w:trPr>
          <w:trHeight w:val="213"/>
        </w:trPr>
        <w:tc>
          <w:tcPr>
            <w:tcW w:w="49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14"/>
              <w:spacing w:after="0" w:line="212" w:lineRule="exact"/>
              <w:rPr>
                <w:sz w:val="20"/>
                <w:szCs w:val="20"/>
                <w:color w:val="auto"/>
              </w:rPr>
            </w:pPr>
            <w:r>
              <w:rPr>
                <w:rFonts w:ascii="Times New Roman" w:cs="Times New Roman" w:eastAsia="Times New Roman" w:hAnsi="Times New Roman"/>
                <w:sz w:val="17"/>
                <w:szCs w:val="17"/>
                <w:b w:val="1"/>
                <w:bCs w:val="1"/>
                <w:color w:val="auto"/>
                <w:w w:val="98"/>
              </w:rPr>
              <w:t xml:space="preserve">Committed </w:t>
            </w:r>
            <w:r>
              <w:rPr>
                <w:rFonts w:ascii="Times New Roman" w:cs="Times New Roman" w:eastAsia="Times New Roman" w:hAnsi="Times New Roman"/>
                <w:sz w:val="22"/>
                <w:szCs w:val="22"/>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8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38"/>
        </w:trPr>
        <w:tc>
          <w:tcPr>
            <w:tcW w:w="506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mortgage warehouse facilities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2,193.0</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1,224.6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0"/>
        </w:trPr>
        <w:tc>
          <w:tcPr>
            <w:tcW w:w="50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Weighted average interest rate </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5.09 %</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5.24 %</w:t>
            </w:r>
          </w:p>
        </w:tc>
      </w:tr>
    </w:tbl>
    <w:p>
      <w:pPr>
        <w:spacing w:after="0" w:line="130" w:lineRule="exact"/>
        <w:rPr>
          <w:sz w:val="20"/>
          <w:szCs w:val="20"/>
          <w:color w:val="auto"/>
        </w:rPr>
      </w:pPr>
    </w:p>
    <w:p>
      <w:pPr>
        <w:ind w:left="320" w:right="280" w:hanging="317"/>
        <w:spacing w:after="0" w:line="248"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financing facilities extended on a committed basis, none of the remaining borrowing capacity could be used at March 31, 2026 based on the amount of eligible collateral that could be pledged on a committed basis.</w:t>
      </w:r>
    </w:p>
    <w:p>
      <w:pPr>
        <w:ind w:left="320" w:right="40" w:hanging="317"/>
        <w:spacing w:after="0" w:line="224"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mortgage loan repurchase agreements, participation agreements and other warehouse facilities with various financial institutions to fund newly-originated or purchased loans on a short-term basis until they are sold or securitized to secondary market investors, and to fund repurchases of certain Ginnie Mae forward loans, HECM loans and other types of loans or mortgage related assets. Our warehouse facilities generally have maximum terms of 364 days, and have typically been, and are expected to be renewed, replaced or extended annually. We have pledged Loans held for sale (LHFS), Reverse LHFS, Servicing Advances, Receivables and REO as collateral to secure the borrowings. The facilities have contractual maturities ranging from May 2026-April 2027</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6"/>
          <w:szCs w:val="16"/>
          <w:color w:val="auto"/>
        </w:rPr>
      </w:pPr>
    </w:p>
    <w:p>
      <w:pPr>
        <w:ind w:left="320" w:right="40" w:hanging="317"/>
        <w:spacing w:after="0" w:line="222"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discount, debt issuance costs, and prepaid lender fees. At March 31, 2026 and December 31, 2025, unamortized prepaid lender fees were $1.1 million and $1.1 million, respectively, and are included in Other assets in our consolidated balance sheets. At March 31, 2026 and December 31, 2025, 1-Month (1M) Term Secured Overnight Financing Rate (SOFR) was 3.66% and 3.69%, respectively.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Securitization Notes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Initial</w:t>
            </w: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Mandatory call</w:t>
            </w: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175"/>
        </w:trPr>
        <w:tc>
          <w:tcPr>
            <w:tcW w:w="44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7"/>
                <w:szCs w:val="17"/>
                <w:b w:val="1"/>
                <w:bCs w:val="1"/>
                <w:color w:val="auto"/>
                <w:w w:val="99"/>
              </w:rPr>
              <w:t>principal</w:t>
            </w:r>
          </w:p>
        </w:tc>
        <w:tc>
          <w:tcPr>
            <w:tcW w:w="120" w:type="dxa"/>
            <w:vAlign w:val="bottom"/>
          </w:tcPr>
          <w:p>
            <w:pPr>
              <w:spacing w:after="0"/>
              <w:rPr>
                <w:sz w:val="15"/>
                <w:szCs w:val="15"/>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48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438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OLIT Asset-Backed Notes, Series 2023-HB1 </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2036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20"/>
        </w:trPr>
        <w:tc>
          <w:tcPr>
            <w:tcW w:w="44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OLIT Asset-Backed Notes, Series 2024-HB1 </w:t>
            </w:r>
            <w:r>
              <w:rPr>
                <w:rFonts w:ascii="Times New Roman" w:cs="Times New Roman" w:eastAsia="Times New Roman" w:hAnsi="Times New Roman"/>
                <w:sz w:val="22"/>
                <w:szCs w:val="22"/>
                <w:color w:val="auto"/>
                <w:vertAlign w:val="superscript"/>
              </w:rPr>
              <w:t>(1)</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2037</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2027</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0" w:type="dxa"/>
            <w:vAlign w:val="bottom"/>
          </w:tcPr>
          <w:p>
            <w:pPr>
              <w:spacing w:after="0"/>
              <w:rPr>
                <w:sz w:val="1"/>
                <w:szCs w:val="1"/>
                <w:color w:val="auto"/>
              </w:rPr>
            </w:pPr>
          </w:p>
        </w:tc>
      </w:tr>
      <w:tr>
        <w:trPr>
          <w:trHeight w:val="220"/>
        </w:trPr>
        <w:tc>
          <w:tcPr>
            <w:tcW w:w="44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OLIT Asset-Backed Notes, Series 2024-HB2 </w:t>
            </w:r>
            <w:r>
              <w:rPr>
                <w:rFonts w:ascii="Times New Roman" w:cs="Times New Roman" w:eastAsia="Times New Roman" w:hAnsi="Times New Roman"/>
                <w:sz w:val="22"/>
                <w:szCs w:val="22"/>
                <w:color w:val="auto"/>
                <w:vertAlign w:val="superscript"/>
              </w:rPr>
              <w:t>(1)</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2037</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2027</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0" w:type="dxa"/>
            <w:vAlign w:val="bottom"/>
          </w:tcPr>
          <w:p>
            <w:pPr>
              <w:spacing w:after="0"/>
              <w:rPr>
                <w:sz w:val="1"/>
                <w:szCs w:val="1"/>
                <w:color w:val="auto"/>
              </w:rPr>
            </w:pPr>
          </w:p>
        </w:tc>
      </w:tr>
      <w:tr>
        <w:trPr>
          <w:trHeight w:val="220"/>
        </w:trPr>
        <w:tc>
          <w:tcPr>
            <w:tcW w:w="44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OLIT Asset-Backed Notes, Series 2025-HB1 </w:t>
            </w:r>
            <w:r>
              <w:rPr>
                <w:rFonts w:ascii="Times New Roman" w:cs="Times New Roman" w:eastAsia="Times New Roman" w:hAnsi="Times New Roman"/>
                <w:sz w:val="22"/>
                <w:szCs w:val="22"/>
                <w:color w:val="auto"/>
                <w:vertAlign w:val="superscript"/>
              </w:rPr>
              <w:t>(1)</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June 2038</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June 2028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0" w:type="dxa"/>
            <w:vAlign w:val="bottom"/>
          </w:tcPr>
          <w:p>
            <w:pPr>
              <w:spacing w:after="0"/>
              <w:rPr>
                <w:sz w:val="1"/>
                <w:szCs w:val="1"/>
                <w:color w:val="auto"/>
              </w:rPr>
            </w:pPr>
          </w:p>
        </w:tc>
      </w:tr>
      <w:tr>
        <w:trPr>
          <w:trHeight w:val="220"/>
        </w:trPr>
        <w:tc>
          <w:tcPr>
            <w:tcW w:w="44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OLIT Asset-Backed Notes, Series 2025-HB2 </w:t>
            </w:r>
            <w:r>
              <w:rPr>
                <w:rFonts w:ascii="Times New Roman" w:cs="Times New Roman" w:eastAsia="Times New Roman" w:hAnsi="Times New Roman"/>
                <w:sz w:val="22"/>
                <w:szCs w:val="22"/>
                <w:color w:val="auto"/>
                <w:vertAlign w:val="superscript"/>
              </w:rPr>
              <w:t>(1)</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November 2038</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November 2028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370.8</w:t>
            </w:r>
          </w:p>
        </w:tc>
        <w:tc>
          <w:tcPr>
            <w:tcW w:w="0" w:type="dxa"/>
            <w:vAlign w:val="bottom"/>
          </w:tcPr>
          <w:p>
            <w:pPr>
              <w:spacing w:after="0"/>
              <w:rPr>
                <w:sz w:val="1"/>
                <w:szCs w:val="1"/>
                <w:color w:val="auto"/>
              </w:rPr>
            </w:pPr>
          </w:p>
        </w:tc>
      </w:tr>
      <w:tr>
        <w:trPr>
          <w:trHeight w:val="220"/>
        </w:trPr>
        <w:tc>
          <w:tcPr>
            <w:tcW w:w="44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OLIT Asset-Backed Notes, Series 2026-HB1 </w:t>
            </w:r>
            <w:r>
              <w:rPr>
                <w:rFonts w:ascii="Times New Roman" w:cs="Times New Roman" w:eastAsia="Times New Roman" w:hAnsi="Times New Roman"/>
                <w:sz w:val="22"/>
                <w:szCs w:val="22"/>
                <w:color w:val="auto"/>
                <w:vertAlign w:val="superscript"/>
              </w:rPr>
              <w:t>(1)</w:t>
            </w:r>
          </w:p>
        </w:tc>
        <w:tc>
          <w:tcPr>
            <w:tcW w:w="12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March 2039</w:t>
            </w:r>
          </w:p>
        </w:tc>
        <w:tc>
          <w:tcPr>
            <w:tcW w:w="12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March 2029</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511.9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Reverse mortgage securitization notes - outstanding principal amount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951.9</w:t>
            </w:r>
          </w:p>
        </w:tc>
        <w:tc>
          <w:tcPr>
            <w:tcW w:w="0" w:type="dxa"/>
            <w:vAlign w:val="bottom"/>
          </w:tcPr>
          <w:p>
            <w:pPr>
              <w:spacing w:after="0"/>
              <w:rPr>
                <w:sz w:val="1"/>
                <w:szCs w:val="1"/>
                <w:color w:val="auto"/>
              </w:rPr>
            </w:pPr>
          </w:p>
        </w:tc>
      </w:tr>
      <w:tr>
        <w:trPr>
          <w:trHeight w:val="103"/>
        </w:trPr>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480" w:type="dxa"/>
            <w:vAlign w:val="bottom"/>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17"/>
                <w:szCs w:val="17"/>
                <w:color w:val="auto"/>
              </w:rPr>
              <w:t xml:space="preserve">Unamortized discount and debt issuance costs </w:t>
            </w:r>
            <w:r>
              <w:rPr>
                <w:rFonts w:ascii="Times New Roman" w:cs="Times New Roman" w:eastAsia="Times New Roman" w:hAnsi="Times New Roman"/>
                <w:sz w:val="22"/>
                <w:szCs w:val="22"/>
                <w:color w:val="auto"/>
                <w:vertAlign w:val="superscript"/>
              </w:rPr>
              <w:t>(2)</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13"/>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 Reverse mortgage securitization notes,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40" w:hanging="317"/>
        <w:spacing w:after="0" w:line="248"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classes of Asset-Backed Notes were issued at a discount and a mandatory 3-year call date . We have the option to redeem the notes at any time prior to the mandatory call date, at a 1% premium for a specified period of time after issuance (generally one year) and at par value thereafter. Payments of interest and principal are made from available funds from a pool of reverse mortgage buyout loans and REOs in accordance with the indenture priority of payments. We have pledged Reverse LHFS, Receivables and REO as collateral to secure the borrowings. Also see Note 2 – Securitizations and Variable Interest Entities.</w:t>
      </w:r>
    </w:p>
    <w:p>
      <w:pPr>
        <w:spacing w:after="0" w:line="1" w:lineRule="exact"/>
        <w:rPr>
          <w:rFonts w:ascii="Times New Roman" w:cs="Times New Roman" w:eastAsia="Times New Roman" w:hAnsi="Times New Roman"/>
          <w:sz w:val="16"/>
          <w:szCs w:val="16"/>
          <w:color w:val="auto"/>
        </w:rPr>
      </w:pPr>
    </w:p>
    <w:p>
      <w:pPr>
        <w:ind w:left="320" w:right="380" w:hanging="317"/>
        <w:spacing w:after="0" w:line="257"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have a stated interest rate of 3.0%, 3.0%, 5.0%, 3.0%, 3.0% and 3.0% respectively. The interest rate excludes the effect of the amortization of discount and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Financing Facilities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Remaining Borrowing Capacity</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9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6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Committed </w:t>
            </w:r>
            <w:r>
              <w:rPr>
                <w:rFonts w:ascii="Times New Roman" w:cs="Times New Roman" w:eastAsia="Times New Roman" w:hAnsi="Times New Roman"/>
                <w:sz w:val="22"/>
                <w:szCs w:val="22"/>
                <w:b w:val="1"/>
                <w:bCs w:val="1"/>
                <w:color w:val="auto"/>
                <w:vertAlign w:val="superscript"/>
              </w:rPr>
              <w:t>(1)</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0" w:type="dxa"/>
            <w:vAlign w:val="bottom"/>
          </w:tcPr>
          <w:p>
            <w:pPr>
              <w:spacing w:after="0"/>
              <w:rPr>
                <w:sz w:val="13"/>
                <w:szCs w:val="13"/>
                <w:color w:val="auto"/>
              </w:rPr>
            </w:pPr>
          </w:p>
        </w:tc>
        <w:tc>
          <w:tcPr>
            <w:tcW w:w="126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98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61"/>
        </w:trPr>
        <w:tc>
          <w:tcPr>
            <w:tcW w:w="298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$750 million GSE MSR financing</w:t>
            </w: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facility </w:t>
            </w:r>
            <w:r>
              <w:rPr>
                <w:rFonts w:ascii="Times New Roman" w:cs="Times New Roman" w:eastAsia="Times New Roman" w:hAnsi="Times New Roman"/>
                <w:sz w:val="22"/>
                <w:szCs w:val="22"/>
                <w:color w:val="auto"/>
                <w:vertAlign w:val="superscript"/>
              </w:rPr>
              <w:t>(2)</w:t>
            </w:r>
          </w:p>
        </w:tc>
        <w:tc>
          <w:tcPr>
            <w:tcW w:w="11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8"/>
              </w:rPr>
              <w:t>MSRs</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August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$450 million Ginnie Mae MSR financing</w:t>
            </w:r>
          </w:p>
        </w:tc>
        <w:tc>
          <w:tcPr>
            <w:tcW w:w="110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7"/>
                <w:szCs w:val="17"/>
                <w:color w:val="auto"/>
              </w:rPr>
              <w:t>MSRs,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80" w:type="dxa"/>
            <w:vAlign w:val="bottom"/>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facility </w:t>
            </w:r>
            <w:r>
              <w:rPr>
                <w:rFonts w:ascii="Times New Roman" w:cs="Times New Roman" w:eastAsia="Times New Roman" w:hAnsi="Times New Roman"/>
                <w:sz w:val="22"/>
                <w:szCs w:val="22"/>
                <w:color w:val="auto"/>
                <w:vertAlign w:val="superscript"/>
              </w:rPr>
              <w:t>(3)</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Advances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January 2027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$70 million PLS MSR financing facility</w:t>
            </w:r>
          </w:p>
        </w:tc>
        <w:tc>
          <w:tcPr>
            <w:tcW w:w="110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8"/>
              </w:rPr>
              <w:t>MSRs</w:t>
            </w:r>
          </w:p>
        </w:tc>
        <w:tc>
          <w:tcPr>
            <w:tcW w:w="12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February 2027</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(4)</w:t>
            </w:r>
          </w:p>
        </w:tc>
        <w:tc>
          <w:tcPr>
            <w:tcW w:w="110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$250 million GSE MSR financing</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80" w:type="dxa"/>
            <w:vAlign w:val="bottom"/>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facility </w:t>
            </w:r>
            <w:r>
              <w:rPr>
                <w:rFonts w:ascii="Times New Roman" w:cs="Times New Roman" w:eastAsia="Times New Roman" w:hAnsi="Times New Roman"/>
                <w:sz w:val="22"/>
                <w:szCs w:val="22"/>
                <w:color w:val="auto"/>
                <w:vertAlign w:val="superscript"/>
              </w:rPr>
              <w:t>(5)</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8"/>
              </w:rPr>
              <w:t>MSRs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2027</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Secured Notes, Ocwen Asset Servicing</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Series Notes, Series 2014-1</w:t>
            </w:r>
          </w:p>
        </w:tc>
        <w:tc>
          <w:tcPr>
            <w:tcW w:w="11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8"/>
              </w:rPr>
              <w:t>MSRs</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February 2028</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187"/>
        </w:trPr>
        <w:tc>
          <w:tcPr>
            <w:tcW w:w="2980" w:type="dxa"/>
            <w:vAlign w:val="bottom"/>
          </w:tcPr>
          <w:p>
            <w:pPr>
              <w:ind w:left="120"/>
              <w:spacing w:after="0" w:line="187" w:lineRule="exact"/>
              <w:rPr>
                <w:sz w:val="20"/>
                <w:szCs w:val="20"/>
                <w:color w:val="auto"/>
              </w:rPr>
            </w:pPr>
            <w:r>
              <w:rPr>
                <w:rFonts w:ascii="Times New Roman" w:cs="Times New Roman" w:eastAsia="Times New Roman" w:hAnsi="Times New Roman"/>
                <w:sz w:val="17"/>
                <w:szCs w:val="17"/>
                <w:color w:val="auto"/>
              </w:rPr>
              <w:t>Total MSR financing facilities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74.1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92.2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1,371.0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1,285.2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9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Weighted average interest rate </w:t>
            </w:r>
            <w:r>
              <w:rPr>
                <w:rFonts w:ascii="Times New Roman" w:cs="Times New Roman" w:eastAsia="Times New Roman" w:hAnsi="Times New Roman"/>
                <w:sz w:val="22"/>
                <w:szCs w:val="22"/>
                <w:color w:val="auto"/>
                <w:vertAlign w:val="superscript"/>
              </w:rPr>
              <w:t>(6)</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20" w:right="300" w:hanging="317"/>
        <w:spacing w:after="0" w:line="252"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MSR financing facilities extended on a committed basis, $49.9 million of the remaining borrowing capacity could be used at March 31, 2026 based on the amount of eligible collateral that was pledged and could be financed on a committed basis.</w:t>
      </w:r>
    </w:p>
    <w:p>
      <w:pPr>
        <w:spacing w:after="0" w:line="1" w:lineRule="exact"/>
        <w:rPr>
          <w:rFonts w:ascii="Times New Roman" w:cs="Times New Roman" w:eastAsia="Times New Roman" w:hAnsi="Times New Roman"/>
          <w:sz w:val="16"/>
          <w:szCs w:val="16"/>
          <w:color w:val="auto"/>
        </w:rPr>
      </w:pPr>
    </w:p>
    <w:p>
      <w:pPr>
        <w:ind w:left="320" w:right="180" w:hanging="317"/>
        <w:spacing w:after="0" w:line="249"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obligations under this facility are secured by a lien on certain GSE MSRs. Onity guarantees the obligations under this facility. See Note 2 – Securitizations and Variable Interest Entities for additional information. We are subject to daily margining requirements under the terms of the facility. In January 2026, the maturity date was extended to May 2026. In April 2026, the maturity date was extended to August 2026.</w:t>
      </w:r>
    </w:p>
    <w:p>
      <w:pPr>
        <w:spacing w:after="0" w:line="2" w:lineRule="exact"/>
        <w:rPr>
          <w:rFonts w:ascii="Times New Roman" w:cs="Times New Roman" w:eastAsia="Times New Roman" w:hAnsi="Times New Roman"/>
          <w:sz w:val="16"/>
          <w:szCs w:val="16"/>
          <w:color w:val="auto"/>
        </w:rPr>
      </w:pPr>
    </w:p>
    <w:p>
      <w:pPr>
        <w:ind w:left="320" w:right="200" w:hanging="317"/>
        <w:spacing w:after="0" w:line="250"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obligations under this facility are secured by a lien on the related Ginnie Mae MSRs and servicing advances. Onity guarantees the obligations under the facility. We are subject to daily margining requirements under the terms of the facility. In January 2026, the borrowing capacity was increased to $450.0 million from $400.0 million and the maturity date was extended to January 2027. In April 2026, the borrowing capacity was further increased from $450.0 million to $500.0 million.</w:t>
      </w:r>
    </w:p>
    <w:p>
      <w:pPr>
        <w:ind w:left="320" w:right="80" w:hanging="317"/>
        <w:spacing w:after="0" w:line="252"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repurchase agreement, OMC sold the membership interest certificate representing 100% of the limited liability company interests in PLS Issuer and agreed to repurchase such membership interest certificate at a specified future date at the price set forth in the repurchase agreement. Onity guarantees the obligations of OMC under the facility subject to the terms and conditions set forth in the guaranty secured by a lien on the related PLS MSRs. In February 2026, the maturity date was extended to February 2027. See Note 2 – Securitizations and Variable Interest Entities for additional information.</w:t>
      </w:r>
    </w:p>
    <w:p>
      <w:pPr>
        <w:spacing w:after="0" w:line="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is secured by a lien on certain of our GSE MSRs and is subject to daily margining requirements. Onity guarantees the obligations under the facility.</w:t>
      </w:r>
    </w:p>
    <w:p>
      <w:pPr>
        <w:spacing w:after="0" w:line="22" w:lineRule="exact"/>
        <w:rPr>
          <w:rFonts w:ascii="Times New Roman" w:cs="Times New Roman" w:eastAsia="Times New Roman" w:hAnsi="Times New Roman"/>
          <w:sz w:val="16"/>
          <w:szCs w:val="16"/>
          <w:color w:val="auto"/>
        </w:rPr>
      </w:pPr>
    </w:p>
    <w:p>
      <w:pPr>
        <w:ind w:left="320" w:right="140" w:hanging="317"/>
        <w:spacing w:after="0" w:line="254"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interest rate excludes the effect of the amortization of debt issuance costs and prepaid lender fees. At March 31, 2026 and December 31, 2025, unamortized prepaid lender fees related to revolving-type MSR financing facilities were $1.9 million and $1.5 million, respectively, and are included in Other assets in our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Interest Rate (1)</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2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40" w:type="dxa"/>
            <w:vAlign w:val="bottom"/>
          </w:tcPr>
          <w:p>
            <w:pPr>
              <w:spacing w:after="0"/>
              <w:rPr>
                <w:sz w:val="13"/>
                <w:szCs w:val="13"/>
                <w:color w:val="auto"/>
              </w:rPr>
            </w:pPr>
          </w:p>
        </w:tc>
        <w:tc>
          <w:tcPr>
            <w:tcW w:w="1240" w:type="dxa"/>
            <w:vAlign w:val="bottom"/>
          </w:tcPr>
          <w:p>
            <w:pPr>
              <w:jc w:val="right"/>
              <w:ind w:right="9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554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138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9.875%</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2029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premium</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Unamortized premium, discount and debt issuance costs</w:t>
            </w: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38"/>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Senior notes, net</w:t>
            </w: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Excludes the effect of the amortization of debt issuance costs, premium and discount.</w:t>
      </w:r>
    </w:p>
    <w:p>
      <w:pPr>
        <w:spacing w:after="0" w:line="10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On November 6, 2024, PHH Corporation issued $500.0 million aggregate principal amount of 9.875% Senior Notes due November 1, 2029 (Senior Notes Due 2029) at a price of 99.556% of the principal amount in a syndicated private placement. Interest on the Senior Notes is payable semi-annually in arrears on May 1 and November 1 of each year, beginning on May 1, 2025, and principal is due at maturity. The Senior Notes Due 2029 are guaranteed by Onity and certain wholly-owned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ind w:right="440"/>
        <w:spacing w:after="0" w:line="288" w:lineRule="auto"/>
        <w:rPr>
          <w:sz w:val="20"/>
          <w:szCs w:val="20"/>
          <w:color w:val="auto"/>
        </w:rPr>
      </w:pPr>
      <w:r>
        <w:rPr>
          <w:rFonts w:ascii="Times New Roman" w:cs="Times New Roman" w:eastAsia="Times New Roman" w:hAnsi="Times New Roman"/>
          <w:sz w:val="17"/>
          <w:szCs w:val="17"/>
          <w:color w:val="auto"/>
        </w:rPr>
        <w:t>subsidiaries including OMC and PAS) (collectively “restricted subsidiaries”). The Senior Notes Due 2029 are secured by the equity interests of the restricted subsidiaries and any Available Cash in excess of Agency Requirements, as defined.</w:t>
      </w:r>
    </w:p>
    <w:p>
      <w:pPr>
        <w:spacing w:after="0" w:line="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January 30, 2026, PHH Corporation issued $200.0 million aggregate principal amount of 9.875% Senior Notes Due 2029 in a syndicated private placement exempt from registration under the Securities Act of 1933, as amended. The Senior Notes were issued to investors at 103.25% of the principal amount. The notes were offered as an additional issuance of the 9.875% Senior Notes Due 2029 and form a single series of debt securities with the $500.0 million aggregate principal amount of such notes that were originally issued on November 6, 2024. The interest on the additional notes issued in January 2026 is payable semi- annually in arrears on May 1 and November 1 of each year, beginning on May 1, 2026, and principal is due at maturity. The notes are guaranteed on a senior secured basis by Onity and certain of PHH Corporation’s subsidiaries, including OMC and PAS.</w:t>
      </w:r>
    </w:p>
    <w:p>
      <w:pPr>
        <w:spacing w:after="0" w:line="73"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On or after November 1, 2026, PHH Corporation may redeem some or all of the Senior Notes Due 2029 at its option at the following redemption prices, plus accrued and unpaid interest: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Redemption Year </w:t>
            </w:r>
            <w:r>
              <w:rPr>
                <w:rFonts w:ascii="Times New Roman" w:cs="Times New Roman" w:eastAsia="Times New Roman" w:hAnsi="Times New Roman"/>
                <w:sz w:val="17"/>
                <w:szCs w:val="17"/>
                <w:color w:val="auto"/>
              </w:rPr>
              <w:t>(12-month period beginning on November 1st of the years indicated below)</w:t>
            </w:r>
          </w:p>
        </w:tc>
        <w:tc>
          <w:tcPr>
            <w:tcW w:w="19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Redemption Price</w:t>
            </w:r>
          </w:p>
        </w:tc>
      </w:tr>
      <w:tr>
        <w:trPr>
          <w:trHeight w:val="213"/>
        </w:trPr>
        <w:tc>
          <w:tcPr>
            <w:tcW w:w="9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104.938 %</w:t>
            </w:r>
          </w:p>
        </w:tc>
      </w:tr>
      <w:tr>
        <w:trPr>
          <w:trHeight w:val="220"/>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9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102.469</w:t>
            </w:r>
          </w:p>
        </w:tc>
      </w:tr>
      <w:tr>
        <w:trPr>
          <w:trHeight w:val="22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and thereafter</w:t>
            </w:r>
          </w:p>
        </w:tc>
        <w:tc>
          <w:tcPr>
            <w:tcW w:w="19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100.000</w:t>
            </w:r>
          </w:p>
        </w:tc>
      </w:tr>
    </w:tbl>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Prior to November 1, 2026, PHH Corporation may redeem some or all of the Senior Notes Due 2029 at its option at a redemption price equal to 100% of the principal amount of the Notes being redeemed with a “make-whole” premium, as defined, plus accrued and unpaid interest. In addition, prior to November 1, 2026, PHH Corporation may redeem up to 40% of the aggregate principal amount of the notes with the net cash proceeds from certain equity offerings by Onity at the redemption price equal to 109.875% of the principal amount plus accrued and unpaid interest.</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Indenture contains customary covenants for debt securities of this type that limit the ability of PHH Corporation, Onity and its restricted subsidiaries to, among other things, (i) incur or guarantee additional Indebtedness, as defined, (ii) incur liens, (iii) pay dividends on or make distributions or make other restricted payments, (iv) make investments, (v) consolidate, merge, sell or otherwise dispose of certain assets, and (vi) enter into transactions with certain affiliates.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Under the terms of our debt agreements in effect as of March 31, 2026, we are subject to various affirmative and negative covenants. Collectively, these covenants include:</w:t>
      </w:r>
    </w:p>
    <w:p>
      <w:pPr>
        <w:spacing w:after="0" w:line="48"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covenants, including, but not limited to, specified levels of net worth, liquidity and leverage;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to operate in material compliance with applicable laws;</w:t>
      </w:r>
    </w:p>
    <w:p>
      <w:pPr>
        <w:spacing w:after="0" w:line="1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engage in various activities, including but not limited to incurring or guarantying additional forms of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or of PHH Corporation, OMC or PAS and their respective subsidiaries, creating liens on assets to secure debt, and entering into transactions with affiliates;</w:t>
      </w:r>
    </w:p>
    <w:p>
      <w:pPr>
        <w:spacing w:after="0" w:line="3"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Times New Roman" w:cs="Times New Roman" w:eastAsia="Times New Roman" w:hAnsi="Times New Roman"/>
          <w:sz w:val="17"/>
          <w:szCs w:val="17"/>
          <w:color w:val="auto"/>
        </w:rPr>
      </w:pPr>
    </w:p>
    <w:p>
      <w:pPr>
        <w:ind w:left="620" w:right="500" w:hanging="307"/>
        <w:spacing w:after="0" w:line="267"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provide audited financial statements within specified timeframes, including requirements that Onity’s financial statements and the related audit report be unqualified as to going concern.</w:t>
      </w:r>
    </w:p>
    <w:p>
      <w:pPr>
        <w:spacing w:after="0" w:line="6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most restrictive consolidated net worth requirement contained in our debt agreements with borrowings outstanding at March 31, 2026 is a minimum of $275.0 million and $125.0 million, tangible net worth for Onity and OMC, respectively. The most restrictive liquidity requirement under our debt agreements with borrowings outstanding at March 31, 2026 is for a minimum of $86.2 million and $20.0 million for Onity and OMC, respectively. None of our debt agreements have any tangible net worth or liquidity requirements at PAS due to the guarantee of Onity. See Note 20 – Regulatory Requirements for our regulatory capital and liquidity requirements.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we were in compliance with all of the covenants in our debt agreements as of the date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Collateral</w:t>
      </w:r>
    </w:p>
    <w:p>
      <w:pPr>
        <w:spacing w:after="0" w:line="119"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Our assets pledged as collateral for secured borrowings are as follows at March 31, 2026. Assets may also be subject to other liens or restrictions under various agreements.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180" w:type="dxa"/>
            <w:vAlign w:val="bottom"/>
          </w:tcPr>
          <w:p>
            <w:pPr>
              <w:spacing w:after="0"/>
              <w:rPr>
                <w:sz w:val="17"/>
                <w:szCs w:val="17"/>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Collateralized</w:t>
            </w:r>
          </w:p>
        </w:tc>
        <w:tc>
          <w:tcPr>
            <w:tcW w:w="80" w:type="dxa"/>
            <w:vAlign w:val="bottom"/>
          </w:tcPr>
          <w:p>
            <w:pPr>
              <w:spacing w:after="0"/>
              <w:rPr>
                <w:sz w:val="17"/>
                <w:szCs w:val="17"/>
                <w:color w:val="auto"/>
              </w:rPr>
            </w:pPr>
          </w:p>
        </w:tc>
        <w:tc>
          <w:tcPr>
            <w:tcW w:w="24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Liability Categories</w:t>
            </w: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360" w:type="dxa"/>
            <w:vAlign w:val="bottom"/>
          </w:tcPr>
          <w:p>
            <w:pPr>
              <w:jc w:val="right"/>
              <w:ind w:right="194"/>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Financings </w:t>
            </w:r>
            <w:r>
              <w:rPr>
                <w:rFonts w:ascii="Times New Roman" w:cs="Times New Roman" w:eastAsia="Times New Roman" w:hAnsi="Times New Roman"/>
                <w:sz w:val="22"/>
                <w:szCs w:val="22"/>
                <w:b w:val="1"/>
                <w:bCs w:val="1"/>
                <w:color w:val="auto"/>
                <w:vertAlign w:val="superscript"/>
              </w:rPr>
              <w:t>(9)</w:t>
            </w:r>
          </w:p>
        </w:tc>
        <w:tc>
          <w:tcPr>
            <w:tcW w:w="80" w:type="dxa"/>
            <w:vAlign w:val="bottom"/>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4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Cash </w:t>
            </w:r>
            <w:r>
              <w:rPr>
                <w:rFonts w:ascii="Times New Roman" w:cs="Times New Roman" w:eastAsia="Times New Roman" w:hAnsi="Times New Roman"/>
                <w:sz w:val="22"/>
                <w:szCs w:val="22"/>
                <w:color w:val="auto"/>
                <w:vertAlign w:val="superscript"/>
              </w:rPr>
              <w:t>(1)</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n/a </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20"/>
        </w:trPr>
        <w:tc>
          <w:tcPr>
            <w:tcW w:w="39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Restricted cash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Multiple</w:t>
            </w: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Owned MSRs, excluding ESS </w:t>
            </w:r>
            <w:r>
              <w:rPr>
                <w:rFonts w:ascii="Times New Roman" w:cs="Times New Roman" w:eastAsia="Times New Roman" w:hAnsi="Times New Roman"/>
                <w:sz w:val="22"/>
                <w:szCs w:val="22"/>
                <w:color w:val="auto"/>
                <w:vertAlign w:val="superscript"/>
              </w:rPr>
              <w:t>(3) (5)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8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0" w:type="dxa"/>
            <w:vAlign w:val="bottom"/>
          </w:tcPr>
          <w:p>
            <w:pPr>
              <w:spacing w:after="0"/>
              <w:rPr>
                <w:sz w:val="1"/>
                <w:szCs w:val="1"/>
                <w:color w:val="auto"/>
              </w:rPr>
            </w:pPr>
          </w:p>
        </w:tc>
      </w:tr>
      <w:tr>
        <w:trPr>
          <w:trHeight w:val="16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Transferred MSRs, including ESS </w:t>
            </w:r>
            <w:r>
              <w:rPr>
                <w:rFonts w:ascii="Times New Roman" w:cs="Times New Roman" w:eastAsia="Times New Roman" w:hAnsi="Times New Roman"/>
                <w:sz w:val="22"/>
                <w:szCs w:val="22"/>
                <w:color w:val="auto"/>
                <w:vertAlign w:val="superscript"/>
              </w:rPr>
              <w:t>(4)</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MSR related financing liabilities</w:t>
            </w:r>
          </w:p>
        </w:tc>
        <w:tc>
          <w:tcPr>
            <w:tcW w:w="0" w:type="dxa"/>
            <w:vAlign w:val="bottom"/>
          </w:tcPr>
          <w:p>
            <w:pPr>
              <w:spacing w:after="0"/>
              <w:rPr>
                <w:sz w:val="1"/>
                <w:szCs w:val="1"/>
                <w:color w:val="auto"/>
              </w:rPr>
            </w:pPr>
          </w:p>
        </w:tc>
      </w:tr>
      <w:tr>
        <w:trPr>
          <w:trHeight w:val="233"/>
        </w:trPr>
        <w:tc>
          <w:tcPr>
            <w:tcW w:w="39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813.4</w:t>
            </w:r>
          </w:p>
        </w:tc>
        <w:tc>
          <w:tcPr>
            <w:tcW w:w="80" w:type="dxa"/>
            <w:vAlign w:val="bottom"/>
          </w:tcPr>
          <w:p>
            <w:pPr>
              <w:spacing w:after="0"/>
              <w:rPr>
                <w:sz w:val="20"/>
                <w:szCs w:val="20"/>
                <w:color w:val="auto"/>
              </w:rPr>
            </w:pPr>
          </w:p>
        </w:tc>
        <w:tc>
          <w:tcPr>
            <w:tcW w:w="244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and MSR financing facilities </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168"/>
        </w:trPr>
        <w:tc>
          <w:tcPr>
            <w:tcW w:w="39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Advances, net </w:t>
            </w:r>
            <w:r>
              <w:rPr>
                <w:rFonts w:ascii="Times New Roman" w:cs="Times New Roman" w:eastAsia="Times New Roman" w:hAnsi="Times New Roman"/>
                <w:sz w:val="22"/>
                <w:szCs w:val="22"/>
                <w:color w:val="auto"/>
                <w:vertAlign w:val="superscript"/>
              </w:rPr>
              <w:t>(5)</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Advance match funded liabilities</w:t>
            </w:r>
          </w:p>
        </w:tc>
        <w:tc>
          <w:tcPr>
            <w:tcW w:w="0" w:type="dxa"/>
            <w:vAlign w:val="bottom"/>
          </w:tcPr>
          <w:p>
            <w:pPr>
              <w:spacing w:after="0"/>
              <w:rPr>
                <w:sz w:val="1"/>
                <w:szCs w:val="1"/>
                <w:color w:val="auto"/>
              </w:rPr>
            </w:pPr>
          </w:p>
        </w:tc>
      </w:tr>
      <w:tr>
        <w:trPr>
          <w:trHeight w:val="233"/>
        </w:trPr>
        <w:tc>
          <w:tcPr>
            <w:tcW w:w="394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330.1</w:t>
            </w:r>
          </w:p>
        </w:tc>
        <w:tc>
          <w:tcPr>
            <w:tcW w:w="80" w:type="dxa"/>
            <w:vAlign w:val="bottom"/>
            <w:shd w:val="clear" w:color="auto" w:fill="CCEEFF"/>
          </w:tcPr>
          <w:p>
            <w:pPr>
              <w:spacing w:after="0"/>
              <w:rPr>
                <w:sz w:val="20"/>
                <w:szCs w:val="20"/>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MSR financing facilities</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Mortgage warehouse facilities and</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Reverse mortgage securitization</w:t>
            </w:r>
          </w:p>
        </w:tc>
        <w:tc>
          <w:tcPr>
            <w:tcW w:w="0" w:type="dxa"/>
            <w:vAlign w:val="bottom"/>
          </w:tcPr>
          <w:p>
            <w:pPr>
              <w:spacing w:after="0"/>
              <w:rPr>
                <w:sz w:val="1"/>
                <w:szCs w:val="1"/>
                <w:color w:val="auto"/>
              </w:rPr>
            </w:pP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3,167.2</w:t>
            </w:r>
          </w:p>
        </w:tc>
        <w:tc>
          <w:tcPr>
            <w:tcW w:w="8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Reverse loans held for sale pooled into HMBS -</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securitized </w:t>
            </w:r>
            <w:r>
              <w:rPr>
                <w:rFonts w:ascii="Times New Roman" w:cs="Times New Roman" w:eastAsia="Times New Roman" w:hAnsi="Times New Roman"/>
                <w:sz w:val="22"/>
                <w:szCs w:val="22"/>
                <w:color w:val="auto"/>
                <w:vertAlign w:val="superscript"/>
              </w:rPr>
              <w:t>(6) (7)</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9,437.4</w:t>
            </w:r>
          </w:p>
        </w:tc>
        <w:tc>
          <w:tcPr>
            <w:tcW w:w="80" w:type="dxa"/>
            <w:vAlign w:val="bottom"/>
            <w:shd w:val="clear" w:color="auto" w:fill="CCEEFF"/>
          </w:tcPr>
          <w:p>
            <w:pPr>
              <w:spacing w:after="0"/>
              <w:rPr>
                <w:sz w:val="20"/>
                <w:szCs w:val="20"/>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HMBS- related borrowings</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Reverse loans held for sale pooled into HMBS-</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4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unsecuritized </w:t>
            </w:r>
            <w:r>
              <w:rPr>
                <w:rFonts w:ascii="Times New Roman" w:cs="Times New Roman" w:eastAsia="Times New Roman" w:hAnsi="Times New Roman"/>
                <w:sz w:val="22"/>
                <w:szCs w:val="22"/>
                <w:color w:val="auto"/>
                <w:vertAlign w:val="superscript"/>
              </w:rPr>
              <w:t>(7)</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Mortgage warehouse facilities and</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Reverse mortgage securitization</w:t>
            </w: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80" w:type="dxa"/>
            <w:vAlign w:val="bottom"/>
            <w:shd w:val="clear" w:color="auto" w:fill="CCEEFF"/>
          </w:tcPr>
          <w:p>
            <w:pPr>
              <w:spacing w:after="0"/>
              <w:rPr>
                <w:sz w:val="20"/>
                <w:szCs w:val="20"/>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Mortgage warehouse facilities and</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Reverse mortgage securitization</w:t>
            </w:r>
          </w:p>
        </w:tc>
        <w:tc>
          <w:tcPr>
            <w:tcW w:w="0" w:type="dxa"/>
            <w:vAlign w:val="bottom"/>
          </w:tcPr>
          <w:p>
            <w:pPr>
              <w:spacing w:after="0"/>
              <w:rPr>
                <w:sz w:val="1"/>
                <w:szCs w:val="1"/>
                <w:color w:val="auto"/>
              </w:rPr>
            </w:pPr>
          </w:p>
        </w:tc>
      </w:tr>
      <w:tr>
        <w:trPr>
          <w:trHeight w:val="23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REO (Other assets)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8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2"/>
                <w:szCs w:val="22"/>
                <w:color w:val="auto"/>
                <w:vertAlign w:val="superscript"/>
              </w:rPr>
              <w:t>(8)</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16,498.9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15,477.1</w:t>
            </w:r>
          </w:p>
        </w:tc>
        <w:tc>
          <w:tcPr>
            <w:tcW w:w="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$145.3 million Available Cash held by Regulated Subsidiary Guarantors, as defined, pursuant to the Senior Notes Due 2029.</w:t>
      </w:r>
    </w:p>
    <w:p>
      <w:pPr>
        <w:spacing w:after="0" w:line="16" w:lineRule="exact"/>
        <w:rPr>
          <w:rFonts w:ascii="Times New Roman" w:cs="Times New Roman" w:eastAsia="Times New Roman" w:hAnsi="Times New Roman"/>
          <w:sz w:val="16"/>
          <w:szCs w:val="16"/>
          <w:color w:val="auto"/>
        </w:rPr>
      </w:pPr>
    </w:p>
    <w:p>
      <w:pPr>
        <w:ind w:left="320" w:right="820" w:hanging="317"/>
        <w:spacing w:after="0" w:line="242"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Pledged assets primarily include amounts specifically designated to repay debt and to provide over-collateralization for MSR financing facilities, reverse mortgage securitization notes, mortgage warehouse facilities and match funded debt facilities (debt service accounts).</w:t>
      </w: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Pledged assets exceed the MSR asset balance primarily due to the netting of certain PLS MSR portfolios with negative and positive fair values as eligible collateral.</w:t>
      </w: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transferred MSR capital partners that are accounted for as secured financings and ESS pledged MSRs. Includes $18.8 million MSR financing facilities.</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$38.8 million drawn under the $450.0 million Ginnie Mae MSR financing facility is used to finance Ginnie Mae related advances.</w:t>
      </w:r>
    </w:p>
    <w:p>
      <w:pPr>
        <w:ind w:left="320" w:right="20" w:hanging="317"/>
        <w:spacing w:after="0" w:line="243"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OMC’s default on its servicing obligations, or if the proceeds realized on HECMs are insufficient to repay all outstanding HMBS related obligations. Ginnie Mae has recourse to OMC in connection with certain claims relating to the performance and obligations of OMC as both issuer of HMBS and servicer of HECMs underlying HMBS.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5 - Reverse Mortgages.</w:t>
      </w:r>
    </w:p>
    <w:p>
      <w:pPr>
        <w:ind w:left="320" w:right="300" w:hanging="317"/>
        <w:spacing w:after="0" w:line="242"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selected assets disclosed in the above table does not represent the total consolidated assets of Onity. For example, the total excludes contingent loan repurchase asset, premises and equipment and certain other assets.</w:t>
      </w: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UPB and fair value for borrowings accounted for at amortized cost and fair value,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b w:val="1"/>
          <w:bCs w:val="1"/>
          <w:color w:val="auto"/>
        </w:rPr>
        <w:t>Note 13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138035" cy="147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Servicing-related obligations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Compensation-related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Checks held for escheat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to Rithm - Advance collections and servicing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Derivative related payables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Accrued interest payable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035" cy="139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Derivatives, at fair value - See Note 15</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Liability for indemnification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legal fees and settlements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MSR purchase price holdback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right="3240"/>
        <w:spacing w:after="0" w:line="269" w:lineRule="auto"/>
        <w:rPr>
          <w:sz w:val="20"/>
          <w:szCs w:val="20"/>
          <w:color w:val="auto"/>
        </w:rPr>
      </w:pPr>
      <w:r>
        <w:rPr>
          <w:rFonts w:ascii="Times New Roman" w:cs="Times New Roman" w:eastAsia="Times New Roman" w:hAnsi="Times New Roman"/>
          <w:sz w:val="17"/>
          <w:szCs w:val="17"/>
          <w:color w:val="auto"/>
        </w:rPr>
        <w:t>Liability for unfunded pension obligation and gratuity plans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035"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Mortgage insurance premium payable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Excess servicing fee spread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Income taxes payable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63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09"/>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3"/>
        </w:trPr>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ectPr>
          <w:pgSz w:w="11900" w:h="16838" w:orient="portrait"/>
          <w:cols w:equalWidth="0" w:num="2">
            <w:col w:w="7380" w:space="720"/>
            <w:col w:w="3140"/>
          </w:cols>
          <w:pgMar w:left="320" w:top="1204" w:right="339" w:bottom="1440" w:gutter="0" w:footer="0" w:header="0"/>
        </w:sectPr>
      </w:pPr>
    </w:p>
    <w:p>
      <w:pPr>
        <w:ind w:left="320" w:hanging="317"/>
        <w:spacing w:after="0" w:line="254" w:lineRule="auto"/>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31, 2026 balance includes $4.9 million of accrued interest related to the 9.875% Senior Notes Due 2029 for the period from the last interest payment date (November 1, 2025) through the 9.875% Senior Notes Due 2029 issuance date of January 30, 2026. This amount is payable to investors on the next scheduled interest payment date of May 1, 2026.</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14 – Stockholders’ Equity</w:t>
      </w:r>
    </w:p>
    <w:p>
      <w:pPr>
        <w:spacing w:after="0" w:line="31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February 10, 2026, Onity’s Board of Directors authorized a share repurchase program for an aggregate amount of up to $10 million of Onity’s issued and outstanding shares of common stock. Through March 31, 2026, we have completed the repurchase of 154,444 shares of our common stock in the open market under this program at prevailing market prices for a total purchase price of $6.1 million (excluding commissions) at an average price per share of $39.62. The repurchased shares were retired and cancelled as of March 31, 2026. Unless Onity amends the share repurchase program or repurchases the full $10 million amount by an earlier date, the share repurchase program will continue through August 25, 2026. No assurances can be given as to the amount of shares, if any, that Onity may repurchase in any given period. Also refer to Note 23 – Subsequent Events for information regarding additional share repurchases.</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15 – Derivative Financial Instruments and Hedging Activities</w:t>
      </w:r>
    </w:p>
    <w:p>
      <w:pPr>
        <w:spacing w:after="0" w:line="31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three months ended March 31, 2026 and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35" w:name="page36"/>
    <w:bookmarkEnd w:id="35"/>
    <w:p>
      <w:pPr>
        <w:jc w:val="center"/>
        <w:ind w:left="402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20320</wp:posOffset>
            </wp:positionV>
            <wp:extent cx="22974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 w:lineRule="exact"/>
        <w:rPr>
          <w:sz w:val="20"/>
          <w:szCs w:val="20"/>
          <w:color w:val="auto"/>
        </w:rPr>
      </w:pPr>
    </w:p>
    <w:p>
      <w:pPr>
        <w:ind w:left="4080"/>
        <w:spacing w:after="0"/>
        <w:tabs>
          <w:tab w:leader="none" w:pos="5340" w:val="left"/>
          <w:tab w:leader="none" w:pos="6420" w:val="left"/>
        </w:tabs>
        <w:rPr>
          <w:sz w:val="20"/>
          <w:szCs w:val="20"/>
          <w:color w:val="auto"/>
        </w:rPr>
      </w:pPr>
      <w:r>
        <w:rPr>
          <w:rFonts w:ascii="Times New Roman" w:cs="Times New Roman" w:eastAsia="Times New Roman" w:hAnsi="Times New Roman"/>
          <w:sz w:val="17"/>
          <w:szCs w:val="17"/>
          <w:b w:val="1"/>
          <w:bCs w:val="1"/>
          <w:color w:val="auto"/>
        </w:rPr>
        <w:t>Maturities</w:t>
      </w:r>
      <w:r>
        <w:rPr>
          <w:sz w:val="20"/>
          <w:szCs w:val="20"/>
          <w:color w:val="auto"/>
        </w:rPr>
        <w:tab/>
      </w:r>
      <w:r>
        <w:rPr>
          <w:rFonts w:ascii="Times New Roman" w:cs="Times New Roman" w:eastAsia="Times New Roman" w:hAnsi="Times New Roman"/>
          <w:sz w:val="17"/>
          <w:szCs w:val="17"/>
          <w:b w:val="1"/>
          <w:bCs w:val="1"/>
          <w:color w:val="auto"/>
        </w:rPr>
        <w:t>Notional</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20320</wp:posOffset>
            </wp:positionV>
            <wp:extent cx="23710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spacing w:after="0" w:line="17" w:lineRule="exact"/>
        <w:rPr>
          <w:sz w:val="20"/>
          <w:szCs w:val="20"/>
          <w:color w:val="auto"/>
        </w:rPr>
      </w:pPr>
    </w:p>
    <w:p>
      <w:pPr>
        <w:spacing w:after="0"/>
        <w:tabs>
          <w:tab w:leader="none" w:pos="1320" w:val="left"/>
          <w:tab w:leader="none" w:pos="2400" w:val="left"/>
        </w:tabs>
        <w:rPr>
          <w:sz w:val="20"/>
          <w:szCs w:val="20"/>
          <w:color w:val="auto"/>
        </w:rPr>
      </w:pPr>
      <w:r>
        <w:rPr>
          <w:rFonts w:ascii="Times New Roman" w:cs="Times New Roman" w:eastAsia="Times New Roman" w:hAnsi="Times New Roman"/>
          <w:sz w:val="17"/>
          <w:szCs w:val="17"/>
          <w:b w:val="1"/>
          <w:bCs w:val="1"/>
          <w:color w:val="auto"/>
        </w:rPr>
        <w:t>Maturities</w:t>
      </w:r>
      <w:r>
        <w:rPr>
          <w:sz w:val="20"/>
          <w:szCs w:val="20"/>
          <w:color w:val="auto"/>
        </w:rPr>
        <w:tab/>
      </w:r>
      <w:r>
        <w:rPr>
          <w:rFonts w:ascii="Times New Roman" w:cs="Times New Roman" w:eastAsia="Times New Roman" w:hAnsi="Times New Roman"/>
          <w:sz w:val="17"/>
          <w:szCs w:val="17"/>
          <w:b w:val="1"/>
          <w:bCs w:val="1"/>
          <w:color w:val="auto"/>
        </w:rPr>
        <w:t>Notional</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32" w:lineRule="exact"/>
        <w:rPr>
          <w:sz w:val="20"/>
          <w:szCs w:val="20"/>
          <w:color w:val="auto"/>
        </w:rPr>
      </w:pPr>
    </w:p>
    <w:p>
      <w:pPr>
        <w:sectPr>
          <w:pgSz w:w="11900" w:h="16838" w:orient="portrait"/>
          <w:cols w:equalWidth="0" w:num="2">
            <w:col w:w="7200" w:space="640"/>
            <w:col w:w="3400"/>
          </w:cols>
          <w:pgMar w:left="320" w:top="998" w:right="339" w:bottom="1440" w:gutter="0" w:footer="0" w:header="0"/>
        </w:sectPr>
      </w:pPr>
    </w:p>
    <w:tbl>
      <w:tblPr>
        <w:tblLayout w:type="fixed"/>
        <w:tblInd w:w="0" w:type="dxa"/>
        <w:tblCellMar>
          <w:top w:w="0" w:type="dxa"/>
          <w:left w:w="0" w:type="dxa"/>
          <w:bottom w:w="0" w:type="dxa"/>
          <w:right w:w="0" w:type="dxa"/>
        </w:tblCellMar>
      </w:tblP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 (Other assets)</w:t>
            </w:r>
          </w:p>
        </w:tc>
        <w:tc>
          <w:tcPr>
            <w:tcW w:w="1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168"/>
        </w:trPr>
        <w:tc>
          <w:tcPr>
            <w:tcW w:w="380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April 2026 -</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April</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2026</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2,707.8</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2026</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2,461.9</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April 2026 - July</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February - April</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2026</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168"/>
        </w:trPr>
        <w:tc>
          <w:tcPr>
            <w:tcW w:w="380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April 2026 - June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3,801.9</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2026</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1,913.5</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futures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2026</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2026</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April 2026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January 2026</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8"/>
        </w:trPr>
        <w:tc>
          <w:tcPr>
            <w:tcW w:w="3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7,320.9</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5,034.0</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36"/>
        </w:trPr>
        <w:tc>
          <w:tcPr>
            <w:tcW w:w="3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 (Other liabilities)</w:t>
            </w: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April 2026 - June</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1,480.9</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2026</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2,171.6</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futures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2026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2026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2026</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3,655.9</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4,186.6</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net gains and losses of our derivative instruments recognized in our unaudited 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200" w:type="dxa"/>
            <w:vAlign w:val="bottom"/>
          </w:tcPr>
          <w:p>
            <w:pPr>
              <w:spacing w:after="0"/>
              <w:rPr>
                <w:sz w:val="19"/>
                <w:szCs w:val="19"/>
                <w:color w:val="auto"/>
              </w:rPr>
            </w:pPr>
          </w:p>
        </w:tc>
      </w:tr>
      <w:tr>
        <w:trPr>
          <w:trHeight w:val="225"/>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r>
      <w:tr>
        <w:trPr>
          <w:trHeight w:val="20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Instruments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168"/>
        </w:trPr>
        <w:tc>
          <w:tcPr>
            <w:tcW w:w="4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and HMBS-related</w:t>
            </w:r>
          </w:p>
        </w:tc>
      </w:tr>
      <w:tr>
        <w:trPr>
          <w:trHeight w:val="23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borrowings, net</w:t>
            </w:r>
          </w:p>
        </w:tc>
      </w:tr>
      <w:tr>
        <w:trPr>
          <w:trHeight w:val="168"/>
        </w:trPr>
        <w:tc>
          <w:tcPr>
            <w:tcW w:w="4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Forward trades (economically hedging forward pipeline trades and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 (Economic</w:t>
            </w:r>
          </w:p>
        </w:tc>
      </w:tr>
      <w:tr>
        <w:trPr>
          <w:trHeight w:val="233"/>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EBO pipeline)</w:t>
            </w:r>
          </w:p>
        </w:tc>
        <w:tc>
          <w:tcPr>
            <w:tcW w:w="2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43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(1.7) hedge)</w:t>
            </w:r>
          </w:p>
        </w:tc>
      </w:tr>
      <w:tr>
        <w:trPr>
          <w:trHeight w:val="168"/>
        </w:trPr>
        <w:tc>
          <w:tcPr>
            <w:tcW w:w="48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and Interest rate futures (economically hedging forward</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 (Economic</w:t>
            </w:r>
          </w:p>
        </w:tc>
      </w:tr>
      <w:tr>
        <w:trPr>
          <w:trHeight w:val="233"/>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pipeline trades and EBO pipeline)</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(19.9) hedge)</w:t>
            </w: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futures, TBA trades and interest rate option contracts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r>
      <w:tr>
        <w:trPr>
          <w:trHeight w:val="168"/>
        </w:trPr>
        <w:tc>
          <w:tcPr>
            <w:tcW w:w="4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and HMBS-related</w:t>
            </w:r>
          </w:p>
        </w:tc>
      </w:tr>
      <w:tr>
        <w:trPr>
          <w:trHeight w:val="23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futures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borrowings, net</w:t>
            </w:r>
          </w:p>
        </w:tc>
      </w:tr>
      <w:tr>
        <w:trPr>
          <w:trHeight w:val="168"/>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and HMBS-related</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(0.6) borrowings, net</w:t>
            </w:r>
          </w:p>
        </w:tc>
      </w:tr>
      <w:tr>
        <w:trPr>
          <w:trHeight w:val="23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3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MSR Hedging</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36" w:name="page37"/>
    <w:bookmarkEnd w:id="36"/>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200" w:hanging="307"/>
        <w:spacing w:after="0" w:line="253" w:lineRule="auto"/>
        <w:tabs>
          <w:tab w:leader="none" w:pos="616"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less the Agency MSRs subject to our sale agreements that do not qualify for sale accounting, also referred to as Pledged MSR liabilities (See Note 8 — MSR Related Financing Liabilities, at Fair Value),</w:t>
      </w:r>
    </w:p>
    <w:p>
      <w:pPr>
        <w:spacing w:after="0" w:line="1" w:lineRule="exact"/>
        <w:rPr>
          <w:rFonts w:ascii="Times New Roman" w:cs="Times New Roman" w:eastAsia="Times New Roman" w:hAnsi="Times New Roman"/>
          <w:sz w:val="17"/>
          <w:szCs w:val="17"/>
          <w:b w:val="1"/>
          <w:bCs w:val="1"/>
          <w:color w:val="auto"/>
        </w:rPr>
      </w:pPr>
    </w:p>
    <w:p>
      <w:pPr>
        <w:ind w:left="620" w:right="140" w:hanging="307"/>
        <w:spacing w:after="0" w:line="253"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(also referred to as HECM or reverse MSR for risk management purposes),</w:t>
      </w:r>
    </w:p>
    <w:p>
      <w:pPr>
        <w:spacing w:after="0" w:line="1" w:lineRule="exact"/>
        <w:rPr>
          <w:rFonts w:ascii="Times New Roman" w:cs="Times New Roman" w:eastAsia="Times New Roman" w:hAnsi="Times New Roman"/>
          <w:sz w:val="17"/>
          <w:szCs w:val="17"/>
          <w:color w:val="auto"/>
        </w:rPr>
      </w:pPr>
    </w:p>
    <w:p>
      <w:pPr>
        <w:ind w:left="620" w:right="200" w:hanging="307"/>
        <w:spacing w:after="0" w:line="26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non-Agency MSR and reverse mortgage buyouts, as deemed appropriate by the Market Risk Committee.</w:t>
      </w:r>
    </w:p>
    <w:p>
      <w:pPr>
        <w:spacing w:after="0" w:line="5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7"/>
          <w:szCs w:val="17"/>
          <w:color w:val="auto"/>
        </w:rPr>
        <w:t>The hedge coverage ratio, defined as the ratio of hedge (including reverse MSR) to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improve hedge effectiveness and/or optimize asset returns. Effective December 2023, we established a targeted hedge coverage ratio range between 95% and 105%. In April 2024, we changed the risk measure to a dollar DV01 that resulted in an equivalent range of approximately 90% to 110%. In May 2025, we established a new targeted hedge coverage ratio of 85% with a range between 80% and 100%. The targeted ratio was increased to a range of 95% to 100%, effective end of October 2025, which was revised to a range of 95% to 105% effective beginning of February 2026.</w:t>
      </w:r>
    </w:p>
    <w:p>
      <w:pPr>
        <w:spacing w:after="0" w:line="9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We continuously evaluate the use of hedging instruments with the objective of enhancing the effectiveness of our interest rate hedging strategy.</w:t>
      </w:r>
    </w:p>
    <w:p>
      <w:pPr>
        <w:spacing w:after="0" w:line="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futures and options. These derivative instruments are not designated as accounting hedges. TBAs, or To-Be-Announced securities, are actively traded, forward contracts to purchase or sell Agency MBS on a specific future date. From time to 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w:t>
      </w:r>
    </w:p>
    <w:p>
      <w:pPr>
        <w:spacing w:after="0" w:line="70"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Effective October 2025, without changing our interest rate risk management objective and procedures, our HECM MSR is now hedged with dedicated third-party derivative instruments, whose fair value changes are presented within Gain on reverse loans and HMBS-related borrowings, net in our consolidated statements of operations, within the Servicing segment.</w:t>
      </w:r>
    </w:p>
    <w:p>
      <w:pPr>
        <w:spacing w:after="0" w:line="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Pipeline Hedging - Interest Rate Lock Commitments and Loans Held for Sale,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20" w:firstLine="3"/>
        <w:spacing w:after="0" w:line="255" w:lineRule="auto"/>
        <w:tabs>
          <w:tab w:leader="none" w:pos="20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We have elected the fair value option for pipeline loans held for sale for risk management purposes. The objective of our pipeline hedging strategy is to reduce the volatility of the fair value of IRLCs and loans due to market interest rates, thus to preserve the initial gain on sale margin at lock date. Actual fair value changes of derivatives may not fully offset fair value changes of the IRLCs and loans due to many factors including basis risk or market volatility. We report changes in fair value of these derivative instruments as gain or loss on economic hedge instruments within either Gain on loans held for sale, net or Gain on reverse loans and HMBS-related borrowings,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7"/>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16 – Interest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securitization notes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Escrow</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Note 17 - Income Taxes</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Income tax expense for the three months ended March 31, 2026 includes a full quarter of income tax expense attributed to the U.S. jurisdiction whereas in the prior year quarter no such U.S. jurisdiction income tax expense was recognized due to a full valuation allowance against U.S. federal deferred tax assets. For the three months ended March 31, 2025, the $13.0 million income tax benefit includes the recognition of a $13.3 million benefit due to the favorable resolution of a prior-year uncertain tax position.</w:t>
      </w:r>
    </w:p>
    <w:p>
      <w:pPr>
        <w:spacing w:after="0" w:line="6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Following the release of a significant portion of our valuation allowance as of December 31, 2025 ($120.1 million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our annual effective tax rate for the year ended December 31, 2026 is expected to exceed the 21% federal statutory income tax rate primarily due to state taxes and the disallowance of certain executive compensation expenses.</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As of March 31, 2026, we believe that the weight of the positive evidence outweighs the negative evidence regarding the realization of our U.S. federal deferred tax assets, including cumulative income in recent years, continued profitability, and expectations regarding future profitability. As of March 31, 2026, for certain U.S. state net operating losses and interest expense disallowance carryforwards, we believe the weight of the negative evidence continues to outweigh the positive evidence regarding the realization of these state deferred tax assets and as a result are not considered to be more likely than not realizable; therefore, we have maintained a valuation allowance against these assets.</w:t>
      </w:r>
    </w:p>
    <w:p>
      <w:pPr>
        <w:spacing w:after="0" w:line="7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The realization of deferred tax assets is dependent on our ability to generate sufficient future taxable income. 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Other factors considered in these evaluations are future reversals of temporary differences, tax character and the impact of tax planning strategies that may be implemented, if warranted.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7"/>
          <w:szCs w:val="17"/>
          <w:b w:val="1"/>
          <w:bCs w:val="1"/>
          <w:color w:val="auto"/>
        </w:rPr>
        <w:t>Note 18 – Basic and Diluted Earnings per Share</w:t>
      </w:r>
    </w:p>
    <w:p>
      <w:pPr>
        <w:spacing w:after="0" w:line="20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Basic earnings or loss per share excludes common stock equivalents and is calculated by dividing net income or loss attributable to common stockholders by the weighted average number of shares of common stock outstanding during the period. We calculate diluted earnings or loss per share by dividing net income or loss attributable to common stockholders by the weighted average number of shares of common stock outstanding including the potential dilutive shares of common stock related to outstanding restricted stock awards, stock options and warrants as determined using the treasury stock method.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8,494,823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7,873,989</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earnings per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155"/>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7,873,989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dilutive elements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Common stock warrants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224,557</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option awards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awards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338,292</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Dilutive weighted average shares of common stock</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8,981,972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8,436,874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 and common stock awards excluded from the computation of diluted earnings per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Anti-dilutive </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21,659</w:t>
            </w:r>
          </w:p>
        </w:tc>
      </w:tr>
      <w:tr>
        <w:trPr>
          <w:trHeight w:val="295"/>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Market-based </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41,520</w:t>
            </w:r>
          </w:p>
        </w:tc>
      </w:tr>
    </w:tbl>
    <w:p>
      <w:pPr>
        <w:ind w:left="320" w:hanging="317"/>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there were no remaining common stock warrants outstanding.</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and stock awards that are anti-dilutive based on the application of the treasury stock method.</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Onity’s stock price.</w:t>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19 – Business Segment Reporting</w:t>
      </w:r>
    </w:p>
    <w:p>
      <w:pPr>
        <w:spacing w:after="0" w:line="31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Our business segments reflect the internal reporting that our Chief Executive Officer, whom we have determined to be our Chief Operating Decision Maker (CODM), uses to evaluate our operating and financial performance and to assess the allocation of our resources. The CODM reviews detailed segment results and key metrics, and uses pre-tax income calculated both on a GAAP basis and on a managed or adjusted basis, as internally defined, to assess the segment performance and allocate resources. The segment information presented below is prepared under GAAP, consistent with the amounts included in our consolidated financial statements. Our current reportable segments consist of Servicing, Originations,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9" w:name="page40"/>
    <w:bookmarkEnd w:id="39"/>
    <w:p>
      <w:pPr>
        <w:ind w:left="220"/>
        <w:spacing w:after="0"/>
        <w:rPr>
          <w:sz w:val="20"/>
          <w:szCs w:val="20"/>
          <w:color w:val="auto"/>
        </w:rPr>
      </w:pPr>
      <w:r>
        <w:rPr>
          <w:rFonts w:ascii="Times New Roman" w:cs="Times New Roman" w:eastAsia="Times New Roman" w:hAnsi="Times New Roman"/>
          <w:sz w:val="17"/>
          <w:szCs w:val="17"/>
          <w:color w:val="auto"/>
        </w:rPr>
        <w:t>Financial information for our segments prepared under GAAP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00" w:type="dxa"/>
            <w:vAlign w:val="bottom"/>
          </w:tcPr>
          <w:p>
            <w:pPr>
              <w:spacing w:after="0"/>
              <w:rPr>
                <w:sz w:val="13"/>
                <w:szCs w:val="1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00" w:type="dxa"/>
            <w:vAlign w:val="bottom"/>
          </w:tcPr>
          <w:p>
            <w:pPr>
              <w:spacing w:after="0"/>
              <w:rPr>
                <w:sz w:val="13"/>
                <w:szCs w:val="13"/>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22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14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5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0" w:type="dxa"/>
            <w:vAlign w:val="bottom"/>
          </w:tcPr>
          <w:p>
            <w:pPr>
              <w:spacing w:after="0"/>
              <w:rPr>
                <w:sz w:val="1"/>
                <w:szCs w:val="1"/>
                <w:color w:val="auto"/>
              </w:rPr>
            </w:pP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13"/>
        </w:trPr>
        <w:tc>
          <w:tcPr>
            <w:tcW w:w="5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258"/>
        </w:trPr>
        <w:tc>
          <w:tcPr>
            <w:tcW w:w="5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38"/>
        </w:trPr>
        <w:tc>
          <w:tcPr>
            <w:tcW w:w="52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1"/>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4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00" w:type="dxa"/>
            <w:vAlign w:val="bottom"/>
          </w:tcPr>
          <w:p>
            <w:pPr>
              <w:spacing w:after="0"/>
              <w:rPr>
                <w:sz w:val="13"/>
                <w:szCs w:val="13"/>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22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14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52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0" w:type="dxa"/>
            <w:vAlign w:val="bottom"/>
          </w:tcPr>
          <w:p>
            <w:pPr>
              <w:spacing w:after="0"/>
              <w:rPr>
                <w:sz w:val="1"/>
                <w:szCs w:val="1"/>
                <w:color w:val="auto"/>
              </w:rPr>
            </w:pP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3"/>
        </w:trPr>
        <w:tc>
          <w:tcPr>
            <w:tcW w:w="5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0" w:type="dxa"/>
            <w:vAlign w:val="bottom"/>
          </w:tcPr>
          <w:p>
            <w:pPr>
              <w:spacing w:after="0"/>
              <w:rPr>
                <w:sz w:val="1"/>
                <w:szCs w:val="1"/>
                <w:color w:val="auto"/>
              </w:rPr>
            </w:pPr>
          </w:p>
        </w:tc>
      </w:tr>
      <w:tr>
        <w:trPr>
          <w:trHeight w:val="258"/>
        </w:trPr>
        <w:tc>
          <w:tcPr>
            <w:tcW w:w="5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238"/>
        </w:trPr>
        <w:tc>
          <w:tcPr>
            <w:tcW w:w="52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92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80" w:type="dxa"/>
            <w:vAlign w:val="bottom"/>
          </w:tcPr>
          <w:p>
            <w:pPr>
              <w:spacing w:after="0"/>
              <w:rPr>
                <w:sz w:val="16"/>
                <w:szCs w:val="16"/>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220" w:type="dxa"/>
            <w:vAlign w:val="bottom"/>
          </w:tcPr>
          <w:p>
            <w:pPr>
              <w:spacing w:after="0"/>
              <w:rPr>
                <w:sz w:val="16"/>
                <w:szCs w:val="1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27"/>
        </w:trPr>
        <w:tc>
          <w:tcPr>
            <w:tcW w:w="306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31,</w:t>
            </w:r>
          </w:p>
        </w:tc>
        <w:tc>
          <w:tcPr>
            <w:tcW w:w="2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2026</w:t>
            </w:r>
          </w:p>
        </w:tc>
        <w:tc>
          <w:tcPr>
            <w:tcW w:w="19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17,735.2</w:t>
            </w:r>
          </w:p>
        </w:tc>
        <w:tc>
          <w:tcPr>
            <w:tcW w:w="0" w:type="dxa"/>
            <w:vAlign w:val="bottom"/>
          </w:tcPr>
          <w:p>
            <w:pPr>
              <w:spacing w:after="0"/>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w:t>
            </w:r>
          </w:p>
        </w:tc>
        <w:tc>
          <w:tcPr>
            <w:tcW w:w="2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31, 2025</w:t>
            </w:r>
          </w:p>
        </w:tc>
        <w:tc>
          <w:tcPr>
            <w:tcW w:w="1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20 – Regulatory Requirements</w:t>
      </w:r>
    </w:p>
    <w:p>
      <w:pPr>
        <w:spacing w:after="0" w:line="31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Our business is subject to extensive regulation and supervision by federal, state, local and foreign governmental authorities, including the Consumer Financial Protection Bureau (CFPB), the HUD, the SEC and various state agencies that license our servicing and lending activities. Accordingly, we are regularly subject to examinations, inquiries and requests, including civil investigative demands and subpoenas. The GSEs, Ginnie Mae, the United States Treasury Department, various investors, non-Agency securitization trustees and others also subject us to periodic reviews and audits.</w:t>
      </w:r>
    </w:p>
    <w:p>
      <w:pPr>
        <w:spacing w:after="0" w:line="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As a mortgage originator and servicer, we must comply with a large number of federal, state and local consumer protection and other laws and regulations, that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change as laws and regulations are enacted, promulgated, amended, interpreted and enforced.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spacing w:after="0" w:line="265" w:lineRule="auto"/>
        <w:rPr>
          <w:sz w:val="20"/>
          <w:szCs w:val="20"/>
          <w:color w:val="auto"/>
        </w:rPr>
      </w:pPr>
      <w:r>
        <w:rPr>
          <w:rFonts w:ascii="Times New Roman" w:cs="Times New Roman" w:eastAsia="Times New Roman" w:hAnsi="Times New Roman"/>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Regulatory capital and liquidity requirements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licensed entities are subject to seller/servicer obligations under agreements with the GSEs (regulated by the Federal Housing Finance Agency or FHFA), HUD, FHA, VA and Ginnie Mae, including capital requirements related to tangible net worth, as defined by the applicable agency, daily liquidity requirements, an obligation to provide audited financial statements within 90 days of the applicable entity’s fiscal year end as well as extensive requirements regarding servicing, selling and other matters. In addition, as a large non-depository seller-servicer, we are required to provide the GSEs with third-party servicer and credit ratings, and an annual liquidity and capital plan that includes MSR stress tests. Minimum financial eligibility requirements for GSE seller/servicers and Ginnie Mae issuers include the following:</w:t>
      </w:r>
    </w:p>
    <w:p>
      <w:pPr>
        <w:spacing w:after="0" w:line="73" w:lineRule="exact"/>
        <w:rPr>
          <w:sz w:val="20"/>
          <w:szCs w:val="20"/>
          <w:color w:val="auto"/>
        </w:rPr>
      </w:pPr>
    </w:p>
    <w:p>
      <w:pPr>
        <w:ind w:left="620" w:hanging="307"/>
        <w:spacing w:after="0" w:line="262"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 generally defined as a percentage of the serviced UPB, ranging from 3.5 to 20 basis points depending on remittance obligations, loan type and investors. In addition, we are required to maintain 2 and 5 basis points for supplemental liquidity as a large non-depository seller-servicer for GSE or Ginnie Mae servicing, respectively. Additional minimum liquidity requirements include 50 basis points of the Originations pipeline loans held for sale and IRLCs. Eligible liquidity generally includes cash and 50% of the unused portion of committed Agencies servicing advance financing facilities pursuant to FHFA rules or servicing advances pursuant to Ginnie Mae rules.</w:t>
      </w:r>
    </w:p>
    <w:p>
      <w:pPr>
        <w:spacing w:after="0" w:line="70"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tangible net worth - generally defined as a percentage of the serviced UPB, with 100 basis points for reverse servicing under Ginnie Mae rules (25 basis points under FHFA rules), 35 basis points for Ginnie Mae servicing (forward) and 25 basis points for GSE and other investors.</w:t>
      </w:r>
    </w:p>
    <w:p>
      <w:pPr>
        <w:spacing w:after="0" w:line="47" w:lineRule="exact"/>
        <w:rPr>
          <w:rFonts w:ascii="Times New Roman" w:cs="Times New Roman" w:eastAsia="Times New Roman" w:hAnsi="Times New Roman"/>
          <w:sz w:val="17"/>
          <w:szCs w:val="17"/>
          <w:color w:val="auto"/>
        </w:rPr>
      </w:pPr>
    </w:p>
    <w:p>
      <w:pPr>
        <w:ind w:left="620" w:right="40" w:hanging="307"/>
        <w:spacing w:after="0" w:line="270"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capital ratio (FHFA) or leverage ratio (Ginnie Mae) of 6% - defined as Tangible or Adjusted Net Worth to total assets. As issuer of HMBS, OMC received an exemption to exclude reverse mortgage loans securitized into HMBS ($9.4 billion at March 31, 2026) from total assets due to the “lack of true sale accounting treatment of the HMBS Program” as per the Ginnie Mae guide.</w:t>
      </w:r>
    </w:p>
    <w:p>
      <w:pPr>
        <w:spacing w:after="0" w:line="63" w:lineRule="exact"/>
        <w:rPr>
          <w:rFonts w:ascii="Times New Roman" w:cs="Times New Roman" w:eastAsia="Times New Roman" w:hAnsi="Times New Roman"/>
          <w:sz w:val="17"/>
          <w:szCs w:val="17"/>
          <w:color w:val="auto"/>
        </w:rPr>
      </w:pPr>
    </w:p>
    <w:p>
      <w:pPr>
        <w:ind w:left="620" w:right="60" w:hanging="307"/>
        <w:spacing w:after="0" w:line="262"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risk-based capital ratio (RBCR) of 6% (as Ginnie Mae issuer) - generally defined as Adjusted Net Worth less Excess MSR to risk weighted assets. Excess MSR is deducted from Adjusted Net Worth when the MSR fair value exceeds the Adjusted Net Worth. Government and GSE conforming loans held-for-sale UPB are risk weighted at 20%, other loans held-for-sale at 50%, other assets at 100% and MSRs at 250%. MSR values may be reduced by 10% to 50% depending on historical Hedge Efficacy ratio of fair value changes of MSR hedging derivatives and MSR fair value changes due to market and model changes (e.g., 50% MSR value reduction for 80-120% Hedge Efficacy).</w:t>
      </w:r>
    </w:p>
    <w:p>
      <w:pPr>
        <w:spacing w:after="0" w:line="70"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We believe our licensed entities were in compliance with all of their minimum net worth, capital and liquidity requirements at March 31, 2026. The most restrictive requirements were as follows at March 31, 2026:</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Required</w:t>
            </w: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Reported</w:t>
            </w:r>
          </w:p>
        </w:tc>
      </w:tr>
      <w:tr>
        <w:trPr>
          <w:trHeight w:val="200"/>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worth</w:t>
            </w: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20"/>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OMC</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284.4</w:t>
            </w:r>
          </w:p>
        </w:tc>
        <w:tc>
          <w:tcPr>
            <w:tcW w:w="8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436.2</w:t>
            </w:r>
          </w:p>
        </w:tc>
      </w:tr>
      <w:tr>
        <w:trPr>
          <w:trHeight w:val="22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311.7</w:t>
            </w:r>
          </w:p>
        </w:tc>
      </w:tr>
      <w:tr>
        <w:trPr>
          <w:trHeight w:val="220"/>
        </w:trPr>
        <w:tc>
          <w:tcPr>
            <w:tcW w:w="80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Liquidity </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0"/>
        </w:trPr>
        <w:tc>
          <w:tcPr>
            <w:tcW w:w="80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OMC - FHFA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86.5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140.5</w:t>
            </w:r>
          </w:p>
        </w:tc>
      </w:tr>
      <w:tr>
        <w:trPr>
          <w:trHeight w:val="220"/>
        </w:trPr>
        <w:tc>
          <w:tcPr>
            <w:tcW w:w="808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OMC - Ginnie Mae </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84.8</w:t>
            </w:r>
          </w:p>
        </w:tc>
        <w:tc>
          <w:tcPr>
            <w:tcW w:w="8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471.1</w:t>
            </w:r>
          </w:p>
        </w:tc>
      </w:tr>
      <w:tr>
        <w:trPr>
          <w:trHeight w:val="220"/>
        </w:trPr>
        <w:tc>
          <w:tcPr>
            <w:tcW w:w="80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PAS - FHFA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88.7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203.6</w:t>
            </w:r>
          </w:p>
        </w:tc>
      </w:tr>
    </w:tbl>
    <w:p>
      <w:pPr>
        <w:spacing w:after="0" w:line="169" w:lineRule="exact"/>
        <w:rPr>
          <w:sz w:val="20"/>
          <w:szCs w:val="20"/>
          <w:color w:val="auto"/>
        </w:rPr>
      </w:pPr>
    </w:p>
    <w:p>
      <w:pPr>
        <w:ind w:left="320" w:hanging="317"/>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liquidity includes 50 percent of the unused portion of committed Agency servicing advance facilities, as defined by the FHFA.</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liquidity includes Servicing advances as eligible liquidity pursuant to Ginnie Mae’s liquidity requirements.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2" w:name="page43"/>
    <w:bookmarkEnd w:id="42"/>
    <w:p>
      <w:pPr>
        <w:jc w:val="both"/>
        <w:ind w:left="320" w:right="40" w:hanging="317"/>
        <w:spacing w:after="0" w:line="254"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liquidity displayed in the above table reflects liquidity measures as defined by regulators that differ from the total liquidity available to finance the business. At March 31, 2026, our total liquidity of $277.2 million included $182.5 million of unrestricted cash and $94.7 million total available committed and uncommitted borrowing capacity based on the amount of eligible collateral.</w:t>
      </w:r>
    </w:p>
    <w:p>
      <w:pPr>
        <w:spacing w:after="0" w:line="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(NY DFS). </w:t>
      </w:r>
      <w:r>
        <w:rPr>
          <w:rFonts w:ascii="Times New Roman" w:cs="Times New Roman" w:eastAsia="Times New Roman" w:hAnsi="Times New Roman"/>
          <w:sz w:val="17"/>
          <w:szCs w:val="17"/>
          <w:color w:val="auto"/>
        </w:rPr>
        <w:t>The NY DFS currently limits our ability to acquire MSRs with respect to New York loans, so that Onity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not increase its aggregate portfolio of New York loans serviced or subserviced by Onity by more than 2% per year. This restriction will remain in place until the NY DFS conducts a review and determines that Onity has developed a satisfactory infrastructure to board sizable portfolios of MSRs. We believe we have complied with all terms required by the NY DFS.</w:t>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21 — Commitments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Servicer Advance Obligations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as servicer or master servicer, we are required to advance loan principal and interest payments (P&amp;I), property taxes and insurance premiums (T&amp;I) on behalf of the borrower, if delinquent. We also advance legal fees, inspection, maintenance, and preservation costs (Corporate advances) on properties that are in default or have been foreclosed. Our obligations to make these advances are governed by servicing agreements or guides, depending on investors or guarantor. Advances made by us as primary servicer are generally recovered from the borrower or the mortgage loan investor. To the extent there are funds held for future distribution in the custodial accounts, generally we are permitted to borrow from these amounts if P&amp;I advances are required. Advances are primarily recovered from the borrower via a cure of the delinquency, proceeds from sale of loan collateral, mortgage insurance proceeds, or the investor.</w:t>
      </w:r>
    </w:p>
    <w:p>
      <w:pPr>
        <w:spacing w:after="0" w:line="28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For PLS loans, generally, we may stop advancing for P&amp;I once future advances are deemed non-recoverable from the anticipated net proceeds of the property, although we are generally obligated to continue T&amp;I and Corporate advances until the loan delinquency is cured or until a completion of a foreclosure and sale of the REO.</w:t>
      </w:r>
    </w:p>
    <w:p>
      <w:pPr>
        <w:spacing w:after="0" w:line="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We are also required to advance both T&amp;I and Corporate advances until cure or liquidation.</w:t>
      </w:r>
    </w:p>
    <w:p>
      <w:pPr>
        <w:spacing w:after="0" w:line="6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For GSE loans, we are required to advance P&amp;I until the borrower is 120 days delinquent for Fannie Mae loans, but advance only interest payments for the same length of delinquency for Freddie Mac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completion of the foreclosure sale.</w:t>
      </w:r>
    </w:p>
    <w:p>
      <w:pPr>
        <w:spacing w:after="0" w:line="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 subservicer, we are required to make T&amp;I and Corporate advances and in some cases P&amp;I advances on behalf of servicers in accordance with the servicing agreements or guides. Servicers are generally required to reimburse us within 30 days of our advancing under the terms of the subservicing agreements. We are generally reimbursed by Rithm the same day we fund P&amp;I advances, or within no more than three days for servicing advances and certain P&amp;I advances under the Onity agreements.</w:t>
      </w:r>
    </w:p>
    <w:p>
      <w:pPr>
        <w:spacing w:after="0" w:line="6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Rithm is obligated to fund new servicing advances with respect to the MSRs underlying the RMSR agreement, pursuant to the servicing agreements. Rithm has the responsibility to fund advances for loans where they own the MSR, i.e., are the servicer of record. We are dependent upon Rithm for funding the servicing advance obligations for Rights to MSRs where we are the servicer of record. As the servicer of record, we are contractually required under our servicing agreements to make certain servicing advances even if Rithm does not perform its contractual obligations to fund those advances.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Unfunded Lending Commitments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$2.9 billion at March 31, 2026. This additional borrowing capacity is available on a scheduled or unscheduled payment basis. During the three months ended March 31, 2026, we funded $74.0 million out of the $2.9 billion borrowing capacity as of December 31, 2025. We also had short-term commitments to lend $2.7 billion and $14.2 million in connection with our forward and reverse mortgage loan IRLCs, respectively, outstanding at March 31, 2026. We finance originated and purchased forward and reverse mortgage loans with repurchase and participation agreements, also referred to as warehouse lines, prior to their respective securitization.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HMBS Issuer Obligations</w:t>
      </w:r>
    </w:p>
    <w:p>
      <w:pPr>
        <w:spacing w:after="0" w:line="11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As an HMBS issuer, we assume certain obligations related to each security issued. The most significant obligation is the requirement to purchase loans out of the Ginnie Mae securitization pools once the outstanding principal balance of a reverse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43" w:name="page44"/>
    <w:bookmarkEnd w:id="43"/>
    <w:p>
      <w:pPr>
        <w:ind w:right="160"/>
        <w:spacing w:after="0" w:line="288" w:lineRule="auto"/>
        <w:rPr>
          <w:sz w:val="20"/>
          <w:szCs w:val="20"/>
          <w:color w:val="auto"/>
        </w:rPr>
      </w:pPr>
      <w:r>
        <w:rPr>
          <w:rFonts w:ascii="Times New Roman" w:cs="Times New Roman" w:eastAsia="Times New Roman" w:hAnsi="Times New Roman"/>
          <w:sz w:val="17"/>
          <w:szCs w:val="17"/>
          <w:color w:val="auto"/>
        </w:rPr>
        <w:t>mortgage loan is equal to or greater than 98% of the maximum claim amount (MCA repurchases). The table below provides the breakdown of the portfolio UPB with respect to the percentage of the MCA at March 31,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less than 92% MCA</w:t>
            </w: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8,235.7</w:t>
            </w:r>
          </w:p>
        </w:tc>
      </w:tr>
      <w:tr>
        <w:trPr>
          <w:trHeight w:val="220"/>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92% and less than 95% MCA</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95% MCA and less than 98% MCA</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r>
      <w:tr>
        <w:trPr>
          <w:trHeight w:val="213"/>
        </w:trPr>
        <w:tc>
          <w:tcPr>
            <w:tcW w:w="94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Securitized HECM loans UPB</w:t>
            </w:r>
          </w:p>
        </w:tc>
        <w:tc>
          <w:tcPr>
            <w:tcW w:w="6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8,937.0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For the three months ended March 31, 2026 and 2025, we repurchased HECM loans from Ginnie Mae securitizations in the amount of $233.8 million and $156.9 million, respectively. Activity with regard to HMBS repurchases for the three months ended March 31, 2026 is as follows: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xml:space="preserve">Active </w:t>
            </w:r>
            <w:r>
              <w:rPr>
                <w:rFonts w:ascii="Times New Roman" w:cs="Times New Roman" w:eastAsia="Times New Roman" w:hAnsi="Times New Roman"/>
                <w:sz w:val="22"/>
                <w:szCs w:val="22"/>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Inactive</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257.2</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w:t>
            </w:r>
          </w:p>
        </w:tc>
      </w:tr>
      <w:tr>
        <w:trPr>
          <w:trHeight w:val="220"/>
        </w:trPr>
        <w:tc>
          <w:tcPr>
            <w:tcW w:w="646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Recoveries, net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value</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250.6</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257.0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507.6</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received upon assignment of loan to HUD, loan payoff, REO liquidation and claim proceeds less any amounts charged off as unrecoverable.</w:t>
      </w:r>
    </w:p>
    <w:p>
      <w:pPr>
        <w:spacing w:after="0" w:line="12" w:lineRule="exact"/>
        <w:rPr>
          <w:rFonts w:ascii="Times New Roman" w:cs="Times New Roman" w:eastAsia="Times New Roman" w:hAnsi="Times New Roman"/>
          <w:sz w:val="16"/>
          <w:szCs w:val="16"/>
          <w:color w:val="auto"/>
        </w:rPr>
      </w:pPr>
    </w:p>
    <w:p>
      <w:pPr>
        <w:ind w:left="320" w:right="280" w:hanging="317"/>
        <w:spacing w:after="0" w:line="253" w:lineRule="auto"/>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$120.2 million UPB in loans directly assigned to HUD from the underlying Ginnie Mae securities without a cash repurchase from us ($381.6 million for the three months ended March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Active loan repurchases are classified as Receivables, as reimbursement from HUD is generally received within 60 days and are initially recorded at fair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Inactive loan repurchases or active loan repurchases that we do not expect to assign to HUD are classified as Loans held for sale and recorded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Concentration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Servicing segment has exposure to concentration risk and client retention risk.</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For the three months ended March 31, 2026, servicing and subservicing fees from Rithm amounted to $17.2 million, or 10% of total servicing and subservicing fees (excluding ancillary income) ($22.2 million and 14% in the three months ended March 31, 2025, respectively), and the related Rithm Pledged MSR liability expense amounted to $8.2 million and $9.0 million in the respective periods. As of March 31, 2026, Rithm represented $29.7 billion, or 9% of the UPB and 17% of the loan count of our total servicing and subservicing portfolio, and approximately 47% of all delinquent loans that Onity services. On October 31, 2025, Rithm exercised its right to terminate the subservicing agreements for convenience, effective January 31, 2026. The servicing transfer to Rithm’s own servicing platform began in the first quarter of 2026 with the transfer of $1.2 billion RMSR UPB and $0.6 billion subservicing UPB on March 1, 2026. The transfer of the remaining $6.9 billion UPB of these agreements is subject to the receipt of necessary consents from trustees and others, the timing and success of which are uncertain. Upon transfer, we have downsized and expect to further downsize certain aspects of our servicing business as well as the related corporate support functions. In addition, the float amount associated with the advance collections and servicing fees of the servicing portfolio will be repaid to Rithm in cash based on the amount due upon transfer. Also refer to Note 8 — MSR Related Financing Liabilities, at Fair Value, Note 13 – Other Liabilities and Note 23 – Subsequent Events.</w:t>
      </w:r>
    </w:p>
    <w:p>
      <w:pPr>
        <w:spacing w:after="0" w:line="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Servicing and subservicing fees from MAV for the three months ended March 31, 2026 amounted to $14.0 million, or 8% of total servicing and subservicing fees (excluding ancillary income) ($15.0 million and 10% for the three months ended March 31, 2025, respectively). The related MAV Pledged MSR liability expense amounted to $10.8 million and $11.6 million for the three months ended March 31, 2026 and 2025, respectively. As of March 31, 2026, our servicing and subservicing portfolio with MAV represented $37.9 billion UPB, or 11% of the UPB and 10% of the loan count of our total servicing and subservicing portfolio. OMC has the right to be the exclusive subservicer through November 2029 subject to certain extensions of all MSRs that MAV currently owns, for all future MSRs that MAV acquires from OMC, and for the majority of MAV’s MSR portfolio overall, as defined. In addition, the parties agreed to lockout restrictions where MAV is restricted to sell or otherwise transfer MSRs owned by MAV in 25% annual increments through September 2027. Also refer to Note 7 – Mortgage Servicing and Note 8 — MSR Related Financing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7"/>
          <w:szCs w:val="17"/>
          <w:b w:val="1"/>
          <w:bCs w:val="1"/>
          <w:color w:val="auto"/>
        </w:rPr>
        <w:t>Note 22 – Contingencies</w:t>
      </w:r>
    </w:p>
    <w:p>
      <w:pPr>
        <w:spacing w:after="0" w:line="3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certain matters that materially exceed any accrued amount. Predicting the outcome of any matter is inherently difficult and we generally cannot predict the eventual outcome of any matter or the eventual loss, if any, associated with the outcome, particularly where the claimants seek very large or indeterminate damages, including punitive damages, or where the matters present novel legal theories or involve a large number of parties.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8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current accrual with respect to the following matters (Litigation and Regulatory) is included in the $18.3 million legal and regulatory accrual. We cannot currently estimate the amount, if any, of reasonably possible losses above amounts that have been recorded at March 31, 2026</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Any material adverse resolution of these matters could materially and adversely affect our business, reputation, financial condition, liquidity, and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Onity against certain current or former officers and directors or others, and those brought under the False Claims Act, including by private citizens on behalf of the U.S. In addition, we may be a party or potential party to threatened or pending legal proceedings involving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applicable taxing authorities; and parties who provide or provided consulting, subservicing, or other services to Onity.</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majority of these proceedings are based on alleged violations of federal, state and local laws and regulations governing our mortgage servicing and lending activities, including, among others, the Dodd-Frank Wall Street Reform and Consumer Protection Act (Dodd-Frank Act), the Gramm-Leach-Bliley Act, the Fair Debt Collection Practices Act (FDCPA), the Real Estate Settlement Procedures Act (RESPA), the Truth in Lending Act (TILA), the Fair Credit Reporting Act, the Servicemembers Civil Relief Act, the Homeowners Protection Act, the Federal Trade Commission Act, the Telephone Consumer Protection Act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claims related to untimely recording of mortgage satisfactions, claims related to data privacy, and claims related to tax deficiencies owed by and tax refunds due to us. In some of these proceedings, claims for substantial monetary damages are asserted against us. For example, we are currently or have been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(5) we failed to subservice loans appropriately pursuant to subservicing and other agreements, (6) we did not comply with specific state and federal wage and hour laws for certain non-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04" w:right="359" w:bottom="1440" w:gutter="0" w:footer="0" w:header="0"/>
        </w:sectPr>
      </w:pPr>
    </w:p>
    <w:bookmarkStart w:id="45" w:name="page46"/>
    <w:bookmarkEnd w:id="45"/>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exempt employees, and (7) our written certifications documenting our entitlement to benefits under the Treasury Department’s Home Affordable Modification Program and similar federal government programs allegedly violated the False Claims Act. In the future, we are likely to become subject to other private legal proceedings alleging failures to comply with applicable laws and regulations, including putative class actions, in the ordinary course of our business.</w:t>
      </w:r>
    </w:p>
    <w:p>
      <w:pPr>
        <w:spacing w:after="0" w:line="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Convenience Fees - </w:t>
      </w:r>
      <w:r>
        <w:rPr>
          <w:rFonts w:ascii="Times New Roman" w:cs="Times New Roman" w:eastAsia="Times New Roman" w:hAnsi="Times New Roman"/>
          <w:sz w:val="17"/>
          <w:szCs w:val="17"/>
          <w:color w:val="auto"/>
        </w:rPr>
        <w:t>As previously disclosed, we are subject to individual lawsuits relating to our FDCPA compliance and putative state law class actions based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FDCPA and similar state statutes. For example, we are currently defending putative class action lawsuits challenging, under state and federal law, certain fees charged to borrowers who used certain optional payment methods. See </w:t>
      </w:r>
      <w:r>
        <w:rPr>
          <w:rFonts w:ascii="Times New Roman" w:cs="Times New Roman" w:eastAsia="Times New Roman" w:hAnsi="Times New Roman"/>
          <w:sz w:val="17"/>
          <w:szCs w:val="17"/>
          <w:i w:val="1"/>
          <w:iCs w:val="1"/>
          <w:color w:val="auto"/>
        </w:rPr>
        <w:t>e.g., Jones v. Onity Mortg. Corp., et al.</w:t>
      </w:r>
      <w:r>
        <w:rPr>
          <w:rFonts w:ascii="Times New Roman" w:cs="Times New Roman" w:eastAsia="Times New Roman" w:hAnsi="Times New Roman"/>
          <w:sz w:val="17"/>
          <w:szCs w:val="17"/>
          <w:color w:val="auto"/>
        </w:rPr>
        <w:t xml:space="preserve"> (D. NJ) (parties’ motions for summary judgment and related to class certification remain pending); </w:t>
      </w:r>
      <w:r>
        <w:rPr>
          <w:rFonts w:ascii="Times New Roman" w:cs="Times New Roman" w:eastAsia="Times New Roman" w:hAnsi="Times New Roman"/>
          <w:sz w:val="17"/>
          <w:szCs w:val="17"/>
          <w:i w:val="1"/>
          <w:iCs w:val="1"/>
          <w:color w:val="auto"/>
        </w:rPr>
        <w:t>Smith-Fowler v. Onity Mortgage Corp.</w:t>
      </w:r>
      <w:r>
        <w:rPr>
          <w:rFonts w:ascii="Times New Roman" w:cs="Times New Roman" w:eastAsia="Times New Roman" w:hAnsi="Times New Roman"/>
          <w:sz w:val="17"/>
          <w:szCs w:val="17"/>
          <w:color w:val="auto"/>
        </w:rPr>
        <w:t xml:space="preserve"> (D.D.C) (motion to dismiss is fully briefed and remains pending).</w:t>
      </w:r>
    </w:p>
    <w:p>
      <w:pPr>
        <w:spacing w:after="0" w:line="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Mortgage Reinsurance - </w:t>
      </w:r>
      <w:r>
        <w:rPr>
          <w:rFonts w:ascii="Times New Roman" w:cs="Times New Roman" w:eastAsia="Times New Roman" w:hAnsi="Times New Roman"/>
          <w:sz w:val="17"/>
          <w:szCs w:val="17"/>
          <w:color w:val="auto"/>
        </w:rPr>
        <w:t>In addition, we continue to be involved in legacy matters arising prior to Onity’s October 2018 acquisition of PHH Corporation,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including a putative class action filed in 2008 in the United States District Court for the Eastern District of California against PHH Corporation and related entities alleging that PHH Corporation’s legacy mortgage reinsurance arrangements between its captive reinsurer, Atrium Insurance Corporation, and certain mortgage insurance providers violated RESPA. See </w:t>
      </w:r>
      <w:r>
        <w:rPr>
          <w:rFonts w:ascii="Times New Roman" w:cs="Times New Roman" w:eastAsia="Times New Roman" w:hAnsi="Times New Roman"/>
          <w:sz w:val="17"/>
          <w:szCs w:val="17"/>
          <w:i w:val="1"/>
          <w:iCs w:val="1"/>
          <w:color w:val="auto"/>
        </w:rPr>
        <w:t>Munoz v. Onity Mortgage Corp. et al.</w:t>
      </w:r>
      <w:r>
        <w:rPr>
          <w:rFonts w:ascii="Times New Roman" w:cs="Times New Roman" w:eastAsia="Times New Roman" w:hAnsi="Times New Roman"/>
          <w:sz w:val="17"/>
          <w:szCs w:val="17"/>
          <w:color w:val="auto"/>
        </w:rPr>
        <w:t xml:space="preserve"> (Eastern District of California). In June 2015, the court certified a class of borrowers who obtained loans with private mortgage insurance through OMC’s captive reinsurance arrangement between June 2007 and December 2009. Following nearly a decade of additional proceedings, on March 19, 2025, the parties reached an agreement in principle to settle the litigation. On August 11, 2025,</w:t>
      </w:r>
    </w:p>
    <w:p>
      <w:pPr>
        <w:spacing w:after="0" w:line="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Court granted preliminary approval of the settlement and on December 19, 2025, the Court granted final approval of the settlement. We are currently going through the settlement administration process.</w:t>
      </w:r>
    </w:p>
    <w:p>
      <w:pPr>
        <w:spacing w:after="0" w:line="4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Property Related Fees - </w:t>
      </w:r>
      <w:r>
        <w:rPr>
          <w:rFonts w:ascii="Times New Roman" w:cs="Times New Roman" w:eastAsia="Times New Roman" w:hAnsi="Times New Roman"/>
          <w:sz w:val="17"/>
          <w:szCs w:val="17"/>
          <w:color w:val="auto"/>
        </w:rPr>
        <w:t>Onity was a defendant in a certified class action in the U.S. District Court in the Eastern District of California where the plaintiffs claimed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Onity marked up fees for property valuations and title searches in violation of California state law. See </w:t>
      </w:r>
      <w:r>
        <w:rPr>
          <w:rFonts w:ascii="Times New Roman" w:cs="Times New Roman" w:eastAsia="Times New Roman" w:hAnsi="Times New Roman"/>
          <w:sz w:val="17"/>
          <w:szCs w:val="17"/>
          <w:i w:val="1"/>
          <w:iCs w:val="1"/>
          <w:color w:val="auto"/>
        </w:rPr>
        <w:t>Weiner v. Ocwen Financial Corp., et al</w:t>
      </w:r>
      <w:r>
        <w:rPr>
          <w:rFonts w:ascii="Times New Roman" w:cs="Times New Roman" w:eastAsia="Times New Roman" w:hAnsi="Times New Roman"/>
          <w:sz w:val="17"/>
          <w:szCs w:val="17"/>
          <w:color w:val="auto"/>
        </w:rPr>
        <w:t>. In October 2023, the parties reached a tentative settlement to resolve the lawsuit prior to trial. In March 2024, the district court entered an order granting preliminary approval of the</w:t>
      </w:r>
    </w:p>
    <w:p>
      <w:pPr>
        <w:ind w:right="200"/>
        <w:spacing w:after="0" w:line="270" w:lineRule="auto"/>
        <w:rPr>
          <w:sz w:val="20"/>
          <w:szCs w:val="20"/>
          <w:color w:val="auto"/>
        </w:rPr>
      </w:pPr>
      <w:r>
        <w:rPr>
          <w:rFonts w:ascii="Times New Roman" w:cs="Times New Roman" w:eastAsia="Times New Roman" w:hAnsi="Times New Roman"/>
          <w:sz w:val="17"/>
          <w:szCs w:val="17"/>
          <w:color w:val="auto"/>
        </w:rPr>
        <w:t>parties’ settlement agreement and directing notice to the settlement class. The Court held a Final Fairness Hearing in September, 2024, and in October 2024, the Court entered an order approving the settlement. The parties have executed on their obligations under the settlement, and after the expiration of the claims deadline, we made final payment of the claims amount on December 16, 2025, concluding our obligations in the matter.</w:t>
      </w:r>
    </w:p>
    <w:p>
      <w:pPr>
        <w:spacing w:after="0" w:line="5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USVI Tax Refund - </w:t>
      </w:r>
      <w:r>
        <w:rPr>
          <w:rFonts w:ascii="Times New Roman" w:cs="Times New Roman" w:eastAsia="Times New Roman" w:hAnsi="Times New Roman"/>
          <w:sz w:val="17"/>
          <w:szCs w:val="17"/>
          <w:color w:val="auto"/>
        </w:rPr>
        <w:t>We are in ongoing litigation with the United States Virgin Islands (“USVI”) regarding our entitlement to refunds of income taxes paid in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years, plus accrued interest. The USVI is defending against such claims and contesting that such refunds are owed. See Note 10 – Receivables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On April 30, 2025, the USVI filed an additional lawsuit in the Superior Court of the Virgin Islands against us alleging that we did not meet the conditions for receiving benefits under our Economic Development Commission Certificate. We have removed that matter to federal court and filed a motion to dismiss it, which remains pending. We intend to vigorously pursue our rights with respect to these various matters.</w:t>
      </w:r>
    </w:p>
    <w:p>
      <w:pPr>
        <w:spacing w:after="0" w:line="6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RMBS Servicing - </w:t>
      </w:r>
      <w:r>
        <w:rPr>
          <w:rFonts w:ascii="Times New Roman" w:cs="Times New Roman" w:eastAsia="Times New Roman" w:hAnsi="Times New Roman"/>
          <w:sz w:val="17"/>
          <w:szCs w:val="17"/>
          <w:color w:val="auto"/>
        </w:rPr>
        <w:t>Over the past several years, lawsuits have been filed by RMBS trust investors alleging that the trustees and master servicers breached their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Onity has received several letters from trustees and master servicers purporting to put Onity on notice that the trustees and master servicers may ultimately seek indemnification from Onity in connection with the litigations. Onity has not been directly impleaded into any of these cases, but it has produced and continues to produce documents to the parties in response to third-party subpoenas.</w:t>
      </w:r>
    </w:p>
    <w:p>
      <w:pPr>
        <w:spacing w:after="0" w:line="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addition, several RMBS trustees have received notices of events of default alleging material failures by servicers to comply with applicable servicing agreements. Although Onity has not been sued by an RMBS trustee in response to an event of default notice, there is a risk that Onity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Onity,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Onity were to be terminated as servicer, or other related legal actions were pursued against Onity, it could have an adverse effect on Onity’s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119" w:lineRule="exact"/>
        <w:rPr>
          <w:sz w:val="20"/>
          <w:szCs w:val="20"/>
          <w:color w:val="auto"/>
        </w:rPr>
      </w:pPr>
    </w:p>
    <w:p>
      <w:pPr>
        <w:ind w:right="820"/>
        <w:spacing w:after="0" w:line="288" w:lineRule="auto"/>
        <w:rPr>
          <w:sz w:val="20"/>
          <w:szCs w:val="20"/>
          <w:color w:val="auto"/>
        </w:rPr>
      </w:pPr>
      <w:r>
        <w:rPr>
          <w:rFonts w:ascii="Times New Roman" w:cs="Times New Roman" w:eastAsia="Times New Roman" w:hAnsi="Times New Roman"/>
          <w:sz w:val="17"/>
          <w:szCs w:val="17"/>
          <w:color w:val="auto"/>
        </w:rPr>
        <w:t>We are subject to a number of ongoing federal and state regulatory examinations, orders, inquiries, subpoenas, civil investigative demands, requests for information and other actions. We may also on occasion be subject to foreign regulatory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6" w:name="page47"/>
    <w:bookmarkEnd w:id="46"/>
    <w:p>
      <w:pPr>
        <w:ind w:right="40"/>
        <w:spacing w:after="0" w:line="259" w:lineRule="auto"/>
        <w:rPr>
          <w:sz w:val="20"/>
          <w:szCs w:val="20"/>
          <w:color w:val="auto"/>
        </w:rPr>
      </w:pPr>
      <w:r>
        <w:rPr>
          <w:rFonts w:ascii="Times New Roman" w:cs="Times New Roman" w:eastAsia="Times New Roman" w:hAnsi="Times New Roman"/>
          <w:sz w:val="17"/>
          <w:szCs w:val="17"/>
          <w:color w:val="auto"/>
        </w:rPr>
        <w:t>actions in the countries where we operate outside the U.S. In addition, we regularly receive information requests and other inquiries, both formal and informal in nature, from our state financial regulators as part of their general regulatory oversight of our licensed servicing and lending businesses, as well as from state attorneys general, the CFPB and other federal agencies, including the Department of Justice, HUD and various inspectors general. For example, we have received requests regarding the charging of certain fees to borrowers (including our practice of charging borrowers a fee to use certain optional payment methods, or “convenience fees”); the post-boarding process to verify loan and payment terms are properly implemented, calculated, and applied; bankruptcy practices; COVID-19-related forbearance and post-forbearance options; Homeowner Assistance Fund participation and implementation; and our offshore employees’ access to veteran borrower data.</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GSEs, HUD, FHA, VA, Ginnie Mae, the United States Treasury Department, and others also subject us to periodic reviews and audits and engage with us on various matters. For example, we are currently engaged with several regulators related to borrower convenience fees and we resolved one such matter with HUD in January 2025, which required us to credit/refund consumers for convenience fees charged on FHA-insured loans since May 1, 2020. We have in the past resolved, and may in the future resolve, these or other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Put-Back and Related Contingencies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64"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representations and warranties concerning loan quality, contents of the loan file or loan underwriting circumstances are inaccurate;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mortgage insurance is not secured within a certain period after closing;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mortgage insurance provider denies coverage; or</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failure to comply, at the individual loan level or otherwise, with regulatory requirements.</w:t>
      </w:r>
    </w:p>
    <w:p>
      <w:pPr>
        <w:spacing w:after="0" w:line="98"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w:t>
      </w:r>
    </w:p>
    <w:p>
      <w:pPr>
        <w:spacing w:after="0" w:line="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relating to our Originations business, including lending, loan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w:t>
      </w:r>
    </w:p>
    <w:p>
      <w:pPr>
        <w:spacing w:after="0" w:line="70" w:lineRule="exact"/>
        <w:rPr>
          <w:sz w:val="20"/>
          <w:szCs w:val="20"/>
          <w:color w:val="auto"/>
        </w:rPr>
      </w:pPr>
    </w:p>
    <w:p>
      <w:pPr>
        <w:ind w:right="620"/>
        <w:spacing w:after="0" w:line="265" w:lineRule="auto"/>
        <w:rPr>
          <w:sz w:val="20"/>
          <w:szCs w:val="20"/>
          <w:color w:val="auto"/>
        </w:rPr>
      </w:pPr>
      <w:r>
        <w:rPr>
          <w:rFonts w:ascii="Times New Roman" w:cs="Times New Roman" w:eastAsia="Times New Roman" w:hAnsi="Times New Roman"/>
          <w:sz w:val="17"/>
          <w:szCs w:val="17"/>
          <w:color w:val="auto"/>
        </w:rPr>
        <w:t>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 We do not provide or assume any origination representations and warranties in connection with our MSR purchases.</w:t>
      </w:r>
    </w:p>
    <w:p>
      <w:pPr>
        <w:spacing w:after="0" w:line="6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At March 31, 2026 and March 31, 2025, we had outstanding representation and warranty repurchase demands of $26.5 million UPB (77 loans) and $25.5 million UPB (96 loans), respectively. We review each demand and monitor through resolution, primarily through rescission, loan repurchase or make-whole payment.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our liability for representation and warranty obligations and similar indemnification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00" w:type="dxa"/>
            <w:vAlign w:val="bottom"/>
          </w:tcPr>
          <w:p>
            <w:pPr>
              <w:spacing w:after="0"/>
              <w:rPr>
                <w:sz w:val="19"/>
                <w:szCs w:val="19"/>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Beginning balance </w:t>
            </w:r>
            <w:r>
              <w:rPr>
                <w:rFonts w:ascii="Times New Roman" w:cs="Times New Roman" w:eastAsia="Times New Roman" w:hAnsi="Times New Roman"/>
                <w:sz w:val="22"/>
                <w:szCs w:val="22"/>
                <w:color w:val="auto"/>
                <w:vertAlign w:val="superscript"/>
              </w:rPr>
              <w:t>(1)</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(reversal of) representation and warranty obligations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representation and warranty obligations - New production liability</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Charge-offs and other </w:t>
            </w:r>
            <w:r>
              <w:rPr>
                <w:rFonts w:ascii="Times New Roman" w:cs="Times New Roman" w:eastAsia="Times New Roman" w:hAnsi="Times New Roman"/>
                <w:sz w:val="22"/>
                <w:szCs w:val="22"/>
                <w:color w:val="auto"/>
                <w:vertAlign w:val="superscript"/>
              </w:rPr>
              <w:t>(2)</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Ending balance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44</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81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ind w:left="320" w:right="20" w:hanging="317"/>
        <w:spacing w:after="0" w:line="248" w:lineRule="auto"/>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is reported in Other liabilities (a component of Liability for indemnification obligations) on our unaudited consolidated balance sheets.</w:t>
      </w:r>
    </w:p>
    <w:p>
      <w:pPr>
        <w:ind w:left="320" w:right="20" w:hanging="317"/>
        <w:spacing w:after="0" w:line="248" w:lineRule="auto"/>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reclassification of principal and interest losses in connection with repurchased loans, make-whole, indemnification and fee payments and settlements net of recoveries, if 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 Subsequent Events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Subsequent to March 31, 2026, we completed the repurchase of 88,309 shares of our common stock in the open market at prevailing market prices for a total purchase price of $3.9 million at an average price paid per share of $43.87. These shares were repurchased under the $10 million program authorized by Onity’s Board of Directors in February 2026, which is complete as of May 1, 2026. See Note 14 – Stockholders’ Equity for additional information</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Agreement to Sell Reverse Mortgage Loans to FAR</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April 30, 2026, Onity, through its wholly-owned subsidiary OMC, and FAR entered into an amendment (the Amendment) to the parties’ agreements for the sale of Onity’s reverse mortgage servicing portfolio and certain reverse originations assets. Under the Amendment, which modifies the terms of the Asset Purchase Agreement and the Reverse Mortgage Servicing Rights Purchase and Sale Agreement, each dated as of November 17, 2025, OMC has agreed to sell reverse MSRs comprised of approximately 20,000 Ginnie Mae HECM loans with UPB of $5.1 billion ($5.5 billion fair value) as of March 31, 2026 (see also Note 5 - Reverse Mortgages). FAR will also acquire OMC’s pipeline of reverse mortgage loans as of the transaction closing date. In addition, FAR expects to assume certain of OMC’s US-based reverse originations employees in May 2026 and additional employees in July 2026.</w:t>
      </w:r>
    </w:p>
    <w:p>
      <w:pPr>
        <w:spacing w:after="0" w:line="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OMC will become the subservicer for the reverse MSRs sold to FAR under a three-year subservicing agreement subject to automatic one-year renewal unless FAR provides notice of non-renewal 180 days prior to the expiration of the original term, and subject thereafter to renewal upon mutual agreement of the parties. OMC has agreed to discontinue its reverse originations business upon closing with the exception of activities relating to the recapture of existing HECM borrowers for any HECM MSRs not transferred to FAR.</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Based on the UPB of the HECM loans as of March 31, 2026, the gross proceeds from the transaction are estimated to be approximately $105 to $115 million in cash, reflecting pricing adjustments, including a slight discount to book value, and before transaction costs, repayment of certain warehouse financings, and related adjustments, including as a result of asset and liabilities balances as of the closing date. Following these payments and adjustments, the transaction is expected to result in net proceeds at closing of approximately $70 to $80 million. The transaction is subject to Ginnie Mae approval and customary closing conditions and is expected to close in the third quarter of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Rithm Portfolio Deboarding</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 disclosed in Note 8 — MSR Related Financing Liabilities, at Fair Value, on October 31, 2025 we were notified by Rithm of its intent not to renew its subservicing agreements effective January 31, 2026. The initial servicing transfer to Rithm’s own servicing platform occurred on March 1, 2026. On May 1, 2026 we completed an additional transfer of $10.8 billion subservicing UPB to Rithm’s platform.</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63" w:lineRule="exact"/>
        <w:rPr>
          <w:sz w:val="20"/>
          <w:szCs w:val="20"/>
          <w:color w:val="auto"/>
        </w:rPr>
      </w:pPr>
    </w:p>
    <w:p>
      <w:pPr>
        <w:ind w:left="940" w:right="260"/>
        <w:spacing w:after="0" w:line="293" w:lineRule="auto"/>
        <w:rPr>
          <w:sz w:val="20"/>
          <w:szCs w:val="20"/>
          <w:color w:val="auto"/>
        </w:rPr>
      </w:pPr>
      <w:r>
        <w:rPr>
          <w:rFonts w:ascii="Times New Roman" w:cs="Times New Roman" w:eastAsia="Times New Roman" w:hAnsi="Times New Roman"/>
          <w:sz w:val="17"/>
          <w:szCs w:val="17"/>
          <w:i w:val="1"/>
          <w:iCs w:val="1"/>
          <w:color w:val="auto"/>
        </w:rPr>
        <w:t>(Dollars in millions, including for charts, except per share amounts and unless otherwise indicated. Amounts may not add in certain tables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are a leading non-bank mortgage servicer and originator providing solutions through our primary brand, Onity Mortgage (formerly PHH Mortgage). On March 23, 2026, PHH Mortgage Corporation changed its name to Onity Mortgage Corporation (OMC). Our reverse mortgage product brand, Liberty Reverse Mortgage, has also been rebranded under the Onity Mortgage name. Onity is one of the largest non-bank servicers in the country based on UPB, focused on delivering a variety of servicing and lending programs. Onity is also one of the largest correspondent lenders in the U.S. based on origination UPB. Onity Mortgage (formerly Liberty Reverse Mortgage) is one of the nation’s largest reverse mortgage lenders and servicers based on origination and securitization UPB, dedicated to education and providing loans that help customers meet their personal and financial needs by drawing upon their home equity. Across the forward and reverse portfolio we serviced or subserviced 1.4 million loans with a total UPB of $338.4 billion on behalf of more than 3,900 investors and 113 subservicing clients as of March 31, 2026.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Volume Overview</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table below summarizes the new volume of Originations by channel on a current and comparative basis. The volume of Originations is a key driver of the profitability of our Originations segment, along with margins, and also a key driver of the replenishment and growth of our Servicing segment. In the first quarter of 2026, we added $28.5 billion of new volume, with $14.3 billion of new Originations production, $8.5 billion of subservicing additions, and $5.7 billion bulk acquisitions, as further detailed in the below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UPB</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41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93"/>
        </w:trPr>
        <w:tc>
          <w:tcPr>
            <w:tcW w:w="4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Q1 2026 vs.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Q1 2026 vs.</w:t>
            </w:r>
          </w:p>
        </w:tc>
      </w:tr>
      <w:tr>
        <w:trPr>
          <w:trHeight w:val="233"/>
        </w:trPr>
        <w:tc>
          <w:tcPr>
            <w:tcW w:w="414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Q4 2025</w:t>
            </w:r>
          </w:p>
        </w:tc>
        <w:tc>
          <w:tcPr>
            <w:tcW w:w="140" w:type="dxa"/>
            <w:vAlign w:val="bottom"/>
          </w:tcPr>
          <w:p>
            <w:pPr>
              <w:spacing w:after="0"/>
              <w:rPr>
                <w:sz w:val="20"/>
                <w:szCs w:val="20"/>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Q1 2025</w:t>
            </w:r>
          </w:p>
        </w:tc>
      </w:tr>
      <w:tr>
        <w:trPr>
          <w:trHeight w:val="20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servicing originations</w:t>
            </w: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0"/>
        </w:trPr>
        <w:tc>
          <w:tcPr>
            <w:tcW w:w="4140" w:type="dxa"/>
            <w:vAlign w:val="bottom"/>
          </w:tcPr>
          <w:p>
            <w:pPr>
              <w:ind w:left="100"/>
              <w:spacing w:after="0" w:line="220" w:lineRule="exact"/>
              <w:rPr>
                <w:sz w:val="20"/>
                <w:szCs w:val="20"/>
                <w:color w:val="auto"/>
              </w:rPr>
            </w:pPr>
            <w:r>
              <w:rPr>
                <w:rFonts w:ascii="Times New Roman" w:cs="Times New Roman" w:eastAsia="Times New Roman" w:hAnsi="Times New Roman"/>
                <w:sz w:val="17"/>
                <w:szCs w:val="17"/>
                <w:color w:val="auto"/>
              </w:rPr>
              <w:t xml:space="preserve">Retail - Consumer Direct MSR </w:t>
            </w:r>
            <w:r>
              <w:rPr>
                <w:rFonts w:ascii="Times New Roman" w:cs="Times New Roman" w:eastAsia="Times New Roman" w:hAnsi="Times New Roman"/>
                <w:sz w:val="22"/>
                <w:szCs w:val="22"/>
                <w:color w:val="auto"/>
                <w:vertAlign w:val="superscript"/>
              </w:rPr>
              <w:t>(1)</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0"/>
        </w:trPr>
        <w:tc>
          <w:tcPr>
            <w:tcW w:w="41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Correspondent MSR </w:t>
            </w:r>
            <w:r>
              <w:rPr>
                <w:rFonts w:ascii="Times New Roman" w:cs="Times New Roman" w:eastAsia="Times New Roman" w:hAnsi="Times New Roman"/>
                <w:sz w:val="22"/>
                <w:szCs w:val="22"/>
                <w:color w:val="auto"/>
                <w:vertAlign w:val="superscript"/>
              </w:rPr>
              <w:t>(1)</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4140" w:type="dxa"/>
            <w:vAlign w:val="bottom"/>
          </w:tcPr>
          <w:p>
            <w:pPr>
              <w:ind w:left="100"/>
              <w:spacing w:after="0" w:line="220" w:lineRule="exact"/>
              <w:rPr>
                <w:sz w:val="20"/>
                <w:szCs w:val="20"/>
                <w:color w:val="auto"/>
              </w:rPr>
            </w:pPr>
            <w:r>
              <w:rPr>
                <w:rFonts w:ascii="Times New Roman" w:cs="Times New Roman" w:eastAsia="Times New Roman" w:hAnsi="Times New Roman"/>
                <w:sz w:val="17"/>
                <w:szCs w:val="17"/>
                <w:color w:val="auto"/>
              </w:rPr>
              <w:t xml:space="preserve">Flow and Agency Cash Window MSR purchases </w:t>
            </w:r>
            <w:r>
              <w:rPr>
                <w:rFonts w:ascii="Times New Roman" w:cs="Times New Roman" w:eastAsia="Times New Roman" w:hAnsi="Times New Roman"/>
                <w:sz w:val="22"/>
                <w:szCs w:val="22"/>
                <w:color w:val="auto"/>
                <w:vertAlign w:val="superscript"/>
              </w:rPr>
              <w:t>(2)</w:t>
            </w: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4140" w:type="dxa"/>
            <w:vAlign w:val="bottom"/>
            <w:shd w:val="clear" w:color="auto" w:fill="CCEEFF"/>
          </w:tcPr>
          <w:p>
            <w:pPr>
              <w:ind w:left="10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origination </w:t>
            </w:r>
            <w:r>
              <w:rPr>
                <w:rFonts w:ascii="Times New Roman" w:cs="Times New Roman" w:eastAsia="Times New Roman" w:hAnsi="Times New Roman"/>
                <w:sz w:val="22"/>
                <w:szCs w:val="22"/>
                <w:color w:val="auto"/>
                <w:vertAlign w:val="superscript"/>
              </w:rPr>
              <w:t>(3)</w:t>
            </w: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Originations production</w:t>
            </w: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414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Bulk MSR purchases </w:t>
            </w:r>
            <w:r>
              <w:rPr>
                <w:rFonts w:ascii="Times New Roman" w:cs="Times New Roman" w:eastAsia="Times New Roman" w:hAnsi="Times New Roman"/>
                <w:sz w:val="22"/>
                <w:szCs w:val="22"/>
                <w:color w:val="auto"/>
                <w:vertAlign w:val="superscript"/>
              </w:rPr>
              <w:t>(2)</w:t>
            </w: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servicing additions</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Interim forward subservicing</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new subservicing</w:t>
            </w: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3"/>
        </w:trPr>
        <w:tc>
          <w:tcPr>
            <w:tcW w:w="4140" w:type="dxa"/>
            <w:vAlign w:val="bottom"/>
            <w:shd w:val="clear" w:color="auto" w:fill="CCEEFF"/>
          </w:tcPr>
          <w:p>
            <w:pPr>
              <w:ind w:left="260"/>
              <w:spacing w:after="0" w:line="212" w:lineRule="exact"/>
              <w:rPr>
                <w:sz w:val="20"/>
                <w:szCs w:val="20"/>
                <w:color w:val="auto"/>
              </w:rPr>
            </w:pPr>
            <w:r>
              <w:rPr>
                <w:rFonts w:ascii="Times New Roman" w:cs="Times New Roman" w:eastAsia="Times New Roman" w:hAnsi="Times New Roman"/>
                <w:sz w:val="17"/>
                <w:szCs w:val="17"/>
                <w:color w:val="auto"/>
              </w:rPr>
              <w:t xml:space="preserve">Total subservicing additions </w:t>
            </w:r>
            <w:r>
              <w:rPr>
                <w:rFonts w:ascii="Times New Roman" w:cs="Times New Roman" w:eastAsia="Times New Roman" w:hAnsi="Times New Roman"/>
                <w:sz w:val="22"/>
                <w:szCs w:val="22"/>
                <w:color w:val="auto"/>
                <w:vertAlign w:val="superscript"/>
              </w:rPr>
              <w:t>(4)</w:t>
            </w:r>
          </w:p>
        </w:tc>
        <w:tc>
          <w:tcPr>
            <w:tcW w:w="1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servicing and subservicing UPB additions</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
        </w:trPr>
        <w:tc>
          <w:tcPr>
            <w:tcW w:w="4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500" w:hanging="317"/>
        <w:spacing w:after="0" w:line="256" w:lineRule="auto"/>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(funded) during the respective periods and for which we recognize a new MSR on our consolidated balance sheets upon sale or securitization.</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for which the MSR is purchased.</w:t>
      </w:r>
    </w:p>
    <w:p>
      <w:pPr>
        <w:spacing w:after="0" w:line="16" w:lineRule="exact"/>
        <w:rPr>
          <w:rFonts w:ascii="Times New Roman" w:cs="Times New Roman" w:eastAsia="Times New Roman" w:hAnsi="Times New Roman"/>
          <w:sz w:val="16"/>
          <w:szCs w:val="16"/>
          <w:color w:val="auto"/>
        </w:rPr>
      </w:pPr>
    </w:p>
    <w:p>
      <w:pPr>
        <w:ind w:left="320" w:right="380" w:hanging="317"/>
        <w:spacing w:after="0" w:line="256" w:lineRule="auto"/>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spacing w:after="0" w:line="1" w:lineRule="exact"/>
        <w:rPr>
          <w:rFonts w:ascii="Times New Roman" w:cs="Times New Roman" w:eastAsia="Times New Roman" w:hAnsi="Times New Roman"/>
          <w:sz w:val="16"/>
          <w:szCs w:val="16"/>
          <w:color w:val="auto"/>
        </w:rPr>
      </w:pPr>
    </w:p>
    <w:p>
      <w:pPr>
        <w:ind w:left="320" w:right="180" w:hanging="317"/>
        <w:spacing w:after="0" w:line="265" w:lineRule="auto"/>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interim subservicing, including the volume of UPB associated with short-term interim subservicing for certain clients as a support to their originate-to-sell business. Excludes additions related to sales of MSRs with subservicing retained.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9" w:name="page50"/>
    <w:bookmarkEnd w:id="49"/>
    <w:p>
      <w:pPr>
        <w:ind w:right="60"/>
        <w:spacing w:after="0" w:line="260" w:lineRule="auto"/>
        <w:rPr>
          <w:sz w:val="20"/>
          <w:szCs w:val="20"/>
          <w:color w:val="auto"/>
        </w:rPr>
      </w:pPr>
      <w:r>
        <w:rPr>
          <w:rFonts w:ascii="Times New Roman" w:cs="Times New Roman" w:eastAsia="Times New Roman" w:hAnsi="Times New Roman"/>
          <w:sz w:val="17"/>
          <w:szCs w:val="17"/>
          <w:color w:val="auto"/>
        </w:rPr>
        <w:t>The following table summarizes the average volume of our Servicing segment, on a current and comparative basis. The average servicing volume is a key driver of the profitability of our Servicing segment. The relative weight of performing and delinquent loans or servicing and subservicing also drive the amount and timing of gross revenue and expenses. Our average total servicing and subservicing UPB increased by $11.5 billion or 3.6% during the first quarter of 2026 compared to the preceding quarter (14.2% annualized), and increased by $29.5 billion or 9.7% as compared to the prior year three months, net of runoff and sales, primarily driven by increases in our owned MSR and in subservicing. For comparison purposes, the total estimated industry mortgage debt outstanding increased 3.1% quarter over quarter (annualized) and 3.3% year over year (source: Mortgage Bankers Association (MBA) Mortgage Finance Forecast as of April 20, 2026).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Average UPB</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720" w:type="dxa"/>
            <w:vAlign w:val="bottom"/>
            <w:tcBorders>
              <w:bottom w:val="single" w:sz="8" w:color="auto"/>
            </w:tcBorders>
          </w:tcPr>
          <w:p>
            <w:pPr>
              <w:spacing w:after="0"/>
              <w:rPr>
                <w:sz w:val="19"/>
                <w:szCs w:val="19"/>
                <w:color w:val="auto"/>
              </w:rPr>
            </w:pPr>
          </w:p>
        </w:tc>
      </w:tr>
      <w:tr>
        <w:trPr>
          <w:trHeight w:val="225"/>
        </w:trPr>
        <w:tc>
          <w:tcPr>
            <w:tcW w:w="4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Q1 2026 vs.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Q1</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2026 vs.</w:t>
            </w:r>
          </w:p>
        </w:tc>
      </w:tr>
      <w:tr>
        <w:trPr>
          <w:trHeight w:val="233"/>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Q4 2025</w:t>
            </w:r>
          </w:p>
        </w:tc>
        <w:tc>
          <w:tcPr>
            <w:tcW w:w="11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Q1 2025</w:t>
            </w:r>
          </w:p>
        </w:tc>
      </w:tr>
      <w:tr>
        <w:trPr>
          <w:trHeight w:val="213"/>
        </w:trPr>
        <w:tc>
          <w:tcPr>
            <w:tcW w:w="412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Owned MSR </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158.2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18.0%</w:t>
            </w:r>
          </w:p>
        </w:tc>
      </w:tr>
      <w:tr>
        <w:trPr>
          <w:trHeight w:val="220"/>
        </w:trPr>
        <w:tc>
          <w:tcPr>
            <w:tcW w:w="41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MSR transferred to MSR capital partners </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Subservicing (including reverse subservicing)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412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loans and other </w:t>
            </w:r>
            <w:r>
              <w:rPr>
                <w:rFonts w:ascii="Times New Roman" w:cs="Times New Roman" w:eastAsia="Times New Roman" w:hAnsi="Times New Roman"/>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r>
      <w:tr>
        <w:trPr>
          <w:trHeight w:val="238"/>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servicing and subservicing UPB (average)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334.0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322.5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hanging="317"/>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related to ESS financing liabilities.</w:t>
      </w:r>
    </w:p>
    <w:p>
      <w:pPr>
        <w:spacing w:after="0" w:line="12" w:lineRule="exact"/>
        <w:rPr>
          <w:rFonts w:ascii="Times New Roman" w:cs="Times New Roman" w:eastAsia="Times New Roman" w:hAnsi="Times New Roman"/>
          <w:sz w:val="16"/>
          <w:szCs w:val="16"/>
          <w:color w:val="auto"/>
        </w:rPr>
      </w:pPr>
    </w:p>
    <w:p>
      <w:pPr>
        <w:ind w:left="320" w:right="140" w:hanging="317"/>
        <w:spacing w:after="0" w:line="238"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sold or transferred to MSR capital partners with subservicing retained and that do not qualify for derecognition / sale accounting. Reported as MSR at fair value on our consolidated balance sheet along with an associated Pledged MSR liability, economically deemed as subservicing relationship.</w:t>
      </w:r>
    </w:p>
    <w:p>
      <w:pPr>
        <w:ind w:left="320" w:hanging="317"/>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other servicing (including whole loans) carried on balance sheet.</w:t>
      </w:r>
    </w:p>
    <w:p>
      <w:pPr>
        <w:spacing w:after="0" w:line="90"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As of March 31, 2026 and December 31, 2025, the total servicing and subservicing UPB amounted to $338.4 billion and $328.3 billion, respectively, a net increase of $10.1 billion or 3.1% (12.3% annualized).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Update</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following table presents key market interest rates which are important drivers of our businesses. As further discussed, the 30-year fixed rate mortgage is a key driver of Originations volume and prepayments in Servicing, the 10-year Treasury rate is a key benchmark for MSR valuation and hedging activities, and the 1-month SOFR is a key benchmark for the profitability of our Servicing segment (including float earnings and asset-backed financing cost) and our Originations segment (mortgage loan financing cost).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520" w:type="dxa"/>
            <w:vAlign w:val="bottom"/>
            <w:tcBorders>
              <w:bottom w:val="single" w:sz="8" w:color="auto"/>
            </w:tcBorders>
          </w:tcPr>
          <w:p>
            <w:pPr>
              <w:spacing w:after="0"/>
              <w:rPr>
                <w:sz w:val="19"/>
                <w:szCs w:val="19"/>
                <w:color w:val="auto"/>
              </w:rPr>
            </w:pPr>
          </w:p>
        </w:tc>
      </w:tr>
      <w:tr>
        <w:trPr>
          <w:trHeight w:val="205"/>
        </w:trPr>
        <w:tc>
          <w:tcPr>
            <w:tcW w:w="648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6480" w:type="dxa"/>
            <w:vAlign w:val="bottom"/>
          </w:tcPr>
          <w:p>
            <w:pPr>
              <w:spacing w:after="0"/>
              <w:rPr>
                <w:sz w:val="19"/>
                <w:szCs w:val="19"/>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15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648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30-year fixed rate mortgage (FRM) </w:t>
            </w:r>
            <w:r>
              <w:rPr>
                <w:rFonts w:ascii="Times New Roman" w:cs="Times New Roman" w:eastAsia="Times New Roman" w:hAnsi="Times New Roman"/>
                <w:sz w:val="22"/>
                <w:szCs w:val="22"/>
                <w:color w:val="auto"/>
                <w:vertAlign w:val="superscript"/>
              </w:rPr>
              <w:t>(1)</w:t>
            </w: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0"/>
        </w:trPr>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Average</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6.11%</w:t>
            </w:r>
          </w:p>
        </w:tc>
        <w:tc>
          <w:tcPr>
            <w:tcW w:w="16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6.83%</w:t>
            </w:r>
          </w:p>
        </w:tc>
      </w:tr>
      <w:tr>
        <w:trPr>
          <w:trHeight w:val="220"/>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 of period</w:t>
            </w:r>
          </w:p>
        </w:tc>
        <w:tc>
          <w:tcPr>
            <w:tcW w:w="1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6.38%</w:t>
            </w:r>
          </w:p>
        </w:tc>
        <w:tc>
          <w:tcPr>
            <w:tcW w:w="16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6.65%</w:t>
            </w:r>
          </w:p>
        </w:tc>
      </w:tr>
      <w:tr>
        <w:trPr>
          <w:trHeight w:val="220"/>
        </w:trPr>
        <w:tc>
          <w:tcPr>
            <w:tcW w:w="6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10-year Treasury rate </w:t>
            </w:r>
            <w:r>
              <w:rPr>
                <w:rFonts w:ascii="Times New Roman" w:cs="Times New Roman" w:eastAsia="Times New Roman" w:hAnsi="Times New Roman"/>
                <w:sz w:val="17"/>
                <w:szCs w:val="17"/>
                <w:color w:val="auto"/>
              </w:rPr>
              <w:t>(end of period)</w:t>
            </w:r>
          </w:p>
        </w:tc>
        <w:tc>
          <w:tcPr>
            <w:tcW w:w="1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4.30%</w:t>
            </w:r>
          </w:p>
        </w:tc>
        <w:tc>
          <w:tcPr>
            <w:tcW w:w="16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4.23%</w:t>
            </w:r>
          </w:p>
        </w:tc>
      </w:tr>
      <w:tr>
        <w:trPr>
          <w:trHeight w:val="155"/>
        </w:trPr>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1-month Term SOFR </w:t>
            </w:r>
            <w:r>
              <w:rPr>
                <w:rFonts w:ascii="Times New Roman" w:cs="Times New Roman" w:eastAsia="Times New Roman" w:hAnsi="Times New Roman"/>
                <w:sz w:val="17"/>
                <w:szCs w:val="17"/>
                <w:color w:val="auto"/>
              </w:rPr>
              <w:t>(average)</w:t>
            </w:r>
          </w:p>
        </w:tc>
        <w:tc>
          <w:tcPr>
            <w:tcW w:w="1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3.67%</w:t>
            </w:r>
          </w:p>
        </w:tc>
        <w:tc>
          <w:tcPr>
            <w:tcW w:w="16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4.32%</w:t>
            </w:r>
          </w:p>
        </w:tc>
      </w:tr>
    </w:tbl>
    <w:p>
      <w:pPr>
        <w:spacing w:after="0" w:line="1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Source: Freddie Mac PMMS - Primary Mortgage Market Survey</w:t>
      </w:r>
    </w:p>
    <w:p>
      <w:pPr>
        <w:spacing w:after="0" w:line="96"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The 30-year fixed rate mortgage rate increased 23 basis points (end of period) in the first quarter of 2026 driving lower refinancing and home purchase activity in the latter part of the quarter, however rate declines earlier in the quarter drove increased refinancing activity (see market interest rates graph below). The average 30-year fixed rate mortgage rate declined 12 basis points quarter over quarter and declined 72 basis points year over year.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0" w:name="page51"/>
    <w:bookmarkEnd w:id="50"/>
    <w:p>
      <w:pPr>
        <w:ind w:right="20"/>
        <w:spacing w:after="0" w:line="262" w:lineRule="auto"/>
        <w:rPr>
          <w:sz w:val="20"/>
          <w:szCs w:val="20"/>
          <w:color w:val="auto"/>
        </w:rPr>
      </w:pPr>
      <w:r>
        <w:rPr>
          <w:rFonts w:ascii="Times New Roman" w:cs="Times New Roman" w:eastAsia="Times New Roman" w:hAnsi="Times New Roman"/>
          <w:sz w:val="17"/>
          <w:szCs w:val="17"/>
          <w:color w:val="auto"/>
        </w:rPr>
        <w:t>Our three benchmark rates above followed the decline in the federal funds rate in 2025, as displayed in the graph below. The Federal Reserve reduced its federal funds target rate a total of 50 basis points in the later part of 2025 (25 basis points in September and 25 basis points in December) resulting in increased activity in the origination market. In the first quarter of 2026, the Federal Reserve kept the federal funds rate unchanged. The 1-month SOFR largely followed the federal funds rate, as illustrated in the graph below, resulting in a 2 basis point decline (end of period) in the first quarter of 2026 as compared to a 44 basis point decline in the fourth quarter of 2025. The average 1-month SOFR declined 24 basis points quarter over quarter and declined 65 basis points year over year.</w:t>
      </w:r>
    </w:p>
    <w:p>
      <w:pPr>
        <w:spacing w:after="0" w:line="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As further illustrated in the below graph, the 10-year Treasury rate increased (12 basis points) in the first quarter of 2026 compared to an increase of 2 basis points in the fourth quarter of 2025, and a decrease of 35 basis points during the first quarter of 2025. The 30-year fixed rate mortgage rate and the 10-year Treasury rate do not necessarily move in parallel. If the 10-year Treasury rate remains flat and the 30-year fixed mortgage rates decline this is referred to as mortgage spread tightening, and may stimulate mortgage activity beyond the 10-year Treasury rate.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graph compares market interest rates over the current and comparative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83185</wp:posOffset>
            </wp:positionV>
            <wp:extent cx="4241800" cy="2280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4180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Another key driver of our Originations business is the overall mortgage origination market volume, that, in addition to interest rates, is sensitive to home sales and home prices and other macroeconomic conditions, such as gross domestic product and unemployment. We source a large part of our Originations volume from Correspondent lenders and the industry volume is a relevant benchmark. The following graphs present the industry origination volumes (in $ billions, average of the MBA and Fannie Mae data) in the current and comparative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118745</wp:posOffset>
            </wp:positionV>
            <wp:extent cx="3938270" cy="20427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MBA Mortgage Finance Forecast as of April 20, 2026 and Fannie Mae Housing Forecast as of April 13, 2026. In $ billions.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51" w:name="page52"/>
    <w:bookmarkEnd w:id="51"/>
    <w:p>
      <w:pPr>
        <w:ind w:right="20"/>
        <w:spacing w:after="0" w:line="270" w:lineRule="auto"/>
        <w:rPr>
          <w:sz w:val="20"/>
          <w:szCs w:val="20"/>
          <w:color w:val="auto"/>
        </w:rPr>
      </w:pPr>
      <w:r>
        <w:rPr>
          <w:rFonts w:ascii="Times New Roman" w:cs="Times New Roman" w:eastAsia="Times New Roman" w:hAnsi="Times New Roman"/>
          <w:sz w:val="17"/>
          <w:szCs w:val="17"/>
          <w:color w:val="auto"/>
        </w:rPr>
        <w:t>The average industry volume declined 7% quarter over quarter (Q1 2026 vs Q4 2025), led by a reduction in purchase activity (vs. flat refinance activity), and grew 44% year over year (Q1 2026 vs Q1 2025) driven by higher refinance originations as borrowers responded to favorable interest rates movements. Comparatively, our Originations volume growth (funded volume of Correspondent and Consumer Direct) outpaced the industry year over year, as summarized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Q1 2026 vs.</w:t>
            </w:r>
          </w:p>
        </w:tc>
        <w:tc>
          <w:tcPr>
            <w:tcW w:w="15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Q1 2026 vs.</w:t>
            </w:r>
          </w:p>
        </w:tc>
      </w:tr>
      <w:tr>
        <w:trPr>
          <w:trHeight w:val="227"/>
        </w:trPr>
        <w:tc>
          <w:tcPr>
            <w:tcW w:w="8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Q4 2025</w:t>
            </w:r>
          </w:p>
        </w:tc>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Q1 2025</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Comparative Origination Volume Growth</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0"/>
        </w:trPr>
        <w:tc>
          <w:tcPr>
            <w:tcW w:w="8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Industry (see above)</w:t>
            </w: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Onity</w:t>
            </w: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for the first quarter of 2026</w:t>
      </w:r>
    </w:p>
    <w:p>
      <w:pPr>
        <w:spacing w:after="0" w:line="119" w:lineRule="exact"/>
        <w:rPr>
          <w:sz w:val="20"/>
          <w:szCs w:val="20"/>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attributable to common stockholders of $7 million, or $0.78 per share basic and $0.74 diluted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and subservicing fee revenue of $222 million, with $338 billion total servicing and subservicing UPB</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gain on sale of $37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 million MSR valuation loss attributable to input and assumption changes, net of hedging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condition at March 31, 2026</w:t>
      </w:r>
    </w:p>
    <w:p>
      <w:pPr>
        <w:spacing w:after="0" w:line="119" w:lineRule="exact"/>
        <w:rPr>
          <w:sz w:val="20"/>
          <w:szCs w:val="20"/>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Stockholders’ equity of $629 million, or $74.81 book value per common share</w:t>
      </w:r>
    </w:p>
    <w:p>
      <w:pPr>
        <w:spacing w:after="0" w:line="83"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49"/>
        </w:numPr>
        <w:rPr>
          <w:rFonts w:ascii="Arial" w:cs="Arial" w:eastAsia="Arial" w:hAnsi="Arial"/>
          <w:sz w:val="21"/>
          <w:szCs w:val="21"/>
          <w:color w:val="auto"/>
        </w:rPr>
      </w:pPr>
      <w:r>
        <w:rPr>
          <w:rFonts w:ascii="Times New Roman" w:cs="Times New Roman" w:eastAsia="Times New Roman" w:hAnsi="Times New Roman"/>
          <w:sz w:val="17"/>
          <w:szCs w:val="17"/>
          <w:color w:val="auto"/>
        </w:rPr>
        <w:t>MSR investment of $3.0 billion</w:t>
      </w:r>
    </w:p>
    <w:p>
      <w:pPr>
        <w:spacing w:after="0" w:line="34" w:lineRule="exact"/>
        <w:rPr>
          <w:rFonts w:ascii="Arial" w:cs="Arial" w:eastAsia="Arial" w:hAnsi="Arial"/>
          <w:sz w:val="21"/>
          <w:szCs w:val="21"/>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liquidity of $277 million, with a cash position of $182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of $17.7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established the following strategy to deliver sustainable profitability and create long-term value for all stakeholders:</w:t>
      </w:r>
    </w:p>
    <w:p>
      <w:pPr>
        <w:spacing w:after="0" w:line="57" w:lineRule="exact"/>
        <w:rPr>
          <w:sz w:val="20"/>
          <w:szCs w:val="20"/>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Balance and diversification: </w:t>
      </w:r>
      <w:r>
        <w:rPr>
          <w:rFonts w:ascii="Times New Roman" w:cs="Times New Roman" w:eastAsia="Times New Roman" w:hAnsi="Times New Roman"/>
          <w:sz w:val="17"/>
          <w:szCs w:val="17"/>
          <w:color w:val="auto"/>
        </w:rPr>
        <w:t>Maintain a scale position in origination and servicing to address market-cycle opportunities;</w:t>
      </w:r>
    </w:p>
    <w:p>
      <w:pPr>
        <w:spacing w:after="0" w:line="62" w:lineRule="exact"/>
        <w:rPr>
          <w:rFonts w:ascii="Times New Roman" w:cs="Times New Roman" w:eastAsia="Times New Roman" w:hAnsi="Times New Roman"/>
          <w:sz w:val="17"/>
          <w:szCs w:val="17"/>
          <w:color w:val="auto"/>
        </w:rPr>
      </w:pPr>
    </w:p>
    <w:p>
      <w:pPr>
        <w:ind w:left="620" w:right="380" w:hanging="307"/>
        <w:spacing w:after="0" w:line="285"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Prudent capital-light growth: </w:t>
      </w:r>
      <w:r>
        <w:rPr>
          <w:rFonts w:ascii="Times New Roman" w:cs="Times New Roman" w:eastAsia="Times New Roman" w:hAnsi="Times New Roman"/>
          <w:sz w:val="17"/>
          <w:szCs w:val="17"/>
          <w:color w:val="auto"/>
        </w:rPr>
        <w:t>Emphasize capital-light subservicing to drive servicing portfolio UPB growth and expand higher margin products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origination channels to drive accretive MSR investments;</w:t>
      </w:r>
    </w:p>
    <w:p>
      <w:pPr>
        <w:ind w:left="620" w:right="200" w:hanging="307"/>
        <w:spacing w:after="0" w:line="285"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Industry-leading cost structure: </w:t>
      </w:r>
      <w:r>
        <w:rPr>
          <w:rFonts w:ascii="Times New Roman" w:cs="Times New Roman" w:eastAsia="Times New Roman" w:hAnsi="Times New Roman"/>
          <w:sz w:val="17"/>
          <w:szCs w:val="17"/>
          <w:color w:val="auto"/>
        </w:rPr>
        <w:t>Achieve industry cost leadership through continuous cost and process improvement, optimizing global operations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technology, and drive innovation, including artificial intelligence-based solutions;</w:t>
      </w:r>
    </w:p>
    <w:p>
      <w:pPr>
        <w:ind w:left="620" w:right="760" w:hanging="307"/>
        <w:spacing w:after="0" w:line="277"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Top-tier operating performance and capabilities: </w:t>
      </w:r>
      <w:r>
        <w:rPr>
          <w:rFonts w:ascii="Times New Roman" w:cs="Times New Roman" w:eastAsia="Times New Roman" w:hAnsi="Times New Roman"/>
          <w:sz w:val="17"/>
          <w:szCs w:val="17"/>
          <w:color w:val="auto"/>
        </w:rPr>
        <w:t>Deliver industry top-tier servicing operational performance and increase borrower and client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satisfaction;</w:t>
      </w: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Dynamic asset management: </w:t>
      </w:r>
      <w:r>
        <w:rPr>
          <w:rFonts w:ascii="Times New Roman" w:cs="Times New Roman" w:eastAsia="Times New Roman" w:hAnsi="Times New Roman"/>
          <w:sz w:val="17"/>
          <w:szCs w:val="17"/>
          <w:color w:val="auto"/>
        </w:rPr>
        <w:t>Optimize investment returns and liquidity through dynamic and opportunistic asset purchases and sales.</w:t>
      </w:r>
    </w:p>
    <w:p>
      <w:pPr>
        <w:spacing w:after="0" w:line="1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growth and asset management strategy includes purchasing assets and/or operations of complementary businesses, by means of acquisition, merger or other transaction forms. Our strategy may also include pursuing large transactions, including bulk purchases or sales of MSRs</w:t>
      </w:r>
      <w:r>
        <w:rPr>
          <w:rFonts w:ascii="Times New Roman" w:cs="Times New Roman" w:eastAsia="Times New Roman" w:hAnsi="Times New Roman"/>
          <w:sz w:val="17"/>
          <w:szCs w:val="17"/>
          <w:color w:val="293849"/>
        </w:rPr>
        <w:t>.</w:t>
      </w:r>
      <w:r>
        <w:rPr>
          <w:rFonts w:ascii="Times New Roman" w:cs="Times New Roman" w:eastAsia="Times New Roman" w:hAnsi="Times New Roman"/>
          <w:sz w:val="17"/>
          <w:szCs w:val="17"/>
          <w:color w:val="auto"/>
        </w:rPr>
        <w:t xml:space="preserve"> We have engaged in such transactions in the past, and we continue to explore opportunities that may be accretive to our business and stockholders’ value.</w:t>
      </w:r>
    </w:p>
    <w:p>
      <w:pPr>
        <w:spacing w:after="0" w:line="1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November 2025, OMC agreed to sell at book value its entire HECM loan portfolio and HMBS related borrowings to FAR and subservice the sold portfolio and additional loans from FAR for an initial three-year term. FAR agreed to acquire OMC’s originations pipeline of reverse mortgage loans and assume some of OMC’s U.S. based reverse originations employees. OMC agreed to discontinue its reverse originations business upon closing. On April 30, 2026, OMC and FAR entered into an amendment of the November 2025 sale agreements whereby OMC has agreed to sell reverse MSRs comprised of approximately 20,000 Ginnie Mae HECM loans with UPB of $5.1 billion ($5.5 billion fair value) as of March 31, 2026. Under the amended agreements, OMC will discontinue its reverse originations business upon closing with the exception of activities relating to the recapture of existing HECM borrowers for any HECM MSRs not transferred to FAR. FAR expects to assume certain of OMC’s US-based reverse originations employees in May 2026 and additional employees in July 2026. The closing of the amended transaction is expected to occur in the third quarter of 2026, subject to Ginnie Mae's approval and customary closing conditions. See Note 5 - Reverse Mortgages and Note 23 – Subsequent Events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of our results of operations and financial condition should be read in conjunction with our unaudited consolidated financial statements and the related notes appearing elsewhere in this Quarterly Report on Form 10-Q and with our audited consolidated financial statements and related notes and management’s discussion and analysis of financial condition and results of operations appearing in our Annual Report filed on Form 10-K for the fiscal year ended December 31,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tc>
        <w:tc>
          <w:tcPr>
            <w:tcW w:w="24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294.3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290.0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(58.7)</w:t>
            </w:r>
          </w:p>
        </w:tc>
        <w:tc>
          <w:tcPr>
            <w:tcW w:w="9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136.5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119.9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(87.1)</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7.7</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(119.5)</w:t>
            </w:r>
          </w:p>
        </w:tc>
        <w:tc>
          <w:tcPr>
            <w:tcW w:w="96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CCEEFF"/>
            </w:tcBorders>
            <w:shd w:val="clear" w:color="auto" w:fill="CCEEFF"/>
          </w:tcPr>
          <w:p>
            <w:pPr>
              <w:ind w:left="14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Net income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127.2</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Before preferred stock dividend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displays income (loss) before income taxes by segment for the periods presented (also refer to the respective segment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83185</wp:posOffset>
            </wp:positionV>
            <wp:extent cx="3938270" cy="2042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7"/>
          <w:szCs w:val="17"/>
          <w:color w:val="auto"/>
        </w:rPr>
        <w:t>Onity reported $7.6 million of net income in the first quarter of 2026, compared to net income of $127.2 million in the fourth quarter of 2025, reflecting a steady income before income taxes and a $119.8 million decline in income tax benefit quarter over quarter. The following discusses certain notable changes:</w:t>
      </w:r>
    </w:p>
    <w:p>
      <w:pPr>
        <w:spacing w:after="0" w:line="1" w:lineRule="exact"/>
        <w:rPr>
          <w:sz w:val="20"/>
          <w:szCs w:val="20"/>
          <w:color w:val="auto"/>
        </w:rPr>
      </w:pPr>
    </w:p>
    <w:p>
      <w:pPr>
        <w:ind w:left="320" w:right="60" w:hanging="317"/>
        <w:spacing w:after="0" w:line="262" w:lineRule="auto"/>
        <w:tabs>
          <w:tab w:leader="none" w:pos="310" w:val="left"/>
        </w:tabs>
        <w:numPr>
          <w:ilvl w:val="0"/>
          <w:numId w:val="5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7"/>
          <w:szCs w:val="17"/>
          <w:color w:val="auto"/>
        </w:rPr>
        <w:t>$4.3 million increase in revenue with a $2.2 million, or 1% increase in Servicing revenue and a $2.0 million, or 4% increase in Originations revenue. Gain on reverse loans and HMBS-related borrowings, net increased $8.6 million mostly due to yield spread tightening in Servicing, offset in part by a $2.6 million net decrease in Gain on loans held for sale, with unfavorable fair value changes of reverse buyouts in Servicing and higher margins and lower volumes in Originations ($1.4 million gain). In addition, Servicing and subservicing fees decreased $2.7 million with lower float earnings offset by a higher average servicing UPB.</w:t>
      </w:r>
    </w:p>
    <w:p>
      <w:pPr>
        <w:spacing w:after="0" w:line="18" w:lineRule="exact"/>
        <w:rPr>
          <w:rFonts w:ascii="Times New Roman" w:cs="Times New Roman" w:eastAsia="Times New Roman" w:hAnsi="Times New Roman"/>
          <w:sz w:val="16"/>
          <w:szCs w:val="16"/>
          <w:i w:val="1"/>
          <w:iCs w:val="1"/>
          <w:color w:val="auto"/>
        </w:rPr>
      </w:pPr>
    </w:p>
    <w:p>
      <w:pPr>
        <w:ind w:left="320" w:right="160" w:hanging="317"/>
        <w:spacing w:after="0" w:line="285" w:lineRule="auto"/>
        <w:tabs>
          <w:tab w:leader="none" w:pos="3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 million higher loss on MSR valuation adjustments, net with a $6.8 million unfavorable change in input and assumption updates, net of hedges, largely driven by higher prepayment speeds caused by significant intra-quarter market interest rate decline, and $3.6 million higher runoff due to portfolio growth.</w:t>
      </w:r>
    </w:p>
    <w:p>
      <w:pPr>
        <w:ind w:left="320" w:right="480" w:hanging="317"/>
        <w:spacing w:after="0" w:line="288" w:lineRule="auto"/>
        <w:tabs>
          <w:tab w:leader="none" w:pos="310" w:val="left"/>
        </w:tabs>
        <w:numPr>
          <w:ilvl w:val="0"/>
          <w:numId w:val="5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$4.4 million decrease in operating expenses driven by a $3.6 million decline in professional services, including a $2.8 million decline in legal expenses, primarily attributed to our accrual for a legacy litigation matter in the fourth quarter of 2025, as well as some offsetting factors as discussed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53" w:name="page54"/>
    <w:bookmarkEnd w:id="53"/>
    <w:p>
      <w:pPr>
        <w:ind w:left="300" w:hanging="297"/>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$120.1 million reversal of valuation allowance on our net deferred tax asset in the fourth quarter of 2025 driven by Onity’s return to sustained profitability.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below table presents revenue by type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4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225.1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4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2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10.9</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249.8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displays total revenue by segment for the periods presented (also refer to the respective segment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83185</wp:posOffset>
            </wp:positionV>
            <wp:extent cx="3938270" cy="20427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300"/>
        <w:spacing w:after="0" w:line="285" w:lineRule="auto"/>
        <w:rPr>
          <w:sz w:val="20"/>
          <w:szCs w:val="20"/>
          <w:color w:val="auto"/>
        </w:rPr>
      </w:pPr>
      <w:r>
        <w:rPr>
          <w:rFonts w:ascii="Times New Roman" w:cs="Times New Roman" w:eastAsia="Times New Roman" w:hAnsi="Times New Roman"/>
          <w:sz w:val="17"/>
          <w:szCs w:val="17"/>
          <w:color w:val="auto"/>
        </w:rPr>
        <w:t>Total revenue for the three months ended March 31, 2026 increased $4.3 million, or 1% compared to the three months ended December 31, 2025 due to a $2.2 million, or 1% increase in Servicing revenue and a $2.0 million, or 4% increase in Originations revenue.</w:t>
      </w:r>
    </w:p>
    <w:p>
      <w:pPr>
        <w:spacing w:after="0" w:line="1" w:lineRule="exact"/>
        <w:rPr>
          <w:sz w:val="20"/>
          <w:szCs w:val="20"/>
          <w:color w:val="auto"/>
        </w:rPr>
      </w:pPr>
    </w:p>
    <w:p>
      <w:pPr>
        <w:ind w:left="620" w:hanging="307"/>
        <w:spacing w:after="0" w:line="265"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$2.2 million increase in Servicing revenue is mostly due to largely offsetting factors. Gain on reverse loans and HMBS-related borrowings, net increased $9.1 million mostly driven by yield spread tightening. Offsetting this increase, Gain on loans held for sale, net declined $4.0 million largely due to losses on reverse mortgage buyouts, and Servicing and subservicing fees decreased $2.7 million driven by lower float earnings partly offset by higher servicing fees due to MSR growth (4% increase in average servicing UPB).</w:t>
      </w:r>
    </w:p>
    <w:p>
      <w:pPr>
        <w:spacing w:after="0" w:line="15"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 million increase in Originations revenue is primarily attributed to a $1.4 million increase in Gain on loans held for sale, due to increased loan production volume in our Consumer Direct channel, largely offset by lower margins and volume in our Correspondent channel, as well as higher fees (other revenue).</w:t>
      </w:r>
    </w:p>
    <w:p>
      <w:pPr>
        <w:spacing w:after="0" w:line="11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7"/>
          <w:szCs w:val="17"/>
          <w:color w:val="auto"/>
        </w:rPr>
        <w:t>Compared to the three months ended March 31, 2025, total revenue for the three months ended March 31, 2026 was $44.5 million, or 18% higher, due to a $25.3 million, or a 88% increase in Originations revenue, and a $19.2 million, or 9% increase in Servicing revenue.</w:t>
      </w:r>
    </w:p>
    <w:p>
      <w:pPr>
        <w:spacing w:after="0" w:line="1" w:lineRule="exact"/>
        <w:rPr>
          <w:sz w:val="20"/>
          <w:szCs w:val="20"/>
          <w:color w:val="auto"/>
        </w:rPr>
      </w:pPr>
    </w:p>
    <w:p>
      <w:pPr>
        <w:ind w:left="620" w:right="280" w:hanging="307"/>
        <w:spacing w:after="0" w:line="270"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$25.3 million increase in Originations revenue is primarily driven by a $17.8 million increase in Gain on loans held for sale, net in our Consumer Direct channel and a $6.4 million increase in fee revenue attributed to a 71% increase in total loan production volume attributed to our MSR replenishment and growth strategy and our increased recapture.</w:t>
      </w:r>
    </w:p>
    <w:p>
      <w:pPr>
        <w:spacing w:after="0" w:line="12"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$19.2 million increase in Servicing revenue is mostly due to a $19.1 million increase in Servicing and subservicing fees driven by MSR growth (13% increase in average servicing UPB), with some offsetting factors.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0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7"/>
          <w:szCs w:val="17"/>
          <w:color w:val="auto"/>
        </w:rPr>
        <w:t>The table below presents the key components of MSR valuation adjustments, net which include MSRs, MSR pledged liabilities and ESS financing liabilities at fair value, together with MSR hedging derivatives: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6"/>
        </w:trPr>
        <w:tc>
          <w:tcPr>
            <w:tcW w:w="6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9"/>
                <w:szCs w:val="19"/>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45"/>
        </w:trPr>
        <w:tc>
          <w:tcPr>
            <w:tcW w:w="64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6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Realization of cash flows (runoff)</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7"/>
              </w:rPr>
              <w:t>(53.4)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gains (losses) due to input and assumption changes</w:t>
            </w:r>
          </w:p>
        </w:tc>
        <w:tc>
          <w:tcPr>
            <w:tcW w:w="260" w:type="dxa"/>
            <w:vAlign w:val="bottom"/>
          </w:tcPr>
          <w:p>
            <w:pPr>
              <w:spacing w:after="0"/>
              <w:rPr>
                <w:sz w:val="19"/>
                <w:szCs w:val="19"/>
                <w:color w:val="auto"/>
              </w:rPr>
            </w:pPr>
          </w:p>
        </w:tc>
        <w:tc>
          <w:tcPr>
            <w:tcW w:w="128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0"/>
        </w:trPr>
        <w:tc>
          <w:tcPr>
            <w:tcW w:w="6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MSR hedging derivative fair value gain (loss)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7"/>
              </w:rPr>
              <w:t>(28.1)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13"/>
        </w:trPr>
        <w:tc>
          <w:tcPr>
            <w:tcW w:w="6480" w:type="dxa"/>
            <w:vAlign w:val="bottom"/>
            <w:tcBorders>
              <w:bottom w:val="single" w:sz="8" w:color="CCEEFF"/>
            </w:tcBorders>
          </w:tcPr>
          <w:p>
            <w:pPr>
              <w:ind w:left="140"/>
              <w:spacing w:after="0" w:line="212" w:lineRule="exact"/>
              <w:rPr>
                <w:sz w:val="20"/>
                <w:szCs w:val="20"/>
                <w:color w:val="auto"/>
              </w:rPr>
            </w:pPr>
            <w:r>
              <w:rPr>
                <w:rFonts w:ascii="Times New Roman" w:cs="Times New Roman" w:eastAsia="Times New Roman" w:hAnsi="Times New Roman"/>
                <w:sz w:val="17"/>
                <w:szCs w:val="17"/>
                <w:color w:val="auto"/>
              </w:rPr>
              <w:t xml:space="preserve">Sub-total fair value gains (losses) due to rates and assumptions, net of hedging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7"/>
                <w:szCs w:val="17"/>
                <w:color w:val="auto"/>
                <w:w w:val="97"/>
              </w:rPr>
              <w:t>(15.6)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8"/>
        </w:trPr>
        <w:tc>
          <w:tcPr>
            <w:tcW w:w="648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MSR valuation adjustments, net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7"/>
              </w:rPr>
              <w:t>(69.0)</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line="254" w:lineRule="auto"/>
        <w:tabs>
          <w:tab w:leader="none" w:pos="3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fair value changes of reverse mortgage loans and HMBS related borrowing due to rates and assumptions that are part of the MSR hedging strategy through September 2025. Refer to the MSR Hedging Strategy section of Item 3. Quantitative and Qualitative Disclosures About Market Risk for further detail and the discussion below within Servicing.</w:t>
      </w:r>
    </w:p>
    <w:p>
      <w:pPr>
        <w:spacing w:after="0" w:line="70"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The $69.0 million loss on MSR valuation adjustments, net for the three months ended March 31, 2026 is comprised of $53.4 million runoff, $12.5 million fair value gain attributable to input and assumption changes and $28.1 million loss on MSR hedging derivatives. The $10.3 million higher loss in MSR valuation adjustments, net as compared to the three months ended December 31, 2025 is primarily due to an unfavorable change in input and assumption updates, net of hedges, largely driven by higher prepayment speeds caused by significant intra-quarter market interest rate decline, and higher runoff due to portfolio growth.</w:t>
      </w:r>
    </w:p>
    <w:p>
      <w:pPr>
        <w:spacing w:after="0" w:line="15" w:lineRule="exact"/>
        <w:rPr>
          <w:sz w:val="20"/>
          <w:szCs w:val="20"/>
          <w:color w:val="auto"/>
        </w:rPr>
      </w:pPr>
    </w:p>
    <w:p>
      <w:pPr>
        <w:ind w:left="620" w:right="180" w:hanging="307"/>
        <w:spacing w:after="0" w:line="27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MSRs are subject to runoff, a fair value decline due to the realization of expected cash flows and yield based on projected borrower behavior, including scheduled amortization of the loan UPB together with projected voluntary and involuntary prepayments. The unfavorable $3.6 million higher runoff quarter-over-quarter is mostly due to the owned MSR portfolio growth.</w:t>
      </w:r>
    </w:p>
    <w:p>
      <w:pPr>
        <w:spacing w:after="0" w:line="63" w:lineRule="exact"/>
        <w:rPr>
          <w:rFonts w:ascii="Times New Roman" w:cs="Times New Roman" w:eastAsia="Times New Roman" w:hAnsi="Times New Roman"/>
          <w:sz w:val="17"/>
          <w:szCs w:val="17"/>
          <w:color w:val="auto"/>
        </w:rPr>
      </w:pPr>
    </w:p>
    <w:p>
      <w:pPr>
        <w:ind w:left="620" w:right="80" w:hanging="307"/>
        <w:spacing w:after="0" w:line="26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$12.5 million fair value gain due to input and assumption changes is mostly attributed to a favorable change in market rates as the 10-year Treasury rate increased 12 basis points in the first quarter of 2026 and assumption updates to reflect market trade pricing levels, partially offset by certain unfavorable assumption updates to reflect increased prepayment speeds in the current quarter caused by significant intra-quarter market rate decline. The increase from a $4.9 million fair value gain in the fourth quarter of 2025 to a $12.5 million fair value gain in the first quarter of 2026 is mainly driven by a more favorable change in market rates and a less unfavorable impact of change in delinquency, partially offset by more unfavorable input and assumption updates recognized in the first quarter of 2026 to reflect increased prepayment speeds.</w:t>
      </w:r>
    </w:p>
    <w:p>
      <w:pPr>
        <w:spacing w:after="0" w:line="73"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hedging derivative fair value gains or losses are designed to partially offset the expected fair value changes of the net MSR, MSR pledged liabilities and ESS exposure, commensurate with our target hedge coverage ratio. The $28.1 million derivative loss recognized in the three months ended March 31, 2026 and the variance from the prior quarter are driven by interest rate changes as we maintained a high hedge coverage ratio in both quarters. Also refer to Item 3. Quantitative and Qualitative Disclosures About Market Risk for further detail on our hedging strategy and its effectiveness.</w:t>
      </w:r>
    </w:p>
    <w:p>
      <w:pPr>
        <w:spacing w:after="0" w:line="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$30.1 million higher loss in MSR valuation adjustments, net in the three months ended March 31, 2026 as compared to the three months ended March 31, 2025 is primarily driven by unfavorable assumption updates recognized in the first quarter of 2026 to reflect increased prepayment speeds and higher realization of cash flows mostly due to MSR portfolio growth, partly offset by the favorable impact of interest rate changes, net of hedge activity, compared to an unfavorable impact in the three months ended March 31, 2025.</w:t>
      </w:r>
    </w:p>
    <w:p>
      <w:pPr>
        <w:spacing w:after="0" w:line="15" w:lineRule="exact"/>
        <w:rPr>
          <w:sz w:val="20"/>
          <w:szCs w:val="20"/>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unfavorable $12.3 million increase in runoff expense is mostly due to owned MSR portfolio growth.</w:t>
      </w:r>
    </w:p>
    <w:p>
      <w:pPr>
        <w:spacing w:after="0" w:line="62" w:lineRule="exact"/>
        <w:rPr>
          <w:rFonts w:ascii="Times New Roman" w:cs="Times New Roman" w:eastAsia="Times New Roman" w:hAnsi="Times New Roman"/>
          <w:sz w:val="17"/>
          <w:szCs w:val="17"/>
          <w:color w:val="auto"/>
        </w:rPr>
      </w:pPr>
    </w:p>
    <w:p>
      <w:pPr>
        <w:ind w:left="620" w:right="180" w:hanging="307"/>
        <w:spacing w:after="0" w:line="265"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 from an $18.6 million fair value loss in the three months ended March 31, 2025 to a $12.5 million fair value gain in the three months ended March 31, 2026 is primarily driven by changes in market interest rates, as the 10-year Treasury rate increased 12 basis points during the three months ended March 31, 2026 compared to a decrease of 35 basis points during the same period of 2025, and assumption updates to reflect actual market trade pricing levels, partially offset by the impact of increased prepayment speeds in the current quarter.</w:t>
      </w:r>
    </w:p>
    <w:p>
      <w:pPr>
        <w:spacing w:after="0" w:line="15"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 from a $20.8 million gain from derivatives in the three months ended March 31, 2025 to a $28.1 million loss in the three months ended March 31, 2026 is mainly due to the market interest rate changes noted above. During the three months ended March 31, 2025, our HECM MSR was part of the overall interest-rate sensitive MSR portfolio.</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5" w:name="page56"/>
    <w:bookmarkEnd w:id="55"/>
    <w:p>
      <w:pPr>
        <w:ind w:left="620" w:right="220"/>
        <w:spacing w:after="0" w:line="288" w:lineRule="auto"/>
        <w:rPr>
          <w:sz w:val="20"/>
          <w:szCs w:val="20"/>
          <w:color w:val="auto"/>
        </w:rPr>
      </w:pPr>
      <w:r>
        <w:rPr>
          <w:rFonts w:ascii="Times New Roman" w:cs="Times New Roman" w:eastAsia="Times New Roman" w:hAnsi="Times New Roman"/>
          <w:sz w:val="17"/>
          <w:szCs w:val="17"/>
          <w:color w:val="auto"/>
        </w:rPr>
        <w:t>Effective in the fourth quarter of 2025, HECM MSR is hedged with dedicated third-party derivative instruments and the related gain/loss is reported in Gain on reverse loans and HMBS-related borrowings, 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key components of 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headcount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displays operating expenses by segment for the periods presented (also refer to the respective segment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83185</wp:posOffset>
            </wp:positionV>
            <wp:extent cx="3938270" cy="2042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2026 decreased $1.2 million, or 2% compared to the three months ended December 31, 2025, due to a $5.3 million decrease in incentive compensation expense (mostly a decrease in the fair value of cash-settled share-based awards driven by our stock price decrease). The decrease in incentive compensation was partly offset by a $2.7 million increase in severance, including in our Servicing segment in connection with Rithm’s decision to not renew its subservicing agreements effective January 31, 2026, and higher commissions in our Originations segment mostly due to higher Consumer Direct production volume.</w:t>
      </w:r>
    </w:p>
    <w:p>
      <w:pPr>
        <w:spacing w:after="0" w:line="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Compared to the three months ended March 31, 2025, Compensation and benefits expense for the three months ended March 31, 2026 increased $12.2 million, or 21%, largely due to a $5.2 million increase in salaries and benefits with an increase in headcount within the Originations and Corporate segments to support and accelerate business growth, partly offset by a decrease in the Servicing segment attributable to an effective cost discipline, and a $4.4 million increase in commissions due to higher Originations production volume in both the Consumer Direct and Correspondent channels. In addition, severance expense increased $2.7 million as discussed above. While our total average headcount declined 2%, driven by a 4% decrease in offshore average headcount, our U.S. average headcount increased 5%.</w:t>
      </w:r>
    </w:p>
    <w:p>
      <w:pPr>
        <w:spacing w:after="0" w:line="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Servicing and origination expense for the three months ended March 31, 2026 increased $1.2 million compared to the three months ended December 31, 2025, primarily due to higher provision expense on servicing receivables and higher satisfaction and interest on payoff expense in the Servicing segment, partly offset by lower provision for indemnification in Originations.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6" w:name="page57"/>
    <w:bookmarkEnd w:id="56"/>
    <w:p>
      <w:pPr>
        <w:ind w:right="100"/>
        <w:spacing w:after="0" w:line="265" w:lineRule="auto"/>
        <w:rPr>
          <w:sz w:val="20"/>
          <w:szCs w:val="20"/>
          <w:color w:val="auto"/>
        </w:rPr>
      </w:pPr>
      <w:r>
        <w:rPr>
          <w:rFonts w:ascii="Times New Roman" w:cs="Times New Roman" w:eastAsia="Times New Roman" w:hAnsi="Times New Roman"/>
          <w:sz w:val="17"/>
          <w:szCs w:val="17"/>
          <w:color w:val="auto"/>
        </w:rPr>
        <w:t>Compared to the three months ended March 31, 2025, Servicing and origination expense for the three months ended March 31, 2026 increased $5.5 million or 42% due to a $3.5 million increase in Servicing expense and $2.2 million higher Originations expense. The increase in Servicing expense is primarily driven by a $3.3 million increase in satisfaction and interest on payoff expense due to higher payoff volume. The $2.2 million increase in Originations expense is primarily due to higher production volume.</w:t>
      </w:r>
    </w:p>
    <w:p>
      <w:pPr>
        <w:spacing w:after="0" w:line="6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Technology and communication expense for the three months ended March 31, 2026 was flat as compared to the three months ended December 31, 2025. Compared to the three months ended March 31, 2025, Technology and communication expenses for the three months ended March 31, 2026 increased $2.5 million or 17% primarily driven by our technology initiatives (including robotic process automation, digitization and machine learning / artificial intelligence).</w:t>
      </w:r>
    </w:p>
    <w:p>
      <w:pPr>
        <w:spacing w:after="0" w:line="6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Professional services expense for the three months ended March 31, 2026 decreased $3.6 million compared to the three months ended December 31, 2025 with a $2.8 million decline in legal expenses primarily attributed to our accrual for probable losses in connection with the settlement of a legacy litigation matter in the fourth quarter of 2025.</w:t>
      </w:r>
    </w:p>
    <w:p>
      <w:pPr>
        <w:spacing w:after="0" w:line="64"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Compared to the three months ended March 31, 2025, Professional services expense for the three months ended March 31, 2026 decreased $7.9 million, mostly driven by a $10.7 million decline in legal expenses, primarily attributed to our accrual for probable losses in connection with the settlement of a legacy litigation matter in the first quarter of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interest expense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Refer to the segments for discussion and analysis of Interest income and Interest expense. Refer to the Servicing segment for discussion and analysis of Pledged MSR liability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49"/>
        </w:trPr>
        <w:tc>
          <w:tcPr>
            <w:tcW w:w="62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6"/>
        </w:trPr>
        <w:tc>
          <w:tcPr>
            <w:tcW w:w="6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45"/>
        </w:trPr>
        <w:tc>
          <w:tcPr>
            <w:tcW w:w="62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 (benefit)</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(13.0)</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r>
    </w:tbl>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As of March 31, 2026, we believe that the weight of the positive evidence outweighs the negative evidence regarding the realization of our U.S. federal and certain state deferred tax assets. The release of a significant portion of the valuation allowance against our U.S jurisdiction deferred tax assets at December 31, 2025 resulted in a $120.1 million income tax benefit in the fourth quarter of 2025. As of March 31, 2026, for certain U.S. state net operating losses and interest expense disallowance carryforwards, we believe the weight of the negative evidence continues to outweigh the positive evidence regarding the realization of these state deferred tax assets and as a result are not considered to be more likely than not realizable; therefore, we have maintained a valuation allowance against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7" w:name="page58"/>
    <w:bookmarkEnd w:id="57"/>
    <w:p>
      <w:pPr>
        <w:spacing w:after="0" w:line="260" w:lineRule="auto"/>
        <w:rPr>
          <w:sz w:val="20"/>
          <w:szCs w:val="20"/>
          <w:color w:val="auto"/>
        </w:rPr>
      </w:pPr>
      <w:r>
        <w:rPr>
          <w:rFonts w:ascii="Times New Roman" w:cs="Times New Roman" w:eastAsia="Times New Roman" w:hAnsi="Times New Roman"/>
          <w:sz w:val="17"/>
          <w:szCs w:val="17"/>
          <w:color w:val="auto"/>
        </w:rPr>
        <w:t>Our income tax expense for the three months ended March 31, 2026 is primarily driven by the jurisdictional mix of our earnings, and includes a full quarter of income tax expense attributed to the U.S. jurisdiction whereas in the prior year first quarter no such U.S. jurisdiction income tax expense was recognized due to a full valuation allowance against U.S. federal deferred tax assets. The income tax benefit of $119.5 million for the three months ended December 31, 2025 primarily resulted from the $120.1 million release of valuation allowances against U.S. federal and certain state deferred tax assets. The increase in the effective tax rate for the three months ended March 31, 2026 compared to the same period of 2025 is primarily due to recognizing income tax benefit of $13.3 million related to the reversal of the uncertain tax liability during the first quarter of 2025.</w:t>
      </w:r>
    </w:p>
    <w:p>
      <w:pPr>
        <w:spacing w:after="0" w:line="7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99" w:right="4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 and Cash Flow Overview</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9"/>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Summary</w:t>
            </w: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67</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loans held for sale pooled into HMBS, at fair value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1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r>
      <w:tr>
        <w:trPr>
          <w:trHeight w:val="238"/>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36"/>
        </w:trPr>
        <w:tc>
          <w:tcPr>
            <w:tcW w:w="5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by Segment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15,175.1</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14,683.5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11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r>
      <w:tr>
        <w:trPr>
          <w:trHeight w:val="238"/>
        </w:trPr>
        <w:tc>
          <w:tcPr>
            <w:tcW w:w="5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1"/>
        </w:trPr>
        <w:tc>
          <w:tcPr>
            <w:tcW w:w="5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related financing liabilities, at fair value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968.4</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mortgage securitization notes,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r>
      <w:tr>
        <w:trPr>
          <w:trHeight w:val="21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17,056.0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15,492.8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1,563.3</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135"/>
        </w:trPr>
        <w:tc>
          <w:tcPr>
            <w:tcW w:w="5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Mezzanine equity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155"/>
        </w:trPr>
        <w:tc>
          <w:tcPr>
            <w:tcW w:w="5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155"/>
        </w:trPr>
        <w:tc>
          <w:tcPr>
            <w:tcW w:w="59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3"/>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17,735.2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16,170.6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81"/>
        </w:trPr>
        <w:tc>
          <w:tcPr>
            <w:tcW w:w="59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r>
      <w:tr>
        <w:trPr>
          <w:trHeight w:val="220"/>
        </w:trPr>
        <w:tc>
          <w:tcPr>
            <w:tcW w:w="5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 by Segment</w:t>
            </w:r>
          </w:p>
        </w:tc>
        <w:tc>
          <w:tcPr>
            <w:tcW w:w="14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r>
      <w:tr>
        <w:trPr>
          <w:trHeight w:val="22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961.3</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59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17,056.0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15,492.8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5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Book value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74.81</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73.69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bl>
    <w:p>
      <w:pPr>
        <w:spacing w:after="0" w:line="17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Total assets increased $1,565 million, or 10%, between December 31, 2025 and March 31, 2026 primarily due to the growth in Loans held for sale and MSRs, partly offset by the decline in Reverse loans held for sale, pooled into HMBS. Our portfolio of Loans held for sale increased $1,258 million mostly driven by the growth of our Originations pipeline, and our MSR portfolio increased $201 million mostly due to $298 million MSR additions and partly offset by $72 million runoff. The $211 million decline in reverse loans was driven by the runoff of the portfolio exceeding fair value gains and originations since the acquisition of the $2.9 billion portfolio of reverse mortgage loans from Waterfall in November 2024 that is relatively more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9" w:name="page60"/>
    <w:bookmarkEnd w:id="59"/>
    <w:p>
      <w:pPr>
        <w:spacing w:after="0" w:line="265" w:lineRule="auto"/>
        <w:rPr>
          <w:sz w:val="20"/>
          <w:szCs w:val="20"/>
          <w:color w:val="auto"/>
        </w:rPr>
      </w:pPr>
      <w:r>
        <w:rPr>
          <w:rFonts w:ascii="Times New Roman" w:cs="Times New Roman" w:eastAsia="Times New Roman" w:hAnsi="Times New Roman"/>
          <w:sz w:val="17"/>
          <w:szCs w:val="17"/>
          <w:color w:val="auto"/>
        </w:rPr>
        <w:t>aged (faster runoff). In addition, servicing advances declined $52 million largely driven by seasonal reduction of taxes and insurance (T&amp;I) balances and lower delinquencies. Receivables, net increased $175 million due to a temporary increase in government-insured loan claims (reverse mortgages) to facilitate a change in our financing strategy, and Contingent loan repurchase asset increased $106 million due to higher Ginnie Mae delinquencies driven by changes to the FHA modifications program and by the government shutdown in 2025.</w:t>
      </w:r>
    </w:p>
    <w:p>
      <w:pPr>
        <w:spacing w:after="0" w:line="6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Total liabilities increased by $1,563 million compared to December 31, 2025, largely due to the factors described above. Mortgage warehouse facilities increased $968 million due to the higher Originations pipeline loans held for sale balance at March 31, 2026. Reverse mortgage securitization notes, net increased</w:t>
      </w:r>
    </w:p>
    <w:p>
      <w:pPr>
        <w:ind w:right="120"/>
        <w:spacing w:after="0" w:line="256" w:lineRule="auto"/>
        <w:rPr>
          <w:sz w:val="20"/>
          <w:szCs w:val="20"/>
          <w:color w:val="auto"/>
        </w:rPr>
      </w:pPr>
      <w:r>
        <w:rPr>
          <w:rFonts w:ascii="Times New Roman" w:cs="Times New Roman" w:eastAsia="Times New Roman" w:hAnsi="Times New Roman"/>
          <w:sz w:val="17"/>
          <w:szCs w:val="17"/>
          <w:color w:val="auto"/>
        </w:rPr>
        <w:t>$422 million due to the issuance of additional OLIT Notes in 2026 to finance the acquisition of reverse mortgage loan buyouts. Senior notes, net increased $203 million due to our issuance of an additional $200 million aggregate principal amount of 9.875% Senior Notes due 2029 at 103.25% on January 30, 2026. Contingent loan repurchase liability increased $106 million as discussed above, and MSR financing facilities increased $86 million with the increase in our MSR portfolio. Partly offsetting these increases, HMBS-related borrowings decreased by $174 million with repayments exceeding fair value losses and new securitizations after the $2.9 billion acquisition of reverse mortgage assets and assumption of HMBS-related borrowings in November 2024, and Advance match funded liabilities decreased $51 million consistent with the decline in servicing advances, as discussed above.</w:t>
      </w:r>
    </w:p>
    <w:p>
      <w:pPr>
        <w:spacing w:after="0" w:line="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Total stockholders’ equity increased $1.3 million during the three months ended March 31, 2026 mostly due to $7.6 million net income for the period and $0.8 million compensation related to equity-classified awards, largely offset by $6.1 million repurchases of our common stock and $1.0 million dividends on preferred stock.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0"/>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cash flows are summarized as follows: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9"/>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420</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237</w:t>
            </w:r>
          </w:p>
        </w:tc>
      </w:tr>
      <w:tr>
        <w:trPr>
          <w:trHeight w:val="401"/>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operating cash flows may be summarized as follows: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9"/>
        </w:trPr>
        <w:tc>
          <w:tcPr>
            <w:tcW w:w="8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810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7"/>
                <w:szCs w:val="17"/>
                <w:color w:val="auto"/>
              </w:rPr>
              <w:t xml:space="preserve">Origination/acquisition and sale of loans held for sale, net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Decrease in advances, net</w:t>
            </w:r>
          </w:p>
        </w:tc>
        <w:tc>
          <w:tcPr>
            <w:tcW w:w="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paid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paid</w:t>
            </w:r>
          </w:p>
        </w:tc>
        <w:tc>
          <w:tcPr>
            <w:tcW w:w="2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 operating cash inflows (outflows)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320" w:right="140" w:hanging="317"/>
        <w:spacing w:after="0" w:line="248" w:lineRule="auto"/>
        <w:tabs>
          <w:tab w:leader="none" w:pos="38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acquisitions are generally servicing released, meaning cash outflows include the servicing rights component of the acquired loans. Most of our loan sales, however, are servicing retained, meaning the cash proceeds we receive exclude the value of the servicing rights we retain. As a result, originated MSRs (OMSRs) generated operating cash outflows of $105 million and $61 million in the three months ended March 31, 2026 and 2025, respectively. We generally finance these new OMSRs along with purchased MSRs (those reflected as investing cashflows) with MSR financing facilities at advance rates up to 70%</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2026</w:t>
      </w:r>
    </w:p>
    <w:p>
      <w:pPr>
        <w:spacing w:after="0" w:line="1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operating activities used $1,590 million of cash during the period, with $1,561 million net cash paid on loans held for sale and $51 million other net operating cash outflows, partly offset by $78 million net collections of servicing advances. The $1,561 million net cash paid on loans held for sale is attributed to the growth of the pipeline with loan production volume exceeding sales, $173 million net HECM reverse mortgages originations during the three months ended March 31, 2026 (previously reported within investing activities section), $105 million originated MSRs, and the acquisition of $290 million reverse buyouts (securitized with our OLIT program). The period over period increase is mostly driven by higher originated MSRs and loan production volume, as well as the acquisition of reverse buyouts during the three months ended March 31, 2026. The $78 million net collections of servicing advances was mostly driven by seasonality and lower delinquencies.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0" w:name="page61"/>
    <w:bookmarkEnd w:id="60"/>
    <w:p>
      <w:pPr>
        <w:ind w:right="340"/>
        <w:spacing w:after="0" w:line="288" w:lineRule="auto"/>
        <w:rPr>
          <w:sz w:val="20"/>
          <w:szCs w:val="20"/>
          <w:color w:val="auto"/>
        </w:rPr>
      </w:pPr>
      <w:r>
        <w:rPr>
          <w:rFonts w:ascii="Times New Roman" w:cs="Times New Roman" w:eastAsia="Times New Roman" w:hAnsi="Times New Roman"/>
          <w:sz w:val="17"/>
          <w:szCs w:val="17"/>
          <w:color w:val="auto"/>
        </w:rPr>
        <w:t>Interest paid ($55 million, excluding interest collections) increased $9 million period over period, primarily due to higher interest on our mortgage warehouse facilities and MSR financing facilities in 2026 due to volume growth, offset in part by lower average short-term market interest rates.</w:t>
      </w:r>
    </w:p>
    <w:p>
      <w:pPr>
        <w:spacing w:after="0" w:line="4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Our other net operating activities used $51 million of cash flows, that included collections of servicing fees, ancillary income and other revenue, payment of employees and vendors, and other cash receipts and disbursements. The $51 million of negative other net operating cash flows, compared to a positive $3 million during three months ended March 31, 2025 is primarily driven by a temporary increase in government-insured loan claims (reverse mortgages), partially offset by other cash receipts and disbursements.</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Our investing activities provided $390 million of cash during the period. Net cash inflows primarily include $560 million cash received in connection with our HECM reverse mortgages, These collections are mostly attributed to the runoff of the reverse portfolio. $173 million of HECM reverse mortgage originations are reported within operating activities (see discussion above). Loans are repurchased from HMBS pools once they reach 98% of maximum claim amount and collections are generally received from assignment to HUD or liquidation. Our investing activities also reflect a $167 million net cash outflow related to MSR investments, through bulk acquisitions or purchases in Co-issue and Agency programs. Our net MSR investments during three months ended March 31, 2026 increased $73 million when compared with the three months ended March 31, 2025 due to our growth strategy. As discussed above, these MSR investments need to be combined with the $105 million MSR originations presented within operating cash flows (vs. $61 million during three months ended March 31, 2025) when assessing financing needs discussed below.</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financing activities provided $1,243 million of cash during the period. Net cash inflows primarily include $968 million net from borrowings under our mortgage warehouse facilities to finance our Originations pipeline, $418 million net from the issuance of OLIT securitization for reverse mortgage buyouts, $207 million from issuance of 9.875% Senior Notes due 2029 in January 2026, and $86 million net proceeds from our MSR financing facilities, reflecting the growth of our different portfolios. Offsetting cash outflows primarily included $342 million net cash repaid in connection with our reverse HMBS related borrowings, with $556 million of repayments of HMBS-related borrowings partly offset by $214 million securitization of new reverse loan originations and tail advancing. The net financing cash outflows indicates a runoff of the HECM reverse mortgages portfolio that largely exceeded originations in three months ended March 31, 2026, partly attributed to the runoff of the relatively aged portfolio acquired from Waterfall in November 2024. Other cash outflows include $51 million of net repayments on advance match funded liabilities due to the decline in servicing advances.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2025</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Our operating activities used $148 million of cash during the period with $159 million net cash paid on loans held for sale and $11 million other operating cash inflows, net. The $159 million net cash paid on loans held for sale is attributed to the growth of the pipeline with loan production volume exceeding sales and $61 million originated MSRs. Operating cash outflows also include the payment of annual bonuses, the reduction of servicing float balances and margin calls on derivatives. Operating cash inflows included $54 million net collections of servicing advances mostly driven by seasonality.</w:t>
      </w:r>
    </w:p>
    <w:p>
      <w:pPr>
        <w:spacing w:after="0" w:line="6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Our investing activities provided $420 million of cash. Cash inflows primarily include $509 million net cash received in connection with our HECM reverse mortgages, with increased collections driven by the portfolio acquired from Waterfall. Offsetting cash outflows include $98 million to invest in MSRs as part of our growth strategy.</w:t>
      </w:r>
    </w:p>
    <w:p>
      <w:pPr>
        <w:spacing w:after="0" w:line="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financing activities used $300 million of cash. Cash outflows primarily include $468 million net cash repaid in connection with our reverse HMBS related borrowings, with $777 million of repayments of borrowings (see above discussion of collection drivers), partly offset by $309 million received in connection with our reverse mortgage securitizations of our new production, and which are accounted for as secured financings. Other cash outflows include $40 million of net repayments on advance match funded liabilities due to the seasonal decline in servicing advances and $35 million of repayment on reverse mortgage securitization notes due to runoff of reverse buyouts. Offsetting financing cash inflows are primarily comprised of $178 million net drawdown on MSR financing facilities due to the increase in the MSR portfolio and $79 million net from borrowings under our mortgage warehouse facilities due to the increase in loans held for sale.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Key Trends and Outlook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Historical trends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displays historical trends of our financial performance by quarter. Past performance is not necessarily indicative of future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Q2’24</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Q3’24</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Q4’24</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Q1’25</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Q2’25</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Q3’25</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Q4’25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Q1’26</w:t>
            </w: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Servicing and subservicing fees</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210.8</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211.1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206.0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203.3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211.3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217.5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225.1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222.4</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Gain on reverse loans and HMBS-related borrowings, net</w:t>
            </w:r>
          </w:p>
        </w:tc>
        <w:tc>
          <w:tcPr>
            <w:tcW w:w="8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8.5</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18.0</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0.6</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23.8</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18.7</w:t>
            </w:r>
          </w:p>
        </w:tc>
        <w:tc>
          <w:tcPr>
            <w:tcW w:w="0" w:type="dxa"/>
            <w:vAlign w:val="bottom"/>
          </w:tcPr>
          <w:p>
            <w:pPr>
              <w:spacing w:after="0"/>
              <w:rPr>
                <w:sz w:val="1"/>
                <w:szCs w:val="1"/>
                <w:color w:val="auto"/>
              </w:rPr>
            </w:pPr>
          </w:p>
        </w:tc>
      </w:tr>
      <w:tr>
        <w:trPr>
          <w:trHeight w:val="13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loans HFS, net - Originations</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tcPr>
          <w:p>
            <w:pPr>
              <w:spacing w:after="0"/>
              <w:rPr>
                <w:sz w:val="24"/>
                <w:szCs w:val="24"/>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94"/>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loans HFS, net - Servicing</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6"/>
                <w:szCs w:val="16"/>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6"/>
                <w:szCs w:val="16"/>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 on loans held for sale (HFS), net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16.5</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25.8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11.8</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10.4</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34.1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36.7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34.1</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revenue, net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10.6</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10.8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15.7</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19.1</w:t>
            </w:r>
          </w:p>
        </w:tc>
        <w:tc>
          <w:tcPr>
            <w:tcW w:w="0" w:type="dxa"/>
            <w:vAlign w:val="bottom"/>
          </w:tcPr>
          <w:p>
            <w:pPr>
              <w:spacing w:after="0"/>
              <w:rPr>
                <w:sz w:val="1"/>
                <w:szCs w:val="1"/>
                <w:color w:val="auto"/>
              </w:rPr>
            </w:pPr>
          </w:p>
        </w:tc>
      </w:tr>
      <w:tr>
        <w:trPr>
          <w:trHeight w:val="3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 - Originations</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29.2</w:t>
            </w:r>
          </w:p>
        </w:tc>
        <w:tc>
          <w:tcPr>
            <w:tcW w:w="160" w:type="dxa"/>
            <w:vAlign w:val="bottom"/>
          </w:tcPr>
          <w:p>
            <w:pPr>
              <w:spacing w:after="0"/>
              <w:rPr>
                <w:sz w:val="24"/>
                <w:szCs w:val="24"/>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28.6</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94"/>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 - Servicing</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217.2</w:t>
            </w:r>
          </w:p>
        </w:tc>
        <w:tc>
          <w:tcPr>
            <w:tcW w:w="160" w:type="dxa"/>
            <w:vAlign w:val="bottom"/>
          </w:tcPr>
          <w:p>
            <w:pPr>
              <w:spacing w:after="0"/>
              <w:rPr>
                <w:sz w:val="16"/>
                <w:szCs w:val="16"/>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236.1</w:t>
            </w:r>
          </w:p>
        </w:tc>
        <w:tc>
          <w:tcPr>
            <w:tcW w:w="140" w:type="dxa"/>
            <w:vAlign w:val="bottom"/>
          </w:tcPr>
          <w:p>
            <w:pPr>
              <w:spacing w:after="0"/>
              <w:rPr>
                <w:sz w:val="16"/>
                <w:szCs w:val="16"/>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194.3</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221.2</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217.1</w:t>
            </w:r>
          </w:p>
        </w:tc>
        <w:tc>
          <w:tcPr>
            <w:tcW w:w="8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240.3</w:t>
            </w:r>
          </w:p>
        </w:tc>
        <w:tc>
          <w:tcPr>
            <w:tcW w:w="0" w:type="dxa"/>
            <w:vAlign w:val="bottom"/>
          </w:tcPr>
          <w:p>
            <w:pPr>
              <w:spacing w:after="0"/>
              <w:rPr>
                <w:sz w:val="1"/>
                <w:szCs w:val="1"/>
                <w:color w:val="auto"/>
              </w:rPr>
            </w:pPr>
          </w:p>
        </w:tc>
      </w:tr>
      <w:tr>
        <w:trPr>
          <w:trHeight w:val="23"/>
        </w:trPr>
        <w:tc>
          <w:tcPr>
            <w:tcW w:w="3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246.4</w:t>
            </w:r>
          </w:p>
        </w:tc>
        <w:tc>
          <w:tcPr>
            <w:tcW w:w="16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265.7</w:t>
            </w:r>
          </w:p>
        </w:tc>
        <w:tc>
          <w:tcPr>
            <w:tcW w:w="1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224.8</w:t>
            </w:r>
          </w:p>
        </w:tc>
        <w:tc>
          <w:tcPr>
            <w:tcW w:w="1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249.8</w:t>
            </w:r>
          </w:p>
        </w:tc>
        <w:tc>
          <w:tcPr>
            <w:tcW w:w="1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246.6</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280.3</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290.0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294.3</w:t>
            </w:r>
          </w:p>
        </w:tc>
        <w:tc>
          <w:tcPr>
            <w:tcW w:w="0" w:type="dxa"/>
            <w:vAlign w:val="bottom"/>
          </w:tcPr>
          <w:p>
            <w:pPr>
              <w:spacing w:after="0"/>
              <w:rPr>
                <w:sz w:val="1"/>
                <w:szCs w:val="1"/>
                <w:color w:val="auto"/>
              </w:rPr>
            </w:pPr>
          </w:p>
        </w:tc>
      </w:tr>
      <w:tr>
        <w:trPr>
          <w:trHeight w:val="299"/>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MSR realization of cash flows</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(38.0)</w:t>
            </w:r>
          </w:p>
        </w:tc>
        <w:tc>
          <w:tcPr>
            <w:tcW w:w="160" w:type="dxa"/>
            <w:vAlign w:val="bottom"/>
          </w:tcPr>
          <w:p>
            <w:pPr>
              <w:spacing w:after="0"/>
              <w:rPr>
                <w:sz w:val="24"/>
                <w:szCs w:val="24"/>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(40.2)</w:t>
            </w:r>
          </w:p>
        </w:tc>
        <w:tc>
          <w:tcPr>
            <w:tcW w:w="14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MSR other fair value changes net of hedging </w:t>
            </w:r>
            <w:r>
              <w:rPr>
                <w:rFonts w:ascii="Times New Roman" w:cs="Times New Roman" w:eastAsia="Times New Roman" w:hAnsi="Times New Roman"/>
                <w:sz w:val="17"/>
                <w:szCs w:val="17"/>
                <w:color w:val="auto"/>
                <w:vertAlign w:val="superscript"/>
              </w:rPr>
              <w:t>(1)</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MSR valuation adjustments, net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(32.7)</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(31.5)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(27.3)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(58.7)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(69.0)</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104.0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112.4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115.6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119.9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109.5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125.8</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132.2</w:t>
            </w:r>
          </w:p>
        </w:tc>
        <w:tc>
          <w:tcPr>
            <w:tcW w:w="0" w:type="dxa"/>
            <w:vAlign w:val="bottom"/>
          </w:tcPr>
          <w:p>
            <w:pPr>
              <w:spacing w:after="0"/>
              <w:rPr>
                <w:sz w:val="1"/>
                <w:szCs w:val="1"/>
                <w:color w:val="auto"/>
              </w:rPr>
            </w:pPr>
          </w:p>
        </w:tc>
      </w:tr>
      <w:tr>
        <w:trPr>
          <w:trHeight w:val="365"/>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expense</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(50.5)</w:t>
            </w:r>
          </w:p>
        </w:tc>
        <w:tc>
          <w:tcPr>
            <w:tcW w:w="160" w:type="dxa"/>
            <w:vAlign w:val="bottom"/>
          </w:tcPr>
          <w:p>
            <w:pPr>
              <w:spacing w:after="0"/>
              <w:rPr>
                <w:sz w:val="24"/>
                <w:szCs w:val="24"/>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(45.4)</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(40.8)</w:t>
            </w:r>
          </w:p>
        </w:tc>
        <w:tc>
          <w:tcPr>
            <w:tcW w:w="1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0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Pledged MSR liability expense </w:t>
            </w:r>
            <w:r>
              <w:rPr>
                <w:rFonts w:ascii="Times New Roman" w:cs="Times New Roman" w:eastAsia="Times New Roman" w:hAnsi="Times New Roman"/>
                <w:sz w:val="17"/>
                <w:szCs w:val="17"/>
                <w:color w:val="auto"/>
                <w:vertAlign w:val="superscript"/>
              </w:rPr>
              <w:t>(2)</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(41.9)</w:t>
            </w:r>
          </w:p>
        </w:tc>
        <w:tc>
          <w:tcPr>
            <w:tcW w:w="1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5"/>
                <w:szCs w:val="15"/>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5"/>
                <w:szCs w:val="15"/>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(34.9)</w:t>
            </w:r>
          </w:p>
        </w:tc>
        <w:tc>
          <w:tcPr>
            <w:tcW w:w="14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(96.2)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(94.1)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(122.4)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(81.9)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(87.0)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(86.5)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(85.2)</w:t>
            </w:r>
          </w:p>
        </w:tc>
        <w:tc>
          <w:tcPr>
            <w:tcW w:w="0" w:type="dxa"/>
            <w:vAlign w:val="bottom"/>
          </w:tcPr>
          <w:p>
            <w:pPr>
              <w:spacing w:after="0"/>
              <w:rPr>
                <w:sz w:val="1"/>
                <w:szCs w:val="1"/>
                <w:color w:val="auto"/>
              </w:rPr>
            </w:pPr>
          </w:p>
        </w:tc>
      </w:tr>
      <w:tr>
        <w:trPr>
          <w:trHeight w:val="194"/>
        </w:trPr>
        <w:tc>
          <w:tcPr>
            <w:tcW w:w="3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13.5</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27.6</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(33.7)</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9.1</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22.8</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23.1</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right="120" w:hanging="317"/>
        <w:spacing w:after="0" w:line="255" w:lineRule="auto"/>
        <w:tabs>
          <w:tab w:leader="none" w:pos="31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changes of the reverse mortgage exposure (securitized reverse loans and HMBS-related borrowings, net) due to interest rates were economically hedged along with the MSR fair value changes due to interest rates per our Risk Management policy, while reported in two separate line items above for GAAP presentation purposes. Effective October 2025, reverse mortgage exposure is now hedged with dedicated third-party derivatives, whose fair value changes are presented within Gain on reverse loans and HMBS-related borrowings, net in our consolidated statements of operations.</w:t>
      </w:r>
    </w:p>
    <w:p>
      <w:pPr>
        <w:ind w:left="320" w:right="160" w:hanging="317"/>
        <w:spacing w:after="0" w:line="276" w:lineRule="auto"/>
        <w:tabs>
          <w:tab w:leader="none" w:pos="31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Servicing fee collection associated with MSR failed sales (transactions that do not meet sale accounting criteria) is presented gross, within Servicing fees and the associated remittance is presented within Pledged MSR liability expense (net of contractual subservicing fee retained).</w:t>
      </w:r>
    </w:p>
    <w:p>
      <w:pPr>
        <w:spacing w:after="0" w:line="6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Total revenue shows a generally upward trend, with a notable increase in 2025 driven by the growth of servicing fees on our owned MSR portfolio and Originations Gain on loans held for sale. The volatility in Gain on reverse loans is primarily due to fluctuations in interest rates and is partially offset by our MSR hedging program. The volatility in Servicing Gain on loans held for sale is mainly due to reverse mortgage buyouts.</w:t>
      </w:r>
    </w:p>
    <w:p>
      <w:pPr>
        <w:spacing w:after="0" w:line="6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MSR valuation adjustments, net, reflect the increasing MSR portfolio runoff expense, consistent with the portfolio growth, with fair value volatility due to interest rate, input and assumption changes, largely mitigated by an effective interest rate hedging program. Operating expenses are generally trending upward, following the growth of our operations. Quarterly fluctuations of operating expenses are largely driven by legal expenses and recoveries.</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decline in Net interest expense reflects the favorable impact of our corporate debt refinancing in the fourth quarter of 2024 with the associated recognition of a one-time charge within Other. In addition, declining short-term interest rates more than offset larger debt balances to finance the growth of our businesses. Pledged MSR liability expenses (effectively the servicing fee remittances of MSRs) are relatively stable.</w:t>
      </w:r>
    </w:p>
    <w:p>
      <w:pPr>
        <w:spacing w:after="0" w:line="64"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Income before income taxes shows Onity’s net profitability in all quarters except for the one-time debt refinancing charge in the fourth quarter of 2024. Net profitability overall was driven by revenue growth, cost management and effective MSR hedging.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Mortgage origination and servicing can be seasonal with typically higher home purchase activity in the spring and summer driving higher Originations volumes and Gain on loans held for sale and higher MSR runoff expense in the second and third quarters. Servicing revenue, specifically float income, is also impacted by the seasonality of escrow balances typically lower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2" w:name="page63"/>
    <w:bookmarkEnd w:id="62"/>
    <w:p>
      <w:pPr>
        <w:ind w:right="340"/>
        <w:spacing w:after="0" w:line="265" w:lineRule="auto"/>
        <w:rPr>
          <w:sz w:val="20"/>
          <w:szCs w:val="20"/>
          <w:color w:val="auto"/>
        </w:rPr>
      </w:pPr>
      <w:r>
        <w:rPr>
          <w:rFonts w:ascii="Times New Roman" w:cs="Times New Roman" w:eastAsia="Times New Roman" w:hAnsi="Times New Roman"/>
          <w:sz w:val="17"/>
          <w:szCs w:val="17"/>
          <w:color w:val="auto"/>
        </w:rPr>
        <w:t>the first quarter and increasing throughout the year. Similarly, interest expense on advance match-funded liabilities is impacted by the seasonality of tax and insurance advances. Advances increase around major tax payment cycles and at the time of insurance payments when disbursements exceed borrower escrow collections and subsequently decline as collections replenish escrow accounts. The seasonal trends may be offset or impacted by changes in our volumes and changes in interest rates, as reflected in the above table.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 drivers</w:t>
      </w:r>
    </w:p>
    <w:p>
      <w:pPr>
        <w:spacing w:after="0" w:line="121"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following table summarizes certain key drivers of our revenue in the quarter compared with the prior quarter, as disclosed in the segment discussions of this Management Discussion and Analysis. The table also provides certain considerations for, and may be read in conjunction with, the outlook discussed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3"/>
                <w:szCs w:val="13"/>
                <w:color w:val="auto"/>
              </w:rPr>
            </w:pP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20" w:type="dxa"/>
            <w:vAlign w:val="bottom"/>
          </w:tcPr>
          <w:p>
            <w:pPr>
              <w:spacing w:after="0"/>
              <w:rPr>
                <w:sz w:val="13"/>
                <w:szCs w:val="13"/>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Average fee/margin/rate (7)</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7"/>
              </w:rPr>
              <w:t>Drivers</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Q1’26</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Q4’25</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Q1’26</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Q4’25</w:t>
            </w:r>
          </w:p>
        </w:tc>
        <w:tc>
          <w:tcPr>
            <w:tcW w:w="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Q1’26</w:t>
            </w:r>
          </w:p>
        </w:tc>
        <w:tc>
          <w:tcPr>
            <w:tcW w:w="8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Q4’25</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0" w:type="dxa"/>
            <w:vAlign w:val="bottom"/>
          </w:tcPr>
          <w:p>
            <w:pPr>
              <w:spacing w:after="0"/>
              <w:rPr>
                <w:sz w:val="1"/>
                <w:szCs w:val="1"/>
                <w:color w:val="auto"/>
              </w:rPr>
            </w:pPr>
          </w:p>
        </w:tc>
      </w:tr>
      <w:tr>
        <w:trPr>
          <w:trHeight w:val="312"/>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Servicing fee on Owned MSR (incl. ESS)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9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Servicing fee on transferred MSR</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3"/>
        </w:trPr>
        <w:tc>
          <w:tcPr>
            <w:tcW w:w="4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72"/>
        </w:trPr>
        <w:tc>
          <w:tcPr>
            <w:tcW w:w="4520" w:type="dxa"/>
            <w:vAlign w:val="bottom"/>
            <w:tcBorders>
              <w:top w:val="single" w:sz="8" w:color="929292"/>
            </w:tcBorders>
          </w:tcPr>
          <w:p>
            <w:pPr>
              <w:ind w:left="120"/>
              <w:spacing w:after="0"/>
              <w:rPr>
                <w:sz w:val="20"/>
                <w:szCs w:val="20"/>
                <w:color w:val="auto"/>
              </w:rPr>
            </w:pPr>
            <w:r>
              <w:rPr>
                <w:rFonts w:ascii="Times New Roman" w:cs="Times New Roman" w:eastAsia="Times New Roman" w:hAnsi="Times New Roman"/>
                <w:sz w:val="14"/>
                <w:szCs w:val="14"/>
                <w:color w:val="auto"/>
              </w:rPr>
              <w:t>Servicing fee</w:t>
            </w:r>
          </w:p>
        </w:tc>
        <w:tc>
          <w:tcPr>
            <w:tcW w:w="320" w:type="dxa"/>
            <w:vAlign w:val="bottom"/>
          </w:tcPr>
          <w:p>
            <w:pPr>
              <w:spacing w:after="0"/>
              <w:rPr>
                <w:sz w:val="14"/>
                <w:szCs w:val="14"/>
                <w:color w:val="auto"/>
              </w:rPr>
            </w:pPr>
          </w:p>
        </w:tc>
        <w:tc>
          <w:tcPr>
            <w:tcW w:w="100" w:type="dxa"/>
            <w:vAlign w:val="bottom"/>
            <w:tcBorders>
              <w:top w:val="single" w:sz="8" w:color="929292"/>
            </w:tcBorders>
          </w:tcPr>
          <w:p>
            <w:pPr>
              <w:spacing w:after="0"/>
              <w:rPr>
                <w:sz w:val="14"/>
                <w:szCs w:val="14"/>
                <w:color w:val="auto"/>
              </w:rPr>
            </w:pPr>
          </w:p>
        </w:tc>
        <w:tc>
          <w:tcPr>
            <w:tcW w:w="7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80" w:type="dxa"/>
            <w:vAlign w:val="bottom"/>
            <w:tcBorders>
              <w:top w:val="single" w:sz="8" w:color="929292"/>
            </w:tcBorders>
          </w:tcPr>
          <w:p>
            <w:pPr>
              <w:spacing w:after="0"/>
              <w:rPr>
                <w:sz w:val="14"/>
                <w:szCs w:val="14"/>
                <w:color w:val="auto"/>
              </w:rPr>
            </w:pPr>
          </w:p>
        </w:tc>
        <w:tc>
          <w:tcPr>
            <w:tcW w:w="6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320" w:type="dxa"/>
            <w:vAlign w:val="bottom"/>
          </w:tcPr>
          <w:p>
            <w:pPr>
              <w:spacing w:after="0"/>
              <w:rPr>
                <w:sz w:val="14"/>
                <w:szCs w:val="14"/>
                <w:color w:val="auto"/>
              </w:rPr>
            </w:pPr>
          </w:p>
        </w:tc>
        <w:tc>
          <w:tcPr>
            <w:tcW w:w="120" w:type="dxa"/>
            <w:vAlign w:val="bottom"/>
            <w:tcBorders>
              <w:top w:val="single" w:sz="8" w:color="929292"/>
            </w:tcBorders>
          </w:tcPr>
          <w:p>
            <w:pPr>
              <w:spacing w:after="0"/>
              <w:rPr>
                <w:sz w:val="14"/>
                <w:szCs w:val="14"/>
                <w:color w:val="auto"/>
              </w:rPr>
            </w:pPr>
          </w:p>
        </w:tc>
        <w:tc>
          <w:tcPr>
            <w:tcW w:w="6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360" w:type="dxa"/>
            <w:vAlign w:val="bottom"/>
            <w:tcBorders>
              <w:top w:val="single" w:sz="8" w:color="929292"/>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4"/>
                <w:szCs w:val="14"/>
                <w:color w:val="auto"/>
              </w:rPr>
            </w:pPr>
          </w:p>
        </w:tc>
        <w:tc>
          <w:tcPr>
            <w:tcW w:w="8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8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Subservicing fee</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19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Float earnings</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3.5</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9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ancillary income</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3"/>
        </w:trPr>
        <w:tc>
          <w:tcPr>
            <w:tcW w:w="452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929292"/>
            </w:tcBorders>
          </w:tcPr>
          <w:p>
            <w:pPr>
              <w:spacing w:after="0" w:line="20" w:lineRule="exact"/>
              <w:rPr>
                <w:sz w:val="1"/>
                <w:szCs w:val="1"/>
                <w:color w:val="auto"/>
              </w:rPr>
            </w:pPr>
          </w:p>
        </w:tc>
        <w:tc>
          <w:tcPr>
            <w:tcW w:w="740" w:type="dxa"/>
            <w:vAlign w:val="bottom"/>
            <w:tcBorders>
              <w:bottom w:val="single" w:sz="8" w:color="929292"/>
            </w:tcBorders>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68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gridSpan w:val="2"/>
          </w:tcPr>
          <w:p>
            <w:pPr>
              <w:spacing w:after="0" w:line="20" w:lineRule="exact"/>
              <w:rPr>
                <w:sz w:val="1"/>
                <w:szCs w:val="1"/>
                <w:color w:val="auto"/>
              </w:rPr>
            </w:pPr>
          </w:p>
        </w:tc>
        <w:tc>
          <w:tcPr>
            <w:tcW w:w="760" w:type="dxa"/>
            <w:vAlign w:val="bottom"/>
            <w:tcBorders>
              <w:bottom w:val="single" w:sz="8" w:color="929292"/>
            </w:tcBorders>
            <w:gridSpan w:val="2"/>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860" w:type="dxa"/>
            <w:vAlign w:val="bottom"/>
            <w:tcBorders>
              <w:bottom w:val="single" w:sz="8" w:color="929292"/>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Servicing and subservicing fees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222.4</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225.1</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0.28 %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0.29 %</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311.4</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0" w:type="dxa"/>
            <w:vAlign w:val="bottom"/>
          </w:tcPr>
          <w:p>
            <w:pPr>
              <w:spacing w:after="0"/>
              <w:rPr>
                <w:sz w:val="1"/>
                <w:szCs w:val="1"/>
                <w:color w:val="auto"/>
              </w:rPr>
            </w:pPr>
          </w:p>
        </w:tc>
      </w:tr>
      <w:tr>
        <w:trPr>
          <w:trHeight w:val="32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reverse loans and HMBS-related borrowings, net - Originations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9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interest income (servicing fee)</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3"/>
        </w:trPr>
        <w:tc>
          <w:tcPr>
            <w:tcW w:w="4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520" w:type="dxa"/>
            <w:vAlign w:val="bottom"/>
            <w:tcBorders>
              <w:top w:val="single" w:sz="8" w:color="929292"/>
            </w:tcBorders>
          </w:tcPr>
          <w:p>
            <w:pPr>
              <w:ind w:left="120"/>
              <w:spacing w:after="0"/>
              <w:rPr>
                <w:sz w:val="20"/>
                <w:szCs w:val="20"/>
                <w:color w:val="auto"/>
              </w:rPr>
            </w:pPr>
            <w:r>
              <w:rPr>
                <w:rFonts w:ascii="Times New Roman" w:cs="Times New Roman" w:eastAsia="Times New Roman" w:hAnsi="Times New Roman"/>
                <w:sz w:val="14"/>
                <w:szCs w:val="14"/>
                <w:color w:val="auto"/>
              </w:rPr>
              <w:t>Sub-total</w:t>
            </w:r>
          </w:p>
        </w:tc>
        <w:tc>
          <w:tcPr>
            <w:tcW w:w="320" w:type="dxa"/>
            <w:vAlign w:val="bottom"/>
          </w:tcPr>
          <w:p>
            <w:pPr>
              <w:spacing w:after="0"/>
              <w:rPr>
                <w:sz w:val="14"/>
                <w:szCs w:val="14"/>
                <w:color w:val="auto"/>
              </w:rPr>
            </w:pPr>
          </w:p>
        </w:tc>
        <w:tc>
          <w:tcPr>
            <w:tcW w:w="100" w:type="dxa"/>
            <w:vAlign w:val="bottom"/>
            <w:tcBorders>
              <w:top w:val="single" w:sz="8" w:color="929292"/>
            </w:tcBorders>
          </w:tcPr>
          <w:p>
            <w:pPr>
              <w:spacing w:after="0"/>
              <w:rPr>
                <w:sz w:val="14"/>
                <w:szCs w:val="14"/>
                <w:color w:val="auto"/>
              </w:rPr>
            </w:pPr>
          </w:p>
        </w:tc>
        <w:tc>
          <w:tcPr>
            <w:tcW w:w="7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Borders>
              <w:top w:val="single" w:sz="8" w:color="929292"/>
            </w:tcBorders>
          </w:tcPr>
          <w:p>
            <w:pPr>
              <w:spacing w:after="0"/>
              <w:rPr>
                <w:sz w:val="14"/>
                <w:szCs w:val="14"/>
                <w:color w:val="auto"/>
              </w:rPr>
            </w:pPr>
          </w:p>
        </w:tc>
        <w:tc>
          <w:tcPr>
            <w:tcW w:w="6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20" w:type="dxa"/>
            <w:vAlign w:val="bottom"/>
          </w:tcPr>
          <w:p>
            <w:pPr>
              <w:spacing w:after="0"/>
              <w:rPr>
                <w:sz w:val="14"/>
                <w:szCs w:val="14"/>
                <w:color w:val="auto"/>
              </w:rPr>
            </w:pPr>
          </w:p>
        </w:tc>
        <w:tc>
          <w:tcPr>
            <w:tcW w:w="120" w:type="dxa"/>
            <w:vAlign w:val="bottom"/>
            <w:tcBorders>
              <w:top w:val="single" w:sz="8" w:color="929292"/>
            </w:tcBorders>
          </w:tcPr>
          <w:p>
            <w:pPr>
              <w:spacing w:after="0"/>
              <w:rPr>
                <w:sz w:val="14"/>
                <w:szCs w:val="14"/>
                <w:color w:val="auto"/>
              </w:rPr>
            </w:pPr>
          </w:p>
        </w:tc>
        <w:tc>
          <w:tcPr>
            <w:tcW w:w="660" w:type="dxa"/>
            <w:vAlign w:val="bottom"/>
            <w:tcBorders>
              <w:top w:val="single" w:sz="8" w:color="929292"/>
            </w:tcBorders>
          </w:tcPr>
          <w:p>
            <w:pPr>
              <w:spacing w:after="0"/>
              <w:rPr>
                <w:sz w:val="14"/>
                <w:szCs w:val="14"/>
                <w:color w:val="auto"/>
              </w:rPr>
            </w:pPr>
          </w:p>
        </w:tc>
        <w:tc>
          <w:tcPr>
            <w:tcW w:w="360" w:type="dxa"/>
            <w:vAlign w:val="bottom"/>
            <w:tcBorders>
              <w:top w:val="single" w:sz="8" w:color="929292"/>
            </w:tcBorders>
          </w:tcPr>
          <w:p>
            <w:pPr>
              <w:spacing w:after="0"/>
              <w:rPr>
                <w:sz w:val="14"/>
                <w:szCs w:val="14"/>
                <w:color w:val="auto"/>
              </w:rPr>
            </w:pPr>
          </w:p>
        </w:tc>
        <w:tc>
          <w:tcPr>
            <w:tcW w:w="620" w:type="dxa"/>
            <w:vAlign w:val="bottom"/>
            <w:tcBorders>
              <w:top w:val="single" w:sz="8" w:color="929292"/>
            </w:tcBorders>
          </w:tcPr>
          <w:p>
            <w:pPr>
              <w:spacing w:after="0"/>
              <w:rPr>
                <w:sz w:val="14"/>
                <w:szCs w:val="14"/>
                <w:color w:val="auto"/>
              </w:rPr>
            </w:pPr>
          </w:p>
        </w:tc>
        <w:tc>
          <w:tcPr>
            <w:tcW w:w="140" w:type="dxa"/>
            <w:vAlign w:val="bottom"/>
            <w:tcBorders>
              <w:top w:val="single" w:sz="8" w:color="929292"/>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top w:val="single" w:sz="8" w:color="929292"/>
            </w:tcBorders>
          </w:tcPr>
          <w:p>
            <w:pPr>
              <w:spacing w:after="0"/>
              <w:rPr>
                <w:sz w:val="14"/>
                <w:szCs w:val="14"/>
                <w:color w:val="auto"/>
              </w:rPr>
            </w:pPr>
          </w:p>
        </w:tc>
        <w:tc>
          <w:tcPr>
            <w:tcW w:w="860" w:type="dxa"/>
            <w:vAlign w:val="bottom"/>
            <w:tcBorders>
              <w:top w:val="single" w:sz="8" w:color="929292"/>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84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4"/>
                <w:szCs w:val="14"/>
                <w:color w:val="auto"/>
              </w:rPr>
              <w:t>Other change in fair value of securitized loans and HMBS-related borrowings,</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(8)</w:t>
            </w:r>
          </w:p>
        </w:tc>
        <w:tc>
          <w:tcPr>
            <w:tcW w:w="0" w:type="dxa"/>
            <w:vAlign w:val="bottom"/>
          </w:tcPr>
          <w:p>
            <w:pPr>
              <w:spacing w:after="0"/>
              <w:rPr>
                <w:sz w:val="1"/>
                <w:szCs w:val="1"/>
                <w:color w:val="auto"/>
              </w:rPr>
            </w:pPr>
          </w:p>
        </w:tc>
      </w:tr>
      <w:tr>
        <w:trPr>
          <w:trHeight w:val="181"/>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 on reverse loans and HMBS-related borrowings, net</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0.67 %</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0.36 %</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32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loans HFS, net - Orig., Consumer Direct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9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loans HFS, net - Orig., Correspondent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23"/>
        </w:trPr>
        <w:tc>
          <w:tcPr>
            <w:tcW w:w="4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72"/>
        </w:trPr>
        <w:tc>
          <w:tcPr>
            <w:tcW w:w="4520" w:type="dxa"/>
            <w:vAlign w:val="bottom"/>
            <w:tcBorders>
              <w:top w:val="single" w:sz="8" w:color="929292"/>
            </w:tcBorders>
          </w:tcPr>
          <w:p>
            <w:pPr>
              <w:ind w:left="120"/>
              <w:spacing w:after="0"/>
              <w:rPr>
                <w:sz w:val="20"/>
                <w:szCs w:val="20"/>
                <w:color w:val="auto"/>
              </w:rPr>
            </w:pPr>
            <w:r>
              <w:rPr>
                <w:rFonts w:ascii="Times New Roman" w:cs="Times New Roman" w:eastAsia="Times New Roman" w:hAnsi="Times New Roman"/>
                <w:sz w:val="14"/>
                <w:szCs w:val="14"/>
                <w:color w:val="auto"/>
              </w:rPr>
              <w:t>Gain on loans HFS, net - Originations</w:t>
            </w:r>
          </w:p>
        </w:tc>
        <w:tc>
          <w:tcPr>
            <w:tcW w:w="320" w:type="dxa"/>
            <w:vAlign w:val="bottom"/>
          </w:tcPr>
          <w:p>
            <w:pPr>
              <w:spacing w:after="0"/>
              <w:rPr>
                <w:sz w:val="14"/>
                <w:szCs w:val="14"/>
                <w:color w:val="auto"/>
              </w:rPr>
            </w:pPr>
          </w:p>
        </w:tc>
        <w:tc>
          <w:tcPr>
            <w:tcW w:w="100" w:type="dxa"/>
            <w:vAlign w:val="bottom"/>
            <w:tcBorders>
              <w:top w:val="single" w:sz="8" w:color="929292"/>
            </w:tcBorders>
          </w:tcPr>
          <w:p>
            <w:pPr>
              <w:spacing w:after="0"/>
              <w:rPr>
                <w:sz w:val="14"/>
                <w:szCs w:val="14"/>
                <w:color w:val="auto"/>
              </w:rPr>
            </w:pPr>
          </w:p>
        </w:tc>
        <w:tc>
          <w:tcPr>
            <w:tcW w:w="7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80" w:type="dxa"/>
            <w:vAlign w:val="bottom"/>
            <w:tcBorders>
              <w:top w:val="single" w:sz="8" w:color="929292"/>
            </w:tcBorders>
          </w:tcPr>
          <w:p>
            <w:pPr>
              <w:spacing w:after="0"/>
              <w:rPr>
                <w:sz w:val="14"/>
                <w:szCs w:val="14"/>
                <w:color w:val="auto"/>
              </w:rPr>
            </w:pPr>
          </w:p>
        </w:tc>
        <w:tc>
          <w:tcPr>
            <w:tcW w:w="6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320" w:type="dxa"/>
            <w:vAlign w:val="bottom"/>
          </w:tcPr>
          <w:p>
            <w:pPr>
              <w:spacing w:after="0"/>
              <w:rPr>
                <w:sz w:val="14"/>
                <w:szCs w:val="14"/>
                <w:color w:val="auto"/>
              </w:rPr>
            </w:pPr>
          </w:p>
        </w:tc>
        <w:tc>
          <w:tcPr>
            <w:tcW w:w="120" w:type="dxa"/>
            <w:vAlign w:val="bottom"/>
            <w:tcBorders>
              <w:top w:val="single" w:sz="8" w:color="929292"/>
            </w:tcBorders>
          </w:tcPr>
          <w:p>
            <w:pPr>
              <w:spacing w:after="0"/>
              <w:rPr>
                <w:sz w:val="14"/>
                <w:szCs w:val="14"/>
                <w:color w:val="auto"/>
              </w:rPr>
            </w:pPr>
          </w:p>
        </w:tc>
        <w:tc>
          <w:tcPr>
            <w:tcW w:w="6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360" w:type="dxa"/>
            <w:vAlign w:val="bottom"/>
            <w:tcBorders>
              <w:top w:val="single" w:sz="8" w:color="929292"/>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4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4"/>
                <w:szCs w:val="14"/>
                <w:color w:val="auto"/>
              </w:rPr>
            </w:pPr>
          </w:p>
        </w:tc>
        <w:tc>
          <w:tcPr>
            <w:tcW w:w="8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loans HFS, net - Servicing</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(1.06)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23"/>
        </w:trPr>
        <w:tc>
          <w:tcPr>
            <w:tcW w:w="452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929292"/>
            </w:tcBorders>
          </w:tcPr>
          <w:p>
            <w:pPr>
              <w:spacing w:after="0" w:line="20" w:lineRule="exact"/>
              <w:rPr>
                <w:sz w:val="1"/>
                <w:szCs w:val="1"/>
                <w:color w:val="auto"/>
              </w:rPr>
            </w:pPr>
          </w:p>
        </w:tc>
        <w:tc>
          <w:tcPr>
            <w:tcW w:w="740" w:type="dxa"/>
            <w:vAlign w:val="bottom"/>
            <w:tcBorders>
              <w:bottom w:val="single" w:sz="8" w:color="929292"/>
            </w:tcBorders>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68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660" w:type="dxa"/>
            <w:vAlign w:val="bottom"/>
            <w:tcBorders>
              <w:bottom w:val="single" w:sz="8" w:color="929292"/>
            </w:tcBorders>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620" w:type="dxa"/>
            <w:vAlign w:val="bottom"/>
            <w:tcBorders>
              <w:bottom w:val="single" w:sz="8" w:color="929292"/>
            </w:tcBorders>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860" w:type="dxa"/>
            <w:vAlign w:val="bottom"/>
            <w:tcBorders>
              <w:bottom w:val="single" w:sz="8" w:color="929292"/>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 on loans held for sale (HFS), net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34.1</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revenue, net - Originations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9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revenue, net - Servicing</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3"/>
        </w:trPr>
        <w:tc>
          <w:tcPr>
            <w:tcW w:w="452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929292"/>
            </w:tcBorders>
          </w:tcPr>
          <w:p>
            <w:pPr>
              <w:spacing w:after="0" w:line="20" w:lineRule="exact"/>
              <w:rPr>
                <w:sz w:val="1"/>
                <w:szCs w:val="1"/>
                <w:color w:val="auto"/>
              </w:rPr>
            </w:pPr>
          </w:p>
        </w:tc>
        <w:tc>
          <w:tcPr>
            <w:tcW w:w="740" w:type="dxa"/>
            <w:vAlign w:val="bottom"/>
            <w:tcBorders>
              <w:bottom w:val="single" w:sz="8" w:color="929292"/>
            </w:tcBorders>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68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660" w:type="dxa"/>
            <w:vAlign w:val="bottom"/>
            <w:tcBorders>
              <w:bottom w:val="single" w:sz="8" w:color="929292"/>
            </w:tcBorders>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620" w:type="dxa"/>
            <w:vAlign w:val="bottom"/>
            <w:tcBorders>
              <w:bottom w:val="single" w:sz="8" w:color="929292"/>
            </w:tcBorders>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860" w:type="dxa"/>
            <w:vAlign w:val="bottom"/>
            <w:tcBorders>
              <w:bottom w:val="single" w:sz="8" w:color="929292"/>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revenue, net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 - Originations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9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 - Servicing</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3"/>
        </w:trPr>
        <w:tc>
          <w:tcPr>
            <w:tcW w:w="4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294.3</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290.0</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0.35 %</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0.36 %</w:t>
            </w: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322.5</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UPB (in billions)</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count (in 000’s)</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float balance (in billions) (information not disclosed in Servicing segment)</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forward servicing plus total forward and reverse subservicing UPB (in billions)</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Newly funded Originations UPB (in billions)</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loans held for sale (in millions)</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Implied/calculated as percentage of revenue to volume driver, annualized</w:t>
      </w:r>
    </w:p>
    <w:p>
      <w:pPr>
        <w:spacing w:after="0" w:line="3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HECM hedging derivative gains of $2.4 million and $1.6 million, respectively.</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Outlook</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following discussion provides additional information regarding certain key drivers of our financial performance and includes certain forward-looking statements that are based on the current beliefs and expectations of Onity’s management and are subject to significant risks and uncertainties. Refer to Forward-Looking Statements beginning on page 2 of this Form 10-Q and Part I, Item 1.A. of our Annual Report on Form 10-K for the year ended December 31, 2025, for discussion of certain of those risks and uncertainties and other factors that could cause Onity’s actual results to differ materially because of those risks and uncertainties. There is no assurance that actual results will be in line with the outlook information set forth below, and Onity does not undertake to update any forward-looking statements. Refer to the Segment results of operations section for further detail, the description of our business environment, initiatives and risks.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63" w:name="page64"/>
    <w:bookmarkEnd w:id="63"/>
    <w:p>
      <w:pPr>
        <w:ind w:right="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Servicing and subservicing fee revenue </w:t>
      </w:r>
      <w:r>
        <w:rPr>
          <w:rFonts w:ascii="Times New Roman" w:cs="Times New Roman" w:eastAsia="Times New Roman" w:hAnsi="Times New Roman"/>
          <w:sz w:val="17"/>
          <w:szCs w:val="17"/>
          <w:color w:val="auto"/>
        </w:rPr>
        <w:t>- Our servicing fee revenue is a function of the volume being serviced - UPB for servicing fees and loan count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subservicing fees. We expect we will continue to grow our servicing and subservicing portfolio through our multi-channel Originations platform, MSR bulk acquisitions, and subservicing additions. We expect ancillary float income to trend with short-term interest rates also considering changes in average float balances due to seasonality and portfolio growth. We expect a reduction of our fee revenue in 2026 as compared to 2025 because of the termination of our subservicing agreements with Rithm that accounted for approximately 9% of the UPB and 17% of the loan count of our total servicing and subservicing portfolio, and approximately 47% of all delinquent loans that Onity services as of March 31, 2026.</w:t>
      </w:r>
    </w:p>
    <w:p>
      <w:pPr>
        <w:spacing w:after="0" w:line="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Gain on sale of loans held for sale </w:t>
      </w:r>
      <w:r>
        <w:rPr>
          <w:rFonts w:ascii="Times New Roman" w:cs="Times New Roman" w:eastAsia="Times New Roman" w:hAnsi="Times New Roman"/>
          <w:sz w:val="17"/>
          <w:szCs w:val="17"/>
          <w:color w:val="auto"/>
        </w:rPr>
        <w:t>- Our gain on sale is driven by both Originations volume and margin, and is channel-sensitive. The updated industry forecasts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of MBA, April 2026 and Fannie Mae, April 2026) suggest an estimated 13% increase in loan origination in 2026 as compared to 2025 (including a 4% growth of purchase volume), with the 30-year fixed rate mortgage expected to end 2026 mostly flat at 6.2%. However, macroeconomic conditions and their impact on the housing and capital markets remain highly uncertain. We anticipate growth in our Consumer Direct channel driven by our increased recapture capabilities that may be curtailed if interest rates remain at the current levels or increase. We expect to modestly and selectively grow our Correspondent volume as part of our MSR replenishment and growth strategy considering available liquidity. We also expect continued competitive pressure on margins across all channels and volatility of gain on sale associated with GSE pricing dependency and volatile interest rates. We expect some further volatility of gain (loss) on sale on loans held for sale related to reverse mortgage buyouts (mostly inactive loans) due to the increased size of the portfolio.</w:t>
      </w:r>
    </w:p>
    <w:p>
      <w:pPr>
        <w:spacing w:after="0" w:line="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Gain on reverse loans and HMBS-related borrowings, net </w:t>
      </w:r>
      <w:r>
        <w:rPr>
          <w:rFonts w:ascii="Times New Roman" w:cs="Times New Roman" w:eastAsia="Times New Roman" w:hAnsi="Times New Roman"/>
          <w:sz w:val="17"/>
          <w:szCs w:val="17"/>
          <w:color w:val="auto"/>
        </w:rPr>
        <w:t>- In November 2025, we entered into a series of agreements with FAR, including the sale of our reverse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mortgage servicing portfolio, at book value, with subservicing retained, and the discontinuance of our reverse origination activities. On April 30, 2026, OMC and FAR entered into an amendment of the November 2025 sale agreements whereby OMC has agreed to sell reverse MSRs comprised of approximately 20,000 Ginnie Mae HECM loans with UPB of $5.1 billion UPB. The closing of the transaction is contingent on Ginnie Mae’s approval and is expected to occur in the third quarter of 2026 (refer to Note 5 - Reverse Mortgages and Note 23 – Subsequent Events). Through closing, we expect reverse mortgage origination gain with lower volumes and generally consistent margins compared to 2025. Through closing, we expect the fair value of the net reverse servicing asset to continue to follow market conditions, with fair value gains or losses generally associated with declining or increasing interest rates and spreads. Upon closing, we would not record any further gain on the sold reverse loans and HMBS related borrowings, net, and we would begin to recognize subservicing fee revenue.</w:t>
      </w:r>
    </w:p>
    <w:p>
      <w:pPr>
        <w:spacing w:after="0" w:line="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MSR valuation adjustments, net - </w:t>
      </w:r>
      <w:r>
        <w:rPr>
          <w:rFonts w:ascii="Times New Roman" w:cs="Times New Roman" w:eastAsia="Times New Roman" w:hAnsi="Times New Roman"/>
          <w:sz w:val="17"/>
          <w:szCs w:val="17"/>
          <w:color w:val="auto"/>
        </w:rPr>
        <w:t>Our net MSR fair value changes include two main components. First, amortization of our investment is a function of the UPB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fair value of the MSR. We expect the MSR realization of cash flows to generally follow the growth of our MSR portfolio net of ESS financing liabilities and pledged MSR liabilities. Second, MSR fair value changes net of hedging are driven by changes in inputs and assumptions, our hedge coverage ratio and hedge performance. We expect MSR fair value changes due to interest rates to be largely offset by hedging derivatives to the extent of our hedge coverage ratio, with increased uncertainties related to input and assumption updates, hedge performance and hedge cost in an environment of higher economic and capital market volatility.</w:t>
      </w:r>
    </w:p>
    <w:p>
      <w:pPr>
        <w:spacing w:after="0" w:line="6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Compensation and benefits are a significant component of our cost-to-service and cost-to-originate and is directly correlated to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Headcount in Servicing is primarily driven by the number of loans or UPB being serviced and subserviced, and by the relative mix of performing, delinquent and defaulted loans. As servicing volume is expected to modestly increase with relatively more performing loans (see above), we expect a reduced workforce with productivity gains. We further expect a reduction of our headcount and operating expenses as a result of the termination of our subservicing agreements with Rithm that accounted for approximately 17% of our total loan count and approximately 47% of total delinquent loans as of March 31, 2026. We expect our Originations headcount and operating expenses to align with the expected growth in volume. Our operating expenses are expected to correlate with volumes, with some productivity and efficiencies expected through our technology and continuous improvement initiatives. Incentive compensation is also correlated to our share price and other performance metrics.</w:t>
      </w:r>
    </w:p>
    <w:p>
      <w:pPr>
        <w:spacing w:after="0" w:line="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Net interest expense </w:t>
      </w:r>
      <w:r>
        <w:rPr>
          <w:rFonts w:ascii="Times New Roman" w:cs="Times New Roman" w:eastAsia="Times New Roman" w:hAnsi="Times New Roman"/>
          <w:sz w:val="17"/>
          <w:szCs w:val="17"/>
          <w:color w:val="auto"/>
        </w:rPr>
        <w:t>- Interest expense varies based on changes in average debt balance and changes in short-term interest rates on our variable rate debt.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balance of collateralized financing facilities trends with the balance of the underlying assets discussed above (including MSR, advances, loans and reverse buyouts). Interest expense on our warehouse facilities is expected to be largely offset by interest income on our Originations pipeline loans.</w:t>
      </w:r>
    </w:p>
    <w:p>
      <w:pPr>
        <w:spacing w:after="0" w:line="5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 As a result of the partial release of the valuation allowance on deferred tax assets at December 31, 2025, we expect recognizing an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expense in 2026 and 2027 that tracks income before income taxes at an effective tax rate moderately higher than the U.S. combined Federal and state statutory tax rate.</w:t>
      </w:r>
    </w:p>
    <w:p>
      <w:pPr>
        <w:spacing w:after="0" w:line="56"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After consideration of the above factors, we expect our business to continue to generate net income and increase our equity in 2026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2027, absent any material adverse impact related to changes in interest rates, hedge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4" w:name="page65"/>
    <w:bookmarkEnd w:id="64"/>
    <w:p>
      <w:pPr>
        <w:ind w:right="280"/>
        <w:spacing w:after="0" w:line="270" w:lineRule="auto"/>
        <w:rPr>
          <w:sz w:val="20"/>
          <w:szCs w:val="20"/>
          <w:color w:val="auto"/>
        </w:rPr>
      </w:pPr>
      <w:r>
        <w:rPr>
          <w:rFonts w:ascii="Times New Roman" w:cs="Times New Roman" w:eastAsia="Times New Roman" w:hAnsi="Times New Roman"/>
          <w:sz w:val="17"/>
          <w:szCs w:val="17"/>
          <w:color w:val="auto"/>
        </w:rPr>
        <w:t>performance and cost, execution of the Rithm servicing transfer and associated downsizing of our operations, regulatory changes, litigation, actions by government entities or GSEs, events which may disrupt the capital markets, or any other factors affecting our ability to execute our growth initiatives and plan. There can be no assurance that the desired strategic and financial impact of our actions will be realized.</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activities are organized into three reportable segments that reflect our primary lines of business - Servicing and Originations - as well as a Corporate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This segment is primarily comprised of our mortgage servicing and subservicing business. We earn servicing and subservicing fees, including ancillary income, and incur cost to service the loans which varies depending on delinquency status. We are exposed to MSR valuation adjustments and advancing obligations when we own the MSR. Our servicing portfolio includes conventional, government-insured and non-Agency mortgage loans, small-balance commercial and multi-family loans, and reverse mortgage loans reported on our balance sheet. As of March 31, 2026, we serviced 1.4 million mortgage loans with an aggregate UPB of $338.4 billion.</w:t>
      </w:r>
    </w:p>
    <w:p>
      <w:pPr>
        <w:spacing w:after="0" w:line="7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addition, the Servicing segment includes our wholly-owned captive reinsurance business (referred to as CRL), which provides re-insurance related to direct physical loss coverage on foreclosed real estate properties owned or serviced by us. CRL generally assumes a 90% quota share of insurance coverage written by a third-party insurer issued to OMC.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w:t>
      </w:r>
    </w:p>
    <w:p>
      <w:pPr>
        <w:spacing w:after="0" w:line="121"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7"/>
          <w:szCs w:val="17"/>
          <w:color w:val="auto"/>
        </w:rPr>
        <w:t>We strive to diversify our revenue sources by maintaining a balanced portfolio of owned servicing and subservicing, and by extending our subservicing client base. The below graph displays the distribution of our serviced loans by relationship at March 31, 2026 (percentage of total loan count). We also measure and monitor concentration risk of our subservicing clients by their relative profitability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50800</wp:posOffset>
            </wp:positionV>
            <wp:extent cx="2519045" cy="1575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19045" cy="157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Rithm is our largest subservicing client. On October 31, 2025, we were notified by Rithm of its intent to not renew its subservicing agreements effective January 31, 2026. The servicing transfers began in 2026 with the transfer of $1.2 billion RMSR UPB and $0.6 billion subservicing UPB on March 1, 2026. Upon transfer, we have downsized and expect to further downsize certain aspects of our servicing business as well as the related corporate support functions.</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Servicing and subservicing fees from Rithm amounted to $17.2 million, or 10% of total servicing and subservicing fees (excluding ancillary income) in the three months ended March 31, 2026 ($22.2 million and 14% in the three months ended March 31, 2025) and the related remittances to Rithm presented as Pledged MSR liability expense amounted to $8.2 million and $9.0 million in the respective periods. Rithm accounted for $29.7 billion or 9% and 17% of the total serviced UPB and loan count, respectively, of our servicing and subservicing portfolio as of March 31, 2026, and 47% of all delinquent loans that Onity serviced, for which the cost to service and the associated risks are higher ($34.7 billion, 11%, 21% and 58% as of March 31, 2025,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5" w:name="page66"/>
    <w:bookmarkEnd w:id="65"/>
    <w:p>
      <w:pPr>
        <w:spacing w:after="0" w:line="259" w:lineRule="auto"/>
        <w:rPr>
          <w:sz w:val="20"/>
          <w:szCs w:val="20"/>
          <w:color w:val="auto"/>
        </w:rPr>
      </w:pPr>
      <w:r>
        <w:rPr>
          <w:rFonts w:ascii="Times New Roman" w:cs="Times New Roman" w:eastAsia="Times New Roman" w:hAnsi="Times New Roman"/>
          <w:sz w:val="17"/>
          <w:szCs w:val="17"/>
          <w:color w:val="auto"/>
        </w:rPr>
        <w:t>MAV is our second largest subservicing client. As of March 31, 2026, OMC subserviced a total $37.9 billion UPB, or 11% of the UPB and 10% of the loan count of our total servicing and subservicing portfolio, on behalf of MAV. OMC recognized servicing and subservicing fees (excluding ancillary income) of $14.0 million and the related remittances to MAV presented as Pledged MSR liability expense of $10.8 million in the three months ended March 31, 2026. MAV is a GSE MSR investment vehicle formed by Onity subsequently sold to Oaktree (85% sold in 2021, the remaining 15% in 2024). Through November 2029, OMC has the right to be the exclusive subservicer of MAV of all MSRs that MAV owned upon MAV sale in 2024, for all future MSRs that MAV acquires from OMC, and for the majority of MAV’s MSR portfolio overall. In addition, the parties agreed to lockout restrictions where MAV is restricted to sell or otherwise transfer MSRs owned by MAV at the MAV sale date in 25% increments through September 30, 2027. MAV may freely sell or transfer any MSRs thereafter.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Resolutions</w:t>
      </w:r>
    </w:p>
    <w:p>
      <w:pPr>
        <w:spacing w:after="0" w:line="1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are a leader in the servicing industry that is focused on creating positive outcomes for homeowners, clients and investors. Reducing delinquencies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To select an appropriate loan modification option for a borrower in accordance with the applicable servicing agreement,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Obligation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 Refer to Note 21 — Commitments for further discussion on our servicing advance obligations.</w:t>
      </w:r>
    </w:p>
    <w:p>
      <w:pPr>
        <w:spacing w:after="0" w:line="28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Most of our advances have the highest reimbursement priority (i.e., they are “top of the waterfall”), so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and MAV, provide for prompt reimbursement of any advances from the owner of the servicing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financial performance of our Servicing segment is impacted by the changes in fair value of the MSR portfolio due to changes in market interest rates, among other factors. Our MSR hedging policy is designed to reduce the expected volatility of the MSR portfolio fair value due to market interest rates commensurate with the target hedge coverage ratio determined by our Market Risk Committee. Refer to Item 3. Quantitative and Qualitative Disclosures about Market Risk for further detail on our hedging strategy.</w:t>
      </w:r>
    </w:p>
    <w:p>
      <w:pPr>
        <w:spacing w:after="0" w:line="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report all fair value changes of our MSR portfolio and MSR hedges within MSR valuation adjustments, net. 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and the ESS financing liabilities for which we elected the fair value option and that is collateralized by MSRs.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Mortgages</w:t>
      </w:r>
    </w:p>
    <w:p>
      <w:pPr>
        <w:spacing w:after="0" w:line="121"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Our reverse business activities include both the subservicing of reverse mortgage loans on behalf of investors and the servicing of our owned portfolio. Owned portfolio loans are insured by the FHA, which provides protection against risk of borrower default, and are securitized through the Ginnie Mae program.</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servicing activities of reverse loans are generally consistent with forward mortgage loan servicing as described above, with the following additional functions: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funding of borrower advances or draws under their approved borrowing capacity and the repurchase of loans upon reaching a limit: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66" w:name="page67"/>
    <w:bookmarkEnd w:id="66"/>
    <w:p>
      <w:pPr>
        <w:ind w:left="620" w:right="180" w:hanging="309"/>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 xml:space="preserve">Borrower draw funding obligation </w:t>
      </w:r>
      <w:r>
        <w:rPr>
          <w:rFonts w:ascii="Times New Roman" w:cs="Times New Roman" w:eastAsia="Times New Roman" w:hAnsi="Times New Roman"/>
          <w:sz w:val="17"/>
          <w:szCs w:val="17"/>
          <w:color w:val="auto"/>
        </w:rPr>
        <w:t>- Under the terms of adjustable rate mortgage (ARM)-based HECM loan agreements, the borrowers have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borrowing capacity. Borrower draws or tails are funded by the servicer and are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spacing w:after="0" w:line="64" w:lineRule="exact"/>
        <w:rPr>
          <w:sz w:val="20"/>
          <w:szCs w:val="20"/>
          <w:color w:val="auto"/>
        </w:rPr>
      </w:pPr>
    </w:p>
    <w:p>
      <w:pPr>
        <w:ind w:left="620" w:right="40" w:hanging="307"/>
        <w:spacing w:after="0" w:line="256" w:lineRule="auto"/>
        <w:tabs>
          <w:tab w:leader="none" w:pos="65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Loan repurchase obligation - </w:t>
      </w:r>
      <w:r>
        <w:rPr>
          <w:rFonts w:ascii="Times New Roman" w:cs="Times New Roman" w:eastAsia="Times New Roman" w:hAnsi="Times New Roman"/>
          <w:sz w:val="17"/>
          <w:szCs w:val="17"/>
          <w:color w:val="auto"/>
        </w:rPr>
        <w:t>As an HMBS issuer, we are required to purchase loans out of the Ginnie Mae securitization pools once they reach 98%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maximum claim amount (MCA buyouts). Active buyouts are assigned to HUD and payment is received from HUD through a claims process, generally within 30 days. HUD reimburses us for the outstanding principal balance on the loan up to the maximum claim amount; we bear the risk of exposure if the outstanding balance on a loan exceeds the maximum claim amount. We may carry loans for some time in anticipation of payoff or favorable liquidation if we deem the investment accretive. Inactive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(typically six months from obtaining marketable title of the property),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8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The Gain on reverse loans and HMBS-related borrowings, net reported within the Servicing segment includes the net fair value changes of securitized reverse mortgage loans and HMBS-related borrowings, that comprise the following:</w:t>
      </w:r>
    </w:p>
    <w:p>
      <w:pPr>
        <w:spacing w:after="0" w:line="48" w:lineRule="exact"/>
        <w:rPr>
          <w:sz w:val="20"/>
          <w:szCs w:val="20"/>
          <w:color w:val="auto"/>
        </w:rPr>
      </w:pPr>
    </w:p>
    <w:p>
      <w:pPr>
        <w:ind w:left="620" w:right="140" w:hanging="307"/>
        <w:spacing w:after="0" w:line="270" w:lineRule="auto"/>
        <w:tabs>
          <w:tab w:leader="none" w:pos="6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interest income earned on securitized reverse mortgage loans, or HECM loans, net of interest expense on HMBS-related borrowings, that is, on a net basis, the servicing fee we are contractually entitled to and collect on a monthly basis under the Ginnie Mae MBS Guide regarding servicing HMBS; and</w:t>
      </w:r>
    </w:p>
    <w:p>
      <w:pPr>
        <w:spacing w:after="0" w:line="12" w:lineRule="exact"/>
        <w:rPr>
          <w:rFonts w:ascii="Times New Roman" w:cs="Times New Roman" w:eastAsia="Times New Roman" w:hAnsi="Times New Roman"/>
          <w:sz w:val="17"/>
          <w:szCs w:val="17"/>
          <w:color w:val="auto"/>
        </w:rPr>
      </w:pPr>
    </w:p>
    <w:p>
      <w:pPr>
        <w:ind w:left="620" w:right="140" w:hanging="307"/>
        <w:spacing w:after="0" w:line="270" w:lineRule="auto"/>
        <w:tabs>
          <w:tab w:leader="none" w:pos="6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fair value changes of the net balance of securitized loans and HMBS-related borrowings, that effectively represents tails and servicing value. Tails are participations in previously securitized HECM loans and are created by additions to principal for borrower draws on lines-of-credit (scheduled and unscheduled), interest, servicing fees, and mortgage insurance premiums.</w:t>
      </w:r>
    </w:p>
    <w:p>
      <w:pPr>
        <w:spacing w:after="0" w:line="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fair value of our Ginnie Mae securitized HECM loan portfolio net of HMBS-related Borrowings generally decreases as market interest rates rise and increases as market rates fall. The interest rate exposure is managed as part of our MSR hedging strategy (see Item 3 - Quantitative and Qualitative Disclosures About Market Risk, Reverse loans held for sale pooled into HMBS and HMBS-related Borrowings and the associated interest rate sensitivity disclosure).</w:t>
      </w:r>
    </w:p>
    <w:p>
      <w:pPr>
        <w:spacing w:after="0" w:line="1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Gain (loss) on reverse loans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Since 2023, we have opportunistically acquired reverse mortgage assets (reverse buyouts) from financial institutions and companies, specifically active and inactive reverse mortgage loans, HUD claim receivables, and real estate properties. We finance our asset acquisitions along with the buyouts of our own portfolio through on-balance sheet private placement securitizations (referred to as OLIT). The financial performance of such reverse asset management is reported within the Servicing segment, largely within Gains (losses) on loans held for sale, that are driven by multiple factors, including liquidation timeline and changes in market interest rates.</w:t>
      </w:r>
    </w:p>
    <w:p>
      <w:pPr>
        <w:spacing w:after="0" w:line="7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 November 2025, OMC agreed to sell its entire HECM loan portfolio and HMBS related borrowings to FAR and subservice the sold portfolio and additional loans from FAR. On April 30, 2026, OMC and FAR entered into an amendment of the November 2025 sale agreements whereby OMC has agreed to sell reverse MSRs comprised of approximately 20,000 Ginnie Mae HECM loans with UPB of $5.1 billion. The closing of the transaction is contingent on Ginnie Mae’s approval and is expected to occur in the third quarter of 2026. Refer to Note 5 - Reverse Mortgages and Note 23 – Subsequent Events for additional information.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Servicer Ratings</w:t>
      </w:r>
    </w:p>
    <w:p>
      <w:pPr>
        <w:spacing w:after="0" w:line="12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 (Fitch). Favorable ratings from these agencies are important to the conduct of our loan servicing and lending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latest key servicer ratings and outlook: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OMC</w:t>
            </w:r>
          </w:p>
        </w:tc>
        <w:tc>
          <w:tcPr>
            <w:tcW w:w="1760" w:type="dxa"/>
            <w:vAlign w:val="bottom"/>
            <w:tcBorders>
              <w:bottom w:val="single" w:sz="8" w:color="auto"/>
            </w:tcBorders>
          </w:tcPr>
          <w:p>
            <w:pPr>
              <w:spacing w:after="0"/>
              <w:rPr>
                <w:sz w:val="19"/>
                <w:szCs w:val="19"/>
                <w:color w:val="auto"/>
              </w:rPr>
            </w:pPr>
          </w:p>
        </w:tc>
      </w:tr>
      <w:tr>
        <w:trPr>
          <w:trHeight w:val="213"/>
        </w:trPr>
        <w:tc>
          <w:tcPr>
            <w:tcW w:w="58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Moody’s</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S&amp;P</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Fitch</w:t>
            </w:r>
          </w:p>
        </w:tc>
      </w:tr>
      <w:tr>
        <w:trPr>
          <w:trHeight w:val="200"/>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20"/>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Prime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RPS2-</w:t>
            </w:r>
          </w:p>
        </w:tc>
      </w:tr>
      <w:tr>
        <w:trPr>
          <w:trHeight w:val="22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Subprime Servicer</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RPS2-</w:t>
            </w:r>
          </w:p>
        </w:tc>
      </w:tr>
      <w:tr>
        <w:trPr>
          <w:trHeight w:val="220"/>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Special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RSS2-</w:t>
            </w:r>
          </w:p>
        </w:tc>
      </w:tr>
      <w:tr>
        <w:trPr>
          <w:trHeight w:val="22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Second/Subordinate Lien Servicer</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SQ2-</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Home Equity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Alt-A Servicer</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RPS2-</w:t>
            </w:r>
          </w:p>
        </w:tc>
      </w:tr>
      <w:tr>
        <w:trPr>
          <w:trHeight w:val="220"/>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Master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RMS3</w:t>
            </w:r>
          </w:p>
        </w:tc>
      </w:tr>
      <w:tr>
        <w:trPr>
          <w:trHeight w:val="22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Small Balance Commercial Primary and Special Servicer</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SBPS2- and SBSS2-</w:t>
            </w:r>
          </w:p>
        </w:tc>
      </w:tr>
      <w:tr>
        <w:trPr>
          <w:trHeight w:val="168"/>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CLLSS3+, CMS3 and</w:t>
            </w:r>
          </w:p>
        </w:tc>
      </w:tr>
      <w:tr>
        <w:trPr>
          <w:trHeight w:val="233"/>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CMBS Loan Level Special Servicer, Master Servicer and Primary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CPS3+</w:t>
            </w:r>
          </w:p>
        </w:tc>
      </w:tr>
      <w:tr>
        <w:trPr>
          <w:trHeight w:val="22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Stable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Stable</w:t>
            </w:r>
          </w:p>
        </w:tc>
      </w:tr>
      <w:tr>
        <w:trPr>
          <w:trHeight w:val="220"/>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June 11, 2025</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October 11,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29, 2025</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0"/>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Reverse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Above Average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Stable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October 11,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bl>
    <w:p>
      <w:pPr>
        <w:spacing w:after="0" w:line="16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6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On October 11, 2024, S&amp;P affirmed the Above Average ratings and Stable outlook citing the company’s experienced management and team, effective systems and technology, sound control framework and good servicing performance metrics, among other factors.</w:t>
      </w:r>
    </w:p>
    <w:p>
      <w:pPr>
        <w:spacing w:after="0" w:line="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May 29, 2025, Fitch upgraded OMC’s residential servicer ratings and affirmed its stable outlook for all products. In addition, Fitch affirmed OMC’s residential Master Servicer rating. The rating actions reflect the company’s growth strategy based on diversification between its loan origination and servicing businesses as well as its third-party subservicing efforts, effective enterprise risk management controls and processes, and continuous technology enhancements.</w:t>
      </w:r>
    </w:p>
    <w:p>
      <w:pPr>
        <w:spacing w:after="0" w:line="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June 11, 2025, Moody's upgraded the second lien servicer quality (SQ) assessment from SQ3+ to SQ 2- and affirmed the prime, subprime, special servicer, and master SQ assessments for OMC at SQ3+. The upgrade of OMC 's second lien servicing assessment is mainly driven by i) improvement in the company's second lien roll rates, ii) cure rates, and iii) recidivism rates.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Servicing segment: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Selected Operating Statistics</w:t>
            </w:r>
          </w:p>
        </w:tc>
        <w:tc>
          <w:tcPr>
            <w:tcW w:w="26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Serviced</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billions: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Performing loans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316.2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293.8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10.4</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3"/>
        </w:trPr>
        <w:tc>
          <w:tcPr>
            <w:tcW w:w="4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338.4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328.3</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to total %</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Conventional loans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231.1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224.0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55.6</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328.3</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304.6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Conventional loans to total %</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Servicing portfolio - Owned MSR </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164.8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150.5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Servicing portfolio - Transferred MSR </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38.6</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320"/>
              <w:spacing w:after="0" w:line="220" w:lineRule="exact"/>
              <w:rPr>
                <w:sz w:val="20"/>
                <w:szCs w:val="20"/>
                <w:color w:val="auto"/>
              </w:rPr>
            </w:pPr>
            <w:r>
              <w:rPr>
                <w:rFonts w:ascii="Times New Roman" w:cs="Times New Roman" w:eastAsia="Times New Roman" w:hAnsi="Times New Roman"/>
                <w:sz w:val="17"/>
                <w:szCs w:val="17"/>
                <w:color w:val="auto"/>
              </w:rPr>
              <w:t xml:space="preserve">Subservicing - forward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commercial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113.9</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3"/>
        </w:trPr>
        <w:tc>
          <w:tcPr>
            <w:tcW w:w="4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338.4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328.3</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Borders>
              <w:bottom w:val="single" w:sz="8" w:color="CCEEFF"/>
            </w:tcBorders>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Borders>
              <w:bottom w:val="single" w:sz="8" w:color="CCEEFF"/>
            </w:tcBorders>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4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shd w:val="clear" w:color="auto" w:fill="CCEEFF"/>
          </w:tcPr>
          <w:p>
            <w:pPr>
              <w:spacing w:after="0"/>
              <w:rPr>
                <w:sz w:val="6"/>
                <w:szCs w:val="6"/>
                <w:color w:val="auto"/>
              </w:rPr>
            </w:pPr>
          </w:p>
        </w:tc>
        <w:tc>
          <w:tcPr>
            <w:tcW w:w="148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0" w:type="dxa"/>
            <w:vAlign w:val="bottom"/>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gridSpan w:val="2"/>
            <w:vMerge w:val="continue"/>
            <w:shd w:val="clear" w:color="auto" w:fill="CCEEFF"/>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4"/>
              <w:spacing w:after="0" w:line="155"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shd w:val="clear" w:color="auto" w:fill="CCEEFF"/>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Prepayment speed (CPR)</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Voluntary CPR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Involuntary CPR</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 Total CPR </w:t>
            </w:r>
            <w:r>
              <w:rPr>
                <w:rFonts w:ascii="Times New Roman" w:cs="Times New Roman" w:eastAsia="Times New Roman" w:hAnsi="Times New Roman"/>
                <w:sz w:val="22"/>
                <w:szCs w:val="22"/>
                <w:color w:val="auto"/>
                <w:vertAlign w:val="superscript"/>
              </w:rPr>
              <w:t>(6)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Number of completed modifications </w:t>
            </w: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40"/>
              <w:spacing w:after="0" w:line="220" w:lineRule="exact"/>
              <w:rPr>
                <w:sz w:val="20"/>
                <w:szCs w:val="20"/>
                <w:color w:val="auto"/>
              </w:rPr>
            </w:pPr>
            <w:r>
              <w:rPr>
                <w:rFonts w:ascii="Times New Roman" w:cs="Times New Roman" w:eastAsia="Times New Roman" w:hAnsi="Times New Roman"/>
                <w:sz w:val="17"/>
                <w:szCs w:val="17"/>
                <w:color w:val="auto"/>
              </w:rPr>
              <w:t xml:space="preserve">MSR weighted average note rate </w:t>
            </w:r>
            <w:r>
              <w:rPr>
                <w:rFonts w:ascii="Times New Roman" w:cs="Times New Roman" w:eastAsia="Times New Roman" w:hAnsi="Times New Roman"/>
                <w:sz w:val="22"/>
                <w:szCs w:val="22"/>
                <w:color w:val="auto"/>
                <w:vertAlign w:val="superscript"/>
              </w:rPr>
              <w:t>(5)</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n/m: not meaningful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600" w:hanging="317"/>
        <w:spacing w:after="0" w:line="246"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20" w:hanging="317"/>
        <w:spacing w:after="0"/>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HECM reverse mortgage loans with a UPB of $9.1 billion that are recognized in our unaudited consolidated balance sheet at March 31, 2026.</w:t>
      </w:r>
    </w:p>
    <w:p>
      <w:pPr>
        <w:ind w:left="320" w:right="320" w:hanging="317"/>
        <w:spacing w:after="0" w:line="244"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pursuant to our sale or transfer agreements with MSR capital partners for which sale accounting is not achieved. Includes $6.9 billion serviced for Rithm at March 31, 2026.</w:t>
      </w:r>
    </w:p>
    <w:p>
      <w:pPr>
        <w:ind w:left="320" w:hanging="317"/>
        <w:spacing w:after="0"/>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$22.7 billion UPB of subserviced loans on behalf of Rithm at March 31, 2026.</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our owned MSR forward servicing portfolio.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69" w:name="page70"/>
    <w:bookmarkEnd w:id="69"/>
    <w:p>
      <w:pPr>
        <w:spacing w:after="0"/>
        <w:tabs>
          <w:tab w:leader="none" w:pos="300" w:val="left"/>
        </w:tabs>
        <w:rPr>
          <w:sz w:val="20"/>
          <w:szCs w:val="20"/>
          <w:color w:val="auto"/>
        </w:rPr>
      </w:pPr>
      <w:r>
        <w:rPr>
          <w:rFonts w:ascii="Times New Roman" w:cs="Times New Roman" w:eastAsia="Times New Roman" w:hAnsi="Times New Roman"/>
          <w:sz w:val="16"/>
          <w:szCs w:val="16"/>
          <w:color w:val="auto"/>
        </w:rPr>
        <w:t>(6)</w:t>
      </w:r>
      <w:r>
        <w:rPr>
          <w:sz w:val="20"/>
          <w:szCs w:val="20"/>
          <w:color w:val="auto"/>
        </w:rPr>
        <w:tab/>
      </w:r>
      <w:r>
        <w:rPr>
          <w:rFonts w:ascii="Times New Roman" w:cs="Times New Roman" w:eastAsia="Times New Roman" w:hAnsi="Times New Roman"/>
          <w:sz w:val="14"/>
          <w:szCs w:val="14"/>
          <w:color w:val="auto"/>
        </w:rPr>
        <w:t>Total CPR includes voluntary and involuntary prepayments, as shown in the table, plus scheduled principal amortization.</w:t>
      </w:r>
    </w:p>
    <w:p>
      <w:pPr>
        <w:spacing w:after="0" w:line="96"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provides the rollforward of activity of our portfolio of mortgage loans serviced that includes MSRs, whole loans and subserviced loans, both forward and reverse: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Amount of UPB (</w:t>
            </w:r>
            <w:r>
              <w:rPr>
                <w:rFonts w:ascii="Times New Roman" w:cs="Times New Roman" w:eastAsia="Times New Roman" w:hAnsi="Times New Roman"/>
                <w:sz w:val="17"/>
                <w:szCs w:val="17"/>
                <w:b w:val="1"/>
                <w:bCs w:val="1"/>
                <w:i w:val="1"/>
                <w:iCs w:val="1"/>
                <w:color w:val="auto"/>
              </w:rPr>
              <w:t>$ in billions)</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7"/>
                <w:szCs w:val="17"/>
                <w:b w:val="1"/>
                <w:bCs w:val="1"/>
                <w:color w:val="auto"/>
              </w:rPr>
              <w:t>Count (000’s)</w:t>
            </w:r>
          </w:p>
        </w:tc>
        <w:tc>
          <w:tcPr>
            <w:tcW w:w="1000" w:type="dxa"/>
            <w:vAlign w:val="bottom"/>
            <w:tcBorders>
              <w:bottom w:val="single" w:sz="8" w:color="auto"/>
            </w:tcBorders>
          </w:tcPr>
          <w:p>
            <w:pPr>
              <w:spacing w:after="0"/>
              <w:rPr>
                <w:sz w:val="19"/>
                <w:szCs w:val="19"/>
                <w:color w:val="auto"/>
              </w:rPr>
            </w:pPr>
          </w:p>
        </w:tc>
      </w:tr>
      <w:tr>
        <w:trPr>
          <w:trHeight w:val="213"/>
        </w:trPr>
        <w:tc>
          <w:tcPr>
            <w:tcW w:w="48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January 1</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301.7</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1,395.1</w:t>
            </w:r>
          </w:p>
        </w:tc>
      </w:tr>
      <w:tr>
        <w:trPr>
          <w:trHeight w:val="220"/>
        </w:trPr>
        <w:tc>
          <w:tcPr>
            <w:tcW w:w="488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Additions </w:t>
            </w:r>
            <w:r>
              <w:rPr>
                <w:rFonts w:ascii="Times New Roman" w:cs="Times New Roman" w:eastAsia="Times New Roman" w:hAnsi="Times New Roman"/>
                <w:sz w:val="22"/>
                <w:szCs w:val="22"/>
                <w:color w:val="auto"/>
                <w:vertAlign w:val="superscript"/>
              </w:rPr>
              <w:t>(1) (3)</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r>
      <w:tr>
        <w:trPr>
          <w:trHeight w:val="220"/>
        </w:trPr>
        <w:tc>
          <w:tcPr>
            <w:tcW w:w="488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MSR sales </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880" w:type="dxa"/>
            <w:vAlign w:val="bottom"/>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Servicing transfers </w:t>
            </w:r>
            <w:r>
              <w:rPr>
                <w:rFonts w:ascii="Times New Roman" w:cs="Times New Roman" w:eastAsia="Times New Roman" w:hAnsi="Times New Roman"/>
                <w:sz w:val="22"/>
                <w:szCs w:val="22"/>
                <w:color w:val="auto"/>
                <w:vertAlign w:val="superscript"/>
              </w:rPr>
              <w:t>(1) (2) (3)</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2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March 31</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304.6</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1,445.7</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1,382.0</w:t>
            </w:r>
          </w:p>
        </w:tc>
      </w:tr>
      <w:tr>
        <w:trPr>
          <w:trHeight w:val="20"/>
        </w:trPr>
        <w:tc>
          <w:tcPr>
            <w:tcW w:w="4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20" w:right="180" w:hanging="317"/>
        <w:spacing w:after="0" w:line="246" w:lineRule="auto"/>
        <w:tabs>
          <w:tab w:leader="none" w:pos="3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volume of UPB associated with short-term interim subservicing for some clients as a support to their originate-to-sell business, where loans may be boarded and deboarded within the same quarter.</w:t>
      </w:r>
    </w:p>
    <w:p>
      <w:pPr>
        <w:ind w:left="320" w:hanging="317"/>
        <w:spacing w:after="0"/>
        <w:tabs>
          <w:tab w:leader="none" w:pos="3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sold in the first quarter of 2026 with a UPB of $1.3 billion for which we started performing subservicing.</w:t>
      </w:r>
    </w:p>
    <w:p>
      <w:pPr>
        <w:ind w:left="320" w:hanging="317"/>
        <w:spacing w:after="0"/>
        <w:tabs>
          <w:tab w:leader="none" w:pos="3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acquired in the first quarter of 2026 with a UPB of $2.5 billion for which we were previously performing the subservicing.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breakdown of our servicer advances, net of allowance for losses: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4"/>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by investor type</w:t>
            </w:r>
          </w:p>
        </w:tc>
        <w:tc>
          <w:tcPr>
            <w:tcW w:w="1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82.2</w:t>
            </w:r>
          </w:p>
        </w:tc>
        <w:tc>
          <w:tcPr>
            <w:tcW w:w="0" w:type="dxa"/>
            <w:vAlign w:val="bottom"/>
          </w:tcPr>
          <w:p>
            <w:pPr>
              <w:spacing w:after="0"/>
              <w:rPr>
                <w:sz w:val="1"/>
                <w:szCs w:val="1"/>
                <w:color w:val="auto"/>
              </w:rPr>
            </w:pPr>
          </w:p>
        </w:tc>
      </w:tr>
      <w:tr>
        <w:trPr>
          <w:trHeight w:val="220"/>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Government-insured</w:t>
            </w:r>
          </w:p>
        </w:tc>
        <w:tc>
          <w:tcPr>
            <w:tcW w:w="18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311.0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337.9</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208.8</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431.1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278.8</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106.0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483.4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The following table provides selected operating statistics related to our owned reverse mortgage loans held for sale pooled into HMBS, previously, held for investment reported within our Servicing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9"/>
                <w:szCs w:val="19"/>
                <w:color w:val="auto"/>
              </w:rPr>
            </w:pPr>
          </w:p>
        </w:tc>
        <w:tc>
          <w:tcPr>
            <w:tcW w:w="13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Loans</w:t>
            </w:r>
          </w:p>
        </w:tc>
        <w:tc>
          <w:tcPr>
            <w:tcW w:w="2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millions: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loans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9,280.1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10,297.3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18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Active Buyouts </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209.1</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199.0</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Inactive Buyouts </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983.7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846.3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539.3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187"/>
        </w:trPr>
        <w:tc>
          <w:tcPr>
            <w:tcW w:w="4180" w:type="dxa"/>
            <w:vAlign w:val="bottom"/>
          </w:tcPr>
          <w:p>
            <w:pPr>
              <w:ind w:left="44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rPr>
              <w:t>10,623.5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10,335.5</w:t>
            </w:r>
          </w:p>
        </w:tc>
        <w:tc>
          <w:tcPr>
            <w:tcW w:w="10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11,035.7</w:t>
            </w:r>
          </w:p>
        </w:tc>
        <w:tc>
          <w:tcPr>
            <w:tcW w:w="10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Future draw commitments (UPB) in millions:</w:t>
            </w:r>
          </w:p>
        </w:tc>
        <w:tc>
          <w:tcPr>
            <w:tcW w:w="2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2,891.9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2,896.6</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3,048.8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5"/>
        </w:trPr>
        <w:tc>
          <w:tcPr>
            <w:tcW w:w="4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Fair value in millions: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Reverse mortgage loans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9,703.1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10,676.0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HMBS related borrowings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9,437.4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9,611.7</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10,587.6</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asset value (HECM or reverse MSR)</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Net asset value to UPB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0.98 %</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0.86 %</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right="680" w:hanging="317"/>
        <w:spacing w:after="0" w:line="254" w:lineRule="auto"/>
        <w:tabs>
          <w:tab w:leader="none" w:pos="3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unsecuritized loans reported within the Originations segment. Classified as loans held for sale, at fair value at March 31, 2026 and December 31, 2025, and previously classified as loans held for investment. See Note 5 - Reverse Mortgages.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Buyouts are reported as Loans held for sale, Receivables or REO depending on the loan and foreclosure status.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our Servicing segment. The amounts presented are before the elimination of balances and transactions with our other segments: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3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2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5"/>
                <w:szCs w:val="15"/>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reverse loans and HMBS-related borrowings,</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w:t>
            </w:r>
          </w:p>
        </w:tc>
        <w:tc>
          <w:tcPr>
            <w:tcW w:w="22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080" w:type="dxa"/>
            <w:vAlign w:val="bottom"/>
            <w:gridSpan w:val="2"/>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16.9</w:t>
            </w:r>
          </w:p>
        </w:tc>
        <w:tc>
          <w:tcPr>
            <w:tcW w:w="1080" w:type="dxa"/>
            <w:vAlign w:val="bottom"/>
            <w:gridSpan w:val="2"/>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12"/>
        </w:trPr>
        <w:tc>
          <w:tcPr>
            <w:tcW w:w="3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238.1</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221.2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155"/>
        </w:trPr>
        <w:tc>
          <w:tcPr>
            <w:tcW w:w="3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expense</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13.2</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6.3</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15.3</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12.4</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70.8</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68.6</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20"/>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(55.9)</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(47.9)</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(42.9)</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135"/>
        </w:trPr>
        <w:tc>
          <w:tcPr>
            <w:tcW w:w="39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 to UPB (bps)-Annualized</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serviced UPB ($ billions)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headcount - Servicing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60"/>
          </w:cols>
          <w:pgMar w:left="320" w:top="957" w:right="7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Servicing and Subservicing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displays servicing and subservicing fees by component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83185</wp:posOffset>
            </wp:positionV>
            <wp:extent cx="3938270" cy="20427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and discussion present the drivers of servicing and subservicing fees.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4"/>
                <w:szCs w:val="14"/>
                <w:color w:val="auto"/>
              </w:rPr>
            </w:pPr>
          </w:p>
        </w:tc>
        <w:tc>
          <w:tcPr>
            <w:tcW w:w="148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fees</w:t>
            </w: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Average servicing UPB </w:t>
            </w:r>
            <w:r>
              <w:rPr>
                <w:rFonts w:ascii="Times New Roman" w:cs="Times New Roman" w:eastAsia="Times New Roman" w:hAnsi="Times New Roman"/>
                <w:sz w:val="22"/>
                <w:szCs w:val="22"/>
                <w:color w:val="auto"/>
                <w:vertAlign w:val="superscript"/>
              </w:rPr>
              <w:t>(1)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197.8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Average servicing fee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Servicing fees </w:t>
            </w:r>
            <w:r>
              <w:rPr>
                <w:rFonts w:ascii="Times New Roman" w:cs="Times New Roman" w:eastAsia="Times New Roman" w:hAnsi="Times New Roman"/>
                <w:sz w:val="22"/>
                <w:szCs w:val="22"/>
                <w:color w:val="auto"/>
                <w:vertAlign w:val="superscript"/>
              </w:rPr>
              <w:t>(3)</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148.9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0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21"/>
                <w:szCs w:val="21"/>
                <w:color w:val="auto"/>
              </w:rPr>
              <w:t>​</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Subservicing fees </w:t>
            </w:r>
            <w:r>
              <w:rPr>
                <w:rFonts w:ascii="Times New Roman" w:cs="Times New Roman" w:eastAsia="Times New Roman" w:hAnsi="Times New Roman"/>
                <w:sz w:val="22"/>
                <w:szCs w:val="22"/>
                <w:color w:val="auto"/>
                <w:vertAlign w:val="superscript"/>
              </w:rPr>
              <w:t>(6)</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Average number of subserviced loans </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583.7</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Average monthly fee per loan </w:t>
            </w:r>
            <w:r>
              <w:rPr>
                <w:rFonts w:ascii="Times New Roman" w:cs="Times New Roman" w:eastAsia="Times New Roman" w:hAnsi="Times New Roman"/>
                <w:sz w:val="22"/>
                <w:szCs w:val="22"/>
                <w:color w:val="auto"/>
                <w:vertAlign w:val="superscript"/>
              </w:rPr>
              <w:t>(5)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Subservicing fees </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 billions, (2) In % of UPB, annualized, (3) In $ millions, (4) In thousands, (5) In dollars.</w:t>
      </w:r>
    </w:p>
    <w:p>
      <w:pPr>
        <w:spacing w:after="0" w:line="17"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reverse mortgage loan subservicing.</w:t>
      </w:r>
    </w:p>
    <w:p>
      <w:pPr>
        <w:spacing w:after="0" w:line="10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Servicing fees for the three months ended March 31, 2026 increased $5.7 million or 4% compared to the three months ended December 31, 2025, driven by a 4% increase in average servicing UPB. The increase in average servicing UPB is primarily due to robust originations and recapture, and selective bulk MSR acquisitions as part of our replenishment and growth initiative. Subservicing fees remained flat quarter over quarter, with a 2% increase in subservicing volume (loan count) offset by a 2% decrease in subservicing fee per loan.</w:t>
      </w:r>
    </w:p>
    <w:p>
      <w:pPr>
        <w:spacing w:after="0" w:line="6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Compared to the three months ended March 31, 2025, servicing fees for the three months ended March 31, 2026 grew 15% or $19.0 million, driven by a 13% increase in average servicing UPB, primarily due to robust originations and recapture, and selective bulk MSR acquisitions as part of our replenishment and growth initiative, partly offset by the deboarding of $1.2 billion UPB Rithm loans in the first quarter of 2026 as a result of Rithm’s decision to not renew its agreements effective January 31, 2026. Subservicing fees remained flat as compared to the three months ended March 31, 2025, with certain offsetting factors, including the lower pricing of the Rithm agreement effective March 2025, the deboarding of $5.7 billion UPB Rithm loans in the first quarter of 2025 and runoff of our reverse subservicing portfolio, partly offset by an increase in our forward subservicing portfolio due to our successful enterprise sale efforts to grow our residential and commercial subservicing portfolio by 18%, net of portfolio runoff.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ancillary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60" w:type="dxa"/>
            <w:vAlign w:val="bottom"/>
            <w:gridSpan w:val="2"/>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5"/>
        </w:trPr>
        <w:tc>
          <w:tcPr>
            <w:tcW w:w="4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7138035" cy="163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-142240</wp:posOffset>
            </wp:positionV>
            <wp:extent cx="9353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5355" cy="8255"/>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-142240</wp:posOffset>
            </wp:positionV>
            <wp:extent cx="193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15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Ancillary income for the three months ended March 31, 2026 declined by $8.2 million, or 15% compared to the three months ended December 31, 2025 primarily due to an $8.1 million decline in float earnings attributable to seasonally lower average float balances and lower average interest rates (as a benchmark, the average 1-month term SOFR declined by 24 basis points).</w:t>
      </w:r>
    </w:p>
    <w:p>
      <w:pPr>
        <w:spacing w:after="0" w:line="6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Compared to the three months ended March 31, 2025, ancillary income for the three months ended March 31, 2026 remained flat, with some offsetting factors. Float earnings increased $3.0 million due to higher average float balances partly offset by lower average interest rates (as a benchmark, the average 1-month term SOFR declined by 65 basis points). The increase in float earnings was offset by a $1.8 million decline in reverse subservicing ancillary fees driven by portfolio runoff, and $1.2 million lower other fees.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Loans Held for Sale, Net</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We recognized a $2.7 million loss on loans held for sale, net for the three months ended March 31, 2026, compared to a $1.2 million gain in the three months ended December 31, 2025. The $4.0 million unfavorable variance quarter-over-quarter is mostly driven by reverse mortgage buyouts, with favorable resolution of an indemnification settlement in the fourth quarter of 2025 and higher unfavorable assumptions update in first quarter of 2026, compared to the fourth quarter of 2025.</w:t>
      </w:r>
    </w:p>
    <w:p>
      <w:pPr>
        <w:spacing w:after="0" w:line="27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recognized a $2.7 million loss on loans held for sale, net for the three months ended March 31, 2026, compared to a $3.8 million loss recognized in the three months ended March 31, 2025. The $1.1 million favorable variance year-over-year is mostly driven by higher redelivery gains in the first quarter of 2026 on Ginnie Mae forward loan repurchases and modifications.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Reverse Loans and HMBS-Related Borrowings,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the fair value change of reverse loans and HMBS-related borrowings, net.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21"/>
                <w:szCs w:val="21"/>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1"/>
                <w:szCs w:val="21"/>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77"/>
        </w:trPr>
        <w:tc>
          <w:tcPr>
            <w:tcW w:w="43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 change in fair value of securitized loans and HMBS-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related borrowings, net</w:t>
            </w:r>
          </w:p>
        </w:tc>
        <w:tc>
          <w:tcPr>
            <w:tcW w:w="2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8.6</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HECM hedging derivative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61"/>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3"/>
            <w:vMerge w:val="restart"/>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181 %</w:t>
            </w:r>
          </w:p>
        </w:tc>
        <w:tc>
          <w:tcPr>
            <w:tcW w:w="82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Gain on reverse loans and HMBS-related borrowings, net for the three months ended March 31, 2026 increased $9.1 million, compared to the three months ended December 31, 2025, mostly driven by yield spread tightening in the first quarter of 2026 and unfavorable assumptions update in the fourth quarter of 2025. While not the only benchmark for the reverse mortgage exposure, the 10-year Treasury rate increased 12 basis points during the first quarter of 2026 and was mostly flat (increased 2 basis points) during the fourth quarter of 2025. Net interest income remained mostly flat (-3%), consistent with the average portfolio balance.</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Compared to the three months ended March 31, 2025, Gain on reverse loans and HMBS-related borrowings, net for the three months ended March 31, 2026 declined $2.7 million mostly driven by a favorable decrease in market rates during the three months ended March 31, 2025, and runoff. During three months ended March 31, 2025, our HECM MSR was hedged as part of overall interest-rate sensitive MSR portfolio and the related gain/loss was recorded under MSR valuation adjustments, net. The above described year over year decrease was partly offset by changes in spreads (more favorable tightening vs. the prior year period). The 10-year Treasury rate increased 12 basis points during the three months ended March 31, 2026</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3" w:name="page74"/>
    <w:bookmarkEnd w:id="73"/>
    <w:p>
      <w:pPr>
        <w:spacing w:after="0" w:line="265" w:lineRule="auto"/>
        <w:rPr>
          <w:sz w:val="20"/>
          <w:szCs w:val="20"/>
          <w:color w:val="auto"/>
        </w:rPr>
      </w:pPr>
      <w:r>
        <w:rPr>
          <w:rFonts w:ascii="Times New Roman" w:cs="Times New Roman" w:eastAsia="Times New Roman" w:hAnsi="Times New Roman"/>
          <w:sz w:val="17"/>
          <w:szCs w:val="17"/>
          <w:color w:val="auto"/>
        </w:rPr>
        <w:t>compared to a decrease of 35 basis points during the three months ended March 31, 2025. As our HECM loan portfolio is predominantly comprised of ARMs, lower interest rates cause the loan balance to accrue and reach the 98% maximum claim amount liquidation at a slower pace, extending the life of the servicing net asset. Effective fourth quarter of 2025, other change in fair value is partially hedged with dedicated third-party derivative instruments, and with our forward MSR hedge strategy through third quarter of 2025. Net interest income declined $1.1 million (or 13%), consistent with the portfolio decline.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Other revenue, net for the three months ended March 31, 2026 was mostly flat as compared to the three months ended December 31, 2025, consistent with our CRL captive reinsurance premium portfolio.</w:t>
      </w:r>
    </w:p>
    <w:p>
      <w:pPr>
        <w:spacing w:after="0" w:line="4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Compared to the three months ended March 31, 2025, Other revenue, net for the three months ended March 31, 2026 increased $1.7 million mostly driven by the growth of our CRL captive reinsurance premium portfolio with an increase in covered properties.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the discussion above within Overview-Results of Operations and Financial Condition-MSR Valuation Adjustments, Net.</w:t>
      </w:r>
    </w:p>
    <w:p>
      <w:pPr>
        <w:spacing w:after="0" w:line="1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following chart summarizes the impact of our MSR interest rate hedging strategy on Servicing segment results along with the impact of fair value changes due to other input and assumption updates (refer to the MSR Hedging Strategy section of Item 3. Quantitative and Qualitative Disclosures about Market Risks for further detail). As displayed below, our net income (total) is impacted by the combined effect of the fair value changes of the MSR portfolio attributable to input and assumption changes (including interest rates), the MSR hedging derivative gains and losses - both reported within MSR valuation adjustments, net on the face of the consolidated statement of operations - and other fair value changes of the HECM loans and HMBS-related borrowings (reverse exposure) used as a hedge for risk management purposes but separately presented on our consolidated statement of operations as Gain on reverse loans and HMBS-related borrowings, net through the third quarter of 2025. While our risk management hedging strategy is targeted towards changes in fair value due to interest rates, the information below portrays all fair value changes due to inputs and assumptions, including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59055</wp:posOffset>
            </wp:positionV>
            <wp:extent cx="3938270" cy="2042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20" w:hanging="131"/>
        <w:spacing w:after="0"/>
        <w:tabs>
          <w:tab w:leader="none" w:pos="2120" w:val="left"/>
        </w:tabs>
        <w:numPr>
          <w:ilvl w:val="0"/>
          <w:numId w:val="68"/>
        </w:numPr>
        <w:rPr>
          <w:rFonts w:ascii="MS PGothic" w:cs="MS PGothic" w:eastAsia="MS PGothic" w:hAnsi="MS PGothic"/>
          <w:sz w:val="12"/>
          <w:szCs w:val="12"/>
          <w:color w:val="2F20EF"/>
          <w:shd w:val="clear" w:color="auto" w:fill="2F20EF"/>
        </w:rPr>
      </w:pPr>
      <w:r>
        <w:rPr>
          <w:rFonts w:ascii="Times New Roman" w:cs="Times New Roman" w:eastAsia="Times New Roman" w:hAnsi="Times New Roman"/>
          <w:sz w:val="12"/>
          <w:szCs w:val="12"/>
          <w:color w:val="auto"/>
        </w:rPr>
        <w:t>MSR fair value changes due to input and assumption changes - including interest rates (reported within the Servicing segment)</w:t>
      </w:r>
    </w:p>
    <w:p>
      <w:pPr>
        <w:spacing w:after="0" w:line="35" w:lineRule="exact"/>
        <w:rPr>
          <w:rFonts w:ascii="MS PGothic" w:cs="MS PGothic" w:eastAsia="MS PGothic" w:hAnsi="MS PGothic"/>
          <w:sz w:val="12"/>
          <w:szCs w:val="12"/>
          <w:color w:val="2F20EF"/>
          <w:shd w:val="clear" w:color="auto" w:fill="2F20EF"/>
        </w:rPr>
      </w:pPr>
    </w:p>
    <w:p>
      <w:pPr>
        <w:ind w:left="2120" w:hanging="131"/>
        <w:spacing w:after="0"/>
        <w:tabs>
          <w:tab w:leader="none" w:pos="2120" w:val="left"/>
        </w:tabs>
        <w:numPr>
          <w:ilvl w:val="0"/>
          <w:numId w:val="68"/>
        </w:numPr>
        <w:rPr>
          <w:rFonts w:ascii="MS PGothic" w:cs="MS PGothic" w:eastAsia="MS PGothic" w:hAnsi="MS PGothic"/>
          <w:sz w:val="12"/>
          <w:szCs w:val="12"/>
          <w:color w:val="939393"/>
          <w:shd w:val="clear" w:color="auto" w:fill="939393"/>
        </w:rPr>
      </w:pPr>
      <w:r>
        <w:rPr>
          <w:rFonts w:ascii="Times New Roman" w:cs="Times New Roman" w:eastAsia="Times New Roman" w:hAnsi="Times New Roman"/>
          <w:sz w:val="12"/>
          <w:szCs w:val="12"/>
          <w:color w:val="auto"/>
        </w:rPr>
        <w:t>MSR hedging derivative fair value changes</w:t>
      </w:r>
    </w:p>
    <w:p>
      <w:pPr>
        <w:spacing w:after="0" w:line="29" w:lineRule="exact"/>
        <w:rPr>
          <w:rFonts w:ascii="MS PGothic" w:cs="MS PGothic" w:eastAsia="MS PGothic" w:hAnsi="MS PGothic"/>
          <w:sz w:val="12"/>
          <w:szCs w:val="12"/>
          <w:color w:val="939393"/>
          <w:shd w:val="clear" w:color="auto" w:fill="939393"/>
        </w:rPr>
      </w:pPr>
    </w:p>
    <w:p>
      <w:pPr>
        <w:ind w:left="2120" w:hanging="131"/>
        <w:spacing w:after="0"/>
        <w:tabs>
          <w:tab w:leader="none" w:pos="2120" w:val="left"/>
        </w:tabs>
        <w:numPr>
          <w:ilvl w:val="0"/>
          <w:numId w:val="68"/>
        </w:numPr>
        <w:rPr>
          <w:rFonts w:ascii="MS PGothic" w:cs="MS PGothic" w:eastAsia="MS PGothic" w:hAnsi="MS PGothic"/>
          <w:sz w:val="12"/>
          <w:szCs w:val="12"/>
          <w:color w:val="00A3E0"/>
          <w:shd w:val="clear" w:color="auto" w:fill="00A3E0"/>
        </w:rPr>
      </w:pPr>
      <w:r>
        <w:rPr>
          <w:rFonts w:ascii="Times New Roman" w:cs="Times New Roman" w:eastAsia="Times New Roman" w:hAnsi="Times New Roman"/>
          <w:sz w:val="12"/>
          <w:szCs w:val="12"/>
          <w:color w:val="auto"/>
        </w:rPr>
        <w:t>Other change in fair value of securitized reverse mortgage loans and HMBS-related borrowings, net (through Q3 of 2025)</w:t>
      </w:r>
    </w:p>
    <w:p>
      <w:pPr>
        <w:spacing w:after="0" w:line="24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With a high targeted hedge coverage ratio, the fair value volatility of the MSR portfolio due to changes in market interest rates, net of hedges (including the reverse exposure through third quarter of 2025) was reduced for the periods presented. The total impact of our MSR hedge strategy resulted in losses of $27.1 million in the first quarter of 2026 and losses of $17.6 million in the fourth quarter of 2025, largely driven by unfavorable MSR valuation input and assumption updates to reflect increased prepayment speeds in the current quarter (caused by significant intra-quarter market rate decline) and higher realization of cash flows mainly due to portfolio growth, and net gain on market interest rate changes vs. a minor loss in the fourth quarter of 2025.</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4" w:name="page75"/>
    <w:bookmarkEnd w:id="74"/>
    <w:p>
      <w:pPr>
        <w:spacing w:after="0" w:line="265" w:lineRule="auto"/>
        <w:rPr>
          <w:sz w:val="20"/>
          <w:szCs w:val="20"/>
          <w:color w:val="auto"/>
        </w:rPr>
      </w:pPr>
      <w:r>
        <w:rPr>
          <w:rFonts w:ascii="Times New Roman" w:cs="Times New Roman" w:eastAsia="Times New Roman" w:hAnsi="Times New Roman"/>
          <w:sz w:val="17"/>
          <w:szCs w:val="17"/>
          <w:color w:val="auto"/>
        </w:rPr>
        <w:t>The $34.9 million unfavorable change for the three months ended March 31, 2026 compared to the three months ended March 31, 2025 ($27.1 million losses compared to $7.8 million gains), is mainly driven by unfavorable input and assumption updates in the first quarter of 2026 vs. favorable updates in the first quarter of 2025 primarily due to increased prepayment speeds in the first quarter of 2026 and higher realization of cash flows in the first quarter of 2026 mainly due to portfolio growth, partly offset by favorable market rate impact net of hedging as compared to the first quarter of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2026 remained mostly flat (decreased $0.9 million, or 4%), compared to the three months ended December 31, 2025 largely consistent with the 5% decline in headcount. Lower salaries and benefits and incentive compensation were largely offset by a $1.9 million increase in severance primarily in connection with Rithm’s decision to not renew its subservicing agreements effective January 31, 2026.</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Compared to the three months ended March 31, 2025, Compensation and benefits expense for the three months ended March 31, 2026 remained flat (increased $0.1 million), mostly driven by the impact of a 9% headcount reduction. A $1.7 million increase in severance primarily as a result of the termination of our subservicing agreements with Rithm (as disclosed above) was offset by decreases in salaries and benefits and incentive compensation. The decrease in average headcount, including a 7% decrease in the U.S., is largely attributed to the runoff of our reverse subservicing portfolio, lower delinquencies, and further efficiency gains within forward servicing.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Expense</w:t>
      </w:r>
    </w:p>
    <w:p>
      <w:pPr>
        <w:spacing w:after="0" w:line="121"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Servicing expense primarily includes claim losses and interest curtailments on government-insured loans (provision for account receivables), provision expense for advances and servicing representation and warranties, other provision expense (including related to CRL), and certain loan-volume related expenses.</w:t>
      </w:r>
    </w:p>
    <w:p>
      <w:pPr>
        <w:spacing w:after="0" w:line="48" w:lineRule="exact"/>
        <w:rPr>
          <w:sz w:val="20"/>
          <w:szCs w:val="20"/>
          <w:color w:val="auto"/>
        </w:rPr>
      </w:pPr>
    </w:p>
    <w:p>
      <w:pPr>
        <w:jc w:val="both"/>
        <w:ind w:right="220"/>
        <w:spacing w:after="0" w:line="288" w:lineRule="auto"/>
        <w:rPr>
          <w:sz w:val="20"/>
          <w:szCs w:val="20"/>
          <w:color w:val="auto"/>
        </w:rPr>
      </w:pPr>
      <w:r>
        <w:rPr>
          <w:rFonts w:ascii="Times New Roman" w:cs="Times New Roman" w:eastAsia="Times New Roman" w:hAnsi="Times New Roman"/>
          <w:sz w:val="17"/>
          <w:szCs w:val="17"/>
          <w:color w:val="auto"/>
        </w:rPr>
        <w:t>Servicing expense increased $1.9 million in the three months ended March 31, 2026 compared to the three months ended December 31, 2025, largely driven by $1.2 million higher provision expense on receivables related to MSR sales, and higher satisfaction and interest on payoff expense due to higher payoff volume.</w:t>
      </w:r>
    </w:p>
    <w:p>
      <w:pPr>
        <w:spacing w:after="0" w:line="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Compared to the three months ended March 31, 2025, Servicing expense for the three months ended March 31, 2026 increased $3.5 million or 30%, primarily due to a $3.3 million increase in satisfaction and interest on payoff expense due to higher payoff volume, and the higher provision expense on receivables related to MSR sales discussed above.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Other operating expenses (total operating expenses less Compensation and benefit expense and Servicing expense) for the three months ended March 31, 2026 increased $4.3 million as compared to the three months ended December 31, 2025, mostly due to a $4.3 million increase in Professional services expense, with other offsetting factors. The increase in Professional services includes a $2.1 million increase in legal expenses mostly driven by higher recoveries of prior years’ legal expenses in the fourth quarter of 2025, and a $2.1 million increase in other professional services is primarily due to an increase in call center volume related to seasonal requirements and the expected Rithm servicing transfer.</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Compared to the three months ended March 31, 2025, Other operating expenses for the three months ended March 31, 2026 increased $3.9 million mostly due to a $2.3 million increase in Corporate overhead allocations and a $1.0 million increase in Professional services expense. The increase in Corporate overhead allocations is primarily driven by higher Corporate services to support our growth initiatives. The increase in Professional services expense is driven by a $2.4 million increase in other professional services expense primarily due to an increase in call center volume, driven by the expected Rithm servicing transfer, partly offset by a $1.4 million decrease in legal expenses primarily due to higher recoveries of prior years’ legal expenses in the first quarter of 2026.</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4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 income (expense) primarily includes net interest expense and pledged MSR liability expense.</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60" w:type="dxa"/>
            <w:vAlign w:val="bottom"/>
          </w:tcPr>
          <w:p>
            <w:pPr>
              <w:jc w:val="center"/>
              <w:ind w:right="5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mortgage securitization notes</w:t>
            </w:r>
          </w:p>
        </w:tc>
        <w:tc>
          <w:tcPr>
            <w:tcW w:w="2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14.0</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4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Corporate debt interest expense allocation</w:t>
            </w:r>
          </w:p>
        </w:tc>
        <w:tc>
          <w:tcPr>
            <w:tcW w:w="2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6.3</w:t>
            </w:r>
          </w:p>
        </w:tc>
        <w:tc>
          <w:tcPr>
            <w:tcW w:w="10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Escrow</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interest expense</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58.5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Average balances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1,232.4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1,024.2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286.4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303.7</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362.4</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mortgage securitization notes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875.2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675.3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469.1</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140.4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167.4</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188.2</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asset-backed financing</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2,532.1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2,378.8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2,043.9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Effective average interest rate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60" w:type="dxa"/>
            <w:vAlign w:val="bottom"/>
          </w:tcPr>
          <w:p>
            <w:pPr>
              <w:spacing w:after="0"/>
              <w:rPr>
                <w:sz w:val="19"/>
                <w:szCs w:val="19"/>
                <w:color w:val="auto"/>
              </w:rPr>
            </w:pPr>
          </w:p>
        </w:tc>
        <w:tc>
          <w:tcPr>
            <w:tcW w:w="130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9"/>
              </w:rPr>
              <w:t>6.79 %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7.35 %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7.25 %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8.70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9.09</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8.67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mortgage securitization notes</w:t>
            </w:r>
          </w:p>
        </w:tc>
        <w:tc>
          <w:tcPr>
            <w:tcW w:w="260" w:type="dxa"/>
            <w:vAlign w:val="bottom"/>
          </w:tcPr>
          <w:p>
            <w:pPr>
              <w:spacing w:after="0"/>
              <w:rPr>
                <w:sz w:val="19"/>
                <w:szCs w:val="19"/>
                <w:color w:val="auto"/>
              </w:rPr>
            </w:pPr>
          </w:p>
        </w:tc>
        <w:tc>
          <w:tcPr>
            <w:tcW w:w="13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7.70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8.30</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8.63</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7.01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6.82</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7.17</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1 month Term SOFR</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9"/>
              </w:rPr>
              <w:t>3.67 %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3.91 %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4.32 %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Interest expense for the three months ended March 31, 2026 increased $2.6 million, or 5% compared to the three months ended December 31, 2025 driven by the growth of our assets, partly offset by lower financing cost due to lower average short-term market interest rates. Interest expense on corporate debt increased $3.1 million as additional corporate debt was allocated to the Servicing segment in the first quarter of 2026 to support the growth of MSRs, this also resulted lower utilization of MSR financing facilities. Interest expense on MSR financing facilities decreased $1.8 million due to factors discussed above. Interest expense on reverse mortgage securitization notes increased $2.9 million mainly due to the acquisition and securitization (OLIT) of reverse mortgage buyouts in the first quarter of 2026 and fourth quarter of 2025, offset in part by runoff of the securitized portfolio and lower interest rate. Partly offsetting these increases, interest expense on advance match funded liabilities decreased $0.7 million due to a decline in average debt balances on seasonally lower servicing advances.</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Compared to the three months ended March 31, 2025, interest expense for the three months ended March 31, 2026 increased $10.6 million, or 22%, driven by the growth of our assets, partly offset by lower financing cost due to lower interest rates. Interest expense on reverse mortgage securitization notes increased $6.7 million mainly due to the acquisition and securitization (OLIT) of reverse mortgage buyouts in 2025 and the first quarter of 2026, offset in part by runoff of the securitized portfolio and lower financing costs. Interest expense on corporate debt increased $4.1 million, driven by additional corporate debt allocated to the Servicing segment during the first quarter of 2026 to support the growth of MSRs. In addition, interest expense on MSR facilities increased $2.3 million due to an increase in the average debt balance, partly offset by lower average short-term market interest rates. These increases were partially offset by a $1.6 million decrease in interest on advance match funded liabilities, mostly driven by the decline in average debt balances for servicing advances due to lower delinquencies and increased loan resolutions in our non-Agency MSR portfolio.</w:t>
      </w:r>
    </w:p>
    <w:p>
      <w:pPr>
        <w:spacing w:after="0" w:line="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March 31, 2026 increased $3.8 million compared to the three months ended December 31, 2025. Compared to the three months ended March 31, 2025, interest income increased $6.2 million for the three months ended March 31, 2026. The increases are primarily due to the reverse mortgage buyouts acquired in 2025 and the first quarter of 2026.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6" w:name="page77"/>
    <w:bookmarkEnd w:id="76"/>
    <w:p>
      <w:pPr>
        <w:ind w:right="300"/>
        <w:spacing w:after="0" w:line="265" w:lineRule="auto"/>
        <w:rPr>
          <w:sz w:val="20"/>
          <w:szCs w:val="20"/>
          <w:color w:val="auto"/>
        </w:rPr>
      </w:pPr>
      <w:r>
        <w:rPr>
          <w:rFonts w:ascii="Times New Roman" w:cs="Times New Roman" w:eastAsia="Times New Roman" w:hAnsi="Times New Roman"/>
          <w:sz w:val="17"/>
          <w:szCs w:val="17"/>
          <w:color w:val="auto"/>
        </w:rPr>
        <w:t>Pledged MSR liability expense includes the servicing fee remittance related to the MSR sales or transfers that do not meet sale accounting criteria and are presented on a gross basis in our consolidated financial statements, including the servicing spread remittance associated with our ESS financing liability at fair value. See Note 8 — MSR Related Financing Liabilities, at Fair Value to the Unaudited Consolidated Financial Statements. The following table provides the components of Pledged MSR liability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Net servicing fee remittance for MSR transfers that do not meet</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sale accounting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ESS servicing spread remittance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13.2</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right="320" w:hanging="317"/>
        <w:spacing w:after="0" w:line="257" w:lineRule="auto"/>
        <w:tabs>
          <w:tab w:leader="none" w:pos="3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 — MSR Related Financing Liabilities, at Fair Value to the Unaudited Consolidated Financial Statements. The servicing fee and ancillary income collections on such transferred MSRs are recognized within Servicing and subservicing fees.</w:t>
      </w:r>
    </w:p>
    <w:p>
      <w:pPr>
        <w:spacing w:after="0" w:line="67"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Pledged MSR liability expense for the three months ended March 31, 2026 remained mostly stable (decreased 1%) as compared to the three months ended December 31, 2025 consistent with the volume serviced.</w:t>
      </w:r>
    </w:p>
    <w:p>
      <w:pPr>
        <w:spacing w:after="0" w:line="4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Compared to the three months ended March 31, 2025, Pledged MSR liability expense for the three months ended March 31, 2026 increased $0.7 million mostly driven by the increase in the portfolio of MSRs sold to MSR capital partners and lower subservicing fee pricing on the Rithm agreement effective March 2025 (effectively increasing remittances), partly offset by a decline in the Rithm and MAV portfolios.</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We originate and purchase loans and MSRs through multiple channels. Loans generally conform to the underwriting standards of Fannie Mae or Freddie Mac (GSEs) or are government-insured (FHA, VA or USDA). We generally sell the loans in the secondary mortgage market through GSE and Ginnie Mae mortgage securitizations on a servicing retained basis.</w:t>
      </w:r>
    </w:p>
    <w:p>
      <w:pPr>
        <w:spacing w:after="0" w:line="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Originations business generates a gain on sale of loans, which represents the difference between the origination or purchase value and the sale or securitization value of the loans, along with fee revenue. In 2025, we launched new products including second lien and Non-Qualified Mortgage (Non-QM) loans that we generally sell on a servicing released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our Originations business through the following channels: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 Consumer Direct</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Consumer Direct channel for forward mortgage loans focuses on targeting existing servicing customers by offering them competitive mortgage refinance opportunities, where permitted by the governing servicing and pooling agreement.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second lien loans.</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While not all loans serviced are eligible for recapture, the note rate composition of our Agency MSR portfolio (UPB in $ billions) was as follows. The chart indicates a $52 billion portfolio of loans with an interest rate higher than 6% as of March 31, 2026 (with the 30-year fixed rate mortgage rate at 6.38%) presenting higher prepayment risk and recapture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50800</wp:posOffset>
            </wp:positionV>
            <wp:extent cx="3938270" cy="1575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38270" cy="157543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2- Correspondent Lending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Our Correspondent lending channel drives the replenishment and growth of our MSR portfolio. We purchase closed loans that have been underwritten to investor guidelines from our network of correspondent sellers and sell and securitize them, on a servicing retained basis. We offer correspondent sellers the choice to take out mandatory or “best-efforts”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In 2025, we expanded the range of products to our correspondent sellers with the launch of non-QM loans that we currently sell servicing released. We provide customary origination representations and warranties to investors in connection with our loan sales and securitization activities. We receive customary origination representations and warranties from our network of approved correspondent lenders. As of March 31, 2026, we have relationships with 744 approved correspondent sellers.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 Reverse Originations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 As the securitizations of reverse mortgage loans do not achieve sale accounting treatment and the loans remain reported as Reverse loans held for sale pooled into HMBS, at fair value (previously Loans held for investment, at fair value) together with the securitization HMBS-related borrowings, revenue mostly includes the fair value changes of the loan from lock date to securitization date that are reported in Gain on reverse loans and HMBS-related borrowings, net.</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November 2025, OMC agreed to sell its HECM loan portfolio and HMBS related borrowings to FAR and subservice the sold portfolio. FAR agreed to acquire OMC’s originations pipeline of reverse mortgage loans and assume some of OMC’s U.S. based reverse originations employees. OMC agreed to discontinue its reverse originations business upon closing. On April 30, 2026, OMC and FAR entered into an amendment of the November 2025 sale agreements whereby OMC has agreed to sell reverse MSRs comprised of approximately 20,000 Ginnie Mae HECM loans with UPB of $5.1 billion. Under the amended agreements, OMC will discontinue its reverse originations business upon closing with the exception of activities relating to the recapture of existing HECM borrowers for any HECM MSRs not transferred to FAR. FAR expects to assume certain of OMC’s US-based reverse originations employees in May 2026 and additional employees in July 2026. The closing of the transaction is contingent on Ginnie Mae’s approval and is expected to occur in the third quarter of 2026. Refer to Note 5 - Reverse Mortgages and Note 23 – Subsequent Events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 Co-Issue Programs</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As of March 31, 2026, we have relationships with 562 approved sellers through the Agency Cash Window co-issue programs. 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 Subservicing Growth</w:t>
      </w:r>
    </w:p>
    <w:p>
      <w:pPr>
        <w:spacing w:after="0" w:line="1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Originations segment:</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6"/>
                <w:szCs w:val="6"/>
                <w:color w:val="auto"/>
              </w:rPr>
            </w:pPr>
          </w:p>
        </w:tc>
        <w:tc>
          <w:tcPr>
            <w:tcW w:w="13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60" w:type="dxa"/>
            <w:vAlign w:val="bottom"/>
          </w:tcPr>
          <w:p>
            <w:pPr>
              <w:jc w:val="right"/>
              <w:ind w:right="7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Funded Loan UPB by Channel </w:t>
            </w:r>
            <w:r>
              <w:rPr>
                <w:rFonts w:ascii="Times New Roman" w:cs="Times New Roman" w:eastAsia="Times New Roman" w:hAnsi="Times New Roman"/>
                <w:sz w:val="17"/>
                <w:szCs w:val="17"/>
                <w:i w:val="1"/>
                <w:iCs w:val="1"/>
                <w:color w:val="auto"/>
              </w:rPr>
              <w:t>(in billions)</w:t>
            </w: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loans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0.77</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0.30</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GSE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Ginnie Mae</w:t>
            </w:r>
          </w:p>
        </w:tc>
        <w:tc>
          <w:tcPr>
            <w:tcW w:w="24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2.48</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0.58</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0.07</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7.42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4.09</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Purchase production</w:t>
            </w:r>
          </w:p>
        </w:tc>
        <w:tc>
          <w:tcPr>
            <w:tcW w:w="24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Refinance production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note rate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Reverse loans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Wholesale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0.04</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0.05</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0.03</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UPB of MSR Purchases by Channel </w:t>
            </w:r>
            <w:r>
              <w:rPr>
                <w:rFonts w:ascii="Times New Roman" w:cs="Times New Roman" w:eastAsia="Times New Roman" w:hAnsi="Times New Roman"/>
                <w:sz w:val="17"/>
                <w:szCs w:val="17"/>
                <w:i w:val="1"/>
                <w:iCs w:val="1"/>
                <w:color w:val="auto"/>
              </w:rPr>
              <w:t>(in billions)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Agency Cash Window / Flow MSR</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6.78</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2.77</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Bulk purchases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2.16</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4.85</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Bulk reverse purchases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0.24</w:t>
            </w:r>
          </w:p>
        </w:tc>
        <w:tc>
          <w:tcPr>
            <w:tcW w:w="10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394"/>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12.87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9.18</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7.62</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35"/>
        </w:trPr>
        <w:tc>
          <w:tcPr>
            <w:tcW w:w="4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16.74</w:t>
            </w:r>
          </w:p>
        </w:tc>
        <w:tc>
          <w:tcPr>
            <w:tcW w:w="10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11.89</w:t>
            </w:r>
          </w:p>
        </w:tc>
        <w:tc>
          <w:tcPr>
            <w:tcW w:w="10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Short-term loan commitment </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(at period end; in</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millions)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780.4</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1,927.3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1,886.8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1,389.8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Forward loans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2,707.8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2,461.9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1,593.0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loans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Consumer Direct pull-through adjusted (PTA) lock volume</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100"/>
              <w:spacing w:after="0" w:line="232" w:lineRule="exact"/>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i w:val="1"/>
                <w:iCs w:val="1"/>
                <w:color w:val="auto"/>
              </w:rPr>
              <w:t xml:space="preserve"> (in billions)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306 %</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Consumer Direct gain on sale margin on PTA lock volume</w:t>
            </w: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2.05 %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2.97 %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production excludes reverse mortgage loan draws by borrowers disbursed subsequent to origination that are reported within the Servicing segment.</w:t>
      </w:r>
    </w:p>
    <w:p>
      <w:pPr>
        <w:spacing w:after="0" w:line="12" w:lineRule="exact"/>
        <w:rPr>
          <w:rFonts w:ascii="Times New Roman" w:cs="Times New Roman" w:eastAsia="Times New Roman" w:hAnsi="Times New Roman"/>
          <w:sz w:val="16"/>
          <w:szCs w:val="16"/>
          <w:color w:val="auto"/>
        </w:rPr>
      </w:pPr>
    </w:p>
    <w:p>
      <w:pPr>
        <w:ind w:left="320" w:right="160" w:hanging="317"/>
        <w:spacing w:after="0" w:line="238" w:lineRule="auto"/>
        <w:tabs>
          <w:tab w:leader="none" w:pos="3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interest rate lock commitments in Note 15 – Derivative Financial Instruments and Hedging Activities. The amounts are presented before application of any pull-through adjustment.</w:t>
      </w:r>
    </w:p>
    <w:p>
      <w:pPr>
        <w:ind w:left="320" w:hanging="317"/>
        <w:spacing w:after="0"/>
        <w:tabs>
          <w:tab w:leader="none" w:pos="3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interest rate lock commitments multiplied by pull-through rates and represents loan volume expected to be funded.</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Gain on loans held for sale, net divided by pull-through adjusted locked volume.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results of operations of our Originations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60" w:type="dxa"/>
            <w:vAlign w:val="bottom"/>
            <w:gridSpan w:val="2"/>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35.5</w:t>
            </w:r>
          </w:p>
        </w:tc>
        <w:tc>
          <w:tcPr>
            <w:tcW w:w="11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1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11.4</w:t>
            </w:r>
          </w:p>
        </w:tc>
        <w:tc>
          <w:tcPr>
            <w:tcW w:w="1180" w:type="dxa"/>
            <w:vAlign w:val="bottom"/>
            <w:tcBorders>
              <w:bottom w:val="single" w:sz="8" w:color="CCEEFF"/>
            </w:tcBorders>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51.9</w:t>
            </w:r>
          </w:p>
        </w:tc>
        <w:tc>
          <w:tcPr>
            <w:tcW w:w="11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MSR valuation adjustments,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8.8</w:t>
            </w:r>
          </w:p>
        </w:tc>
        <w:tc>
          <w:tcPr>
            <w:tcW w:w="11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18.4</w:t>
            </w:r>
          </w:p>
        </w:tc>
        <w:tc>
          <w:tcPr>
            <w:tcW w:w="11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Origination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1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118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18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1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tcBorders>
              <w:bottom w:val="single" w:sz="8" w:color="CCEEFF"/>
            </w:tcBorders>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33.3</w:t>
            </w:r>
          </w:p>
        </w:tc>
        <w:tc>
          <w:tcPr>
            <w:tcW w:w="11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24.3</w:t>
            </w:r>
          </w:p>
        </w:tc>
        <w:tc>
          <w:tcPr>
            <w:tcW w:w="11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(21.6)</w:t>
            </w:r>
          </w:p>
        </w:tc>
        <w:tc>
          <w:tcPr>
            <w:tcW w:w="11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180" w:type="dxa"/>
            <w:vAlign w:val="bottom"/>
            <w:tcBorders>
              <w:bottom w:val="single" w:sz="8" w:color="CCEEFF"/>
            </w:tcBorders>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76 %</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35"/>
        </w:trPr>
        <w:tc>
          <w:tcPr>
            <w:tcW w:w="4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28.9</w:t>
            </w:r>
          </w:p>
        </w:tc>
        <w:tc>
          <w:tcPr>
            <w:tcW w:w="11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 to UPB (bps)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1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Funded loan UPB - Forward loans (in $ billions)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1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Headcount - Originations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1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Loans Held for Sale,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displays Gain on loans held for sale by channel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83185</wp:posOffset>
            </wp:positionV>
            <wp:extent cx="3938270" cy="20427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382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following table and discussion present Gain on loans held for sale by channel and the main drivers, specifically the forward loan origination volumes and margins (excluding fees that are presented in Other revenue,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4"/>
                <w:szCs w:val="14"/>
                <w:color w:val="auto"/>
              </w:rPr>
            </w:pPr>
          </w:p>
        </w:tc>
        <w:tc>
          <w:tcPr>
            <w:tcW w:w="144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4"/>
                <w:szCs w:val="14"/>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40"/>
              <w:spacing w:after="0" w:line="200" w:lineRule="exact"/>
              <w:rPr>
                <w:sz w:val="20"/>
                <w:szCs w:val="20"/>
                <w:color w:val="auto"/>
              </w:rPr>
            </w:pPr>
            <w:r>
              <w:rPr>
                <w:rFonts w:ascii="Times New Roman" w:cs="Times New Roman" w:eastAsia="Times New Roman" w:hAnsi="Times New Roman"/>
                <w:sz w:val="17"/>
                <w:szCs w:val="17"/>
                <w:b w:val="1"/>
                <w:bCs w:val="1"/>
                <w:color w:val="auto"/>
              </w:rPr>
              <w:t xml:space="preserve">Origination UPB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 billions)</w:t>
            </w: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6.65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0.77</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0.30</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7.42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 Gain on Sale Margin </w:t>
            </w:r>
            <w:r>
              <w:rPr>
                <w:rFonts w:ascii="Times New Roman" w:cs="Times New Roman" w:eastAsia="Times New Roman" w:hAnsi="Times New Roman"/>
                <w:sz w:val="22"/>
                <w:szCs w:val="22"/>
                <w:b w:val="1"/>
                <w:bCs w:val="1"/>
                <w:color w:val="auto"/>
                <w:vertAlign w:val="superscript"/>
              </w:rPr>
              <w:t>(2)</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w w:val="99"/>
              </w:rPr>
              <w:t>0.25 %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2.45</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3.32</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w w:val="99"/>
              </w:rPr>
              <w:t>0.48 %</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0.38 %</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 on Loans Held for Sale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16.7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18.8</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35.5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20" w:hanging="317"/>
        <w:spacing w:after="0"/>
        <w:tabs>
          <w:tab w:leader="none" w:pos="3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funded UPB. Note that the ratio differs from the day-one gain on sale margin upon lock.</w:t>
      </w:r>
    </w:p>
    <w:p>
      <w:pPr>
        <w:spacing w:after="0" w:line="1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Gain on loans held for sale, net for the three months ended March 31, 2026 increased 4% compared to the three months ended December 31, 2025, with an $8.9 million increase in our Consumer Direct channel, largely offset by a $7.5 million decrease in our Correspondent channel. The increase in Consumer Direct gain is primarily driven by a 55% increase in loan funded volume, attributed to our increased recapture operational capability and the favorable interest rate environment in the first quarter of 2026 which drove refinance activity. The decrease in Correspondent gain is primarily due to market volatility stemming from geopolitical events causing mortgage basis widening impacting overall net MSR hedge effectiveness as indicated by the lower margins, offset in part by improved execution. The 6% decrease in our total volume was less than the estimated industry volume trend (down 7% quarter over quarter, based on average of MBA and Fannie Mae data) and our decrease is mostly driven by our business growth strategy focused on the Consumer Direct channel.</w:t>
      </w:r>
    </w:p>
    <w:p>
      <w:pPr>
        <w:spacing w:after="0" w:line="7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Compared to the three months ended March 31, 2025, Gain on loans held for sale, net for the three months ended March 31, 2026 increased $21.3 million, mostly attributable to a $17.8 million increase in our Consumer Direct channel. The gain in Consumer Direct is primarily due to a 300% increase in loan funded volume, largely driven by our increased recapture capabilities and favorable interest rate environment in the first quarter of 2026 which continued to drive refinance activity,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1" w:name="page82"/>
    <w:bookmarkEnd w:id="81"/>
    <w:p>
      <w:pPr>
        <w:ind w:right="60"/>
        <w:spacing w:after="0" w:line="270" w:lineRule="auto"/>
        <w:rPr>
          <w:sz w:val="20"/>
          <w:szCs w:val="20"/>
          <w:color w:val="auto"/>
        </w:rPr>
      </w:pPr>
      <w:r>
        <w:rPr>
          <w:rFonts w:ascii="Times New Roman" w:cs="Times New Roman" w:eastAsia="Times New Roman" w:hAnsi="Times New Roman"/>
          <w:sz w:val="17"/>
          <w:szCs w:val="17"/>
          <w:color w:val="auto"/>
        </w:rPr>
        <w:t>offset in part by lower margins due to the competitive pricing environment. The $3.4 million increase in Correspondent gain is driven by a 53% increase in loan production volume with mostly flat margins. The 71% increase in our total volume is mostly attributed to our MSR replenishment and growth strategy and largely exceeded the estimated industry volume trend (44% increase, based on average of MBA and Fannie Mae data).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Reverse Loans and HMBS-Related Borrowings, Net</w:t>
      </w:r>
    </w:p>
    <w:p>
      <w:pPr>
        <w:spacing w:after="0" w:line="121"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reverse loans and HMBS-related borrowings, net, of the Originations segment that comprises fair value changes of the pipeline and unsecuritized reverse mortgage loans, at fair value, together with volume and margin (including loan fees):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4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2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Origination UPB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 billions)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0"/>
        </w:trPr>
        <w:tc>
          <w:tcPr>
            <w:tcW w:w="420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Origination margin </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3.37 %</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Gain on reverse loans and HMBS-related borrowings, net</w:t>
            </w: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(Originations)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origination gain to funded UPB; includes loan fees.</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Gain on reverse loans and HMBS-related borrowings, net for the three months ended March 31, 2026 remained relatively flat compared to the three months ended December 31, 2025, with lower origination volume mostly offset by higher margins across our channels. Industry-wide HECM securitization volume saw a 9% decrease, and industry-wide HECM endorsements were mostly flat. The elevated interest rate environment continues to adversely impact reverse mortgage borrower activities due to a lack of affordability as elevated rates directly reduce HECM loan proceeds available to borrowers. Higher margin across our channels is predominantly driven by more tightening of yield spreads in the three months ended March 31, 2026, compared to the three months ended December 31, 2025.</w:t>
      </w:r>
    </w:p>
    <w:p>
      <w:pPr>
        <w:spacing w:after="0" w:line="7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Compared to the three months ended March 31, 2025, Gain on reverse loans and HMBS-related borrowings, net for the three months ended March 31, 2026 decreased $2.4 million attributed to lower origination volume, partly offset by a higher aggregate margin. Industry-wide HECM securitization volume declined 15% when comparing the three months ended March 31, 2026 to the three months ended March 31, 2025, and industry-wide HECM endorsements were down 14%. Higher aggregate margin is predominantly driven by more tightening in yield spreads in the three months ended March 31, 2026, compared to the three months ended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Other revenue, net consists primarily of correspondent and broker fees and includes setup fees earned for loans boarded on our servicing platform. Changes in Other revenue, net for the periods presented are primarily attributed to production volume changes.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Changes in MSR valuation adjustments, net period over period are largely due to volume changes.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Operating expenses for the three months ended March 31, 2026 increased $1.7 million, or 5% compared to the three months ended December 31, 2025 primarily due to higher Consumer Direct volume driving higher Compensation and benefits expense due to higher average headcount, as well as an increase in commissions.</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Compared to the three months ended March 31, 2025, Operating expenses for the three months ended March 31, 2026 increased $12.8 million primarily due to an $8.4 million, or 68% increase in Compensation and benefits driven by $4.4 million of higher commissions on higher production volume, as well as a $3.2 million increase in salaries and benefits expense due to a 25% increase in average headcount. In addition, Origination expense increased $2.2 million primarily due to higher production volume. Other operating expenses also increased $2.2 million primarily driven by higher production volume and a $1.3 million increase in corporate overhead allocations driven by higher support costs to support higher production volume.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Interest income consists primarily of interest earned on newly-originated and purchased loans during the pipeline period prior to securitization or sale to investors. Interest expense is incurred to finance the mortgage loans during the same pipeline period, which is generally approximately 20 days. We finance mortgage loans with repurchase and participation agreements, commonly referred to as warehouse lines generally indexed on short-term rates like SOFR. Our net interest margin is driven by the difference between the average mortgage note rate and the average warehouse line cost of funds, the average balance of loans and by the average number of days loans remain in the pipeline. The improvement in our net interest margin, periods-over-periods is attributable to the reduction of short-term interest rates relative to mortgage rates and the increase in the average pipeline loan balance.</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includes expenses of corporate support services and activities that are not directly related to other reportable segments.</w:t>
      </w:r>
    </w:p>
    <w:p>
      <w:pPr>
        <w:spacing w:after="0" w:line="115" w:lineRule="exact"/>
        <w:rPr>
          <w:sz w:val="20"/>
          <w:szCs w:val="20"/>
          <w:color w:val="auto"/>
        </w:rPr>
      </w:pPr>
    </w:p>
    <w:p>
      <w:pPr>
        <w:ind w:left="320" w:right="40" w:hanging="317"/>
        <w:spacing w:after="0" w:line="270" w:lineRule="auto"/>
        <w:tabs>
          <w:tab w:leader="none" w:pos="31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on corporate debt is allocated to the Servicing segment and the Originations segment based on relative financing requirements. The financing requirements of the Servicing and Originations segments reflects and is consistent with the financing needs of the licensed subsidiaries (OMC and PAS) that carry out these businesses. Interest expense on the unallocated portion of the $700.0 million 9.875% Senior Notes Due 2029 is retained in Corporate.</w:t>
      </w:r>
    </w:p>
    <w:p>
      <w:pPr>
        <w:spacing w:after="0" w:line="63" w:lineRule="exact"/>
        <w:rPr>
          <w:rFonts w:ascii="Times New Roman" w:cs="Times New Roman" w:eastAsia="Times New Roman" w:hAnsi="Times New Roman"/>
          <w:sz w:val="17"/>
          <w:szCs w:val="17"/>
          <w:color w:val="auto"/>
        </w:rPr>
      </w:pPr>
    </w:p>
    <w:p>
      <w:pPr>
        <w:ind w:left="320" w:right="580" w:hanging="317"/>
        <w:spacing w:after="0" w:line="288" w:lineRule="auto"/>
        <w:tabs>
          <w:tab w:leader="none" w:pos="31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expenses incurred by corporate support services, such as technology, legal, risk and compliance, and finance are allocated to the Servicing and Originations segments using various methodologies intended to approximate the utilization of such services.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results of operations of Corporate: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21.9</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0"/>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14.7</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15.9</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color w:val="auto"/>
              </w:rPr>
              <w:t>Total operating expenses before corporate overhead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allocations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segment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Originations segment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3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Operating expenses before corporate overhead allocations declined by $11.9 million, or 23%, for the three months ended March 31, 2026 compared to the three months ended December 31, 2025, primarily driven by a $7.8 million decline in Professional services and a $2.7 million decline in Compensation and benefits. The decline in Professional services is mostly due to a decrease in legal expenses, primarily attributed to our accrual for probable losses in connection with settlement of a legacy litigation matter in the fourth quarter of 2025, and a decrease in other professional fees mostly driven by tax services and certain corporate development initiatives in the fourth quarter of 2025. The decline in Compensation and benefits is mostly due to decreased incentive compensation, primarily driven by a decrease in the fair value of cash-settled share-based awards during the three months ended March 31, 2026 (14% decrease in our stock price vs. a 15% increase in the comparative period).</w:t>
      </w:r>
    </w:p>
    <w:p>
      <w:pPr>
        <w:spacing w:after="0" w:line="7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Operating expenses before corporate overhead allocations declined by $4.5 million, or 10%, for the three months ended March 31, 2026 compared to the three months ended March 31, 2025, with lower Professional services partly offset by higher Compensation and benefits. Professional services decreased $9.0 million mostly driven by a $9.3 million decrease in legal expenses, primarily attributed to the increase in our accrual for probable losses in the first quarter of 2025 in connection with the settlement of a legacy litigation matter. Compensation and benefits increased $3.8 million mostly due to higher salaries and benefits expense due to an increase in average headcount (mostly in the U.S.).</w:t>
      </w:r>
    </w:p>
    <w:p>
      <w:pPr>
        <w:spacing w:after="0" w:line="70"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Corporate overhead allocations to the segments for the three months ended March 31, 2026 increased $3.6 million as compared to the three months ended March 31, 2025 primarily driven by higher support expenses for our growth initiatives and production volume.</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are actively engaged with existing and potential lenders and as a result add, terminate, replace or extend our debt agreements to the extent necessary to finance our operations and growth and optimize our financing costs. In addition, we completed the following key transactions during the three months ended March 31, 2026 impacting our liquidity:</w:t>
      </w:r>
    </w:p>
    <w:p>
      <w:pPr>
        <w:spacing w:after="0" w:line="64" w:lineRule="exact"/>
        <w:rPr>
          <w:sz w:val="20"/>
          <w:szCs w:val="20"/>
          <w:color w:val="auto"/>
        </w:rPr>
      </w:pPr>
    </w:p>
    <w:p>
      <w:pPr>
        <w:ind w:left="620" w:right="20" w:hanging="307"/>
        <w:spacing w:after="0" w:line="270" w:lineRule="auto"/>
        <w:tabs>
          <w:tab w:leader="none" w:pos="61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total borrowing capacity under our existing mortgage warehouse facilities by $910.6 million to support increased originations. Also, in April 2026, we temporarily increased the borrowing capacity under one of our existing warehouse facilities from $200.0 million to $400.0 million through July 31, 2026.</w:t>
      </w:r>
    </w:p>
    <w:p>
      <w:pPr>
        <w:spacing w:after="0" w:line="12" w:lineRule="exact"/>
        <w:rPr>
          <w:rFonts w:ascii="Times New Roman" w:cs="Times New Roman" w:eastAsia="Times New Roman" w:hAnsi="Times New Roman"/>
          <w:sz w:val="17"/>
          <w:szCs w:val="17"/>
          <w:color w:val="auto"/>
        </w:rPr>
      </w:pPr>
    </w:p>
    <w:p>
      <w:pPr>
        <w:ind w:left="620" w:right="40" w:hanging="307"/>
        <w:spacing w:after="0" w:line="285" w:lineRule="auto"/>
        <w:tabs>
          <w:tab w:leader="none" w:pos="61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the borrowing capacity under our Ginnie Mae MSR facility from $400.0 million to $450.0 million. Also, in April 2026, the borrowing capacity was further increased from $450.0 million to $500.0 million.</w:t>
      </w:r>
    </w:p>
    <w:p>
      <w:pPr>
        <w:ind w:left="620" w:hanging="307"/>
        <w:spacing w:after="0" w:line="260" w:lineRule="auto"/>
        <w:tabs>
          <w:tab w:leader="none" w:pos="61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30, 2026, PHH Corporation issued $200.0 million aggregate principal amount of 9.875% Senior Notes Due 2029. The Senior Notes were offered as an additional issuance of 9.875% Senior Notes Due 2029 and form a single series of debt securities with the $500.0 million aggregate principal amount of such notes that were originally issued on November 6, 2024. We opportunistically executed the debt offering to expand and strengthen our capital structure at attractive terms. We believe the transaction will provide greater financial flexibility to manage our leverage and invest in the growth of our business. The net proceeds from the offering will be used for general corporate purposes, including the repayment of MSR indebtedness and to support originations growth.</w:t>
      </w:r>
    </w:p>
    <w:p>
      <w:pPr>
        <w:spacing w:after="0" w:line="21" w:lineRule="exact"/>
        <w:rPr>
          <w:rFonts w:ascii="Times New Roman" w:cs="Times New Roman" w:eastAsia="Times New Roman" w:hAnsi="Times New Roman"/>
          <w:sz w:val="17"/>
          <w:szCs w:val="17"/>
          <w:color w:val="auto"/>
        </w:rPr>
      </w:pPr>
    </w:p>
    <w:p>
      <w:pPr>
        <w:ind w:left="620" w:right="180" w:hanging="307"/>
        <w:spacing w:after="0" w:line="270" w:lineRule="auto"/>
        <w:tabs>
          <w:tab w:leader="none" w:pos="61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a private placement securitization (OLIT) of HECM loans, and related receivables and REO properties, referred to as reverse mortgage buyouts. In March 2026, certain classes of asset-backed notes with an initial principal amount of $511.9 million were issued at a discount, with a stated interest rate of 3% and a three-year mandatory call date.</w:t>
      </w:r>
    </w:p>
    <w:p>
      <w:pPr>
        <w:spacing w:after="0" w:line="12" w:lineRule="exact"/>
        <w:rPr>
          <w:rFonts w:ascii="Times New Roman" w:cs="Times New Roman" w:eastAsia="Times New Roman" w:hAnsi="Times New Roman"/>
          <w:sz w:val="17"/>
          <w:szCs w:val="17"/>
          <w:color w:val="auto"/>
        </w:rPr>
      </w:pPr>
    </w:p>
    <w:p>
      <w:pPr>
        <w:ind w:left="620" w:right="40" w:hanging="307"/>
        <w:spacing w:after="0" w:line="270" w:lineRule="auto"/>
        <w:tabs>
          <w:tab w:leader="none" w:pos="61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Repurchased and cancelled $6.1 million (154,444 shares) of our common stock under a $10 million share repurchase program authorized by Onity’s Board of Directors in February 2026. Subsequent to March 31, 2026, we completed the repurchase and cancellation of an additional $3.9 million (88,309 shares) of our common stock, completing the repurchase program.</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addition to the above transactions, on April 30, 2026, OMC and FAR entered into an amendment to the parties’ November 2025 agreements for the sale of Onity’s reverse mortgage servicing portfolio and certain reverse originations assets. Under the amendment, OMC has agreed to sell reverse MSRs comprised of approximately 20,000 Ginnie Mae HECM loans with UPB of $5.1 billion as of March 31, 2026. FAR will also acquire OMC’s pipeline of reverse mortgage loans as of the transaction closing date. In addition, FAR expects to assume certain of OMC’s US-based reverse originations employees in May 2026 and additional employees in July 2026. OMC has agreed to discontinue its reverse originations business upon closing with the exception of activities relating to the recapture of existing HECM borrowers for any HECM MSRs not transferred to FAR. Based on the UPB of the HECM loans as of March 31, 2026, the gross proceeds from the transaction are estimated to be approximately $105 to $115 million, in cash reflecting pricing adjustments, including a slight discount to book value,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84" w:name="page85"/>
    <w:bookmarkEnd w:id="84"/>
    <w:p>
      <w:pPr>
        <w:ind w:right="40"/>
        <w:spacing w:after="0" w:line="265" w:lineRule="auto"/>
        <w:rPr>
          <w:sz w:val="20"/>
          <w:szCs w:val="20"/>
          <w:color w:val="auto"/>
        </w:rPr>
      </w:pPr>
      <w:r>
        <w:rPr>
          <w:rFonts w:ascii="Times New Roman" w:cs="Times New Roman" w:eastAsia="Times New Roman" w:hAnsi="Times New Roman"/>
          <w:sz w:val="17"/>
          <w:szCs w:val="17"/>
          <w:color w:val="auto"/>
        </w:rPr>
        <w:t>before transaction costs, repayment of certain warehouse financings, and related adjustments, including as a result of asset and liabilities balances as of the closing date. Following these payments and adjustments, the transaction is expected to result in net proceeds at closing of approximately $70 to $80 million. The transaction is subject to Ginnie Mae approval and customary closing conditions and is expected to close in the third quarter of 2026. Refer to Note 5 - Reverse Mortgages and Note 23 – Subsequent Events for additional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borrowing capacity under our advance facilities, mortgage warehouse facilities and MSR financing facilities is as follows (see Note 12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Borrowings to the Unaudited Consolidated Financial Statements for additional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200" w:type="dxa"/>
            <w:vAlign w:val="bottom"/>
          </w:tcPr>
          <w:p>
            <w:pPr>
              <w:spacing w:after="0"/>
              <w:rPr>
                <w:sz w:val="13"/>
                <w:szCs w:val="13"/>
                <w:color w:val="auto"/>
              </w:rPr>
            </w:pPr>
          </w:p>
        </w:tc>
        <w:tc>
          <w:tcPr>
            <w:tcW w:w="1220" w:type="dxa"/>
            <w:vAlign w:val="bottom"/>
          </w:tcPr>
          <w:p>
            <w:pPr>
              <w:jc w:val="center"/>
              <w:ind w:right="94"/>
              <w:spacing w:after="0" w:line="161"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200" w:type="dxa"/>
            <w:vAlign w:val="bottom"/>
          </w:tcPr>
          <w:p>
            <w:pPr>
              <w:spacing w:after="0"/>
              <w:rPr>
                <w:sz w:val="13"/>
                <w:szCs w:val="13"/>
                <w:color w:val="auto"/>
              </w:rPr>
            </w:pPr>
          </w:p>
        </w:tc>
        <w:tc>
          <w:tcPr>
            <w:tcW w:w="1240" w:type="dxa"/>
            <w:vAlign w:val="bottom"/>
          </w:tcPr>
          <w:p>
            <w:pPr>
              <w:jc w:val="center"/>
              <w:ind w:right="116"/>
              <w:spacing w:after="0" w:line="161"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Total Borrowing</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3"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100" w:type="dxa"/>
            <w:vAlign w:val="bottom"/>
          </w:tcPr>
          <w:p>
            <w:pPr>
              <w:spacing w:after="0"/>
              <w:rPr>
                <w:sz w:val="15"/>
                <w:szCs w:val="15"/>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Total Borrowing</w:t>
            </w:r>
          </w:p>
        </w:tc>
        <w:tc>
          <w:tcPr>
            <w:tcW w:w="140" w:type="dxa"/>
            <w:vAlign w:val="bottom"/>
          </w:tcPr>
          <w:p>
            <w:pPr>
              <w:spacing w:after="0"/>
              <w:rPr>
                <w:sz w:val="15"/>
                <w:szCs w:val="15"/>
                <w:color w:val="auto"/>
              </w:rPr>
            </w:pPr>
          </w:p>
        </w:tc>
        <w:tc>
          <w:tcPr>
            <w:tcW w:w="138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200" w:type="dxa"/>
            <w:vAlign w:val="bottom"/>
          </w:tcPr>
          <w:p>
            <w:pPr>
              <w:spacing w:after="0"/>
              <w:rPr>
                <w:sz w:val="15"/>
                <w:szCs w:val="15"/>
                <w:color w:val="auto"/>
              </w:rPr>
            </w:pPr>
          </w:p>
        </w:tc>
        <w:tc>
          <w:tcPr>
            <w:tcW w:w="1240" w:type="dxa"/>
            <w:vAlign w:val="bottom"/>
          </w:tcPr>
          <w:p>
            <w:pPr>
              <w:jc w:val="center"/>
              <w:ind w:right="116"/>
              <w:spacing w:after="0" w:line="173"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00" w:type="dxa"/>
            <w:vAlign w:val="bottom"/>
          </w:tcPr>
          <w:p>
            <w:pPr>
              <w:spacing w:after="0"/>
              <w:rPr>
                <w:sz w:val="15"/>
                <w:szCs w:val="15"/>
                <w:color w:val="auto"/>
              </w:rPr>
            </w:pPr>
          </w:p>
        </w:tc>
        <w:tc>
          <w:tcPr>
            <w:tcW w:w="13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00" w:type="dxa"/>
            <w:vAlign w:val="bottom"/>
          </w:tcPr>
          <w:p>
            <w:pPr>
              <w:spacing w:after="0"/>
              <w:rPr>
                <w:sz w:val="15"/>
                <w:szCs w:val="15"/>
                <w:color w:val="auto"/>
              </w:rPr>
            </w:pPr>
          </w:p>
        </w:tc>
        <w:tc>
          <w:tcPr>
            <w:tcW w:w="1240" w:type="dxa"/>
            <w:vAlign w:val="bottom"/>
          </w:tcPr>
          <w:p>
            <w:pPr>
              <w:jc w:val="center"/>
              <w:ind w:right="116"/>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0" w:type="dxa"/>
            <w:vAlign w:val="bottom"/>
          </w:tcPr>
          <w:p>
            <w:pPr>
              <w:spacing w:after="0"/>
              <w:rPr>
                <w:sz w:val="1"/>
                <w:szCs w:val="1"/>
                <w:color w:val="auto"/>
              </w:rPr>
            </w:pPr>
          </w:p>
        </w:tc>
      </w:tr>
      <w:tr>
        <w:trPr>
          <w:trHeight w:val="220"/>
        </w:trPr>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100" w:type="dxa"/>
            <w:vAlign w:val="bottom"/>
          </w:tcPr>
          <w:p>
            <w:pPr>
              <w:spacing w:after="0"/>
              <w:rPr>
                <w:sz w:val="19"/>
                <w:szCs w:val="19"/>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0" w:type="dxa"/>
            <w:vAlign w:val="bottom"/>
          </w:tcPr>
          <w:p>
            <w:pPr>
              <w:spacing w:after="0"/>
              <w:rPr>
                <w:sz w:val="1"/>
                <w:szCs w:val="1"/>
                <w:color w:val="auto"/>
              </w:rPr>
            </w:pPr>
          </w:p>
        </w:tc>
      </w:tr>
      <w:tr>
        <w:trPr>
          <w:trHeight w:val="21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508.7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814.4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458.6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20"/>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18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1,589.5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3,184.3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1,727.8</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1,520.0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1,470.0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6,429.4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913.4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1,678.0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5,468.7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862.9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1,772.6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right="160" w:hanging="317"/>
        <w:spacing w:after="0" w:line="257" w:lineRule="auto"/>
        <w:tabs>
          <w:tab w:leader="none" w:pos="3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Borrowing Capacity represents the maximum amount which can be borrowed, subject to eligible collateral. Remaining Borrowing Capacity represents Total Borrowing Capacity less outstanding borrowings, subject to eligible collateral.</w:t>
      </w:r>
    </w:p>
    <w:p>
      <w:pPr>
        <w:spacing w:after="0" w:line="67"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We may utilize borrowing capacity under our financing facilities to the extent we have sufficient eligible collateral to borrow against and otherwise satisfy the applicable conditions to funding.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2026, we had $94.7 million total available borrowing capacity based on the amount of eligible collateral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3"/>
        </w:trPr>
        <w:tc>
          <w:tcPr>
            <w:tcW w:w="64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Committed</w:t>
            </w:r>
          </w:p>
        </w:tc>
        <w:tc>
          <w:tcPr>
            <w:tcW w:w="180" w:type="dxa"/>
            <w:vAlign w:val="bottom"/>
          </w:tcPr>
          <w:p>
            <w:pPr>
              <w:spacing w:after="0"/>
              <w:rPr>
                <w:sz w:val="18"/>
                <w:szCs w:val="18"/>
                <w:color w:val="auto"/>
              </w:rPr>
            </w:pPr>
          </w:p>
        </w:tc>
        <w:tc>
          <w:tcPr>
            <w:tcW w:w="13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Uncommitted</w:t>
            </w:r>
          </w:p>
        </w:tc>
      </w:tr>
      <w:tr>
        <w:trPr>
          <w:trHeight w:val="21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06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warehouse facilities</w:t>
            </w:r>
          </w:p>
        </w:tc>
        <w:tc>
          <w:tcPr>
            <w:tcW w:w="10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r>
      <w:tr>
        <w:trPr>
          <w:trHeight w:val="213"/>
        </w:trPr>
        <w:tc>
          <w:tcPr>
            <w:tcW w:w="6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available borrowing capacity based on eligible collateral</w:t>
            </w:r>
          </w:p>
        </w:tc>
        <w:tc>
          <w:tcPr>
            <w:tcW w:w="1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w:t>
            </w:r>
          </w:p>
        </w:tc>
      </w:tr>
      <w:tr>
        <w:trPr>
          <w:trHeight w:val="20"/>
        </w:trPr>
        <w:tc>
          <w:tcPr>
            <w:tcW w:w="6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At March 31, 2026, our total liquidity of $277.2 million included $182.5 million of unrestricted cash and $94.7 million total available committed and uncommitted borrowing capacity based on the amount of eligible collateral as described above. With total liquidity of $205.0 million at December 31, 2025, the increase is mostly attributed to our issuance of an additional $200.0 million aggregate principal amount of 9.875% Senior Notes Due 2029, partly offset by our origination and investments in owned MSRs.</w:t>
      </w:r>
    </w:p>
    <w:p>
      <w:pPr>
        <w:spacing w:after="0" w:line="6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manage our liquidity on a daily basis to fund our business and comply with debt covenants and regulatory liquidity requirements. Our liquidity position may vary significantly during a given month, generally with the lowest liquidity amount around mid-month due to the cash flow remittance requirements under our servicing agreements and the highest around or a few days after month end as we collect monthly payments from borrowers.</w:t>
      </w:r>
    </w:p>
    <w:p>
      <w:pPr>
        <w:spacing w:after="0" w:line="6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liquidity peaks and troughs, stressed market interest rate conditions and operational risk.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operating costs and corporate expenses;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servicing advances in excess of collections including advances and draws related to reverse mortgage assets (see below);</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MSRs (purchased and originated) and other related asset acquisitions;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purchased and repurchased loans, including reverse mortgage buyouts;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5" w:name="page86"/>
    <w:bookmarkEnd w:id="85"/>
    <w:p>
      <w:pPr>
        <w:ind w:left="620" w:hanging="307"/>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margin calls under our MSR financing facilities and derivative instruments;</w:t>
      </w:r>
    </w:p>
    <w:p>
      <w:pPr>
        <w:spacing w:after="0" w:line="27" w:lineRule="exact"/>
        <w:rPr>
          <w:rFonts w:ascii="Times New Roman" w:cs="Times New Roman" w:eastAsia="Times New Roman" w:hAnsi="Times New Roman"/>
          <w:sz w:val="17"/>
          <w:szCs w:val="17"/>
          <w:color w:val="auto"/>
        </w:rPr>
      </w:pPr>
    </w:p>
    <w:p>
      <w:pPr>
        <w:ind w:left="620" w:right="120" w:hanging="307"/>
        <w:spacing w:after="0" w:line="253" w:lineRule="auto"/>
        <w:tabs>
          <w:tab w:leader="none" w:pos="61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and repayments of borrowings, including under our MSR financing, advance financing, warehouse facilities and OLIT securitization notes, and payment of interest expense including on the Senior Notes Due 2029;</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payments on Series B Preferred Stock;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negative working capital and other general corporate cash outflows.</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short-term commitments to lend $2.7 billion in connection with our forward and reverse mortgage loan IRLCs outstanding at March 31, 2026. In addition, we have originated floating-rate reverse mortgage loans under which the borrowers have additional borrowing capacity of $2.9 billion at March 31, 2026. During the three months ended March 31, 2026, we funded $74.0 million of the $2.9 billion borrowing capacity available as of December 31, 2025. We are able to immediately securitize these borrower draws or advances under the Ginnie Mae program. As an HMBS issuer, we are required to repurchase loans out of the Ginnie Mae securitization pools once the outstanding principal balance of the loan is equal to or greater than 98% of the maximum claim amount (MCA repurchases). See Note 21 — Commitments for additional information. We carry these repurchases until reimbursement by HUD and/or property liquidation if inactive. Our reverse subservicing clients bear the financial obligation and risks associated with purchasing loans out of securitization pools within the portfolio we subservice. Our financing commitments related to reverse loans will be assigned to FAR upon closing of our amended sale transaction, subject to Ginnie Mae approval and customary closing conditions; see Note 5 - Reverse Mortgages and Note 23 – Subsequent Events for additional information.</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Regarding the current maturities of our borrowings, as of March 31, 2026, we have approximately $2.9 billion of debt outstanding that would either come due, begin amortizing or require partial repayment in the next 12 months. This amount is primarily comprised of $1.7 billion of borrowings under warehouse facilities and $1.1 billion of borrowings under MSR financing facilities.</w:t>
      </w:r>
    </w:p>
    <w:p>
      <w:pPr>
        <w:spacing w:after="0" w:line="6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With respect to liquidity management, we consider our servicing advance requirements during each investor remittance period and the uncertainties of daily margin calls on our collateralized debt facilities and derivative instruments due to interest rate fluctuations.</w:t>
      </w:r>
    </w:p>
    <w:p>
      <w:pPr>
        <w:spacing w:after="0" w:line="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As disclosed in Note 8 — MSR Related Financing Liabilities, at Fair Value, on October 31, 2025, we were notified by Rithm of its intent not to renew its subservicing agreements effective January 31, 2026 with transfers to Rithm’s own servicing platform beginning on March 1, 2026. The float amount associated with the advance collections and servicing fees of the servicing portfolio will be repaid to Rithm in cash based on the amount due upon transfer. Also refer to Note 13 – Other Liabilities (Due to Rithm - Advance collections and servicing fees). Based on quarter-end liquidity and ongoing business cash flows, we expect to meet the Rithm payable when due while maintaining adequate cash resources.</w:t>
      </w:r>
    </w:p>
    <w:p>
      <w:pPr>
        <w:spacing w:after="0" w:line="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As servicer, we are generally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certain servicing advances. Refer to Note 21 — Commitments for further description of our servicer advance obligations.</w:t>
      </w:r>
    </w:p>
    <w:p>
      <w:pPr>
        <w:spacing w:after="0" w:line="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are generally subject to daily margining requirements under the terms of our MSR financing facilities and daily cash calls for our TBAs, interest rate futures or other derivatives. While the objective of our hedging strategy is to reduce volatility due to interest rates, it is also designed to address cash and liquidity considerations. Refer to the sensitivity analysis in Item 3. Quantitative and Qualitative Disclosures About Market Risk.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medium- and long-term requirements for cash include:</w:t>
      </w:r>
    </w:p>
    <w:p>
      <w:pPr>
        <w:spacing w:after="0" w:line="35" w:lineRule="exact"/>
        <w:rPr>
          <w:sz w:val="20"/>
          <w:szCs w:val="20"/>
          <w:color w:val="auto"/>
        </w:rPr>
      </w:pPr>
    </w:p>
    <w:p>
      <w:pPr>
        <w:ind w:left="620" w:hanging="30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Senior Notes Due 2029</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p>
      <w:pPr>
        <w:ind w:left="620" w:hanging="30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OLIT securitization note issuances that have a three-year mandatory call date;</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associated with the confirmation of loss contingencies;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payments required under contractual obligations discussed above that extend beyond one year.</w:t>
      </w:r>
    </w:p>
    <w:p>
      <w:pPr>
        <w:spacing w:after="0" w:line="32" w:lineRule="exact"/>
        <w:rPr>
          <w:rFonts w:ascii="Times New Roman" w:cs="Times New Roman" w:eastAsia="Times New Roman" w:hAnsi="Times New Roman"/>
          <w:sz w:val="17"/>
          <w:szCs w:val="17"/>
          <w:color w:val="auto"/>
        </w:rPr>
      </w:pPr>
    </w:p>
    <w:p>
      <w:pPr>
        <w:ind w:left="540" w:hanging="149"/>
        <w:spacing w:after="0"/>
        <w:tabs>
          <w:tab w:leader="none" w:pos="540" w:val="left"/>
        </w:tabs>
        <w:numPr>
          <w:ilvl w:val="1"/>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Supplemental information required pursuant to the Indenture governing the Onity Senior Notes Due 2029 disclosed in Exhibit 99.1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-20320</wp:posOffset>
            </wp:positionV>
            <wp:extent cx="247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sources of funds for near-term liquidity in the normal course include:</w:t>
      </w:r>
    </w:p>
    <w:p>
      <w:pPr>
        <w:spacing w:after="0" w:line="115" w:lineRule="exact"/>
        <w:rPr>
          <w:sz w:val="20"/>
          <w:szCs w:val="20"/>
          <w:color w:val="auto"/>
        </w:rPr>
      </w:pPr>
    </w:p>
    <w:p>
      <w:pPr>
        <w:ind w:left="620" w:hanging="307"/>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servicing and subservicing fees and ancillary revenues;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6" w:name="page87"/>
    <w:bookmarkEnd w:id="86"/>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advances in excess of new advances;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match funded advance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other borrowings, including warehouse facilities, MSR financing facilities, MSR transfers and ESS financing;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sales and securitizations of originated loans and purchased loans;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positive working capital from changes in other assets and liabilities.</w:t>
      </w:r>
    </w:p>
    <w:p>
      <w:pPr>
        <w:spacing w:after="0" w:line="98"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generally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w:t>
      </w: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also rely on the secondary mortgage market as a source of liquidity to support our lending operations. Substantially all of the mortgage loans that we originate or purchase are sold or securitized in the secondary mortgage market in the form of residential mortgage-backed securities guaranteed by Fannie Mae or Freddie Mac and, in the case of mortgage-backed securities guaranteed by Ginnie Mae, are mortgage loans insured or guaranteed by the FHA, VA or USDA. We issued private placement securitizations to finance reverse mortgage buyouts, expanding our access to capital markets and reducing our reliance on warehouse financing facilities.</w:t>
      </w:r>
    </w:p>
    <w:p>
      <w:pPr>
        <w:spacing w:after="0" w:line="7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We regularly evaluate financing structure options including asset-backed financing to support our investment plans and accommodate our business needs. We strive to diversify our sources of funds, optimize maturities and reduce our funding cost. We continuously evaluate the allocation of our capital to MSR and other investments, the related returns, funding and liquidity requirements.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Capital Adequacy and Leverage</w:t>
      </w:r>
    </w:p>
    <w:p>
      <w:pPr>
        <w:spacing w:after="0" w:line="119"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Our licensed entities are subject to capital requirements by different agencies and regulators, including but not limited to the GSEs, Ginnie Mae and HUD. We believe our licensed entities are adequately capitalized at March 31, 2026 as reflected by the most restrictive regulatory requirements disclosed in Note 20 – Regulatory Requirements.</w:t>
      </w:r>
    </w:p>
    <w:p>
      <w:pPr>
        <w:spacing w:after="0" w:line="6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Our stockholders’ equity ($629 million at March 31, 2026) relative to total assets denotes a high leverage ratio. Our regulators assess our leverage ratio by deducting from total assets the amount of securitized reverse mortgage loans (HECM loans) pledged to HMBS due to the “lack of true sale accounting treatment of the HMBS Program” as per the Ginnie Mae guide. As of March 31, 2026, as illustrated below, out of $17.7 billion total assets, $9.4 billion securitized HECM loans remain reported on our balance sheet with the associated HMBS liability as they do not meet sale accounting treatment under GAAP.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Balance Sheet</w:t>
            </w: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HECM loans held for sale pooled into HMBS, at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9,596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9,808</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8,139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6,363</w:t>
            </w:r>
          </w:p>
        </w:tc>
      </w:tr>
      <w:tr>
        <w:trPr>
          <w:trHeight w:val="238"/>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17,735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16,171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Equity Conversion Mortgage-Backed Securities (HMBS) related borrowings,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9,612</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5,881</w:t>
            </w:r>
          </w:p>
        </w:tc>
      </w:tr>
      <w:tr>
        <w:trPr>
          <w:trHeight w:val="213"/>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17,056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15,493</w:t>
            </w:r>
          </w:p>
        </w:tc>
      </w:tr>
      <w:tr>
        <w:trPr>
          <w:trHeight w:val="187"/>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0"/>
        </w:trPr>
        <w:tc>
          <w:tcPr>
            <w:tcW w:w="81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Mezzanine equity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628</w:t>
            </w:r>
          </w:p>
        </w:tc>
      </w:tr>
      <w:tr>
        <w:trPr>
          <w:trHeight w:val="90"/>
        </w:trPr>
        <w:tc>
          <w:tcPr>
            <w:tcW w:w="8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bl>
    <w:p>
      <w:pPr>
        <w:spacing w:after="0" w:line="182" w:lineRule="exact"/>
        <w:rPr>
          <w:sz w:val="20"/>
          <w:szCs w:val="20"/>
          <w:color w:val="auto"/>
        </w:rPr>
      </w:pPr>
    </w:p>
    <w:p>
      <w:pPr>
        <w:ind w:left="320" w:right="40" w:hanging="317"/>
        <w:spacing w:after="0" w:line="246" w:lineRule="auto"/>
        <w:tabs>
          <w:tab w:leader="none" w:pos="3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B Preferred Stock is classified as mezzanine equity as it is contingently redeemable in the event of a change of control. On and after September 15, 2028, Onity will have the right to redeem the Series B Preferred Stock, in whole or in part, for cash at a redemption price equal to the liquidation preference plus an amount equal to any accumulated and unpaid dividends thereon.</w:t>
      </w:r>
    </w:p>
    <w:p>
      <w:pPr>
        <w:spacing w:after="0" w:line="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conduct our Servicing and Originations businesses with asset-backed financing at market-standard effective advance rates, resulting in a relatively low amount of capital to finance our operations, consistent with these asset classes in the industry. Originations/pipeline mortgage loans held for sale are financed by our warehouse financing lines with an advance rate generally exceeding 95%, eligible servicing advances are financed by our match-funded advance financing facilities with an advance rate of approximately 90%, and reverse buyouts (loans held for sale, receivables and REO) are financed by OLIT securitization notes with an initial effective advance rate exceeding 90% of market value.</w:t>
      </w:r>
    </w:p>
    <w:p>
      <w:pPr>
        <w:spacing w:after="0" w:line="70"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Accordingly, we assess our capital needs, structure and leverage predominantly with respect to our capital investments, mainly our owned MSR. We prudently manage amount, risks and returns of our owned MSR within the limits of our available capital, as summarized below:</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Capital Investment Allocation and Structure</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Collateralized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14"/>
                <w:szCs w:val="14"/>
                <w:color w:val="auto"/>
              </w:rPr>
            </w:pPr>
          </w:p>
        </w:tc>
        <w:tc>
          <w:tcPr>
            <w:tcW w:w="14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Financing /</w:t>
            </w:r>
          </w:p>
        </w:tc>
        <w:tc>
          <w:tcPr>
            <w:tcW w:w="360" w:type="dxa"/>
            <w:vAlign w:val="bottom"/>
          </w:tcPr>
          <w:p>
            <w:pPr>
              <w:spacing w:after="0"/>
              <w:rPr>
                <w:sz w:val="14"/>
                <w:szCs w:val="14"/>
                <w:color w:val="auto"/>
              </w:rPr>
            </w:pPr>
          </w:p>
        </w:tc>
        <w:tc>
          <w:tcPr>
            <w:tcW w:w="11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23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At March 31, 2026</w:t>
            </w:r>
          </w:p>
        </w:tc>
        <w:tc>
          <w:tcPr>
            <w:tcW w:w="3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line="232" w:lineRule="exact"/>
              <w:rPr>
                <w:sz w:val="20"/>
                <w:szCs w:val="20"/>
                <w:color w:val="auto"/>
              </w:rPr>
            </w:pPr>
            <w:r>
              <w:rPr>
                <w:rFonts w:ascii="Times New Roman" w:cs="Times New Roman" w:eastAsia="Times New Roman" w:hAnsi="Times New Roman"/>
                <w:sz w:val="17"/>
                <w:szCs w:val="17"/>
                <w:b w:val="1"/>
                <w:bCs w:val="1"/>
                <w:color w:val="auto"/>
                <w:w w:val="95"/>
              </w:rPr>
              <w:t xml:space="preserve">Liabilities </w:t>
            </w:r>
            <w:r>
              <w:rPr>
                <w:rFonts w:ascii="Times New Roman" w:cs="Times New Roman" w:eastAsia="Times New Roman" w:hAnsi="Times New Roman"/>
                <w:sz w:val="22"/>
                <w:szCs w:val="22"/>
                <w:b w:val="1"/>
                <w:bCs w:val="1"/>
                <w:color w:val="auto"/>
                <w:w w:val="95"/>
                <w:vertAlign w:val="superscript"/>
              </w:rPr>
              <w:t>(1)</w:t>
            </w:r>
          </w:p>
        </w:tc>
        <w:tc>
          <w:tcPr>
            <w:tcW w:w="3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80" w:type="dxa"/>
            <w:vAlign w:val="bottom"/>
            <w:tcBorders>
              <w:top w:val="single" w:sz="8" w:color="CCEEFF"/>
              <w:left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MSR, at fair value </w:t>
            </w:r>
            <w:r>
              <w:rPr>
                <w:rFonts w:ascii="Times New Roman" w:cs="Times New Roman" w:eastAsia="Times New Roman" w:hAnsi="Times New Roman"/>
                <w:sz w:val="22"/>
                <w:szCs w:val="22"/>
                <w:color w:val="auto"/>
                <w:vertAlign w:val="superscript"/>
              </w:rPr>
              <w:t>(1)</w:t>
            </w: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899</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HECM loans held for sale pooled into HMBS, at fair value </w:t>
            </w:r>
            <w:r>
              <w:rPr>
                <w:rFonts w:ascii="Times New Roman" w:cs="Times New Roman" w:eastAsia="Times New Roman" w:hAnsi="Times New Roman"/>
                <w:sz w:val="22"/>
                <w:szCs w:val="22"/>
                <w:color w:val="auto"/>
                <w:vertAlign w:val="superscript"/>
              </w:rPr>
              <w:t>(1)(2)</w:t>
            </w:r>
          </w:p>
        </w:tc>
        <w:tc>
          <w:tcPr>
            <w:tcW w:w="3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6480" w:type="dxa"/>
            <w:vAlign w:val="bottom"/>
            <w:tcBorders>
              <w:left w:val="single" w:sz="8" w:color="CCEEFF"/>
            </w:tcBorders>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assets pledged to collateralized financing facilities </w:t>
            </w:r>
            <w:r>
              <w:rPr>
                <w:rFonts w:ascii="Times New Roman" w:cs="Times New Roman" w:eastAsia="Times New Roman" w:hAnsi="Times New Roman"/>
                <w:sz w:val="22"/>
                <w:szCs w:val="22"/>
                <w:color w:val="auto"/>
                <w:vertAlign w:val="superscript"/>
              </w:rPr>
              <w:t>(1)(3)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0"/>
        </w:trPr>
        <w:tc>
          <w:tcPr>
            <w:tcW w:w="6480" w:type="dxa"/>
            <w:vAlign w:val="bottom"/>
            <w:tcBorders>
              <w:bottom w:val="single" w:sz="8" w:color="CCEEFF"/>
            </w:tcBorders>
            <w:gridSpan w:val="2"/>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Other</w:t>
            </w:r>
            <w:r>
              <w:rPr>
                <w:rFonts w:ascii="Times New Roman" w:cs="Times New Roman" w:eastAsia="Times New Roman" w:hAnsi="Times New Roman"/>
                <w:sz w:val="10"/>
                <w:szCs w:val="10"/>
                <w:color w:val="auto"/>
              </w:rPr>
              <w:t xml:space="preserve"> (1)(4)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1,095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38"/>
        </w:trPr>
        <w:tc>
          <w:tcPr>
            <w:tcW w:w="648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17,735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16,363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1,372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480" w:type="dxa"/>
            <w:vAlign w:val="bottom"/>
            <w:tcBorders>
              <w:left w:val="single" w:sz="8" w:color="CCEEFF"/>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i w:val="1"/>
                <w:iCs w:val="1"/>
                <w:color w:val="auto"/>
              </w:rPr>
              <w:t>Equity and debt capital structure:</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340" w:type="dxa"/>
            <w:vAlign w:val="bottom"/>
            <w:tcBorders>
              <w:left w:val="single" w:sz="8" w:color="CCEEFF"/>
            </w:tcBorders>
            <w:shd w:val="clear" w:color="auto" w:fill="000000"/>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debt - Senior Notes Due 2029</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20"/>
        </w:trPr>
        <w:tc>
          <w:tcPr>
            <w:tcW w:w="64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Mezzanine equity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Stockholders’ common equity</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38"/>
        </w:trPr>
        <w:tc>
          <w:tcPr>
            <w:tcW w:w="648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1,372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See Note 12 – Borrowings, Collateral table.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8" w:name="page89"/>
    <w:bookmarkEnd w:id="88"/>
    <w:p>
      <w:pPr>
        <w:ind w:left="320" w:right="100" w:hanging="317"/>
        <w:spacing w:after="0" w:line="231" w:lineRule="auto"/>
        <w:tabs>
          <w:tab w:leader="none" w:pos="3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$63 million unsecuritized HECM loans and tails, $29 million associated warehouse mortgage loan financing ($34 million net), and $96 million of HECM net asset value or economic reverse MSR. On April 30, 2026, we entered into an amended agreement with FAR to sell reverse MSRs with a UPB of $5.1 billion, pending Ginnie Mae’s approval (refer to Note 5 - Reverse Mortgages and Note 23 – Subsequent Events).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assets include Advances, net, Loans held for sale, at fair value, Ginnie Mae claim receivables, net, REO and Debt service accounts (a component of Restricted cash).</w:t>
      </w:r>
    </w:p>
    <w:p>
      <w:pPr>
        <w:spacing w:after="0" w:line="19" w:lineRule="exact"/>
        <w:rPr>
          <w:rFonts w:ascii="Times New Roman" w:cs="Times New Roman" w:eastAsia="Times New Roman" w:hAnsi="Times New Roman"/>
          <w:sz w:val="14"/>
          <w:szCs w:val="14"/>
          <w:color w:val="auto"/>
        </w:rPr>
      </w:pPr>
    </w:p>
    <w:p>
      <w:pPr>
        <w:ind w:left="320" w:right="40" w:hanging="317"/>
        <w:spacing w:after="0" w:line="231" w:lineRule="auto"/>
        <w:tabs>
          <w:tab w:leader="none" w:pos="3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are not subject/pledged to collateralized financing facilities and liabilities that are not financing facilities. Assets include Cash and cash equivalents, Other restricted cash, Contingent loan repurchase asset, Other assets excluding REO, Premises and equipment, and Receivables, net excluding Ginnie Mae claims. Liabilities include Other liabilities and Contingent loan repurchase liability.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to the Unaudited Consolidated Financial Statements for additional information regarding our covenants.</w:t>
      </w:r>
    </w:p>
    <w:p>
      <w:pPr>
        <w:spacing w:after="0" w:line="2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most restrictive liquidity requirement under our debt agreements is for a minimum of $86.2 million in consolidated liquidity, as defined, under certain of our warehouse and MSR financing facilities agreements. The most restrictive consolidated net worth requirement contained in our debt agreements with borrowings outstanding at March 31, 2026, is a minimum of $275.0 million and $125.0 million tangible net worth for Onity and OMC, respectively. Refer to Note 20 – Regulatory Requirements for our regulatory capital and liquidity requirements. We are also subject to minimum capital or tangible net worth and liquidity requirements under regulatory or Agency requirements, including a risk-based capital ratio requirement for Ginnie Mae issuers. OMC is required to maintain a minimum of 6% ratio of Adjusted Net Worth less Excess MSRs, as defined, to risk weighted assets. In the second quarter of 2025, in order to achieve and maintain compliance with the Ginnie Mae RBCR requirements, we transferred certain GSE MSR investment activities previously conducted by OMC to PAS, a wholly owned subsidiary of PHH Corporation, with OMC retaining the subservicing.</w:t>
      </w:r>
    </w:p>
    <w:p>
      <w:pPr>
        <w:spacing w:after="0" w:line="7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w:t>
      </w:r>
    </w:p>
    <w:p>
      <w:pPr>
        <w:spacing w:after="0" w:line="280" w:lineRule="exact"/>
        <w:rPr>
          <w:sz w:val="20"/>
          <w:szCs w:val="20"/>
          <w:color w:val="auto"/>
        </w:rPr>
      </w:pPr>
    </w:p>
    <w:p>
      <w:pPr>
        <w:ind w:right="1420"/>
        <w:spacing w:after="0" w:line="380" w:lineRule="auto"/>
        <w:rPr>
          <w:sz w:val="20"/>
          <w:szCs w:val="20"/>
          <w:color w:val="auto"/>
        </w:rPr>
      </w:pPr>
      <w:r>
        <w:rPr>
          <w:rFonts w:ascii="Times New Roman" w:cs="Times New Roman" w:eastAsia="Times New Roman" w:hAnsi="Times New Roman"/>
          <w:sz w:val="17"/>
          <w:szCs w:val="17"/>
          <w:color w:val="auto"/>
        </w:rPr>
        <w:t xml:space="preserve">We believe that we are in compliance with the covenants in our debt agreements and associated regulatory requirements as of March 31, 2026. </w:t>
      </w:r>
      <w:r>
        <w:rPr>
          <w:rFonts w:ascii="Times New Roman" w:cs="Times New Roman" w:eastAsia="Times New Roman" w:hAnsi="Times New Roman"/>
          <w:sz w:val="17"/>
          <w:szCs w:val="17"/>
          <w:b w:val="1"/>
          <w:bCs w:val="1"/>
          <w:color w:val="auto"/>
        </w:rPr>
        <w:t>Credit Ratings</w:t>
      </w:r>
    </w:p>
    <w:p>
      <w:pPr>
        <w:spacing w:after="0" w:line="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7"/>
                <w:szCs w:val="17"/>
                <w:b w:val="1"/>
                <w:bCs w:val="1"/>
                <w:color w:val="auto"/>
              </w:rPr>
              <w:t>Rating Agency</w:t>
            </w:r>
          </w:p>
        </w:tc>
        <w:tc>
          <w:tcPr>
            <w:tcW w:w="1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Rated Entity</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Long-term Corporate</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Review Status / Outlook</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 last action</w:t>
            </w:r>
          </w:p>
        </w:tc>
        <w:tc>
          <w:tcPr>
            <w:tcW w:w="0" w:type="dxa"/>
            <w:vAlign w:val="bottom"/>
          </w:tcPr>
          <w:p>
            <w:pPr>
              <w:spacing w:after="0"/>
              <w:rPr>
                <w:sz w:val="1"/>
                <w:szCs w:val="1"/>
                <w:color w:val="auto"/>
              </w:rPr>
            </w:pPr>
          </w:p>
        </w:tc>
      </w:tr>
      <w:tr>
        <w:trPr>
          <w:trHeight w:val="233"/>
        </w:trPr>
        <w:tc>
          <w:tcPr>
            <w:tcW w:w="350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Rating</w:t>
            </w:r>
          </w:p>
        </w:tc>
        <w:tc>
          <w:tcPr>
            <w:tcW w:w="1980" w:type="dxa"/>
            <w:vAlign w:val="bottom"/>
            <w:gridSpan w:val="2"/>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Fitch</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Onity</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13, 2026</w:t>
            </w:r>
          </w:p>
        </w:tc>
        <w:tc>
          <w:tcPr>
            <w:tcW w:w="0" w:type="dxa"/>
            <w:vAlign w:val="bottom"/>
          </w:tcPr>
          <w:p>
            <w:pPr>
              <w:spacing w:after="0"/>
              <w:rPr>
                <w:sz w:val="1"/>
                <w:szCs w:val="1"/>
                <w:color w:val="auto"/>
              </w:rPr>
            </w:pPr>
          </w:p>
        </w:tc>
      </w:tr>
      <w:tr>
        <w:trPr>
          <w:trHeight w:val="22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Moody’s</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Onity</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B3</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 2025</w:t>
            </w: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Onity</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B-</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21, 2024</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On April 13, 2026, Fitch assigned a B- rating to the PHH Corporation Senior Notes Due 2029. Fitch also assigned the B- rating of Onity with a Stable Outlook. The Stable Outlook reflects Fitch’s expectations that Onity will maintain leverage and profitability metrics consistent with the current rating category, supported by a solid U.S. mortgage servicing franchise,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9" w:name="page90"/>
    <w:bookmarkEnd w:id="89"/>
    <w:p>
      <w:pPr>
        <w:ind w:right="140"/>
        <w:spacing w:after="0" w:line="288" w:lineRule="auto"/>
        <w:rPr>
          <w:sz w:val="20"/>
          <w:szCs w:val="20"/>
          <w:color w:val="auto"/>
        </w:rPr>
      </w:pPr>
      <w:r>
        <w:rPr>
          <w:rFonts w:ascii="Times New Roman" w:cs="Times New Roman" w:eastAsia="Times New Roman" w:hAnsi="Times New Roman"/>
          <w:sz w:val="17"/>
          <w:szCs w:val="17"/>
          <w:color w:val="auto"/>
        </w:rPr>
        <w:t>improving earnings, adequate liquidity, and experienced management. The Stable Outlook also incorporates Fitch’s view that Onity will continue to benefit from stable servicing and subservicing cash flows, disciplined balance sheet management, and ongoing growth and diversification of its servicing portfolio.</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October 2, 2025, Moody’s affirmed the Caa1 rating of the PHH Corporation Senior Notes Due 2029. Moody’s also affirmed the B3 corporate family rating of Onity. The entities’ outlooks are stable. Moody’s recognizes the progress the company has made towards achieving a sustainable level of profitability by managing its operating expenses and maintaining the size of its servicing portfolio despite difficult conditions for residential mortgage companies. The company has also continued to grow its subservicing portfolio, which is a capital-light fee-earning business. The corporate family rating also reflects the company’s sound liquidity and funding profile. At the same time, Moody’s noted a credit challenge is Onity's modest capitalization, especially as the company continues to grow its portfolio and evolve its business. On January 26, 2026, Moody’s reaffirmed the Caa1 rating for the PHH Corporation Senior Notes Due 2029.</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On October 21, 2024, S&amp;P assigned a B- rating to the PHH Corporation Senior Notes Due 2029. S&amp;P also affirmed the B- rating to Onity with a Stable Outlook. The Stable Outlook reflects S&amp;P’s expectations that Onity will maintain certain levels of debt ratio and debt-interest coverage while continuing to grow and diversify its servicing portfolio.</w:t>
      </w:r>
    </w:p>
    <w:p>
      <w:pPr>
        <w:spacing w:after="0" w:line="6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It is possible that additional actions by credit rating agencies could have a material adverse impact on our liquidity and funding position, including materially changing the terms on which we may be able to borrow money.</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In developing estimates and assumptions, management uses all available information; however, actual results could materially differ from those estimates and assumptions.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accounting policies and estimates involving significant judgments primarily relate to fair value measurements, income taxes, allowance for losses, and the provision for losses that may arise from contingencies, including indemnification obligations and litigation proceedings. We use fair value measurements to record fair value adjustments to certain instruments in our statement of operations and to determine fair value disclosures, including but not limited to MSRs, MSR related financing liabilities, Loans held for sale, Reverse loans held for sale pooled into HMBS, and HMBS-related borrowings. As of March 31, 2026, 89% of our assets and 60% of our liabilities were reported at fair value, with fair value changes reported in our statement of operations. Substantially all our assets and liabilities at fair value were classified as Level 3 instruments due to unobservable inputs. See Note 3 – Fair Value for the carrying amounts and the estimated fair values of our financial instruments and certain of our nonfinancial assets measured at fair value on a recurring and nonrecurring basis or disclosed, but not measured, using fair value.</w:t>
      </w:r>
    </w:p>
    <w:p>
      <w:pPr>
        <w:spacing w:after="0" w:line="7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Our significant accounting policies and critical accounting estimates are disclosed in our Annual Report on Form 10-K for the year ended December 31, 2025 in Note 1 to the Consolidated Financial Statements and in Management’s Discussion and Analysis of Financial Condition and Results of Operations under “Critical Accounting Policies and Estimates.” There have been no material changes to the critical accounting policies and estimates disclosed in our Annual Report on Form 10-K for the year ended December 31, 2025, other than the following:</w:t>
      </w:r>
    </w:p>
    <w:p>
      <w:pPr>
        <w:spacing w:after="0" w:line="6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Beginning in the first quarter of 2026, we adopted an internally managed valuation model to estimate the fair value of MSR’s. We utilize industry-standard valuation and prepayment models, calibrated to consider relevant comparable benchmarking data and our actual experience. Previously we engaged third-party valuation experts to provide an estimated fair value of our MSRs. We continue to engage third-party valuation experts to benchmark our internal fair value determination.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MSRs and MSR related Financing Liabilities, at Fair Value</w:t>
      </w:r>
    </w:p>
    <w:p>
      <w:pPr>
        <w:spacing w:after="0" w:line="12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originate MSRs from our originations activities and acquire MSRs through flow purchase agreements, Agency Cash Window programs or bulk purchases. We account for MSRs, pledged MSR liabilities and ESS financing liabilities at fair value (reported within MSR related financing liabilities, at fair value). As of March 31, 2026, we reported a $3.0 billion fair value of MSRs and $0.8 billion MSR related financing liabilities.</w:t>
      </w:r>
    </w:p>
    <w:p>
      <w:pPr>
        <w:spacing w:after="0" w:line="6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We determine the fair value of MSRs, Pledged MSR liabilities and ESS financing liabilities primarily using discounted cash flow methodologies. The significant components of estimated future cash inflows for MSRs include servicing fees, late fees, float earnings and other ancillary fees. Significant cash outflows include the cost of servicing, the cost of financing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0" w:name="page91"/>
    <w:bookmarkEnd w:id="90"/>
    <w:p>
      <w:pPr>
        <w:ind w:right="200"/>
        <w:spacing w:after="0" w:line="265" w:lineRule="auto"/>
        <w:rPr>
          <w:sz w:val="20"/>
          <w:szCs w:val="20"/>
          <w:color w:val="auto"/>
        </w:rPr>
      </w:pPr>
      <w:r>
        <w:rPr>
          <w:rFonts w:ascii="Times New Roman" w:cs="Times New Roman" w:eastAsia="Times New Roman" w:hAnsi="Times New Roman"/>
          <w:sz w:val="17"/>
          <w:szCs w:val="17"/>
          <w:color w:val="auto"/>
        </w:rPr>
        <w:t>servicing advances and compensating interest payments. The determination of the fair value of MSRs, Pledged MSR liabilities and ESS financing liabilities requires management judgment relating to the significant unobservable assumptions that underlie the valuation, including prepayment speed, delinquency rates, cost to service and discount rate. Our judgment is informed by the transactions we observe in the market, by our actual portfolio performance and by the advice and information we obtain from our valuation experts, amongst other factors.</w:t>
      </w:r>
    </w:p>
    <w:p>
      <w:pPr>
        <w:spacing w:after="0" w:line="6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7"/>
          <w:szCs w:val="17"/>
          <w:color w:val="auto"/>
        </w:rPr>
        <w:t>We benchmark the reasonableness of our determination of fair value by supplying our portfolio information to multiple third-party valuation experts who generate an independent assessment of fair value. In arriving at their estimated benchmark fair value ranges, the valuation experts utilize industry standard discounted cash flow modeling incorporating an estimate of prepayments, and other usual and customary inputs which reflect their observations and assumptions related to market activity, generally the bulk market, incorporating available industry survey results and client feedback, and including risk premiums and liquidity adjustments.</w:t>
      </w:r>
    </w:p>
    <w:p>
      <w:pPr>
        <w:spacing w:after="0" w:line="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fair value is equal to the internally modeled fair value mark without adjustment except in the event we have a potential or completed sale, including transactions where we have executed letters of intent, in which case the fair value of the MSRs is recorded at the estimated sale price, or the modeled fair value is outside the range of third-party valuation(s) (benchmarking), in which case we adjust the modeled fair value to ensure it remains within the valuation range provided by at least one of the MSR valuation experts. This determination is separately made for each class of MSR.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hypothetical sensitivity of the MSR fair value to certain significant unobservable assumptions at March 31, 2026: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MSR fair value due to significant unobservable assumption change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discount rate</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prepayment speeds</w:t>
            </w: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delinquency</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cost to service</w:t>
            </w: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these assumptions are generally expected to affect our results of operations as follows:</w:t>
      </w:r>
    </w:p>
    <w:p>
      <w:pPr>
        <w:spacing w:after="0" w:line="115" w:lineRule="exact"/>
        <w:rPr>
          <w:sz w:val="20"/>
          <w:szCs w:val="20"/>
          <w:color w:val="auto"/>
        </w:rPr>
      </w:pPr>
    </w:p>
    <w:p>
      <w:pPr>
        <w:ind w:left="620" w:hanging="307"/>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discount rate reduce the value of our MSRs due to the lower overall net present value of the net cash flows.</w:t>
      </w:r>
    </w:p>
    <w:p>
      <w:pPr>
        <w:spacing w:after="0" w:line="27"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1" w:lineRule="exact"/>
        <w:rPr>
          <w:rFonts w:ascii="Times New Roman" w:cs="Times New Roman" w:eastAsia="Times New Roman" w:hAnsi="Times New Roman"/>
          <w:sz w:val="17"/>
          <w:szCs w:val="17"/>
          <w:color w:val="auto"/>
        </w:rPr>
      </w:pPr>
    </w:p>
    <w:p>
      <w:pPr>
        <w:ind w:left="620" w:right="200" w:hanging="307"/>
        <w:spacing w:after="0" w:line="253" w:lineRule="auto"/>
        <w:tabs>
          <w:tab w:leader="none" w:pos="6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delinquencies generally reduce the value of our MSRs as the cost of servicing increases during the delinquency period, and the amounts of servicing advances and related interest expense also increase.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cost to service generally reduce the value of our MSRs as the expected net profitability decreases.</w:t>
      </w:r>
    </w:p>
    <w:p>
      <w:pPr>
        <w:spacing w:after="0" w:line="9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The fair value of Pledged MSR liabilities and ESS financing liabilities is generally expected to be impacted by the same assumptions as the underlying MSR, in opposite direction. Instrument or transaction specific assumption may apply and require our judgment, including the estimated life of the subservicing agreement when MSRs are sold subservicing retained, or the yield or discount rate to apply.</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See Note 1 - Organization and Basis of Presentation to the Unaudited Consolidated Financial Statements for information related to recent accounting standards updates.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91" w:name="page92"/>
    <w:bookmarkEnd w:id="91"/>
    <w:p>
      <w:pPr>
        <w:ind w:right="720"/>
        <w:spacing w:after="0" w:line="383" w:lineRule="auto"/>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 (Dollars in millions unless otherwise indicated) Interest Rates</w:t>
      </w:r>
    </w:p>
    <w:p>
      <w:pPr>
        <w:ind w:right="220"/>
        <w:spacing w:after="0" w:line="262" w:lineRule="auto"/>
        <w:rPr>
          <w:sz w:val="20"/>
          <w:szCs w:val="20"/>
          <w:color w:val="auto"/>
        </w:rPr>
      </w:pPr>
      <w:r>
        <w:rPr>
          <w:rFonts w:ascii="Times New Roman" w:cs="Times New Roman" w:eastAsia="Times New Roman" w:hAnsi="Times New Roman"/>
          <w:sz w:val="17"/>
          <w:szCs w:val="17"/>
          <w:color w:val="auto"/>
        </w:rPr>
        <w:t>Our principal market risk exposure is the impact of interest rate changes on our mortgage-related assets and commitments, including MSRs, loans held for sale, loans held for sale pooled into HMBS, previously,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financing facilities, mortgage warehouse facilities and advance financing facilities.</w:t>
      </w:r>
    </w:p>
    <w:p>
      <w:pPr>
        <w:spacing w:after="0" w:line="70"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risk appetite and associated hedging programs, including such factors as duration and interest rate sensitivity measures, limits, targeted hedge coverage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Hedging Strategy</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 MSR interest rate risk includes the changes in level, slope or shape of yield curves, spreads, volatility and prepayments. While we economically mitigate the short-term prepayment risk of our MSR portfolio through recapture, we remained exposed to MSR fair value volatility.</w:t>
      </w:r>
    </w:p>
    <w:p>
      <w:pPr>
        <w:spacing w:after="0" w:line="67"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180" w:hanging="307"/>
        <w:spacing w:after="0" w:line="253" w:lineRule="auto"/>
        <w:tabs>
          <w:tab w:leader="none" w:pos="609" w:val="left"/>
        </w:tabs>
        <w:numPr>
          <w:ilvl w:val="0"/>
          <w:numId w:val="8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less the Agency MSRs subject to our sale agreements that do not qualify for sale accounting, also referred to as Pledged MSR liabilities (See Note 8 — MSR Related Financing Liabilities, at Fair Value),</w:t>
      </w:r>
    </w:p>
    <w:p>
      <w:pPr>
        <w:spacing w:after="0" w:line="1" w:lineRule="exact"/>
        <w:rPr>
          <w:rFonts w:ascii="Times New Roman" w:cs="Times New Roman" w:eastAsia="Times New Roman" w:hAnsi="Times New Roman"/>
          <w:sz w:val="16"/>
          <w:szCs w:val="16"/>
          <w:b w:val="1"/>
          <w:bCs w:val="1"/>
          <w:i w:val="1"/>
          <w:iCs w:val="1"/>
          <w:color w:val="auto"/>
        </w:rPr>
      </w:pPr>
    </w:p>
    <w:p>
      <w:pPr>
        <w:ind w:left="620" w:right="120" w:hanging="307"/>
        <w:spacing w:after="0" w:line="253" w:lineRule="auto"/>
        <w:tabs>
          <w:tab w:leader="none" w:pos="61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(also referred to as HECM or reverse MSR for risk management purposes),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9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hedge coverage ratio, defined as the ratio of hedge (including reverse MSR) to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improve hedge effectiveness and/or optimize asset returns.</w:t>
      </w:r>
    </w:p>
    <w:p>
      <w:pPr>
        <w:spacing w:after="0" w:line="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Effective December 2023, we established a targeted hedge coverage ratio range between 95% and 105%. In April 2024, we changed the risk measure to a dollar DV01 that resulted in an equivalent range of approximately 90% to 110%. In May 2025, we established a new targeted hedge coverage ratio of 85% with a range between 80% and 100%. The targeted ratio was increased to a range of 95% to 100%, effective end of October 2025, which was revised to a range of 95% to 105% effective beginning of February 2026. Also refer to the sensitivity analysis below.</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With a less-than 100% hedge coverage ratio, the changes in fair value of our hedging instruments may not fully offset the changes in fair value of our net MSR portfolio exposure attributable to interest rate changes. In addition, while interest rate sensitivity measures (DV01)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continuously evaluate the use of hedging instruments with the objective of enhancing the effectiveness of our interest rate hedging strategy.</w:t>
      </w:r>
    </w:p>
    <w:p>
      <w:pPr>
        <w:spacing w:after="0" w:line="115"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futures and options. These derivative instruments are not designated as accounting hedges. TBAs,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92" w:name="page93"/>
    <w:bookmarkEnd w:id="92"/>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or To-Be-Announced securities are actively traded, forward contracts to purchase or sell Agency MBS on a specific future date. From time to 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w:t>
      </w:r>
    </w:p>
    <w:p>
      <w:pPr>
        <w:spacing w:after="0" w:line="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Effective October 2025, without changing our interest rate risk management objective and procedures, our HECM MSR is now hedged with dedicated third-party derivative instruments, whose fair value changes are presented within Gain on reverse loans and HMBS-related borrowings, net in our consolidated statements of operations, within the Servicing segment.</w:t>
      </w:r>
    </w:p>
    <w:p>
      <w:pPr>
        <w:spacing w:after="0" w:line="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Reverse Loans Held for Sale Pooled into HMBS and HMBS-related Borrowings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fair value of our reverse mortgage loans held for sale pooled into HMBS, previously, held for investment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Additionally, portfolio value is heavily influenced by market spreads for fixed and discount margin for ARMs.</w:t>
      </w:r>
    </w:p>
    <w:p>
      <w:pPr>
        <w:spacing w:after="0" w:line="6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fair value of our securitized HECM loan portfolio net of the fair value of the HMBS-related borrowings represents a reverse mortgage economic MSR (HMSR) for risk management purposes.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This HMSR exposure is used as a partial offset to our forward MSR exposure and managed as part of our MSR hedging strategy through September 2025, as described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Hedging Strategy - Loans Held for Sale and IRLCs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100" w:firstLine="3"/>
        <w:spacing w:after="0" w:line="255" w:lineRule="auto"/>
        <w:tabs>
          <w:tab w:leader="none" w:pos="20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The net daily market risk position of net pull-though adjusted locks and loans held for sale, less the offsetting hedges of the pipeline, is monitored daily and its daily limit is +/-5%. Actual fair value changes of derivatives may not fully offset fair value changes of IRLCs and loans due to many factors including basis risk or market volatility. We report changes in fair value of these derivative instruments as gain or loss on economic hedge instruments within either Gain on loans held for sale, net or Gain on reverse loans and HMBS-related borrowings, net in our consolidated statements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EBO and Loan Modification Hedging – Loans Held for Sale, at fair value</w:t>
      </w:r>
    </w:p>
    <w:p>
      <w:pPr>
        <w:spacing w:after="0" w:line="108"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In our Servicing business, we hedge certain Ginnie Mae EBO loans repurchased out of securitization pools for modification and reperformance with TBAs to manage the interest rate risk while these loans await redelivery.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Match Funded Liabilities</w:t>
      </w:r>
    </w:p>
    <w:p>
      <w:pPr>
        <w:spacing w:after="0" w:line="12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We monitor the effect of changes in interest rates on the interest paid on our variable-rate advance financing debt. Earnings on cash and float balances are a partial offset to our exposure to changes in interest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Sensitivity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MSRs, Loans Held for Sale, Reverse Loans Held for Sale pooled into HMBS, previously, Held for Investment and Related Derivatives</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We assess and manage our interest rate risk on a daily basis primarily using sensitivity analyses. We develop sensitivity analyses to determine the impact on our earnings and financial condition across various interest rate scenarios that could be expected over different time horizons. Our interest rate exposure spans from overnight rates to 30-year rates, with increased sensitivity related to the 5-, 10-, and 30-year rates. Sensitivity analyses are based on hypothetical change in values of different interest-rate sensitive assets and liabilities together with our hedges and are presented under a set instantaneous +/- 25, +/- 50</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3" w:name="page94"/>
    <w:bookmarkEnd w:id="93"/>
    <w:p>
      <w:pPr>
        <w:ind w:right="200"/>
        <w:spacing w:after="0" w:line="288" w:lineRule="auto"/>
        <w:rPr>
          <w:sz w:val="20"/>
          <w:szCs w:val="20"/>
          <w:color w:val="auto"/>
        </w:rPr>
      </w:pPr>
      <w:r>
        <w:rPr>
          <w:rFonts w:ascii="Times New Roman" w:cs="Times New Roman" w:eastAsia="Times New Roman" w:hAnsi="Times New Roman"/>
          <w:sz w:val="17"/>
          <w:szCs w:val="17"/>
          <w:color w:val="auto"/>
        </w:rPr>
        <w:t>and +/- 100 basis point parallel move in rates. Changes in fair value cannot be extrapolated because the relationship to the change in fair value may not be linear and other factors may apply, such as change in yield, spreads or other assumptions.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following table summarizes the estimated change in the fair value of our MSRs, reverse loans held for sale pooled into HMBS, previously, loans held for investment and loans held for sale that we have elected to carry at fair value as well as any related derivatives, given hypothetical instantaneous parallel shift in the yield curves and based on our hedge coverage ratio as of March 31, 2026. These sensitivities are hypothetical and presented for illustrative purposes only. Changes in fair value based on variations in assumptions generally cannot be extrapolated because the relationship to the change in fair value may not be linear, among other factors. The net fair value impact due to hypothetical interest rate shocks in the below table reflects the risk management and hedging discipline we maintain, including the targeted, highly effective hedge coverage of our MSR, pipeline and reverse MSR exposures. We evaluate our exposure and hedges on a daily basis and rebalance our positions as warranted by market conditions and as we deem necessary. For example, if rates were to significantly increase, we may change our hedge profile to reduce our targeted total net exposure in upward rate scenarios, as illustrated in the below table.</w:t>
      </w: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jc w:val="center"/>
              <w:ind w:right="200"/>
              <w:spacing w:after="0" w:line="183" w:lineRule="exact"/>
              <w:rPr>
                <w:sz w:val="20"/>
                <w:szCs w:val="20"/>
                <w:color w:val="auto"/>
              </w:rPr>
            </w:pPr>
            <w:r>
              <w:rPr>
                <w:rFonts w:ascii="Times New Roman" w:cs="Times New Roman" w:eastAsia="Times New Roman" w:hAnsi="Times New Roman"/>
                <w:sz w:val="17"/>
                <w:szCs w:val="17"/>
                <w:b w:val="1"/>
                <w:bCs w:val="1"/>
                <w:color w:val="auto"/>
              </w:rPr>
              <w:t>Change in Fair Value</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Due to Hypothetical Interest Rate Changes</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5280" w:type="dxa"/>
            <w:vAlign w:val="bottom"/>
          </w:tcPr>
          <w:p>
            <w:pPr>
              <w:spacing w:after="0"/>
              <w:rPr>
                <w:sz w:val="14"/>
                <w:szCs w:val="14"/>
                <w:color w:val="auto"/>
              </w:rPr>
            </w:pPr>
          </w:p>
        </w:tc>
        <w:tc>
          <w:tcPr>
            <w:tcW w:w="1020" w:type="dxa"/>
            <w:vAlign w:val="bottom"/>
            <w:gridSpan w:val="3"/>
          </w:tcPr>
          <w:p>
            <w:pPr>
              <w:jc w:val="center"/>
              <w:ind w:right="80"/>
              <w:spacing w:after="0" w:line="163" w:lineRule="exact"/>
              <w:rPr>
                <w:sz w:val="20"/>
                <w:szCs w:val="20"/>
                <w:color w:val="auto"/>
              </w:rPr>
            </w:pPr>
            <w:r>
              <w:rPr>
                <w:rFonts w:ascii="Times New Roman" w:cs="Times New Roman" w:eastAsia="Times New Roman" w:hAnsi="Times New Roman"/>
                <w:sz w:val="17"/>
                <w:szCs w:val="17"/>
                <w:b w:val="1"/>
                <w:bCs w:val="1"/>
                <w:color w:val="auto"/>
              </w:rPr>
              <w:t>Down 100</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63" w:lineRule="exact"/>
              <w:rPr>
                <w:sz w:val="20"/>
                <w:szCs w:val="20"/>
                <w:color w:val="auto"/>
              </w:rPr>
            </w:pPr>
            <w:r>
              <w:rPr>
                <w:rFonts w:ascii="Times New Roman" w:cs="Times New Roman" w:eastAsia="Times New Roman" w:hAnsi="Times New Roman"/>
                <w:sz w:val="17"/>
                <w:szCs w:val="17"/>
                <w:b w:val="1"/>
                <w:bCs w:val="1"/>
                <w:color w:val="auto"/>
              </w:rPr>
              <w:t>Down 50</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7"/>
                <w:szCs w:val="17"/>
                <w:b w:val="1"/>
                <w:bCs w:val="1"/>
                <w:color w:val="auto"/>
              </w:rPr>
              <w:t>Down 25</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Up 25 bps</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Up 50 bps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Up 100 bps</w:t>
            </w:r>
          </w:p>
        </w:tc>
        <w:tc>
          <w:tcPr>
            <w:tcW w:w="0" w:type="dxa"/>
            <w:vAlign w:val="bottom"/>
          </w:tcPr>
          <w:p>
            <w:pPr>
              <w:spacing w:after="0"/>
              <w:rPr>
                <w:sz w:val="1"/>
                <w:szCs w:val="1"/>
                <w:color w:val="auto"/>
              </w:rPr>
            </w:pPr>
          </w:p>
        </w:tc>
      </w:tr>
      <w:tr>
        <w:trPr>
          <w:trHeight w:val="233"/>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bps</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bps</w:t>
            </w:r>
          </w:p>
        </w:tc>
        <w:tc>
          <w:tcPr>
            <w:tcW w:w="12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bps</w:t>
            </w:r>
          </w:p>
        </w:tc>
        <w:tc>
          <w:tcPr>
            <w:tcW w:w="1000" w:type="dxa"/>
            <w:vAlign w:val="bottom"/>
            <w:gridSpan w:val="3"/>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68"/>
        </w:trPr>
        <w:tc>
          <w:tcPr>
            <w:tcW w:w="52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Reverse loans held for sale pooled into HMBS - Unsecuritized HECM</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and tails</w:t>
            </w:r>
          </w:p>
        </w:tc>
        <w:tc>
          <w:tcPr>
            <w:tcW w:w="2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20"/>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 Agency and non-Agency</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IRLCs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net exposure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majority of the collateralized debt used to finance our operations is based on variable rates but remains exposed to interest rate fluctuations between repricing dates. Our corporate debt and reverse mortgage securitization notes are based on fixed interest rates. As servicer, we are also exposed to the impact of interest rate fluctuations on the float income we earn on balances held in trust from the date a loan payment is received from borrowers to the date funds are forwarded to investors.</w:t>
      </w:r>
    </w:p>
    <w:p>
      <w:pPr>
        <w:spacing w:after="0" w:line="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Based on March 31, 2026 balances, if interest rates were to decrease by 100 bps (hypothetical instantaneous parallel shift in the yield curves), we estimate a net positive impact on our annual profitability of approximately $3 million resulting from a decrease of $36 million in annual interest income and other credits on cash deposits and float balances, and a decrease of $38 million in annual interest expense on our variable-rate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management, under the supervision of and with the participation of our principal executive officer and our principal financial officer, has evaluated the effectiveness of our disclosure controls and procedures, as such term is defined in Rules 13a-15(e) and 15d-15(e) under the Securities Exchange Act of 1934, as amended (Exchange Act), as of March 31, 2026.</w:t>
      </w:r>
    </w:p>
    <w:p>
      <w:pPr>
        <w:spacing w:after="0" w:line="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March 31, 2026 were (1) designed and functioning effectively to ensure that material information relating to Onity,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Onity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3"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during our fiscal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See Note 22 – Contingencies to the Unaudited Consolidated Financial Statements for a description of our material legal proceedings. That information is incorporated into this item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An investment in our common stock involves significant risk. We describe the most significant risks that management believes affect or could affect us under Part I, Item 1.A. of our Annual Report on Form 10-K for the year ended December 31, 2025.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changes to the risks described in our Annual Report on Form 10-K for the year ended December 31, 2025.</w:t>
      </w:r>
    </w:p>
    <w:p>
      <w:pPr>
        <w:spacing w:after="0" w:line="200" w:lineRule="exact"/>
        <w:rPr>
          <w:sz w:val="20"/>
          <w:szCs w:val="20"/>
          <w:color w:val="auto"/>
        </w:rPr>
      </w:pPr>
    </w:p>
    <w:p>
      <w:pPr>
        <w:spacing w:after="0" w:line="298" w:lineRule="exact"/>
        <w:rPr>
          <w:sz w:val="20"/>
          <w:szCs w:val="20"/>
          <w:color w:val="auto"/>
        </w:rPr>
      </w:pPr>
    </w:p>
    <w:p>
      <w:pPr>
        <w:ind w:right="4320"/>
        <w:spacing w:after="0" w:line="383" w:lineRule="auto"/>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 Purchases of Equity Securities by the Issuer and Affiliates</w:t>
      </w:r>
    </w:p>
    <w:p>
      <w:pPr>
        <w:ind w:right="40"/>
        <w:spacing w:after="0" w:line="260" w:lineRule="auto"/>
        <w:rPr>
          <w:sz w:val="20"/>
          <w:szCs w:val="20"/>
          <w:color w:val="auto"/>
        </w:rPr>
      </w:pPr>
      <w:r>
        <w:rPr>
          <w:rFonts w:ascii="Times New Roman" w:cs="Times New Roman" w:eastAsia="Times New Roman" w:hAnsi="Times New Roman"/>
          <w:sz w:val="17"/>
          <w:szCs w:val="17"/>
          <w:color w:val="auto"/>
        </w:rPr>
        <w:t>On February 10, 2026, Onity’s Board of Directors approved a share repurchase program for an aggregate amount of up to $10 million of our issued and outstanding shares of common stock. The shares of common stock are expected to be repurchased through a broker in the open market. The program will continue through the earlier of August 25, 2026 or until such time as the aggregate purchase price for all shares of stock purchased under the plan (inclusive of applicable fees, costs and expenses) equals $10 million. The actual number of shares of common stock repurchased will depend on market conditions, timing and other factors and we may modify, discontinue or suspend the repurchase program at any time. Any shares repurchased will be retired and canceled. No assurances can be given as to the number of shares, if any, that Onity may repurchase in any given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regarding repurchases of our common stock during the first quarter of 2026 is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6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Average price</w:t>
            </w:r>
          </w:p>
        </w:tc>
        <w:tc>
          <w:tcPr>
            <w:tcW w:w="0" w:type="dxa"/>
            <w:vAlign w:val="bottom"/>
          </w:tcPr>
          <w:p>
            <w:pPr>
              <w:spacing w:after="0"/>
              <w:rPr>
                <w:sz w:val="1"/>
                <w:szCs w:val="1"/>
                <w:color w:val="auto"/>
              </w:rPr>
            </w:pPr>
          </w:p>
        </w:tc>
      </w:tr>
      <w:tr>
        <w:trPr>
          <w:trHeight w:val="233"/>
        </w:trPr>
        <w:tc>
          <w:tcPr>
            <w:tcW w:w="346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paid per share </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1 - January 31</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 February 28</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42.1900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1 - March 31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39.3300</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154,444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39.6200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-606425</wp:posOffset>
            </wp:positionV>
            <wp:extent cx="7113905" cy="147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3905" cy="1479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-319405</wp:posOffset>
            </wp:positionV>
            <wp:extent cx="7113905" cy="139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3905"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2"/>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Approximate dollar value of</w:t>
            </w:r>
          </w:p>
        </w:tc>
        <w:tc>
          <w:tcPr>
            <w:tcW w:w="0" w:type="dxa"/>
            <w:vAlign w:val="bottom"/>
          </w:tcPr>
          <w:p>
            <w:pPr>
              <w:spacing w:after="0"/>
              <w:rPr>
                <w:sz w:val="1"/>
                <w:szCs w:val="1"/>
                <w:color w:val="auto"/>
              </w:rPr>
            </w:pPr>
          </w:p>
        </w:tc>
      </w:tr>
      <w:tr>
        <w:trPr>
          <w:trHeight w:val="168"/>
        </w:trPr>
        <w:tc>
          <w:tcPr>
            <w:tcW w:w="20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 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00" w:type="dxa"/>
            <w:vAlign w:val="bottom"/>
          </w:tcPr>
          <w:p>
            <w:pPr>
              <w:spacing w:after="0"/>
              <w:rPr>
                <w:sz w:val="15"/>
                <w:szCs w:val="15"/>
                <w:color w:val="auto"/>
              </w:rPr>
            </w:pPr>
          </w:p>
        </w:tc>
        <w:tc>
          <w:tcPr>
            <w:tcW w:w="260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shares that may yet be purchased</w:t>
            </w:r>
          </w:p>
        </w:tc>
        <w:tc>
          <w:tcPr>
            <w:tcW w:w="0" w:type="dxa"/>
            <w:vAlign w:val="bottom"/>
          </w:tcPr>
          <w:p>
            <w:pPr>
              <w:spacing w:after="0"/>
              <w:rPr>
                <w:sz w:val="1"/>
                <w:szCs w:val="1"/>
                <w:color w:val="auto"/>
              </w:rPr>
            </w:pPr>
          </w:p>
        </w:tc>
      </w:tr>
      <w:tr>
        <w:trPr>
          <w:trHeight w:val="220"/>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repurchase program</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under the repurchase program</w:t>
            </w:r>
          </w:p>
        </w:tc>
        <w:tc>
          <w:tcPr>
            <w:tcW w:w="0" w:type="dxa"/>
            <w:vAlign w:val="bottom"/>
          </w:tcPr>
          <w:p>
            <w:pPr>
              <w:spacing w:after="0"/>
              <w:rPr>
                <w:sz w:val="1"/>
                <w:szCs w:val="1"/>
                <w:color w:val="auto"/>
              </w:rPr>
            </w:pPr>
          </w:p>
        </w:tc>
      </w:tr>
      <w:tr>
        <w:trPr>
          <w:trHeight w:val="209"/>
        </w:trPr>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220"/>
        </w:trPr>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2">
            <w:col w:w="6340" w:space="120"/>
            <w:col w:w="4780"/>
          </w:cols>
          <w:pgMar w:left="320" w:top="1440" w:right="339" w:bottom="1440" w:gutter="0" w:footer="0" w:header="0"/>
          <w:type w:val="continuous"/>
        </w:sect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Average price paid per share does not reflect payment of commissions totaling $4,633 (four thousand six hundred and thirty-three dollars).</w:t>
      </w:r>
    </w:p>
    <w:p>
      <w:pPr>
        <w:spacing w:after="0" w:line="1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27"/>
        </w:trPr>
        <w:tc>
          <w:tcPr>
            <w:tcW w:w="18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220" w:type="dxa"/>
            <w:vAlign w:val="bottom"/>
            <w:tcBorders>
              <w:bottom w:val="single" w:sz="8" w:color="0000FF"/>
            </w:tcBorders>
          </w:tcPr>
          <w:p>
            <w:pPr>
              <w:spacing w:after="0"/>
              <w:rPr>
                <w:rFonts w:ascii="Times New Roman" w:cs="Times New Roman" w:eastAsia="Times New Roman" w:hAnsi="Times New Roman"/>
                <w:sz w:val="17"/>
                <w:szCs w:val="17"/>
                <w:color w:val="0000FF"/>
                <w:w w:val="93"/>
              </w:rPr>
            </w:pPr>
            <w:hyperlink r:id="rId158">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40" w:type="dxa"/>
            <w:vAlign w:val="bottom"/>
          </w:tcPr>
          <w:p>
            <w:pPr>
              <w:ind w:left="140"/>
              <w:spacing w:after="0"/>
              <w:rPr>
                <w:rFonts w:ascii="Times New Roman" w:cs="Times New Roman" w:eastAsia="Times New Roman" w:hAnsi="Times New Roman"/>
                <w:sz w:val="17"/>
                <w:szCs w:val="17"/>
                <w:color w:val="auto"/>
              </w:rPr>
            </w:pPr>
            <w:hyperlink r:id="rId158">
              <w:r>
                <w:rPr>
                  <w:rFonts w:ascii="Times New Roman" w:cs="Times New Roman" w:eastAsia="Times New Roman" w:hAnsi="Times New Roman"/>
                  <w:sz w:val="17"/>
                  <w:szCs w:val="17"/>
                  <w:color w:val="auto"/>
                </w:rPr>
                <w:t xml:space="preserve">Amended and Restated Articles of Incorporation, as amended </w:t>
              </w:r>
            </w:hyperlink>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1280" w:type="dxa"/>
            <w:vAlign w:val="bottom"/>
            <w:gridSpan w:val="2"/>
          </w:tcPr>
          <w:p>
            <w:pPr>
              <w:ind w:left="1060"/>
              <w:spacing w:after="0"/>
              <w:rPr>
                <w:rFonts w:ascii="Times New Roman" w:cs="Times New Roman" w:eastAsia="Times New Roman" w:hAnsi="Times New Roman"/>
                <w:sz w:val="17"/>
                <w:szCs w:val="17"/>
                <w:color w:val="0000FF"/>
                <w:w w:val="93"/>
              </w:rPr>
            </w:pPr>
            <w:hyperlink r:id="rId159">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2</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40" w:type="dxa"/>
            <w:vAlign w:val="bottom"/>
          </w:tcPr>
          <w:p>
            <w:pPr>
              <w:ind w:left="140"/>
              <w:spacing w:after="0"/>
              <w:rPr>
                <w:rFonts w:ascii="Times New Roman" w:cs="Times New Roman" w:eastAsia="Times New Roman" w:hAnsi="Times New Roman"/>
                <w:sz w:val="17"/>
                <w:szCs w:val="17"/>
                <w:color w:val="auto"/>
              </w:rPr>
            </w:pPr>
            <w:hyperlink r:id="rId159">
              <w:r>
                <w:rPr>
                  <w:rFonts w:ascii="Times New Roman" w:cs="Times New Roman" w:eastAsia="Times New Roman" w:hAnsi="Times New Roman"/>
                  <w:sz w:val="17"/>
                  <w:szCs w:val="17"/>
                  <w:color w:val="auto"/>
                </w:rPr>
                <w:t>Amended and Restated Bylaws of Registrant (2)</w:t>
              </w:r>
            </w:hyperlink>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4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 with respect to</w:t>
            </w:r>
          </w:p>
        </w:tc>
        <w:tc>
          <w:tcPr>
            <w:tcW w:w="0" w:type="dxa"/>
            <w:vAlign w:val="bottom"/>
          </w:tcPr>
          <w:p>
            <w:pPr>
              <w:spacing w:after="0"/>
              <w:rPr>
                <w:sz w:val="1"/>
                <w:szCs w:val="1"/>
                <w:color w:val="auto"/>
              </w:rPr>
            </w:pP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the issuance of long-term debt of the Company and its subsidiaries, the authorized principal amount of which does not exceed 10%</w:t>
            </w:r>
          </w:p>
        </w:tc>
        <w:tc>
          <w:tcPr>
            <w:tcW w:w="0" w:type="dxa"/>
            <w:vAlign w:val="bottom"/>
          </w:tcPr>
          <w:p>
            <w:pPr>
              <w:spacing w:after="0"/>
              <w:rPr>
                <w:sz w:val="1"/>
                <w:szCs w:val="1"/>
                <w:color w:val="auto"/>
              </w:rPr>
            </w:pPr>
          </w:p>
        </w:tc>
      </w:tr>
      <w:tr>
        <w:trPr>
          <w:trHeight w:val="220"/>
        </w:trPr>
        <w:tc>
          <w:tcPr>
            <w:tcW w:w="128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w w:val="93"/>
              </w:rPr>
              <w:t>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consolidated assets of the Company and its subsidiaries.</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40" w:type="dxa"/>
            <w:vAlign w:val="bottom"/>
          </w:tcPr>
          <w:p>
            <w:pPr>
              <w:ind w:left="140"/>
              <w:spacing w:after="0" w:line="172" w:lineRule="exact"/>
              <w:rPr>
                <w:rFonts w:ascii="Times New Roman" w:cs="Times New Roman" w:eastAsia="Times New Roman" w:hAnsi="Times New Roman"/>
                <w:sz w:val="17"/>
                <w:szCs w:val="17"/>
                <w:color w:val="auto"/>
              </w:rPr>
            </w:pPr>
            <w:hyperlink r:id="rId160">
              <w:r>
                <w:rPr>
                  <w:rFonts w:ascii="Times New Roman" w:cs="Times New Roman" w:eastAsia="Times New Roman" w:hAnsi="Times New Roman"/>
                  <w:sz w:val="17"/>
                  <w:szCs w:val="17"/>
                  <w:color w:val="auto"/>
                </w:rPr>
                <w:t>Second Supplemental Indenture, dated as of January 30, 2026, among PHH Escrow Issuer LLC, PHH Corporation, Onity Group Inc.,</w:t>
              </w:r>
            </w:hyperlink>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300" w:type="dxa"/>
            <w:vAlign w:val="bottom"/>
            <w:tcBorders>
              <w:bottom w:val="single" w:sz="8" w:color="0000FF"/>
            </w:tcBorders>
            <w:gridSpan w:val="2"/>
          </w:tcPr>
          <w:p>
            <w:pPr>
              <w:spacing w:after="0" w:line="194" w:lineRule="exact"/>
              <w:rPr>
                <w:rFonts w:ascii="Times New Roman" w:cs="Times New Roman" w:eastAsia="Times New Roman" w:hAnsi="Times New Roman"/>
                <w:sz w:val="17"/>
                <w:szCs w:val="17"/>
                <w:color w:val="0000FF"/>
                <w:w w:val="93"/>
              </w:rPr>
            </w:pPr>
            <w:r>
              <w:rPr>
                <w:rFonts w:ascii="Times New Roman" w:cs="Times New Roman" w:eastAsia="Times New Roman" w:hAnsi="Times New Roman"/>
                <w:sz w:val="17"/>
                <w:szCs w:val="17"/>
                <w:color w:val="0000FF"/>
                <w:w w:val="93"/>
              </w:rPr>
              <w:t>10.</w:t>
            </w:r>
            <w:hyperlink r:id="rId160">
              <w:r>
                <w:rPr>
                  <w:rFonts w:ascii="Times New Roman" w:cs="Times New Roman" w:eastAsia="Times New Roman" w:hAnsi="Times New Roman"/>
                  <w:sz w:val="17"/>
                  <w:szCs w:val="17"/>
                  <w:u w:val="single" w:color="auto"/>
                  <w:color w:val="0000FF"/>
                  <w:w w:val="93"/>
                </w:rPr>
                <w:t>1</w:t>
              </w:r>
            </w:hyperlink>
          </w:p>
        </w:tc>
        <w:tc>
          <w:tcPr>
            <w:tcW w:w="480" w:type="dxa"/>
            <w:vAlign w:val="bottom"/>
          </w:tcPr>
          <w:p>
            <w:pPr>
              <w:spacing w:after="0"/>
              <w:rPr>
                <w:sz w:val="16"/>
                <w:szCs w:val="16"/>
                <w:color w:val="auto"/>
              </w:rPr>
            </w:pPr>
          </w:p>
        </w:tc>
        <w:tc>
          <w:tcPr>
            <w:tcW w:w="9340" w:type="dxa"/>
            <w:vAlign w:val="bottom"/>
          </w:tcPr>
          <w:p>
            <w:pPr>
              <w:ind w:left="140"/>
              <w:spacing w:after="0" w:line="194" w:lineRule="exact"/>
              <w:rPr>
                <w:rFonts w:ascii="Times New Roman" w:cs="Times New Roman" w:eastAsia="Times New Roman" w:hAnsi="Times New Roman"/>
                <w:sz w:val="17"/>
                <w:szCs w:val="17"/>
                <w:color w:val="auto"/>
              </w:rPr>
            </w:pPr>
            <w:hyperlink r:id="rId160">
              <w:r>
                <w:rPr>
                  <w:rFonts w:ascii="Times New Roman" w:cs="Times New Roman" w:eastAsia="Times New Roman" w:hAnsi="Times New Roman"/>
                  <w:sz w:val="17"/>
                  <w:szCs w:val="17"/>
                  <w:color w:val="auto"/>
                </w:rPr>
                <w:t>the other guarantors party thereto, and Wilmington Trust, national association, as trustee and collateral trustee (3)</w:t>
              </w:r>
            </w:hyperlink>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2</w:t>
            </w:r>
          </w:p>
        </w:tc>
        <w:tc>
          <w:tcPr>
            <w:tcW w:w="480" w:type="dxa"/>
            <w:vAlign w:val="bottom"/>
          </w:tcPr>
          <w:p>
            <w:pPr>
              <w:spacing w:after="0"/>
              <w:rPr>
                <w:sz w:val="17"/>
                <w:szCs w:val="17"/>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2026 Annual Performance-Based Cash Award Agreement (filed herewith)</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3</w:t>
            </w:r>
          </w:p>
        </w:tc>
        <w:tc>
          <w:tcPr>
            <w:tcW w:w="480" w:type="dxa"/>
            <w:vAlign w:val="bottom"/>
          </w:tcPr>
          <w:p>
            <w:pPr>
              <w:spacing w:after="0"/>
              <w:rPr>
                <w:sz w:val="17"/>
                <w:szCs w:val="17"/>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2026 Annual Performance-Based Stock Award Agreement (filed herewith)</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480" w:type="dxa"/>
            <w:vAlign w:val="bottom"/>
          </w:tcPr>
          <w:p>
            <w:pPr>
              <w:spacing w:after="0"/>
              <w:rPr>
                <w:sz w:val="17"/>
                <w:szCs w:val="17"/>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executive officer pursuant to Section 302 of the Sarbanes-Oxley Act of 2002 (filed herewith)</w:t>
            </w:r>
          </w:p>
        </w:tc>
        <w:tc>
          <w:tcPr>
            <w:tcW w:w="0" w:type="dxa"/>
            <w:vAlign w:val="bottom"/>
          </w:tcPr>
          <w:p>
            <w:pPr>
              <w:spacing w:after="0"/>
              <w:rPr>
                <w:sz w:val="1"/>
                <w:szCs w:val="1"/>
                <w:color w:val="auto"/>
              </w:rPr>
            </w:pPr>
          </w:p>
        </w:tc>
      </w:tr>
      <w:tr>
        <w:trPr>
          <w:trHeight w:val="200"/>
        </w:trPr>
        <w:tc>
          <w:tcPr>
            <w:tcW w:w="136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480" w:type="dxa"/>
            <w:vAlign w:val="bottom"/>
          </w:tcPr>
          <w:p>
            <w:pPr>
              <w:spacing w:after="0"/>
              <w:rPr>
                <w:sz w:val="17"/>
                <w:szCs w:val="17"/>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financial officer pursuant to Section 302 of the Sarbanes-Oxley Act of 2002 (filed herewith)</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934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4"/>
        </w:trPr>
        <w:tc>
          <w:tcPr>
            <w:tcW w:w="1360" w:type="dxa"/>
            <w:vAlign w:val="bottom"/>
            <w:gridSpan w:val="3"/>
          </w:tcPr>
          <w:p>
            <w:pPr>
              <w:ind w:left="1060"/>
              <w:spacing w:after="0" w:line="194"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480" w:type="dxa"/>
            <w:vAlign w:val="bottom"/>
          </w:tcPr>
          <w:p>
            <w:pPr>
              <w:spacing w:after="0"/>
              <w:rPr>
                <w:sz w:val="16"/>
                <w:szCs w:val="16"/>
                <w:color w:val="auto"/>
              </w:rPr>
            </w:pPr>
          </w:p>
        </w:tc>
        <w:tc>
          <w:tcPr>
            <w:tcW w:w="93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Sarbanes-Oxley Act of 2002 (furnished herewith)</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934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30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480" w:type="dxa"/>
            <w:vAlign w:val="bottom"/>
          </w:tcPr>
          <w:p>
            <w:pPr>
              <w:spacing w:after="0"/>
              <w:rPr>
                <w:sz w:val="16"/>
                <w:szCs w:val="16"/>
                <w:color w:val="auto"/>
              </w:rPr>
            </w:pPr>
          </w:p>
        </w:tc>
        <w:tc>
          <w:tcPr>
            <w:tcW w:w="93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Sarbanes-Oxley Act of 2002 (furnished herewith)</w:t>
            </w:r>
          </w:p>
        </w:tc>
        <w:tc>
          <w:tcPr>
            <w:tcW w:w="0" w:type="dxa"/>
            <w:vAlign w:val="bottom"/>
          </w:tcPr>
          <w:p>
            <w:pPr>
              <w:spacing w:after="0"/>
              <w:rPr>
                <w:sz w:val="1"/>
                <w:szCs w:val="1"/>
                <w:color w:val="auto"/>
              </w:rPr>
            </w:pPr>
          </w:p>
        </w:tc>
      </w:tr>
      <w:tr>
        <w:trPr>
          <w:trHeight w:val="200"/>
        </w:trPr>
        <w:tc>
          <w:tcPr>
            <w:tcW w:w="136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0000FF"/>
                <w:w w:val="93"/>
              </w:rPr>
              <w:t>99.</w:t>
            </w:r>
            <w:r>
              <w:rPr>
                <w:rFonts w:ascii="Times New Roman" w:cs="Times New Roman" w:eastAsia="Times New Roman" w:hAnsi="Times New Roman"/>
                <w:sz w:val="17"/>
                <w:szCs w:val="17"/>
                <w:u w:val="single" w:color="auto"/>
                <w:color w:val="0000FF"/>
                <w:w w:val="93"/>
              </w:rPr>
              <w:t>1</w:t>
            </w:r>
          </w:p>
        </w:tc>
        <w:tc>
          <w:tcPr>
            <w:tcW w:w="480" w:type="dxa"/>
            <w:vAlign w:val="bottom"/>
          </w:tcPr>
          <w:p>
            <w:pPr>
              <w:spacing w:after="0"/>
              <w:rPr>
                <w:sz w:val="17"/>
                <w:szCs w:val="17"/>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Supplemental Information Pursuant to the Indenture dated as of November 6, 2024 (filed herewith)</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934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March 31, 2026 were</w:t>
            </w:r>
          </w:p>
        </w:tc>
        <w:tc>
          <w:tcPr>
            <w:tcW w:w="0" w:type="dxa"/>
            <w:vAlign w:val="bottom"/>
          </w:tcPr>
          <w:p>
            <w:pPr>
              <w:spacing w:after="0"/>
              <w:rPr>
                <w:sz w:val="1"/>
                <w:szCs w:val="1"/>
                <w:color w:val="auto"/>
              </w:rPr>
            </w:pP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71"/>
        </w:trPr>
        <w:tc>
          <w:tcPr>
            <w:tcW w:w="136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7"/>
                <w:szCs w:val="17"/>
                <w:color w:val="auto"/>
              </w:rPr>
              <w:t>101</w:t>
            </w:r>
          </w:p>
        </w:tc>
        <w:tc>
          <w:tcPr>
            <w:tcW w:w="480" w:type="dxa"/>
            <w:vAlign w:val="bottom"/>
          </w:tcPr>
          <w:p>
            <w:pPr>
              <w:spacing w:after="0"/>
              <w:rPr>
                <w:sz w:val="14"/>
                <w:szCs w:val="14"/>
                <w:color w:val="auto"/>
              </w:rPr>
            </w:pPr>
          </w:p>
        </w:tc>
        <w:tc>
          <w:tcPr>
            <w:tcW w:w="93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Statements of Comprehensive Income, (iv) Consolidated Statements of Changes in Equity, (v) Consolidated Statements of Cash</w:t>
            </w:r>
          </w:p>
        </w:tc>
        <w:tc>
          <w:tcPr>
            <w:tcW w:w="0" w:type="dxa"/>
            <w:vAlign w:val="bottom"/>
          </w:tcPr>
          <w:p>
            <w:pPr>
              <w:spacing w:after="0"/>
              <w:rPr>
                <w:sz w:val="1"/>
                <w:szCs w:val="1"/>
                <w:color w:val="auto"/>
              </w:rPr>
            </w:pPr>
          </w:p>
        </w:tc>
      </w:tr>
      <w:tr>
        <w:trPr>
          <w:trHeight w:val="223"/>
        </w:trPr>
        <w:tc>
          <w:tcPr>
            <w:tcW w:w="136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Flows, and (v) the Notes to Unaudited Consolidated Financial Statements, tagged as blocks of text and including detailed tags.</w:t>
            </w:r>
          </w:p>
        </w:tc>
        <w:tc>
          <w:tcPr>
            <w:tcW w:w="0" w:type="dxa"/>
            <w:vAlign w:val="bottom"/>
          </w:tcPr>
          <w:p>
            <w:pPr>
              <w:spacing w:after="0"/>
              <w:rPr>
                <w:sz w:val="1"/>
                <w:szCs w:val="1"/>
                <w:color w:val="auto"/>
              </w:rPr>
            </w:pPr>
          </w:p>
        </w:tc>
      </w:tr>
    </w:tbl>
    <w:p>
      <w:pPr>
        <w:ind w:left="1980"/>
        <w:spacing w:after="0" w:line="219" w:lineRule="auto"/>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March 31, 2026, formatted in Inline</w:t>
      </w:r>
    </w:p>
    <w:p>
      <w:pPr>
        <w:ind w:left="1980" w:hanging="913"/>
        <w:spacing w:after="0"/>
        <w:tabs>
          <w:tab w:leader="none" w:pos="198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(Included as Exhibit 101).</w:t>
      </w:r>
    </w:p>
    <w:p>
      <w:pPr>
        <w:spacing w:after="0" w:line="104" w:lineRule="exact"/>
        <w:rPr>
          <w:rFonts w:ascii="Times New Roman" w:cs="Times New Roman" w:eastAsia="Times New Roman" w:hAnsi="Times New Roman"/>
          <w:sz w:val="17"/>
          <w:szCs w:val="17"/>
          <w:color w:val="auto"/>
        </w:rPr>
      </w:pPr>
    </w:p>
    <w:p>
      <w:pPr>
        <w:ind w:left="320" w:right="180" w:hanging="317"/>
        <w:spacing w:after="0" w:line="201" w:lineRule="exact"/>
        <w:tabs>
          <w:tab w:leader="none" w:pos="3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similarly described exhibit included with the Registrant’s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for the period ended September 30, 2024 filed on November 7, 2024.</w:t>
      </w:r>
    </w:p>
    <w:p>
      <w:pPr>
        <w:ind w:left="320" w:hanging="317"/>
        <w:spacing w:after="0" w:line="219" w:lineRule="auto"/>
        <w:tabs>
          <w:tab w:leader="none" w:pos="3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similarly described exhibit to the Registrant’s Form 8-K filed on February 25, 2019.</w:t>
      </w:r>
    </w:p>
    <w:p>
      <w:pPr>
        <w:ind w:left="320" w:hanging="317"/>
        <w:spacing w:after="0"/>
        <w:tabs>
          <w:tab w:leader="none" w:pos="3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similarly described exhibit to the Registrant’s Form 8-K filed on February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011" w:right="39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Onity Group Inc.</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673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Sean B. O’Neil</w:t>
      </w:r>
    </w:p>
    <w:p>
      <w:pPr>
        <w:spacing w:after="0" w:line="1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5,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00"/>
          </w:cols>
          <w:pgMar w:left="320" w:top="1011" w:right="3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9"/>
          <w:szCs w:val="19"/>
          <w:b w:val="1"/>
          <w:bCs w:val="1"/>
          <w:color w:val="auto"/>
        </w:rPr>
        <w:t>CASH-SETTLED PERFORMANCE STOCK UNIT AWARD AGREEMENT</w:t>
      </w:r>
    </w:p>
    <w:p>
      <w:pPr>
        <w:spacing w:after="0" w:line="200" w:lineRule="exact"/>
        <w:rPr>
          <w:sz w:val="20"/>
          <w:szCs w:val="20"/>
          <w:color w:val="auto"/>
        </w:rPr>
      </w:pPr>
    </w:p>
    <w:p>
      <w:pPr>
        <w:spacing w:after="0" w:line="2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THIS CASH-SETTLED PERFORMANCE STOCK UNIT AWARD AGREEMENT </w:t>
      </w:r>
      <w:r>
        <w:rPr>
          <w:rFonts w:ascii="Times New Roman" w:cs="Times New Roman" w:eastAsia="Times New Roman" w:hAnsi="Times New Roman"/>
          <w:sz w:val="19"/>
          <w:szCs w:val="19"/>
          <w:color w:val="auto"/>
        </w:rPr>
        <w:t>(this “Agreement”) is made as of</w:t>
      </w:r>
      <w:r>
        <w:rPr>
          <w:rFonts w:ascii="Times New Roman" w:cs="Times New Roman" w:eastAsia="Times New Roman" w:hAnsi="Times New Roman"/>
          <w:sz w:val="19"/>
          <w:szCs w:val="19"/>
          <w:b w:val="1"/>
          <w:bCs w:val="1"/>
          <w:color w:val="auto"/>
        </w:rPr>
        <w:t xml:space="preserve"> [date] </w:t>
      </w:r>
      <w:r>
        <w:rPr>
          <w:rFonts w:ascii="Times New Roman" w:cs="Times New Roman" w:eastAsia="Times New Roman" w:hAnsi="Times New Roman"/>
          <w:sz w:val="19"/>
          <w:szCs w:val="19"/>
          <w:color w:val="auto"/>
        </w:rPr>
        <w:t>(the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Date”) between Onity Group Inc., a Florida corporation (the “Corporation”), and </w:t>
      </w:r>
      <w:r>
        <w:rPr>
          <w:rFonts w:ascii="Times New Roman" w:cs="Times New Roman" w:eastAsia="Times New Roman" w:hAnsi="Times New Roman"/>
          <w:sz w:val="19"/>
          <w:szCs w:val="19"/>
          <w:b w:val="1"/>
          <w:bCs w:val="1"/>
          <w:color w:val="auto"/>
        </w:rPr>
        <w:t>[name]</w:t>
      </w:r>
      <w:r>
        <w:rPr>
          <w:rFonts w:ascii="Times New Roman" w:cs="Times New Roman" w:eastAsia="Times New Roman" w:hAnsi="Times New Roman"/>
          <w:sz w:val="19"/>
          <w:szCs w:val="19"/>
          <w:color w:val="auto"/>
        </w:rPr>
        <w:t>, an employee of the Corporation or of a Subsidiary (the “Participant”).</w:t>
      </w:r>
    </w:p>
    <w:p>
      <w:pPr>
        <w:spacing w:after="0" w:line="18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Corporation desires, by granting to the Participant an award of cash-settled stock units pursuant to the Corporation’s 2021 Equity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Incentive Plan (the “Plan”), to further the objectives of the Plan;</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hereinafter set forth and for other good and valuable consideration, and intending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legally bound hereby, the parties hereto have agreed, and do hereby agree, as follows:</w:t>
      </w:r>
    </w:p>
    <w:p>
      <w:pPr>
        <w:spacing w:after="0" w:line="1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STOCK UNIT GRANT</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Corporation hereby grants to the Participant, pursuant to and subject to the Plan, an aggregate “target” of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Plan.</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VESTING OF STOCK UNITS</w:t>
      </w:r>
    </w:p>
    <w:p>
      <w:pPr>
        <w:spacing w:after="0" w:line="2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Generally</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incorporated herein by this reference. The “Vesting Date” applicable to the Stock Units is the third anniversary of the Award Date, subject to adjustment as set forth in Paragraph 2 hereof.</w:t>
      </w:r>
    </w:p>
    <w:p>
      <w:pPr>
        <w:spacing w:after="0" w:line="20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Retirement, Termination by the Corporation Without Cause, Death or Disability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If, at any time on or before the Vesting Date, the Participant’s employment with the Corporation or any of its Subsidiaries terminates by reason of the Participant’s (i) Retirement, (ii) termination by the Participant’s employer without Cause (other than following a 409A Change of Control (as defined below)), (iii) death, or (iv) Disability occurring while employed by the Corporation or one of its Subsidiaries (in each case, such date of termination of the Participant’s employment, the “Separation Date”), the Award shall immediately vest on a pro-rata basis in proportion to the percentage of the corresponding vesting period the Participant was employed by the Corporation or one of its Subsidiaries prior to the Separation Date, except as provided below and subject to the conditions below. In such circumstances, the performance-based vesting conditions shall be deemed to have been achieved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and the Award shall vest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provided that (i)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 of #NUM_PAGES#</w:t>
      </w:r>
    </w:p>
    <w:p>
      <w:pPr>
        <w:sectPr>
          <w:pgSz w:w="11900" w:h="16838" w:orient="portrait"/>
          <w:cols w:equalWidth="0" w:num="1">
            <w:col w:w="11240"/>
          </w:cols>
          <w:pgMar w:left="320" w:top="1355" w:right="3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19"/>
          <w:szCs w:val="19"/>
          <w:color w:val="auto"/>
        </w:rPr>
        <w:t>Stock Units eligible to vest shall be reduced such that the “target” number of Stock Units subject to the Award equals (x) such target number of Stock Units before giving effect to this adjustment multiplied by (y) the percentage of the three-year period between the Award Date and the original Vesting Date that the Participant was employed by the Corporation or one of its Subsidiaries prior to such termination of the Participant’s employment; (ii) in the event of Retirement or termination by the Participant’s employer without Cause, the Participant satisfies the release requirement set forth in the following sentence, and (iii) in the event of Retirement, the Participant complies with the conditions set forth in Paragraph 5 hereof through the Vesting Date. As a condition of any such vesting, in the event of Retirement or termination without Cause, the Participant shall, not later than 21 days after such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according to this Paragraph 2B shall be paid in accordance with Paragraph 7 hereof, provided that for the purposes of such payment the Vesting Date as to such Stock Units shall be deemed to be the Separation Date. Any remaining unvested portion of the Award after giving effect to such acceleration shall terminate and be cancelled as of the Separation Date without payment of any consideration by the Corporation and without any other action by the Participant, or the Participant’s beneficiary or personal representative, as the case may be.</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not be met as of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2 of #NUM_PAGES#</w:t>
      </w:r>
    </w:p>
    <w:p>
      <w:pPr>
        <w:sectPr>
          <w:pgSz w:w="11900" w:h="16838" w:orient="portrait"/>
          <w:cols w:equalWidth="0" w:num="1">
            <w:col w:w="11240"/>
          </w:cols>
          <w:pgMar w:left="320" w:top="1359" w:right="339" w:bottom="1440" w:gutter="0" w:footer="0" w:header="0"/>
        </w:sectPr>
      </w:pPr>
    </w:p>
    <w:bookmarkStart w:id="99" w:name="page100"/>
    <w:bookmarkEnd w:id="99"/>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C.</w:t>
        <w:tab/>
        <w:t>Change of Control</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measured with the Measurement Period end date being the date of the 409A Change in Control and deemed to have been achieved at the greater of actual results or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the Participant’s continued employment on the Vesting Date shall be a condition to the vesting of the Award and the rights and benefits under this Agreement.</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of the Vesting Date (including as to any otherwise-completed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and such Stock Units shall be paid in accordance with Paragraph 7.</w:t>
      </w:r>
    </w:p>
    <w:p>
      <w:pPr>
        <w:spacing w:after="0" w:line="190" w:lineRule="exact"/>
        <w:rPr>
          <w:sz w:val="20"/>
          <w:szCs w:val="20"/>
          <w:color w:val="auto"/>
        </w:rPr>
      </w:pPr>
    </w:p>
    <w:p>
      <w:pPr>
        <w:ind w:left="420" w:hanging="417"/>
        <w:spacing w:after="0"/>
        <w:tabs>
          <w:tab w:leader="none" w:pos="4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Change of Control Termination by the Corporation Without Cause or Resignation for Good Reason</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date of such termination of the Participant’s employment with the Corporation and its Subsidiaries (the Participant’s “Separation Date”), with the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3 of #NUM_PAGES#</w:t>
      </w:r>
    </w:p>
    <w:p>
      <w:pPr>
        <w:sectPr>
          <w:pgSz w:w="11900" w:h="16838" w:orient="portrait"/>
          <w:cols w:equalWidth="0" w:num="1">
            <w:col w:w="11240"/>
          </w:cols>
          <w:pgMar w:left="320" w:top="1440" w:right="339" w:bottom="1440" w:gutter="0" w:footer="0" w:header="0"/>
        </w:sectPr>
      </w:pPr>
    </w:p>
    <w:bookmarkStart w:id="100" w:name="page101"/>
    <w:bookmarkEnd w:id="100"/>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vesting conditions for any outstanding and incomplete Measurement Period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deemed to have been achieved at “Target”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8"/>
          <w:szCs w:val="18"/>
          <w:color w:val="auto"/>
        </w:rPr>
        <w:t>Continued Employment</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DIVIDEND AND VOTING RIGHTS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Participant shall have no rights as a stockholder of the Corporation, no dividend rights, and no voting rights with respect to the Stock Units.</w:t>
      </w:r>
    </w:p>
    <w:p>
      <w:pPr>
        <w:spacing w:after="0" w:line="2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TERMINATION OF AWARD</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4 of #NUM_PAGES#</w:t>
      </w:r>
    </w:p>
    <w:p>
      <w:pPr>
        <w:sectPr>
          <w:pgSz w:w="11900" w:h="16838" w:orient="portrait"/>
          <w:cols w:equalWidth="0" w:num="1">
            <w:col w:w="11240"/>
          </w:cols>
          <w:pgMar w:left="320" w:top="1359" w:right="339" w:bottom="1440" w:gutter="0" w:footer="0" w:header="0"/>
        </w:sectPr>
      </w:pPr>
    </w:p>
    <w:bookmarkStart w:id="101" w:name="page102"/>
    <w:bookmarkEnd w:id="101"/>
    <w:p>
      <w:pPr>
        <w:jc w:val="both"/>
        <w:spacing w:after="0" w:line="262" w:lineRule="auto"/>
        <w:rPr>
          <w:sz w:val="20"/>
          <w:szCs w:val="20"/>
          <w:color w:val="auto"/>
        </w:rPr>
      </w:pPr>
      <w:r>
        <w:rPr>
          <w:rFonts w:ascii="Times New Roman" w:cs="Times New Roman" w:eastAsia="Times New Roman" w:hAnsi="Times New Roman"/>
          <w:sz w:val="19"/>
          <w:szCs w:val="19"/>
          <w:color w:val="auto"/>
        </w:rPr>
        <w:t>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CONDITIONS UPON RETIREMENT</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w:t>
      </w:r>
    </w:p>
    <w:p>
      <w:pPr>
        <w:spacing w:after="0" w:line="2" w:lineRule="exact"/>
        <w:rPr>
          <w:sz w:val="20"/>
          <w:szCs w:val="20"/>
          <w:color w:val="auto"/>
        </w:rPr>
      </w:pPr>
    </w:p>
    <w:p>
      <w:pPr>
        <w:jc w:val="both"/>
        <w:ind w:firstLine="3"/>
        <w:spacing w:after="0" w:line="252" w:lineRule="auto"/>
        <w:tabs>
          <w:tab w:leader="none" w:pos="273"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9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NO EMPLOYMENT COMMITMENT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Nothing contained in this Agreement or the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TIMING AND MANNER OF PAYMENT OF STOCK UNITS</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On or as soon as administratively practical following the Vesting Date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(or other applicable date determined pursuant to Paragraph 2 hereof), and in all events not later than 74 days after the Vesting Date (or such other period as may be provided for in Paragraph 2), the Corporation shall deliver to the Participant a cash payment (subject to any withholding for taxes pursuant to Paragraph 8) equal to the number of Stock Units that vested on the Vesting Date multiplied by the Payment Value. The “Payment Value” as of the Vesting Date is the sum of: (a)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the Vesting Date; provided, however, that if the Corporation’s Common Stock is not listed or admitted to trade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5 of #NUM_PAGES#</w:t>
      </w:r>
    </w:p>
    <w:p>
      <w:pPr>
        <w:sectPr>
          <w:pgSz w:w="11900" w:h="16838" w:orient="portrait"/>
          <w:cols w:equalWidth="0" w:num="1">
            <w:col w:w="11240"/>
          </w:cols>
          <w:pgMar w:left="320" w:top="1359" w:right="339" w:bottom="1440" w:gutter="0" w:footer="0" w:header="0"/>
        </w:sectPr>
      </w:pPr>
    </w:p>
    <w:bookmarkStart w:id="102" w:name="page103"/>
    <w:bookmarkEnd w:id="102"/>
    <w:p>
      <w:pPr>
        <w:jc w:val="both"/>
        <w:spacing w:after="0" w:line="271" w:lineRule="auto"/>
        <w:rPr>
          <w:sz w:val="20"/>
          <w:szCs w:val="20"/>
          <w:color w:val="auto"/>
        </w:rPr>
      </w:pPr>
      <w:r>
        <w:rPr>
          <w:rFonts w:ascii="Times New Roman" w:cs="Times New Roman" w:eastAsia="Times New Roman" w:hAnsi="Times New Roman"/>
          <w:sz w:val="18"/>
          <w:szCs w:val="18"/>
          <w:color w:val="auto"/>
        </w:rPr>
        <w:t>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 timing of payment of any Stock Units may not be changed by the Corporation (including pursuant to any provision of the Plan), except as would satisfy Treasury Regulation Section 1.409A-3(j)(4).</w:t>
      </w:r>
    </w:p>
    <w:p>
      <w:pPr>
        <w:spacing w:after="0" w:line="16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TAX WITHHOLDING</w:t>
      </w:r>
    </w:p>
    <w:p>
      <w:pPr>
        <w:spacing w:after="0" w:line="2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ADJUSTMENT UPON SPECIFIED EVENTS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Upon the occurrence of certain events relating to the Corporation’s stock contemplated by Section 7.1 of the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NON-TRANSFERABILITY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6 of #NUM_PAGES#</w:t>
      </w:r>
    </w:p>
    <w:p>
      <w:pPr>
        <w:sectPr>
          <w:pgSz w:w="11900" w:h="16838" w:orient="portrait"/>
          <w:cols w:equalWidth="0" w:num="1">
            <w:col w:w="11240"/>
          </w:cols>
          <w:pgMar w:left="320" w:top="1359" w:right="339" w:bottom="1440" w:gutter="0" w:footer="0" w:header="0"/>
        </w:sectPr>
      </w:pPr>
    </w:p>
    <w:bookmarkStart w:id="103" w:name="page104"/>
    <w:bookmarkEnd w:id="103"/>
    <w:p>
      <w:pPr>
        <w:jc w:val="both"/>
        <w:spacing w:after="0" w:line="255" w:lineRule="auto"/>
        <w:rPr>
          <w:sz w:val="20"/>
          <w:szCs w:val="20"/>
          <w:color w:val="auto"/>
        </w:rPr>
      </w:pPr>
      <w:r>
        <w:rPr>
          <w:rFonts w:ascii="Times New Roman" w:cs="Times New Roman" w:eastAsia="Times New Roman" w:hAnsi="Times New Roman"/>
          <w:sz w:val="19"/>
          <w:szCs w:val="19"/>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9"/>
          <w:szCs w:val="19"/>
          <w:b w:val="1"/>
          <w:bCs w:val="1"/>
          <w:color w:val="auto"/>
        </w:rPr>
        <w:t>11.</w:t>
        <w:tab/>
        <w:t>AMENDMENT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the event that the Board amends the Plan and such amendment modifies or otherwise affects the subject matter of this Agreement, this Agreement shall, to that extent, be deemed to be amended by such amendment to the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12.</w:t>
        <w:tab/>
        <w:t>CONSTRUCTION</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any conflict between the Plan and this Agreement, the provisions of the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ENTIRE AGREEMENT</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14.</w:t>
        <w:tab/>
        <w:t>HEADINGS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headings of the paragraphs of this Agreement are inserted for convenience only and shall not be deemed a part hereof.</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CLAWBACK POLICY</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16.</w:t>
        <w:tab/>
        <w:t>SECTION 409A</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7 of #NUM_PAGES#</w:t>
      </w:r>
    </w:p>
    <w:p>
      <w:pPr>
        <w:sectPr>
          <w:pgSz w:w="11900" w:h="16838" w:orient="portrait"/>
          <w:cols w:equalWidth="0" w:num="1">
            <w:col w:w="11240"/>
          </w:cols>
          <w:pgMar w:left="320" w:top="1359" w:right="339" w:bottom="1440" w:gutter="0" w:footer="0" w:header="0"/>
        </w:sectPr>
      </w:pPr>
    </w:p>
    <w:bookmarkStart w:id="104" w:name="page105"/>
    <w:bookmarkEnd w:id="104"/>
    <w:p>
      <w:pPr>
        <w:spacing w:after="0" w:line="284" w:lineRule="auto"/>
        <w:rPr>
          <w:sz w:val="20"/>
          <w:szCs w:val="20"/>
          <w:color w:val="auto"/>
        </w:rPr>
      </w:pPr>
      <w:r>
        <w:rPr>
          <w:rFonts w:ascii="Times New Roman" w:cs="Times New Roman" w:eastAsia="Times New Roman" w:hAnsi="Times New Roman"/>
          <w:sz w:val="19"/>
          <w:szCs w:val="19"/>
          <w:color w:val="auto"/>
        </w:rPr>
        <w:t>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8 of #NUM_PAGES#</w:t>
      </w:r>
    </w:p>
    <w:p>
      <w:pPr>
        <w:sectPr>
          <w:pgSz w:w="11900" w:h="16838" w:orient="portrait"/>
          <w:cols w:equalWidth="0" w:num="1">
            <w:col w:w="11240"/>
          </w:cols>
          <w:pgMar w:left="320" w:top="135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ectPr>
          <w:pgSz w:w="11900" w:h="16838" w:orient="portrait"/>
          <w:cols w:equalWidth="0" w:num="1">
            <w:col w:w="10139"/>
          </w:cols>
          <w:pgMar w:left="320" w:top="13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ONITY GROUP INC.</w:t>
      </w:r>
    </w:p>
    <w:p>
      <w:pPr>
        <w:spacing w:after="0" w:line="2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w:t>
      </w: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9 of #NUM_PAGES#</w:t>
      </w:r>
    </w:p>
    <w:p>
      <w:pPr>
        <w:sectPr>
          <w:pgSz w:w="11900" w:h="16838" w:orient="portrait"/>
          <w:cols w:equalWidth="0" w:num="1">
            <w:col w:w="10139"/>
          </w:cols>
          <w:pgMar w:left="320" w:top="1359" w:right="1440"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VESTING REQUIREMENTS</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209"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Measurement Period</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Period Dates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Stock</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Units Allocated</w:t>
            </w: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First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2026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15, 2027</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Second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2027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15, 2028</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Third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2028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15, 2029</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Fourth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2026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15, 2029</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229" w:lineRule="exact"/>
        <w:rPr>
          <w:sz w:val="20"/>
          <w:szCs w:val="20"/>
          <w:color w:val="auto"/>
        </w:rPr>
      </w:pPr>
    </w:p>
    <w:tbl>
      <w:tblPr>
        <w:tblLayout w:type="fixed"/>
        <w:tblInd w:w="1170" w:type="dxa"/>
        <w:tblCellMar>
          <w:top w:w="0" w:type="dxa"/>
          <w:left w:w="0" w:type="dxa"/>
          <w:bottom w:w="0" w:type="dxa"/>
          <w:right w:w="0" w:type="dxa"/>
        </w:tblCellMar>
      </w:tblPr>
      <w:tr>
        <w:trPr>
          <w:trHeight w:val="272"/>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Relative TSR Achieved for</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Level</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Allocated</w:t>
            </w:r>
          </w:p>
        </w:tc>
      </w:tr>
      <w:tr>
        <w:trPr>
          <w:trHeight w:val="249"/>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the Measurement Period</w:t>
            </w:r>
          </w:p>
        </w:tc>
        <w:tc>
          <w:tcPr>
            <w:tcW w:w="238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Stock Units Vesting</w:t>
            </w:r>
          </w:p>
        </w:tc>
      </w:tr>
      <w:tr>
        <w:trPr>
          <w:trHeight w:val="215"/>
        </w:trPr>
        <w:tc>
          <w:tcPr>
            <w:tcW w:w="2420" w:type="dxa"/>
            <w:vAlign w:val="bottom"/>
            <w:tcBorders>
              <w:left w:val="single" w:sz="8" w:color="auto"/>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&lt;25</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9"/>
                <w:szCs w:val="19"/>
                <w:color w:val="auto"/>
                <w:w w:val="96"/>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Below Threshold</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25</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100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w:t>
      </w:r>
    </w:p>
    <w:p>
      <w:pPr>
        <w:sectPr>
          <w:pgSz w:w="11900" w:h="16838" w:orient="portrait"/>
          <w:cols w:equalWidth="0" w:num="1">
            <w:col w:w="11240"/>
          </w:cols>
          <w:pgMar w:left="320" w:top="1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Page 10 of #NUM_PAGES#</w:t>
      </w:r>
    </w:p>
    <w:p>
      <w:pPr>
        <w:sectPr>
          <w:pgSz w:w="11900" w:h="16838" w:orient="portrait"/>
          <w:cols w:equalWidth="0" w:num="1">
            <w:col w:w="11240"/>
          </w:cols>
          <w:pgMar w:left="320" w:top="1355" w:right="339" w:bottom="1440" w:gutter="0" w:footer="0" w:header="0"/>
          <w:type w:val="continuous"/>
        </w:sectPr>
      </w:pPr>
    </w:p>
    <w:bookmarkStart w:id="107" w:name="page108"/>
    <w:bookmarkEnd w:id="107"/>
    <w:p>
      <w:pPr>
        <w:jc w:val="both"/>
        <w:spacing w:after="0" w:line="234" w:lineRule="auto"/>
        <w:rPr>
          <w:sz w:val="20"/>
          <w:szCs w:val="20"/>
          <w:color w:val="auto"/>
        </w:rPr>
      </w:pPr>
      <w:r>
        <w:rPr>
          <w:rFonts w:ascii="Times New Roman" w:cs="Times New Roman" w:eastAsia="Times New Roman" w:hAnsi="Times New Roman"/>
          <w:sz w:val="19"/>
          <w:szCs w:val="19"/>
          <w:color w:val="auto"/>
        </w:rPr>
        <w:t>determined based on straight-line interpolation between points (for clarity, if the Relative TSR achieved for the Measurement Period was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termination of employment described under Paragraph 2B of this Agreement, this paragraph shall apply. For any Measurement Period listed above that begins after the Separation Date, the performance level of that Measurement Period will be deemed to be achieved at “Target”. In the event the Separation Date is earlier than the end date of a Measurement Period listed above, the Separation Date shall become the end date of that Measurement Period.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409A Change in Control described under Paragraph 2C of this Agreement, this paragraph shall apply. For any Measurement Period listed above that begins after the date of the 409A Change in Control, the performance level for that Measurement Period will be deemed to be achieved at “Target”. In the event the date of the 409A Change in Control is earlier than the end date of a Measurement Period listed above, the date of the 409A Change in Control shall become the end date of that Measurement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the following definitions shall apply: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“Absolute Total Shareholder Return” </w:t>
      </w:r>
      <w:r>
        <w:rPr>
          <w:rFonts w:ascii="Times New Roman" w:cs="Times New Roman" w:eastAsia="Times New Roman" w:hAnsi="Times New Roman"/>
          <w:sz w:val="19"/>
          <w:szCs w:val="19"/>
          <w:color w:val="auto"/>
        </w:rPr>
        <w:t>(or “Absolute TSR”) means, as to the applicable company for the applicable Measurement Period,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2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 xml:space="preserve">“Beginning Stock Price” </w:t>
      </w:r>
      <w:r>
        <w:rPr>
          <w:rFonts w:ascii="Times New Roman" w:cs="Times New Roman" w:eastAsia="Times New Roman" w:hAnsi="Times New Roman"/>
          <w:sz w:val="19"/>
          <w:szCs w:val="19"/>
          <w:color w:val="auto"/>
        </w:rPr>
        <w:t>as to a Measurement Period means the average of the Closing Stock Prices for the applicable company for the thirty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consecutive trading days ending with the first trading day of the Measurement Period.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“Closing Stock Price” </w:t>
      </w:r>
      <w:r>
        <w:rPr>
          <w:rFonts w:ascii="Times New Roman" w:cs="Times New Roman" w:eastAsia="Times New Roman" w:hAnsi="Times New Roman"/>
          <w:sz w:val="19"/>
          <w:szCs w:val="19"/>
          <w:color w:val="auto"/>
        </w:rPr>
        <w:t>means, as of any calendar day as to the applicable company for the applicable Measurement Period, the sum of (a)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closing price (in regular 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11 of #NUM_PAGES#</w:t>
      </w:r>
    </w:p>
    <w:p>
      <w:pPr>
        <w:sectPr>
          <w:pgSz w:w="11900" w:h="16838" w:orient="portrait"/>
          <w:cols w:equalWidth="0" w:num="1">
            <w:col w:w="11240"/>
          </w:cols>
          <w:pgMar w:left="320" w:top="1359" w:right="339" w:bottom="1440" w:gutter="0" w:footer="0" w:header="0"/>
        </w:sectPr>
      </w:pPr>
    </w:p>
    <w:bookmarkStart w:id="108" w:name="page109"/>
    <w:bookmarkEnd w:id="108"/>
    <w:p>
      <w:pPr>
        <w:jc w:val="both"/>
        <w:spacing w:after="0" w:line="262" w:lineRule="auto"/>
        <w:rPr>
          <w:sz w:val="20"/>
          <w:szCs w:val="20"/>
          <w:color w:val="auto"/>
        </w:rPr>
      </w:pPr>
      <w:r>
        <w:rPr>
          <w:rFonts w:ascii="Times New Roman" w:cs="Times New Roman" w:eastAsia="Times New Roman" w:hAnsi="Times New Roman"/>
          <w:sz w:val="19"/>
          <w:szCs w:val="19"/>
          <w:color w:val="auto"/>
        </w:rPr>
        <w:t>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 xml:space="preserve">“Ending Stock Price” </w:t>
      </w:r>
      <w:r>
        <w:rPr>
          <w:rFonts w:ascii="Times New Roman" w:cs="Times New Roman" w:eastAsia="Times New Roman" w:hAnsi="Times New Roman"/>
          <w:sz w:val="19"/>
          <w:szCs w:val="19"/>
          <w:color w:val="auto"/>
        </w:rPr>
        <w:t>means, as to a particular Measurement Period, the average of the Closing Stock Prices for the applicable company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thirty (30) consecutive trading days ending with the last trading day of the Measurement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“Performance Peer Group” </w:t>
      </w:r>
      <w:r>
        <w:rPr>
          <w:rFonts w:ascii="Times New Roman" w:cs="Times New Roman" w:eastAsia="Times New Roman" w:hAnsi="Times New Roman"/>
          <w:sz w:val="19"/>
          <w:szCs w:val="19"/>
          <w:color w:val="auto"/>
        </w:rPr>
        <w:t>means the following companies:</w:t>
      </w:r>
    </w:p>
    <w:p>
      <w:pPr>
        <w:spacing w:after="0" w:line="30" w:lineRule="exact"/>
        <w:rPr>
          <w:sz w:val="20"/>
          <w:szCs w:val="20"/>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Annaly Capital Management,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Home &amp; Finance Holding Company</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Cherry Hill Mortgage Investment Corporation</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Finance of America Companies, Inc.</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loanDepot,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Merchants Bancorp</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MGIC Investment Corporation</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NMI Holdings,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PennyMac Financial Services, Inc.</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Radian Group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Redwood Trust,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Rithm Capital Corp.</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Rocket Companies,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UWM Holdings Corporation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“Relative Total Shareholder Return” </w:t>
      </w:r>
      <w:r>
        <w:rPr>
          <w:rFonts w:ascii="Times New Roman" w:cs="Times New Roman" w:eastAsia="Times New Roman" w:hAnsi="Times New Roman"/>
          <w:sz w:val="19"/>
          <w:szCs w:val="19"/>
          <w:color w:val="auto"/>
        </w:rPr>
        <w:t>(or “</w:t>
      </w:r>
      <w:r>
        <w:rPr>
          <w:rFonts w:ascii="Times New Roman" w:cs="Times New Roman" w:eastAsia="Times New Roman" w:hAnsi="Times New Roman"/>
          <w:sz w:val="19"/>
          <w:szCs w:val="19"/>
          <w:b w:val="1"/>
          <w:bCs w:val="1"/>
          <w:color w:val="auto"/>
        </w:rPr>
        <w:t>Relative TSR</w:t>
      </w:r>
      <w:r>
        <w:rPr>
          <w:rFonts w:ascii="Times New Roman" w:cs="Times New Roman" w:eastAsia="Times New Roman" w:hAnsi="Times New Roman"/>
          <w:sz w:val="19"/>
          <w:szCs w:val="19"/>
          <w:color w:val="auto"/>
        </w:rPr>
        <w:t>”) means the Corporation’s Absolute TSR ranked relative to the Absolute TSR values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companies in its Performance Peer Group (as defined above), expressed as a percentile where the highest Absolute TSR achieved by the Corporation or other company in the Performance Peer Group is the 100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the lowest Absolute TSR achieved by the Corporation or other company in the Performance Peer Group is the 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auto"/>
        </w:rPr>
        <w:t>Determination</w:t>
      </w:r>
      <w:r>
        <w:rPr>
          <w:rFonts w:ascii="Times New Roman" w:cs="Times New Roman" w:eastAsia="Times New Roman" w:hAnsi="Times New Roman"/>
          <w:sz w:val="19"/>
          <w:szCs w:val="19"/>
          <w:color w:val="auto"/>
        </w:rPr>
        <w:t>. Following the end of each Measurement Period, the Administrator shall make a determination as to the Corporation’s achievement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performance-based vesting requirements set forth in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12 of #NUM_PAGES#</w:t>
      </w:r>
    </w:p>
    <w:p>
      <w:pPr>
        <w:sectPr>
          <w:pgSz w:w="11900" w:h="16838" w:orient="portrait"/>
          <w:cols w:equalWidth="0" w:num="1">
            <w:col w:w="11240"/>
          </w:cols>
          <w:pgMar w:left="320" w:top="1359" w:right="339" w:bottom="1440" w:gutter="0" w:footer="0" w:header="0"/>
        </w:sectPr>
      </w:pPr>
    </w:p>
    <w:bookmarkStart w:id="109" w:name="page110"/>
    <w:bookmarkEnd w:id="109"/>
    <w:p>
      <w:pPr>
        <w:jc w:val="right"/>
        <w:ind w:right="4319"/>
        <w:spacing w:after="0"/>
        <w:rPr>
          <w:sz w:val="20"/>
          <w:szCs w:val="20"/>
          <w:color w:val="auto"/>
        </w:rPr>
      </w:pPr>
      <w:r>
        <w:rPr>
          <w:rFonts w:ascii="Times New Roman" w:cs="Times New Roman" w:eastAsia="Times New Roman" w:hAnsi="Times New Roman"/>
          <w:sz w:val="19"/>
          <w:szCs w:val="19"/>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Page 13 of #NUM_PAGES#</w:t>
      </w:r>
    </w:p>
    <w:p>
      <w:pPr>
        <w:sectPr>
          <w:pgSz w:w="11900" w:h="16838" w:orient="portrait"/>
          <w:cols w:equalWidth="0" w:num="1">
            <w:col w:w="9839"/>
          </w:cols>
          <w:pgMar w:left="620" w:top="1359" w:right="1440" w:bottom="1440" w:gutter="0" w:footer="0" w:header="0"/>
        </w:sectPr>
      </w:pPr>
    </w:p>
    <w:bookmarkStart w:id="110" w:name="page111"/>
    <w:bookmarkEnd w:id="110"/>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STOCK UNIT AWARD AGREEMENT</w:t>
      </w:r>
    </w:p>
    <w:p>
      <w:pPr>
        <w:spacing w:after="0" w:line="200" w:lineRule="exact"/>
        <w:rPr>
          <w:sz w:val="20"/>
          <w:szCs w:val="20"/>
          <w:color w:val="auto"/>
        </w:rPr>
      </w:pPr>
    </w:p>
    <w:p>
      <w:pPr>
        <w:spacing w:after="0" w:line="2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THIS PERFORMANCE STOCK UNIT AWARD AGREEMENT </w:t>
      </w:r>
      <w:r>
        <w:rPr>
          <w:rFonts w:ascii="Times New Roman" w:cs="Times New Roman" w:eastAsia="Times New Roman" w:hAnsi="Times New Roman"/>
          <w:sz w:val="19"/>
          <w:szCs w:val="19"/>
          <w:color w:val="auto"/>
        </w:rPr>
        <w:t>(this “Agreement”) is made as of</w:t>
      </w:r>
      <w:r>
        <w:rPr>
          <w:rFonts w:ascii="Times New Roman" w:cs="Times New Roman" w:eastAsia="Times New Roman" w:hAnsi="Times New Roman"/>
          <w:sz w:val="19"/>
          <w:szCs w:val="19"/>
          <w:b w:val="1"/>
          <w:bCs w:val="1"/>
          <w:color w:val="auto"/>
        </w:rPr>
        <w:t xml:space="preserve"> [date] </w:t>
      </w:r>
      <w:r>
        <w:rPr>
          <w:rFonts w:ascii="Times New Roman" w:cs="Times New Roman" w:eastAsia="Times New Roman" w:hAnsi="Times New Roman"/>
          <w:sz w:val="19"/>
          <w:szCs w:val="19"/>
          <w:color w:val="auto"/>
        </w:rPr>
        <w:t>(the “Award Date”) between Onity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Group Inc., a Florida corporation (the “Corporation”), and </w:t>
      </w:r>
      <w:r>
        <w:rPr>
          <w:rFonts w:ascii="Times New Roman" w:cs="Times New Roman" w:eastAsia="Times New Roman" w:hAnsi="Times New Roman"/>
          <w:sz w:val="19"/>
          <w:szCs w:val="19"/>
          <w:b w:val="1"/>
          <w:bCs w:val="1"/>
          <w:color w:val="auto"/>
        </w:rPr>
        <w:t>[name]</w:t>
      </w:r>
      <w:r>
        <w:rPr>
          <w:rFonts w:ascii="Times New Roman" w:cs="Times New Roman" w:eastAsia="Times New Roman" w:hAnsi="Times New Roman"/>
          <w:sz w:val="19"/>
          <w:szCs w:val="19"/>
          <w:color w:val="auto"/>
        </w:rPr>
        <w:t>, an employee of the Corporation or of a Subsidiary (the “Participant”).</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Corporation desires, by granting to the Participant an award of stock units pursuant to the Corporation’s 2021 Equity Incentive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(the “Plan”), to further the objectives of the Plan;</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hereinafter set forth and for other good and valuable consideration, and intending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legally bound hereby, the parties hereto have agreed, and do hereby agree, as follows:</w:t>
      </w:r>
    </w:p>
    <w:p>
      <w:pPr>
        <w:spacing w:after="0" w:line="1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STOCK UNIT GRANT</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Corporation hereby grants to the Participant, pursuant to and subject to the Plan, an aggregate “target” of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Plan.</w:t>
      </w:r>
    </w:p>
    <w:p>
      <w:pPr>
        <w:spacing w:after="0" w:line="1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VESTING OF STOCK UNITS</w:t>
      </w:r>
    </w:p>
    <w:p>
      <w:pPr>
        <w:spacing w:after="0" w:line="2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Generally</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incorporated herein by this reference. The “Vesting Date” applicable to the Stock Units is the third anniversary of the Award Date, subject to adjustment as set forth in Paragraph 2 hereof.</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Retirement, Termination by the Corporation Without Cause, Death or Disability</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If, at any time on or before the Vesting Date, the Participant’s employment with the Corporation or any of its Subsidiaries terminates by reason of the Participant’s (i) Retirement, (ii) termination by the Participant’s employer without Cause (other than following a 409A Change of Control (as defined below)), (iii) death, or (iv) Disability occurring while employed by the Corporation or one of its Subsidiaries (in each case, such date of termination of the Participant’s employment, the “Separation Date”), the Award shall immediately vest on a pro-rata basis in proportion to the percentage of the corresponding vesting period the Participant was employed by the Corporation or one of its Subsidiaries prior to the Separation Date, except as provided below and subject to the conditions below. In such circumstances, the performance-based vesting conditions shall be deemed to have been achieved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and the Award shall vest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provided that (i) the number of Stock Units eligible to vest shall be reduced such that the “target” number of Stock Units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 of #NUM_PAGES#</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Award equals (x) such target number of Stock Units before giving effect to this adjustment multiplied by (y) percentage of the three-year period between the Award Date and the original Vesting Date that the Participant was employed by the Corporation or one of its Subsidiaries prior to such termination of the Participant’s employment; (ii) in the event of Retirement or termination by the Participant’s employer without Cause, the Participant satisfies the release requirement set forth in the following sentence, and (iii) in the event of Retirement, the Participant complies with the conditions set forth in Paragraph 5 hereof through the Vesting Date. As a condition of any such vesting, in the event of Retirement or termination without Cause, the Participant shall, not later than 21 days after such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according to this Paragraph 2B shall be paid in accordance with Paragraph 7 hereof, provided that for the purposes of such payment the Vesting Date as to such Stock Units shall be deemed to be the Separation Date. Any remaining unvested portion of the Award after giving effect to such acceleration shall terminate and be cancelled as of the Separation Date without payment of any consideration by the Corporation and without any other action by the Participant, or the Participant’s beneficiary or personal representative, as the case may be.</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not be met as of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2 of #NUM_PAGES#</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1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C.</w:t>
        <w:tab/>
        <w:t>Change of Control</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measured with the Measurement Period end date being the date of the 409A Change in Control and deemed to have been achieved at the greater of actual results or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the Participant’s continued employment on the Vesting Date shall be a condition to the vesting of the Award and the rights and benefits under this Agreement.</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of the Vesting Date (including as to any otherwise-completed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and such Stock Units shall be paid in accordance with Paragraph 7.</w:t>
      </w:r>
    </w:p>
    <w:p>
      <w:pPr>
        <w:spacing w:after="0" w:line="203" w:lineRule="exact"/>
        <w:rPr>
          <w:sz w:val="20"/>
          <w:szCs w:val="20"/>
          <w:color w:val="auto"/>
        </w:rPr>
      </w:pPr>
    </w:p>
    <w:p>
      <w:pPr>
        <w:ind w:left="420" w:hanging="417"/>
        <w:spacing w:after="0"/>
        <w:tabs>
          <w:tab w:leader="none" w:pos="42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Change of Control Termination by the Corporation Without Cause or Resignation for Good Reason</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date of such termination of the Participant’s employment with the Corporation and its Subsidiaries (the Participant’s “Separation Date”), with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3 of #NUM_PAGES#</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8"/>
          <w:szCs w:val="18"/>
          <w:color w:val="auto"/>
        </w:rPr>
        <w:t>Continued Employment</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DIVIDEND AND VOTING RIGHTS</w:t>
      </w:r>
    </w:p>
    <w:p>
      <w:pPr>
        <w:spacing w:after="0" w:line="2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Limitations on Rights Associated with Units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4 of #NUM_PAGES#</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7 of the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2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TERMINATION OF AWARD</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CONDITIONS UPON RETIREMENT</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w:t>
      </w:r>
    </w:p>
    <w:p>
      <w:pPr>
        <w:spacing w:after="0" w:line="2" w:lineRule="exact"/>
        <w:rPr>
          <w:sz w:val="20"/>
          <w:szCs w:val="20"/>
          <w:color w:val="auto"/>
        </w:rPr>
      </w:pPr>
    </w:p>
    <w:p>
      <w:pPr>
        <w:jc w:val="both"/>
        <w:ind w:firstLine="3"/>
        <w:spacing w:after="0" w:line="252" w:lineRule="auto"/>
        <w:tabs>
          <w:tab w:leader="none" w:pos="273"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9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NO EMPLOYMENT COMMITMENT</w:t>
      </w: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Nothing contained in this Agreement or the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5 of #NUM_PAGES#</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TIMING AND MANNER OF PAYMENT OF STOCK UNITS</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 or as soon as administratively practical following the Vesting Date as provided in Appendix A (or other applicable date determined pursuant to Paragraph 2 hereof), and in all events not later than 60 days after the Vesting Date (or such other period as may be provided for in Paragraph 2),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the Vesting Date; provided, however, that if the Corporation’s Common Stock is not listed or admitted to trade on any national securities exchange on the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Notwithstanding the preceding sentence, in the event that the issuance of Shares in respect of the Stock Units would cause any applicable share limit of the Plan to be exceeded, the Corporation may pay one or more Stock Units that have vested in cash rather than by delivering Shares. In such event, payment of any Stock Units to be settled in cash will be made within the same period of time as provided in the first sentence of this Paragraph 7 and the amount of payment for such Stock Units shall (subject to any withholding for taxes pursuant to Paragraph 8) equal the number of Stock Units that vested on the Vesting Date to be settled in cash multiplied by the Payment Value as of the Vesting Date. The “Payment Value” as of the Vesting Date is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6 of #NUM_PAGES#</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2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timing of payment of any Stock Units may not be changed by the Corporation (including pursuant to any provision of the Plan), except as would satisfy Treasury Regulation Section 1.409A-3(j)(4).</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TAX 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Upon any payment in respect of the Stock Units (whether in cash or Shares), the Corporation shall withhold from the amount of any such payment to the Participant with respect of the Award to be made in cash the amount of any tax withholding obligations of the Corporation or its Subsidiaries with respect to the payment in respect of the Stock Units (including any portion of such payment to be made in Shares). To the extent any tax withholding obligations of the Corporation or its Subsidiaries with respect to any payment in respect of the Stock Units remains unsatisfied after giving effect to the preceding sentence, then, subject to compliance with all applicable laws, rules and regulations and unless otherwise provided by the Committee, the Corporation shall automatically reduce (or otherwise reacquire) from the number of Shares to otherwise be delivered as part of such payment the appropriate number of whole Shares, valued at their then Fair Market Value, to satisfy any such remaining withholding obligations of the Corporation or its Subsidiaries with respect to such payment. In the event that the Corporation cannot legally satisfy such withholding obligations by such reduction of Shares or the Committee otherwise provides that the Corporation will not so reduce the number of Shares delivered to satisfy such withholding obligations,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ADJUSTMENT UPON SPECIFIED EVENTS</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Upon the occurrence of certain events relating to the Corporation’s stock contemplated by Section 7.1 of the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NON-TRANSFERABILITY OF THE AWARD</w:t>
      </w: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7 of #NUM_PAGES#</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hereof, and the levy of any execution, attachment or similar process upon the Award, shall be null and void and without effect.</w:t>
      </w:r>
    </w:p>
    <w:p>
      <w:pPr>
        <w:spacing w:after="0" w:line="2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HOLDING REQUIREMENT FOR SHARES DELIVERED UPON VESTING</w:t>
      </w:r>
    </w:p>
    <w:p>
      <w:pPr>
        <w:spacing w:after="0" w:line="251" w:lineRule="exact"/>
        <w:rPr>
          <w:sz w:val="20"/>
          <w:szCs w:val="20"/>
          <w:color w:val="auto"/>
        </w:rPr>
      </w:pPr>
    </w:p>
    <w:p>
      <w:pPr>
        <w:jc w:val="both"/>
        <w:ind w:firstLine="3"/>
        <w:spacing w:after="0" w:line="251" w:lineRule="auto"/>
        <w:tabs>
          <w:tab w:leader="none" w:pos="415"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Shares acquired by the Participant in payment of the Stock Units that vest pursuant to this Agreement, the Participant agrees that the Participant will not sell, assign, transfer, pledge, hypothecate or otherwise dispose of such Shares (a “transfer” for purposes of this Section 11) prior to the date that is one (1) year after the Vesting Date on which the Stock Units to which such Shares relate became vested pursuant to this Agreement; provided, however, that the restrictions set forth in this Section 11 shall (i) not apply to any shares withheld or reacquired by the Corporation to satisfy tax withholding obligations as contemplated by Section 8, (ii) not apply to any Shares sold by the Participant to satisfy any tax liability arising in connection with the payment of the Stock Units (to the extent such tax liability exceeds the tax withholding amounts applicable to such Stock Unit payment), (iii) not apply to any transfer of shares made without consideration (or for only nominal consideration) to a “family member” (as such term is defined in the SEC General Instructions to a Registration Statement on Form S-8) of the Participant solely for purposes of estate or tax planning, and provided the transfer restrictions on such shares pursuant to this Section 11 continue in effect after any such transfer, and (iv) lapse upon the Participant’s death or Disability, the occurrence of a 409A Change of Control, or as otherwise provided by the Corporation. The Corporation may provide for any Shares acquired with respect to the Stock Units and issued in book-entry form to include notations regarding the restrictions on transfer imposed under this Section 11 (or, as to any such shares issued in certificate form, provide for such certificates to bear appropriate legends regarding such transfer restrictions). For the avoidance of doubt, any and all transfers of the Shares from the Participant’s account of record with the Corporation’s stock transfer agent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transfer into “street name” holding via a brokerage account) shall be prohibited while the transfer restrictions in the preceding sentence are in effect as to such Shares.</w:t>
      </w:r>
    </w:p>
    <w:p>
      <w:pPr>
        <w:spacing w:after="0" w:line="203" w:lineRule="exact"/>
        <w:rPr>
          <w:rFonts w:ascii="Times New Roman" w:cs="Times New Roman" w:eastAsia="Times New Roman" w:hAnsi="Times New Roman"/>
          <w:sz w:val="19"/>
          <w:szCs w:val="19"/>
          <w:color w:val="auto"/>
        </w:rPr>
      </w:pPr>
    </w:p>
    <w:p>
      <w:pPr>
        <w:jc w:val="both"/>
        <w:ind w:firstLine="3"/>
        <w:spacing w:after="0" w:line="279" w:lineRule="auto"/>
        <w:tabs>
          <w:tab w:leader="none" w:pos="4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transferred or subject to attempted transfer in violation of this Section 11 shall (unless otherwise expressly provided by the Corporation) be subject to forfeiture to the Corporation. Furthermore, in the event of a transfer of Shares by the Participant in violation of this Section 11, the proceeds, gains or other economic benefit actually or constructively received by the Participant in connection with the transfer of such Shares in violation of this Section 11 shall (unless otherwise expressly provided by the Corporation) be subject to forfeiture to the Corporation.</w:t>
      </w:r>
    </w:p>
    <w:p>
      <w:pPr>
        <w:spacing w:after="0" w:line="187" w:lineRule="exact"/>
        <w:rPr>
          <w:rFonts w:ascii="Times New Roman" w:cs="Times New Roman" w:eastAsia="Times New Roman" w:hAnsi="Times New Roman"/>
          <w:sz w:val="18"/>
          <w:szCs w:val="18"/>
          <w:color w:val="auto"/>
        </w:rPr>
      </w:pPr>
    </w:p>
    <w:p>
      <w:pPr>
        <w:jc w:val="both"/>
        <w:ind w:firstLine="3"/>
        <w:spacing w:after="0" w:line="262" w:lineRule="auto"/>
        <w:tabs>
          <w:tab w:leader="none" w:pos="401"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provisions of this Section 11, any transfer of Shares is subject to (without limitation) applicable state and federal securities laws, as well as all applicable Corporation policies (including, without limitation, insider trading policies and any clawback, recoupment or similar policy).</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PAYMENT OF EXPENSES AND COMPLIANCE WITH LAWS</w:t>
      </w:r>
    </w:p>
    <w:p>
      <w:pPr>
        <w:spacing w:after="0" w:line="238" w:lineRule="exact"/>
        <w:rPr>
          <w:sz w:val="20"/>
          <w:szCs w:val="20"/>
          <w:color w:val="auto"/>
        </w:rPr>
      </w:pPr>
    </w:p>
    <w:p>
      <w:pPr>
        <w:jc w:val="both"/>
        <w:ind w:firstLine="3"/>
        <w:spacing w:after="0" w:line="262" w:lineRule="auto"/>
        <w:tabs>
          <w:tab w:leader="none" w:pos="45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201" w:lineRule="exact"/>
        <w:rPr>
          <w:rFonts w:ascii="Times New Roman" w:cs="Times New Roman" w:eastAsia="Times New Roman" w:hAnsi="Times New Roman"/>
          <w:sz w:val="19"/>
          <w:szCs w:val="19"/>
          <w:color w:val="auto"/>
        </w:rPr>
      </w:pPr>
    </w:p>
    <w:p>
      <w:pPr>
        <w:jc w:val="both"/>
        <w:ind w:firstLine="3"/>
        <w:spacing w:after="0" w:line="262" w:lineRule="auto"/>
        <w:tabs>
          <w:tab w:leader="none" w:pos="40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8 of #NUM_PAGES#</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97" w:lineRule="exact"/>
        <w:rPr>
          <w:sz w:val="20"/>
          <w:szCs w:val="20"/>
          <w:color w:val="auto"/>
        </w:rPr>
      </w:pPr>
    </w:p>
    <w:p>
      <w:pPr>
        <w:jc w:val="both"/>
        <w:ind w:firstLine="3"/>
        <w:spacing w:after="0" w:line="255" w:lineRule="auto"/>
        <w:tabs>
          <w:tab w:leader="none" w:pos="476"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AMENDMENT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the event that the Board amends the Plan and such amendment modifies or otherwise affects the subject matter of this Agreement, this Agreement shall, to that extent, be deemed to be amended by such amendment to the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14.</w:t>
        <w:tab/>
        <w:t>CONSTRUCTION</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any conflict between the Plan and this Agreement, the provisions of the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ENTIRE AGREEMENT</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16.</w:t>
        <w:tab/>
        <w:t>HEADINGS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headings of the paragraphs of this Agreement are inserted for convenience only and shall not be deemed a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9 of #NUM_PAGES#</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CLAWBACK POLICY</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Shares received upon vesting of the Stock Units, or cash received with respect to the sale of Shares underlying the Stock Units.</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18.</w:t>
        <w:tab/>
        <w:t>SECTION 409A</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10 of #NUM_PAGES#</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ONITY GROUP INC.</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w:t>
      </w: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11 of #NUM_PAGES#</w:t>
      </w:r>
    </w:p>
    <w:p>
      <w:pPr>
        <w:sectPr>
          <w:pgSz w:w="11900" w:h="16838" w:orient="portrait"/>
          <w:cols w:equalWidth="0" w:num="1">
            <w:col w:w="10139"/>
          </w:cols>
          <w:pgMar w:left="320" w:top="1440" w:right="1440" w:bottom="1440" w:gutter="0" w:footer="0" w:header="0"/>
          <w:type w:val="continuous"/>
        </w:sectPr>
      </w:pPr>
    </w:p>
    <w:bookmarkStart w:id="121" w:name="page122"/>
    <w:bookmarkEnd w:id="121"/>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VESTING REQUIREMENTS</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216"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Measurement Period</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Period Dates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Stock</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Units Allocated</w:t>
            </w: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First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2026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15, 2027</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Second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2027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15, 2028</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Third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2028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15, 2029</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Fourth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15, 2026 through March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15, 2029</w:t>
            </w:r>
          </w:p>
        </w:tc>
        <w:tc>
          <w:tcPr>
            <w:tcW w:w="2040" w:type="dxa"/>
            <w:vAlign w:val="bottom"/>
            <w:tcBorders>
              <w:right w:val="single" w:sz="8" w:color="auto"/>
            </w:tcBorders>
          </w:tcPr>
          <w:p>
            <w:pPr>
              <w:spacing w:after="0"/>
              <w:rPr>
                <w:sz w:val="22"/>
                <w:szCs w:val="22"/>
                <w:color w:val="auto"/>
              </w:rPr>
            </w:pPr>
          </w:p>
        </w:tc>
      </w:tr>
      <w:tr>
        <w:trPr>
          <w:trHeight w:val="202"/>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229"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Relative TSR Achieved for</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Level</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Allocated</w:t>
            </w:r>
          </w:p>
        </w:tc>
      </w:tr>
      <w:tr>
        <w:trPr>
          <w:trHeight w:val="258"/>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the Measurement Period</w:t>
            </w:r>
          </w:p>
        </w:tc>
        <w:tc>
          <w:tcPr>
            <w:tcW w:w="23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Stock Units Vesting</w:t>
            </w:r>
          </w:p>
        </w:tc>
      </w:tr>
      <w:tr>
        <w:trPr>
          <w:trHeight w:val="202"/>
        </w:trPr>
        <w:tc>
          <w:tcPr>
            <w:tcW w:w="2420" w:type="dxa"/>
            <w:vAlign w:val="bottom"/>
            <w:tcBorders>
              <w:left w:val="single" w:sz="8" w:color="auto"/>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&lt;25</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9"/>
                <w:szCs w:val="19"/>
                <w:color w:val="auto"/>
                <w:w w:val="96"/>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Below Threshold</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25</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32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100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200%</w:t>
            </w:r>
          </w:p>
        </w:tc>
      </w:tr>
      <w:tr>
        <w:trPr>
          <w:trHeight w:val="148"/>
        </w:trPr>
        <w:tc>
          <w:tcPr>
            <w:tcW w:w="2420" w:type="dxa"/>
            <w:vAlign w:val="bottom"/>
            <w:tcBorders>
              <w:left w:val="single" w:sz="8" w:color="auto"/>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w:t>
      </w:r>
    </w:p>
    <w:p>
      <w:pPr>
        <w:sectPr>
          <w:pgSz w:w="11900" w:h="16838" w:orient="portrait"/>
          <w:cols w:equalWidth="0" w:num="1">
            <w:col w:w="11240"/>
          </w:cols>
          <w:pgMar w:left="320" w:top="1440" w:right="339" w:bottom="10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Page 12 of #NUM_PAGES#</w:t>
      </w:r>
    </w:p>
    <w:p>
      <w:pPr>
        <w:sectPr>
          <w:pgSz w:w="11900" w:h="16838" w:orient="portrait"/>
          <w:cols w:equalWidth="0" w:num="1">
            <w:col w:w="11240"/>
          </w:cols>
          <w:pgMar w:left="320" w:top="1440" w:right="339" w:bottom="1029" w:gutter="0" w:footer="0" w:header="0"/>
          <w:type w:val="continuous"/>
        </w:sectPr>
      </w:pPr>
    </w:p>
    <w:bookmarkStart w:id="122" w:name="page123"/>
    <w:bookmarkEnd w:id="122"/>
    <w:p>
      <w:pPr>
        <w:spacing w:after="0" w:line="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determined based on straight-line interpolation between points (for clarity, if the Relative TSR achieved for the Measurement Period was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termination of employment described under Paragraph 2B of this Agreement, this paragraph shall apply. For any Measurement Period listed above that begins after the Separation Date, the performance level of that Measurement Period will be deemed to be achieved at “Target”. In the event the Separation Date is earlier than the end date of a Measurement Period listed above, the Separation Date shall become the end date of that Measurement Period.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409A Change in Control described under Paragraph 2C of this Agreement, this paragraph shall apply. For any Measurement Period listed above that begins after the date of the 409A Change in Control, the performance level for that Measurement Period will be deemed to be achieved at “Target”. In the event the date of the 409A Change in Control is earlier than the end date of a Measurement Period listed above, the date of the 409A Change in Control shall become the end date of that Measurement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the following definitions shall apply: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“Absolute Total Shareholder Return” </w:t>
      </w:r>
      <w:r>
        <w:rPr>
          <w:rFonts w:ascii="Times New Roman" w:cs="Times New Roman" w:eastAsia="Times New Roman" w:hAnsi="Times New Roman"/>
          <w:sz w:val="19"/>
          <w:szCs w:val="19"/>
          <w:color w:val="auto"/>
        </w:rPr>
        <w:t>(or “Absolute TSR”) means, as to the applicable company for the applicable Measurement Period,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1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“Beginning Stock Price” </w:t>
      </w:r>
      <w:r>
        <w:rPr>
          <w:rFonts w:ascii="Times New Roman" w:cs="Times New Roman" w:eastAsia="Times New Roman" w:hAnsi="Times New Roman"/>
          <w:sz w:val="19"/>
          <w:szCs w:val="19"/>
          <w:color w:val="auto"/>
        </w:rPr>
        <w:t>as to a Measurement Period means the average of the Closing Stock Prices for the applicable company for the thirty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consecutive trading days ending with the first trading day of the Measurement Period.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“Closing Stock Price” </w:t>
      </w:r>
      <w:r>
        <w:rPr>
          <w:rFonts w:ascii="Times New Roman" w:cs="Times New Roman" w:eastAsia="Times New Roman" w:hAnsi="Times New Roman"/>
          <w:sz w:val="19"/>
          <w:szCs w:val="19"/>
          <w:color w:val="auto"/>
        </w:rPr>
        <w:t>means, as of any calendar day as to the applicable company for the applicable Measurement Period, the sum of (a)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closing price (in regular 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13 of #NUM_PAGES#</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“Ending Stock Price” </w:t>
      </w:r>
      <w:r>
        <w:rPr>
          <w:rFonts w:ascii="Times New Roman" w:cs="Times New Roman" w:eastAsia="Times New Roman" w:hAnsi="Times New Roman"/>
          <w:sz w:val="19"/>
          <w:szCs w:val="19"/>
          <w:color w:val="auto"/>
        </w:rPr>
        <w:t>means, as to a particular Measurement Period, the average of the Closing Stock Prices for the applicable company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thirty (30) consecutive trading days ending with the last trading day of the Measurement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“Performance Peer Group” </w:t>
      </w:r>
      <w:r>
        <w:rPr>
          <w:rFonts w:ascii="Times New Roman" w:cs="Times New Roman" w:eastAsia="Times New Roman" w:hAnsi="Times New Roman"/>
          <w:sz w:val="19"/>
          <w:szCs w:val="19"/>
          <w:color w:val="auto"/>
        </w:rPr>
        <w:t>means the following companies:</w:t>
      </w:r>
    </w:p>
    <w:p>
      <w:pPr>
        <w:spacing w:after="0" w:line="30" w:lineRule="exact"/>
        <w:rPr>
          <w:sz w:val="20"/>
          <w:szCs w:val="20"/>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Annaly Capital Management,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Home &amp; Finance Holding Company</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Cherry Hill Mortgage Investment Corporation</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Finance of America Companies,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loanDepot, Inc.</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Merchants Bancorp</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MGIC Investment Corporation</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NMI Holdings,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PennyMac Financial Services,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Radian Group Inc.</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Redwood Trust,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Rithm Capital Corp.</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Rocket Companies,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UWM Holdings Corporation</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“Relative Total Shareholder Return” </w:t>
      </w:r>
      <w:r>
        <w:rPr>
          <w:rFonts w:ascii="Times New Roman" w:cs="Times New Roman" w:eastAsia="Times New Roman" w:hAnsi="Times New Roman"/>
          <w:sz w:val="19"/>
          <w:szCs w:val="19"/>
          <w:color w:val="auto"/>
        </w:rPr>
        <w:t>(or “</w:t>
      </w:r>
      <w:r>
        <w:rPr>
          <w:rFonts w:ascii="Times New Roman" w:cs="Times New Roman" w:eastAsia="Times New Roman" w:hAnsi="Times New Roman"/>
          <w:sz w:val="19"/>
          <w:szCs w:val="19"/>
          <w:b w:val="1"/>
          <w:bCs w:val="1"/>
          <w:color w:val="auto"/>
        </w:rPr>
        <w:t>Relative TSR</w:t>
      </w:r>
      <w:r>
        <w:rPr>
          <w:rFonts w:ascii="Times New Roman" w:cs="Times New Roman" w:eastAsia="Times New Roman" w:hAnsi="Times New Roman"/>
          <w:sz w:val="19"/>
          <w:szCs w:val="19"/>
          <w:color w:val="auto"/>
        </w:rPr>
        <w:t>”) means the Corporation’s Absolute TSR ranked relative to the Absolute TSR values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companies in its Performance Peer Group (as defined above), expressed as a percentile where the highest Absolute TSR achieved by the Corporation or other company in the Performance Peer Group is the 100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the lowest Absolute TSR achieved by the Corporation or other company in the Performance Peer Group is the 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u w:val="single" w:color="auto"/>
          <w:color w:val="auto"/>
        </w:rPr>
        <w:t>Determination</w:t>
      </w:r>
      <w:r>
        <w:rPr>
          <w:rFonts w:ascii="Times New Roman" w:cs="Times New Roman" w:eastAsia="Times New Roman" w:hAnsi="Times New Roman"/>
          <w:sz w:val="19"/>
          <w:szCs w:val="19"/>
          <w:color w:val="auto"/>
        </w:rPr>
        <w:t>. Following the end of each Measurement Period, the Administrator shall make a determination as to the Corporation’s achievement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performance-based vesting requirements set forth in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14 of #NUM_PAGES#</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8"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9"/>
          <w:szCs w:val="19"/>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Page 15 of #NUM_PAGES#</w:t>
      </w:r>
    </w:p>
    <w:p>
      <w:pPr>
        <w:sectPr>
          <w:pgSz w:w="11900" w:h="16838" w:orient="portrait"/>
          <w:cols w:equalWidth="0" w:num="1">
            <w:col w:w="9839"/>
          </w:cols>
          <w:pgMar w:left="620" w:top="1440"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Onity Group Inc.;</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64" w:lineRule="auto"/>
        <w:tabs>
          <w:tab w:leader="none" w:pos="11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May 5, 2026</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Glen A. Messina, President</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and Chief Executive Officer</w:t>
      </w:r>
    </w:p>
    <w:p>
      <w:pPr>
        <w:sectPr>
          <w:pgSz w:w="11900" w:h="16838" w:orient="portrait"/>
          <w:cols w:equalWidth="0" w:num="1">
            <w:col w:w="11240"/>
          </w:cols>
          <w:pgMar w:left="320" w:top="103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Onity Group Inc.;</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88" w:lineRule="auto"/>
        <w:tabs>
          <w:tab w:leader="none" w:pos="11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May 5, 2026</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Sean O'Neil, Executive Vice President and Chief Financial Officer</w:t>
      </w:r>
    </w:p>
    <w:p>
      <w:pPr>
        <w:sectPr>
          <w:pgSz w:w="11900" w:h="16838" w:orient="portrait"/>
          <w:cols w:equalWidth="0" w:num="1">
            <w:col w:w="11240"/>
          </w:cols>
          <w:pgMar w:left="320" w:top="103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executive officer of Onity Group Inc.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60" w:hanging="316"/>
        <w:spacing w:after="0" w:line="288" w:lineRule="auto"/>
        <w:tabs>
          <w:tab w:leader="none" w:pos="936"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March 31, 2026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A. Messina</w:t>
            </w: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5, 2026</w:t>
            </w:r>
          </w:p>
        </w:tc>
      </w:tr>
    </w:tbl>
    <w:p>
      <w:pPr>
        <w:sectPr>
          <w:pgSz w:w="11900" w:h="16838" w:orient="portrait"/>
          <w:cols w:equalWidth="0" w:num="1">
            <w:col w:w="11240"/>
          </w:cols>
          <w:pgMar w:left="320" w:top="103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financial officer of Onity Group Inc.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60" w:hanging="316"/>
        <w:spacing w:after="0" w:line="288" w:lineRule="auto"/>
        <w:tabs>
          <w:tab w:leader="none" w:pos="936"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March 31, 2026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B. O'Neil</w:t>
            </w:r>
          </w:p>
        </w:tc>
      </w:tr>
      <w:tr>
        <w:trPr>
          <w:trHeight w:val="23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5, 2026</w:t>
            </w:r>
          </w:p>
        </w:tc>
      </w:tr>
    </w:tbl>
    <w:p>
      <w:pPr>
        <w:sectPr>
          <w:pgSz w:w="11900" w:h="16838" w:orient="portrait"/>
          <w:cols w:equalWidth="0" w:num="1">
            <w:col w:w="11240"/>
          </w:cols>
          <w:pgMar w:left="320" w:top="1036" w:right="339" w:bottom="1440" w:gutter="0" w:footer="0" w:header="0"/>
        </w:sectPr>
      </w:pPr>
    </w:p>
    <w:bookmarkStart w:id="129" w:name="page130"/>
    <w:bookmarkEnd w:id="129"/>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jc w:val="center"/>
        <w:ind w:left="340" w:right="100"/>
        <w:spacing w:after="0" w:line="293" w:lineRule="auto"/>
        <w:rPr>
          <w:sz w:val="20"/>
          <w:szCs w:val="20"/>
          <w:color w:val="auto"/>
        </w:rPr>
      </w:pPr>
      <w:r>
        <w:rPr>
          <w:rFonts w:ascii="Times New Roman" w:cs="Times New Roman" w:eastAsia="Times New Roman" w:hAnsi="Times New Roman"/>
          <w:sz w:val="17"/>
          <w:szCs w:val="17"/>
          <w:b w:val="1"/>
          <w:bCs w:val="1"/>
          <w:color w:val="auto"/>
        </w:rPr>
        <w:t>Supplemental Information Pursuant to the Indenture, dated as of November 6, 2024, by and between PHH Escrow Issuer LLC and Wilmington Trust, national association, as trustee and collateral trustee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9.875% Senior Notes Due 2029</w:t>
      </w:r>
    </w:p>
    <w:p>
      <w:pPr>
        <w:spacing w:after="0" w:line="3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details of the items enumerated in the definition of “Total LTV Ratio”, as defined in Section 1.01 of the Indenture, are as follows as of March 31, 2026: (A) Specified Net Servicing Advances, (B) Specified Deferred Servicing Fees, (C) Excess of Specified MSR Value over MTM MSR Indebtedness and Permitted MSR Indebtedness, (D) Unrestricted Cash of Parent and Restricted Subsidiaries, (E) Advance Facility Reserves, (F) Specified Loan Value, (G) Specified Residual Value, and (H) Marketable Securities held by Parent and Restricted Subsidiaries amounted to $128.9 million, $4.9 million, $1.0 billion, $182.5 million, $8.0 million, $37.7 million, nil and nil,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Available Cash held by Regulated Subsidiary Guarantors was $145.3 million at March 31,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lowerLetter"/>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3"/>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lowerRoman"/>
      <w:start w:val="1"/>
    </w:lvl>
  </w:abstractNum>
  <w:abstractNum w:abstractNumId="26">
    <w:nsid w:val="579BE4F1"/>
    <w:multiLevelType w:val="hybridMultilevel"/>
    <w:lvl w:ilvl="0">
      <w:lvlJc w:val="left"/>
      <w:lvlText w:val="(%1)"/>
      <w:numFmt w:val="lowerRoman"/>
      <w:start w:val="3"/>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lowerRoman"/>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3"/>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lowerLetter"/>
      <w:start w:val="2"/>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6"/>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lvl w:ilvl="1">
      <w:lvlJc w:val="left"/>
      <w:lvlText w:val="(%2)"/>
      <w:numFmt w:val="decimal"/>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2"/>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1)"/>
      <w:numFmt w:val="lowerRoman"/>
      <w:start w:val="1"/>
    </w:lvl>
  </w:abstractNum>
  <w:abstractNum w:abstractNumId="85">
    <w:nsid w:val="CC1016F"/>
    <w:multiLevelType w:val="hybridMultilevel"/>
    <w:lvl w:ilvl="0">
      <w:lvlJc w:val="left"/>
      <w:lvlText w:val="%1"/>
      <w:numFmt w:val="decimal"/>
      <w:start w:val="1"/>
    </w:lvl>
    <w:lvl w:ilvl="1">
      <w:lvlJc w:val="left"/>
      <w:lvlText w:val="%2"/>
      <w:numFmt w:val="decimal"/>
      <w:start w:val="104"/>
    </w:lvl>
  </w:abstractNum>
  <w:abstractNum w:abstractNumId="86">
    <w:nsid w:val="43F18422"/>
    <w:multiLevelType w:val="hybridMultilevel"/>
    <w:lvl w:ilvl="0">
      <w:lvlJc w:val="left"/>
      <w:lvlText w:val="(%1)"/>
      <w:numFmt w:val="decimal"/>
      <w:start w:val="1"/>
    </w:lvl>
    <w:lvl w:ilvl="1">
      <w:lvlJc w:val="left"/>
      <w:lvlText w:val="%2"/>
      <w:numFmt w:val="decimal"/>
      <w:start w:val="1"/>
    </w:lvl>
  </w:abstractNum>
  <w:abstractNum w:abstractNumId="87">
    <w:nsid w:val="60EF0119"/>
    <w:multiLevelType w:val="hybridMultilevel"/>
    <w:lvl w:ilvl="0">
      <w:lvlJc w:val="left"/>
      <w:lvlText w:val="%1."/>
      <w:numFmt w:val="upperLetter"/>
      <w:start w:val="4"/>
    </w:lvl>
  </w:abstractNum>
  <w:abstractNum w:abstractNumId="88">
    <w:nsid w:val="26F324BA"/>
    <w:multiLevelType w:val="hybridMultilevel"/>
    <w:lvl w:ilvl="0">
      <w:lvlJc w:val="left"/>
      <w:lvlText w:val="(%1)"/>
      <w:numFmt w:val="lowerLetter"/>
      <w:start w:val="2"/>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upperLetter"/>
      <w:start w:val="4"/>
    </w:lvl>
  </w:abstractNum>
  <w:abstractNum w:abstractNumId="91">
    <w:nsid w:val="7055A5F5"/>
    <w:multiLevelType w:val="hybridMultilevel"/>
    <w:lvl w:ilvl="0">
      <w:lvlJc w:val="left"/>
      <w:lvlText w:val="(%1)"/>
      <w:numFmt w:val="lowerLetter"/>
      <w:start w:val="2"/>
    </w:lvl>
  </w:abstractNum>
  <w:abstractNum w:abstractNumId="92">
    <w:nsid w:val="5FB8370B"/>
    <w:multiLevelType w:val="hybridMultilevel"/>
    <w:lvl w:ilvl="0">
      <w:lvlJc w:val="left"/>
      <w:lvlText w:val="%1."/>
      <w:numFmt w:val="upperLetter"/>
      <w:start w:val="1"/>
    </w:lvl>
  </w:abstractNum>
  <w:abstractNum w:abstractNumId="93">
    <w:nsid w:val="50801EE1"/>
    <w:multiLevelType w:val="hybridMultilevel"/>
    <w:lvl w:ilvl="0">
      <w:lvlJc w:val="left"/>
      <w:lvlText w:val="%1."/>
      <w:numFmt w:val="upperLetter"/>
      <w:start w:val="1"/>
    </w:lvl>
  </w:abstractNum>
  <w:abstractNum w:abstractNumId="94">
    <w:nsid w:val="488AC1A"/>
    <w:multiLevelType w:val="hybridMultilevel"/>
    <w:lvl w:ilvl="0">
      <w:lvlJc w:val="left"/>
      <w:lvlText w:val="%1."/>
      <w:numFmt w:val="upperLetter"/>
      <w:start w:val="3"/>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
      <w:numFmt w:val="bullet"/>
      <w:start w:val="1"/>
    </w:lvl>
  </w:abstractNum>
  <w:abstractNum w:abstractNumId="99">
    <w:nsid w:val="6A5F70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58" Type="http://schemas.openxmlformats.org/officeDocument/2006/relationships/hyperlink" Target="https://www.sec.gov/Archives/edgar/data/873860/000162828024046004/a20240930ex31.htm" TargetMode="External"/><Relationship Id="rId159" Type="http://schemas.openxmlformats.org/officeDocument/2006/relationships/hyperlink" Target="https://www.sec.gov/Archives/edgar/data/873860/000149315219002478/ex3-1.htm" TargetMode="External"/><Relationship Id="rId160" Type="http://schemas.openxmlformats.org/officeDocument/2006/relationships/hyperlink" Target="https://www.sec.gov/Archives/edgar/data/873860/00014931522600475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2026-05-05T16:36:43Z</dcterms:created>
  <dcterms:modified xsi:type="dcterms:W3CDTF">2026-05-05T16:36:43Z</dcterms:modified>
</cp:coreProperties>
</file>