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Washington, D.C. 20549</w:t>
      </w: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8"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18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78" w:lineRule="exact"/>
        <w:rPr>
          <w:sz w:val="24"/>
          <w:szCs w:val="24"/>
          <w:color w:val="auto"/>
        </w:rPr>
      </w:pPr>
    </w:p>
    <w:p>
      <w:pPr>
        <w:ind w:left="360" w:hanging="352"/>
        <w:spacing w:after="0"/>
        <w:tabs>
          <w:tab w:leader="none" w:pos="36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18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_____________________ to _____________________</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1-13219</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u w:val="single" w:color="auto"/>
          <w:color w:val="auto"/>
        </w:rPr>
        <w:t>Ocwen Financial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40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3"/>
              </w:rPr>
              <w:t>Florida</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89"/>
              </w:rPr>
              <w:t>65-0039856</w:t>
            </w: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300" w:type="dxa"/>
            <w:vAlign w:val="bottom"/>
            <w:gridSpan w:val="3"/>
          </w:tcPr>
          <w:p>
            <w:pPr>
              <w:jc w:val="center"/>
              <w:ind w:right="1920"/>
              <w:spacing w:after="0"/>
              <w:rPr>
                <w:sz w:val="20"/>
                <w:szCs w:val="20"/>
                <w:color w:val="auto"/>
              </w:rPr>
            </w:pPr>
            <w:r>
              <w:rPr>
                <w:rFonts w:ascii="Arial" w:cs="Arial" w:eastAsia="Arial" w:hAnsi="Arial"/>
                <w:sz w:val="18"/>
                <w:szCs w:val="18"/>
                <w:color w:val="auto"/>
                <w:w w:val="92"/>
              </w:rPr>
              <w:t>(State or other jurisdiction</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1940"/>
              <w:spacing w:after="0"/>
              <w:rPr>
                <w:sz w:val="20"/>
                <w:szCs w:val="20"/>
                <w:color w:val="auto"/>
              </w:rPr>
            </w:pPr>
            <w:r>
              <w:rPr>
                <w:rFonts w:ascii="Arial" w:cs="Arial" w:eastAsia="Arial" w:hAnsi="Arial"/>
                <w:sz w:val="18"/>
                <w:szCs w:val="18"/>
                <w:color w:val="auto"/>
                <w:w w:val="92"/>
              </w:rPr>
              <w:t>of incorporation or organization)</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color w:val="auto"/>
                <w:w w:val="95"/>
              </w:rPr>
              <w:t>Identification No.)</w:t>
            </w:r>
          </w:p>
        </w:tc>
      </w:tr>
    </w:tbl>
    <w:p>
      <w:pPr>
        <w:spacing w:after="0" w:line="89" w:lineRule="exact"/>
        <w:rPr>
          <w:sz w:val="24"/>
          <w:szCs w:val="24"/>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2002 Summit Boulevard, 6</w:t>
      </w:r>
      <w:r>
        <w:rPr>
          <w:rFonts w:ascii="Arial" w:cs="Arial" w:eastAsia="Arial" w:hAnsi="Arial"/>
          <w:sz w:val="30"/>
          <w:szCs w:val="30"/>
          <w:b w:val="1"/>
          <w:bCs w:val="1"/>
          <w:u w:val="single" w:color="auto"/>
          <w:color w:val="auto"/>
          <w:vertAlign w:val="superscript"/>
        </w:rPr>
        <w:t>th</w:t>
      </w:r>
      <w:r>
        <w:rPr>
          <w:rFonts w:ascii="Arial" w:cs="Arial" w:eastAsia="Arial" w:hAnsi="Arial"/>
          <w:sz w:val="18"/>
          <w:szCs w:val="18"/>
          <w:b w:val="1"/>
          <w:bCs w:val="1"/>
          <w:u w:val="single" w:color="auto"/>
          <w:color w:val="auto"/>
        </w:rPr>
        <w:t xml:space="preserve"> Floor, Atlanta, Georgia 30319</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495" w:right="279" w:bottom="1440" w:gutter="0" w:footer="0" w:header="0"/>
        </w:sectPr>
      </w:pPr>
    </w:p>
    <w:p>
      <w:pPr>
        <w:spacing w:after="0" w:line="106" w:lineRule="exact"/>
        <w:rPr>
          <w:sz w:val="24"/>
          <w:szCs w:val="24"/>
          <w:color w:val="auto"/>
        </w:rPr>
      </w:pPr>
    </w:p>
    <w:p>
      <w:pPr>
        <w:ind w:left="76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both"/>
        <w:ind w:firstLine="765"/>
        <w:spacing w:after="0" w:line="342" w:lineRule="auto"/>
        <w:rPr>
          <w:sz w:val="20"/>
          <w:szCs w:val="20"/>
          <w:color w:val="auto"/>
        </w:rPr>
      </w:pPr>
      <w:r>
        <w:rPr>
          <w:rFonts w:ascii="Arial" w:cs="Arial" w:eastAsia="Arial" w:hAnsi="Arial"/>
          <w:sz w:val="16"/>
          <w:szCs w:val="16"/>
          <w:color w:val="auto"/>
        </w:rPr>
        <w:t>Accelerated filer 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83" w:lineRule="exact"/>
        <w:rPr>
          <w:sz w:val="24"/>
          <w:szCs w:val="24"/>
          <w:color w:val="auto"/>
        </w:rPr>
      </w:pPr>
    </w:p>
    <w:p>
      <w:pPr>
        <w:sectPr>
          <w:pgSz w:w="11900" w:h="16838" w:orient="portrait"/>
          <w:cols w:equalWidth="0" w:num="4">
            <w:col w:w="2360" w:space="160"/>
            <w:col w:w="4440" w:space="720"/>
            <w:col w:w="1980" w:space="140"/>
            <w:col w:w="1580"/>
          </w:cols>
          <w:pgMar w:left="240" w:top="495" w:right="2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August 1, 2013: 135,754,992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18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20" w:type="dxa"/>
            <w:vAlign w:val="bottom"/>
            <w:gridSpan w:val="4"/>
          </w:tcPr>
          <w:p>
            <w:pPr>
              <w:spacing w:after="0"/>
              <w:rPr>
                <w:sz w:val="24"/>
                <w:szCs w:val="24"/>
                <w:color w:val="auto"/>
              </w:rPr>
            </w:pPr>
          </w:p>
        </w:tc>
        <w:tc>
          <w:tcPr>
            <w:tcW w:w="9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 at June 30, 2013 and December 31, 2012</w:t>
              </w:r>
            </w:hyperlink>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and Six Months Ended June 30, 2013 and 2012</w:t>
              </w:r>
            </w:hyperlink>
          </w:p>
        </w:tc>
        <w:tc>
          <w:tcPr>
            <w:tcW w:w="920" w:type="dxa"/>
            <w:vAlign w:val="bottom"/>
            <w:gridSpan w:val="2"/>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(unaudited) for the Three and Six Months Ended June 30, 2013 and 2012</w:t>
              </w:r>
            </w:hyperlink>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Statements of Changes in Stockholders’ Equity (unaudited) for the Six Months Ended June 30, 2013 and 2012</w:t>
              </w:r>
            </w:hyperlink>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(unaudited) for the Six Months Ended June 30, 2013 and 2012</w:t>
              </w:r>
            </w:hyperlink>
          </w:p>
        </w:tc>
        <w:tc>
          <w:tcPr>
            <w:tcW w:w="1520" w:type="dxa"/>
            <w:vAlign w:val="bottom"/>
            <w:tcBorders>
              <w:top w:val="single" w:sz="8" w:color="0000EE"/>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Consolidated Financial Statements</w:t>
              </w:r>
            </w:hyperlink>
          </w:p>
        </w:tc>
        <w:tc>
          <w:tcPr>
            <w:tcW w:w="5140" w:type="dxa"/>
            <w:vAlign w:val="bottom"/>
            <w:gridSpan w:val="7"/>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w:t>
            </w: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2.</w:t>
              </w:r>
            </w:hyperlink>
          </w:p>
        </w:tc>
        <w:tc>
          <w:tcPr>
            <w:tcW w:w="500" w:type="dxa"/>
            <w:vAlign w:val="bottom"/>
            <w:gridSpan w:val="3"/>
          </w:tcPr>
          <w:p>
            <w:pPr>
              <w:spacing w:after="0"/>
              <w:rPr>
                <w:sz w:val="24"/>
                <w:szCs w:val="24"/>
                <w:color w:val="auto"/>
              </w:rPr>
            </w:pPr>
          </w:p>
        </w:tc>
        <w:tc>
          <w:tcPr>
            <w:tcW w:w="9060" w:type="dxa"/>
            <w:vAlign w:val="bottom"/>
            <w:gridSpan w:val="1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44</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Item 3.</w:t>
              </w:r>
            </w:hyperlink>
          </w:p>
        </w:tc>
        <w:tc>
          <w:tcPr>
            <w:tcW w:w="500" w:type="dxa"/>
            <w:vAlign w:val="bottom"/>
            <w:gridSpan w:val="3"/>
          </w:tcPr>
          <w:p>
            <w:pPr>
              <w:spacing w:after="0"/>
              <w:rPr>
                <w:sz w:val="24"/>
                <w:szCs w:val="24"/>
                <w:color w:val="auto"/>
              </w:rPr>
            </w:pP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2600" w:type="dxa"/>
            <w:vAlign w:val="bottom"/>
            <w:gridSpan w:val="4"/>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65</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24"/>
                <w:szCs w:val="24"/>
                <w:color w:val="auto"/>
              </w:rPr>
            </w:pPr>
          </w:p>
        </w:tc>
        <w:tc>
          <w:tcPr>
            <w:tcW w:w="4700" w:type="dxa"/>
            <w:vAlign w:val="bottom"/>
            <w:gridSpan w:val="6"/>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68</w:t>
            </w:r>
          </w:p>
        </w:tc>
      </w:tr>
      <w:tr>
        <w:trPr>
          <w:trHeight w:val="412"/>
        </w:trPr>
        <w:tc>
          <w:tcPr>
            <w:tcW w:w="10100" w:type="dxa"/>
            <w:vAlign w:val="bottom"/>
            <w:gridSpan w:val="20"/>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 – OTHER INFORMATION</w:t>
              </w:r>
            </w:hyperlink>
          </w:p>
        </w:tc>
        <w:tc>
          <w:tcPr>
            <w:tcW w:w="132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Item 1.</w:t>
              </w:r>
            </w:hyperlink>
          </w:p>
        </w:tc>
        <w:tc>
          <w:tcPr>
            <w:tcW w:w="500" w:type="dxa"/>
            <w:vAlign w:val="bottom"/>
            <w:tcBorders>
              <w:top w:val="single" w:sz="8" w:color="0000EE"/>
            </w:tcBorders>
            <w:gridSpan w:val="3"/>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7240" w:type="dxa"/>
            <w:vAlign w:val="bottom"/>
            <w:gridSpan w:val="10"/>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720" w:type="dxa"/>
            <w:vAlign w:val="bottom"/>
            <w:gridSpan w:val="1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1A.</w:t>
              </w:r>
            </w:hyperlink>
          </w:p>
        </w:tc>
        <w:tc>
          <w:tcPr>
            <w:tcW w:w="906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Risk Factors</w:t>
              </w:r>
            </w:hyperlink>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68</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920" w:type="dxa"/>
            <w:vAlign w:val="bottom"/>
            <w:tcBorders>
              <w:top w:val="single" w:sz="8" w:color="0000EE"/>
            </w:tcBorders>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8140" w:type="dxa"/>
            <w:vAlign w:val="bottom"/>
            <w:gridSpan w:val="13"/>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70</w:t>
            </w:r>
          </w:p>
        </w:tc>
      </w:tr>
      <w:tr>
        <w:trPr>
          <w:trHeight w:val="460"/>
        </w:trPr>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0"/>
          </w:tcPr>
          <w:p>
            <w:pPr>
              <w:ind w:left="462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6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and the following:</w:t>
      </w:r>
    </w:p>
    <w:p>
      <w:pPr>
        <w:spacing w:after="0" w:line="132" w:lineRule="exact"/>
        <w:rPr>
          <w:sz w:val="20"/>
          <w:szCs w:val="20"/>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foreclosure, modification and other practices;</w:t>
      </w:r>
    </w:p>
    <w:p>
      <w:pPr>
        <w:spacing w:after="0" w:line="129"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conflicts of interest with our officers and directors;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18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our Annual Report on Form 10-K for the year ended December 31, 2012, our quarterly reports on Form 10-Q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9"/>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4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Cash</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439,747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220,130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Loans held for sale, at fair value</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361,144</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426,480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Advances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445,471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Match funded advances</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2,960,324</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3,049,244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Mortgage servicing rights, at amortized cost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1,688,038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678,937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Mortgage servicing rights, at fair value</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97,163</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85,213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225,011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167,459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96,353</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92,136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390,640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381,560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Premises and equipment, net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62,917</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37,536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Debt service accounts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84,248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231,224</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273,578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7,082,280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Liabilities, Mezzanine Equity and Stockholders’ Equity</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Match funded liabilities</w:t>
            </w:r>
          </w:p>
        </w:tc>
        <w:tc>
          <w:tcPr>
            <w:tcW w:w="4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2,391,832</w:t>
            </w: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2,532,745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00"/>
              <w:spacing w:after="0"/>
              <w:rPr>
                <w:sz w:val="20"/>
                <w:szCs w:val="20"/>
                <w:color w:val="auto"/>
              </w:rPr>
            </w:pPr>
            <w:r>
              <w:rPr>
                <w:rFonts w:ascii="Arial" w:cs="Arial" w:eastAsia="Arial" w:hAnsi="Arial"/>
                <w:sz w:val="18"/>
                <w:szCs w:val="18"/>
                <w:color w:val="auto"/>
              </w:rPr>
              <w:t>Other borrowings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2,172,078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1,096,679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636,628</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291,266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5,200,538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140"/>
              <w:spacing w:after="0"/>
              <w:rPr>
                <w:sz w:val="20"/>
                <w:szCs w:val="20"/>
                <w:color w:val="auto"/>
              </w:rPr>
            </w:pPr>
            <w:r>
              <w:rPr>
                <w:rFonts w:ascii="Arial" w:cs="Arial" w:eastAsia="Arial" w:hAnsi="Arial"/>
                <w:sz w:val="18"/>
                <w:szCs w:val="18"/>
                <w:b w:val="1"/>
                <w:bCs w:val="1"/>
                <w:color w:val="auto"/>
              </w:rPr>
              <w:t>Commitments and Contingencies (Note 24)</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Mezzanine Equity</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1"/>
              </w:rPr>
              <w:t>Series A Perpetual Convertible Preferred stock, $.01 par value; 200,000 shares authorized; 162,000 shares</w:t>
            </w: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460"/>
              <w:spacing w:after="0"/>
              <w:rPr>
                <w:sz w:val="20"/>
                <w:szCs w:val="20"/>
                <w:color w:val="auto"/>
              </w:rPr>
            </w:pPr>
            <w:r>
              <w:rPr>
                <w:rFonts w:ascii="Arial" w:cs="Arial" w:eastAsia="Arial" w:hAnsi="Arial"/>
                <w:sz w:val="18"/>
                <w:szCs w:val="18"/>
                <w:color w:val="auto"/>
                <w:w w:val="97"/>
              </w:rPr>
              <w:t>issued and outstanding at June 30, 2013 and December 31, 2012; redemption value $162,000 plus</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40" w:type="dxa"/>
            <w:vAlign w:val="bottom"/>
            <w:shd w:val="clear" w:color="auto" w:fill="CCEECC"/>
          </w:tcPr>
          <w:p>
            <w:pPr>
              <w:ind w:left="460"/>
              <w:spacing w:after="0"/>
              <w:rPr>
                <w:sz w:val="20"/>
                <w:szCs w:val="20"/>
                <w:color w:val="auto"/>
              </w:rPr>
            </w:pPr>
            <w:r>
              <w:rPr>
                <w:rFonts w:ascii="Arial" w:cs="Arial" w:eastAsia="Arial" w:hAnsi="Arial"/>
                <w:sz w:val="18"/>
                <w:szCs w:val="18"/>
                <w:color w:val="auto"/>
              </w:rPr>
              <w:t>accrued and unpaid dividends</w:t>
            </w:r>
          </w:p>
        </w:tc>
        <w:tc>
          <w:tcPr>
            <w:tcW w:w="20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155,544</w:t>
            </w:r>
          </w:p>
        </w:tc>
        <w:tc>
          <w:tcPr>
            <w:tcW w:w="2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153,372</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6"/>
              </w:rPr>
              <w:t>Common stock, $.01 par value; 200,000,000 shares authorized; 135,754,992 and 135,637,932 shares</w:t>
            </w: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CC"/>
          </w:tcPr>
          <w:p>
            <w:pPr>
              <w:ind w:left="460"/>
              <w:spacing w:after="0"/>
              <w:rPr>
                <w:sz w:val="20"/>
                <w:szCs w:val="20"/>
                <w:color w:val="auto"/>
              </w:rPr>
            </w:pPr>
            <w:r>
              <w:rPr>
                <w:rFonts w:ascii="Arial" w:cs="Arial" w:eastAsia="Arial" w:hAnsi="Arial"/>
                <w:sz w:val="18"/>
                <w:szCs w:val="18"/>
                <w:color w:val="auto"/>
              </w:rPr>
              <w:t>issued and outstanding at June 30, 2013 and December 31, 2012, respectively</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1,358</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915,397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911,942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821,257</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704,565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00"/>
              <w:spacing w:after="0"/>
              <w:rPr>
                <w:sz w:val="20"/>
                <w:szCs w:val="20"/>
                <w:color w:val="auto"/>
              </w:rPr>
            </w:pPr>
            <w:r>
              <w:rPr>
                <w:rFonts w:ascii="Arial" w:cs="Arial" w:eastAsia="Arial" w:hAnsi="Arial"/>
                <w:sz w:val="18"/>
                <w:szCs w:val="18"/>
                <w:color w:val="auto"/>
              </w:rPr>
              <w:t>Accumulated other comprehensive loss, net of income taxes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(11,814)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10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1,726,198</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11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1,611,422</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620"/>
              <w:spacing w:after="0"/>
              <w:rPr>
                <w:sz w:val="20"/>
                <w:szCs w:val="20"/>
                <w:color w:val="auto"/>
              </w:rPr>
            </w:pPr>
            <w:r>
              <w:rPr>
                <w:rFonts w:ascii="Arial" w:cs="Arial" w:eastAsia="Arial" w:hAnsi="Arial"/>
                <w:sz w:val="18"/>
                <w:szCs w:val="18"/>
                <w:color w:val="auto"/>
              </w:rPr>
              <w:t>Total liabilities, mezzanine equity and stockholders’ equity</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7,082,280</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5,685,484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23"/>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For the Periods Ended June 30,</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3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482,632</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200,335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Gain on loans held for sale, net</w:t>
            </w: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21,631</w:t>
            </w: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28,380</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25,702</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11,046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CC"/>
            </w:tcBorders>
            <w:gridSpan w:val="2"/>
            <w:shd w:val="clear" w:color="auto" w:fill="CCEECC"/>
          </w:tcPr>
          <w:p>
            <w:pPr>
              <w:ind w:left="30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529,965</w:t>
            </w:r>
          </w:p>
        </w:tc>
        <w:tc>
          <w:tcPr>
            <w:tcW w:w="3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211,381</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934,808</w:t>
            </w:r>
          </w:p>
        </w:tc>
        <w:tc>
          <w:tcPr>
            <w:tcW w:w="18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375,913</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117,999</w:t>
            </w: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30,004</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212,625</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Amortization of servicing rights</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70,369</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Servicing and origination</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11,747</w:t>
            </w:r>
          </w:p>
        </w:tc>
        <w:tc>
          <w:tcPr>
            <w:tcW w:w="3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5,877</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34,423</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Technology and communications</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33,877</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11,042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66,652</w:t>
            </w: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5,943</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80,138</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Occupancy and equipment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25,596</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48,556</w:t>
            </w:r>
          </w:p>
        </w:tc>
        <w:tc>
          <w:tcPr>
            <w:tcW w:w="10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3,661</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65,258</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374,796</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155,169</w:t>
            </w:r>
          </w:p>
        </w:tc>
        <w:tc>
          <w:tcPr>
            <w:tcW w:w="3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125,477</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316,378</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203,896</w:t>
            </w:r>
          </w:p>
        </w:tc>
        <w:tc>
          <w:tcPr>
            <w:tcW w:w="0" w:type="dxa"/>
            <w:vAlign w:val="bottom"/>
          </w:tcPr>
          <w:p>
            <w:pPr>
              <w:spacing w:after="0"/>
              <w:rPr>
                <w:sz w:val="1"/>
                <w:szCs w:val="1"/>
                <w:color w:val="auto"/>
              </w:rPr>
            </w:pPr>
          </w:p>
        </w:tc>
      </w:tr>
      <w:tr>
        <w:trPr>
          <w:trHeight w:val="426"/>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9,114</w:t>
            </w: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2,038</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16,223</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(99,868)</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(193,284)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Gain (loss) on debt redemption</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3,192</w:t>
            </w:r>
          </w:p>
        </w:tc>
        <w:tc>
          <w:tcPr>
            <w:tcW w:w="3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(13,838)</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CC"/>
            </w:tcBorders>
            <w:gridSpan w:val="2"/>
            <w:shd w:val="clear" w:color="auto" w:fill="CCEECC"/>
          </w:tcPr>
          <w:p>
            <w:pPr>
              <w:ind w:left="300"/>
              <w:spacing w:after="0"/>
              <w:rPr>
                <w:sz w:val="20"/>
                <w:szCs w:val="20"/>
                <w:color w:val="auto"/>
              </w:rPr>
            </w:pPr>
            <w:r>
              <w:rPr>
                <w:rFonts w:ascii="Arial" w:cs="Arial" w:eastAsia="Arial" w:hAnsi="Arial"/>
                <w:sz w:val="18"/>
                <w:szCs w:val="18"/>
                <w:color w:val="auto"/>
              </w:rPr>
              <w:t>Other expense, net</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(67,659</w:t>
            </w:r>
          </w:p>
        </w:tc>
        <w:tc>
          <w:tcPr>
            <w:tcW w:w="360" w:type="dxa"/>
            <w:vAlign w:val="bottom"/>
            <w:tcBorders>
              <w:top w:val="single" w:sz="8" w:color="CCEECC"/>
            </w:tcBorders>
            <w:shd w:val="clear" w:color="auto" w:fill="CCEECC"/>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(55,313</w:t>
            </w:r>
          </w:p>
        </w:tc>
        <w:tc>
          <w:tcPr>
            <w:tcW w:w="200" w:type="dxa"/>
            <w:vAlign w:val="bottom"/>
            <w:tcBorders>
              <w:top w:val="single" w:sz="8" w:color="CCEECC"/>
            </w:tcBorders>
            <w:shd w:val="clear" w:color="auto" w:fill="CCEE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(177,533</w:t>
            </w:r>
          </w:p>
        </w:tc>
        <w:tc>
          <w:tcPr>
            <w:tcW w:w="180" w:type="dxa"/>
            <w:vAlign w:val="bottom"/>
            <w:tcBorders>
              <w:top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(103,613</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61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87,510</w:t>
            </w:r>
          </w:p>
        </w:tc>
        <w:tc>
          <w:tcPr>
            <w:tcW w:w="1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70,164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138,845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10,789</w:t>
            </w:r>
          </w:p>
        </w:tc>
        <w:tc>
          <w:tcPr>
            <w:tcW w:w="10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25,331</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16,977</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76,721</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(3,004)</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Deemed dividend related to beneficial conversion feature of preferred stock</w:t>
            </w: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74,116</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44,833</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116,692</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64,182</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 attributable to Ocwen common stockholders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0.33</w:t>
            </w:r>
          </w:p>
        </w:tc>
        <w:tc>
          <w:tcPr>
            <w:tcW w:w="2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0.86</w:t>
            </w:r>
          </w:p>
        </w:tc>
        <w:tc>
          <w:tcPr>
            <w:tcW w:w="2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CC"/>
              <w:bottom w:val="single" w:sz="8" w:color="CCEECC"/>
            </w:tcBorders>
            <w:gridSpan w:val="2"/>
            <w:vMerge w:val="restart"/>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CC"/>
              <w:bottom w:val="single" w:sz="8" w:color="CCEE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CC"/>
              <w:bottom w:val="single" w:sz="8" w:color="CCEECC"/>
            </w:tcBorders>
            <w:vMerge w:val="restart"/>
          </w:tcPr>
          <w:p>
            <w:pPr>
              <w:spacing w:after="0" w:line="20" w:lineRule="exact"/>
              <w:rPr>
                <w:sz w:val="1"/>
                <w:szCs w:val="1"/>
                <w:color w:val="auto"/>
              </w:rPr>
            </w:pPr>
          </w:p>
        </w:tc>
        <w:tc>
          <w:tcPr>
            <w:tcW w:w="140" w:type="dxa"/>
            <w:vAlign w:val="bottom"/>
            <w:tcBorders>
              <w:top w:val="single" w:sz="8" w:color="CCEECC"/>
              <w:bottom w:val="single" w:sz="8" w:color="CCEE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CC"/>
              <w:bottom w:val="single" w:sz="8" w:color="CCEECC"/>
            </w:tcBorders>
            <w:vMerge w:val="restart"/>
          </w:tcPr>
          <w:p>
            <w:pPr>
              <w:spacing w:after="0" w:line="20" w:lineRule="exact"/>
              <w:rPr>
                <w:sz w:val="1"/>
                <w:szCs w:val="1"/>
                <w:color w:val="auto"/>
              </w:rPr>
            </w:pPr>
          </w:p>
        </w:tc>
        <w:tc>
          <w:tcPr>
            <w:tcW w:w="140" w:type="dxa"/>
            <w:vAlign w:val="bottom"/>
            <w:tcBorders>
              <w:top w:val="single" w:sz="8" w:color="CCEECC"/>
              <w:bottom w:val="single" w:sz="8" w:color="CCEE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bottom w:val="single" w:sz="8" w:color="CCEE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3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135,690,264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134,856,101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135,664,242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132,752,848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144,721,047</w:t>
            </w:r>
          </w:p>
        </w:tc>
        <w:tc>
          <w:tcPr>
            <w:tcW w:w="3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1"/>
              </w:rPr>
              <w:t>138,155,373</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89"/>
              </w:rPr>
              <w:t>139,591,958</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89"/>
              </w:rPr>
              <w:t>138,100,822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Six Months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For the Periods Ended June 30,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76,721</w:t>
            </w: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44,833</w:t>
            </w:r>
          </w:p>
        </w:tc>
        <w:tc>
          <w:tcPr>
            <w:tcW w:w="3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121,868</w:t>
            </w:r>
          </w:p>
        </w:tc>
        <w:tc>
          <w:tcPr>
            <w:tcW w:w="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64,182</w:t>
            </w:r>
          </w:p>
        </w:tc>
        <w:tc>
          <w:tcPr>
            <w:tcW w:w="0" w:type="dxa"/>
            <w:vAlign w:val="bottom"/>
          </w:tcPr>
          <w:p>
            <w:pPr>
              <w:spacing w:after="0"/>
              <w:rPr>
                <w:sz w:val="1"/>
                <w:szCs w:val="1"/>
                <w:color w:val="auto"/>
              </w:rPr>
            </w:pPr>
          </w:p>
        </w:tc>
      </w:tr>
      <w:tr>
        <w:trPr>
          <w:trHeight w:val="426"/>
        </w:trPr>
        <w:tc>
          <w:tcPr>
            <w:tcW w:w="618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w w:val="97"/>
              </w:rPr>
              <w:t>Unrealized foreign currency translation income (loss) arising during the period</w:t>
            </w:r>
          </w:p>
        </w:tc>
        <w:tc>
          <w:tcPr>
            <w:tcW w:w="22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Change in deferred loss on cash flow hedges arising during the period (1)</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CC"/>
          </w:tcPr>
          <w:p>
            <w:pPr>
              <w:ind w:left="140"/>
              <w:spacing w:after="0" w:line="201" w:lineRule="exact"/>
              <w:rPr>
                <w:sz w:val="20"/>
                <w:szCs w:val="20"/>
                <w:color w:val="auto"/>
              </w:rPr>
            </w:pPr>
            <w:r>
              <w:rPr>
                <w:rFonts w:ascii="Arial" w:cs="Arial" w:eastAsia="Arial" w:hAnsi="Arial"/>
                <w:sz w:val="18"/>
                <w:szCs w:val="18"/>
                <w:color w:val="auto"/>
              </w:rPr>
              <w:t>Reclassification adjustment for losses on cash flow hedges included in net</w:t>
            </w:r>
          </w:p>
        </w:tc>
        <w:tc>
          <w:tcPr>
            <w:tcW w:w="2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60" w:type="dxa"/>
            <w:vAlign w:val="bottom"/>
            <w:gridSpan w:val="2"/>
            <w:shd w:val="clear" w:color="auto" w:fill="CCEECC"/>
          </w:tcPr>
          <w:p>
            <w:pPr>
              <w:ind w:left="300"/>
              <w:spacing w:after="0"/>
              <w:rPr>
                <w:sz w:val="20"/>
                <w:szCs w:val="20"/>
                <w:color w:val="auto"/>
              </w:rPr>
            </w:pPr>
            <w:r>
              <w:rPr>
                <w:rFonts w:ascii="Arial" w:cs="Arial" w:eastAsia="Arial" w:hAnsi="Arial"/>
                <w:sz w:val="18"/>
                <w:szCs w:val="18"/>
                <w:color w:val="auto"/>
              </w:rPr>
              <w:t>income (2)</w:t>
            </w:r>
          </w:p>
        </w:tc>
        <w:tc>
          <w:tcPr>
            <w:tcW w:w="220" w:type="dxa"/>
            <w:vAlign w:val="bottom"/>
            <w:shd w:val="clear" w:color="auto" w:fill="CCEECC"/>
          </w:tcPr>
          <w:p>
            <w:pPr>
              <w:spacing w:after="0"/>
              <w:rPr>
                <w:sz w:val="21"/>
                <w:szCs w:val="21"/>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1,016</w:t>
            </w:r>
          </w:p>
        </w:tc>
        <w:tc>
          <w:tcPr>
            <w:tcW w:w="36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CCEECC"/>
          </w:tcPr>
          <w:p>
            <w:pPr>
              <w:spacing w:after="0"/>
              <w:rPr>
                <w:sz w:val="21"/>
                <w:szCs w:val="21"/>
                <w:color w:val="auto"/>
              </w:rPr>
            </w:pPr>
          </w:p>
        </w:tc>
        <w:tc>
          <w:tcPr>
            <w:tcW w:w="300" w:type="dxa"/>
            <w:vAlign w:val="bottom"/>
            <w:shd w:val="clear" w:color="auto" w:fill="CCEECC"/>
          </w:tcPr>
          <w:p>
            <w:pPr>
              <w:spacing w:after="0"/>
              <w:rPr>
                <w:sz w:val="21"/>
                <w:szCs w:val="21"/>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CC"/>
            </w:tcBorders>
            <w:gridSpan w:val="2"/>
          </w:tcPr>
          <w:p>
            <w:pPr>
              <w:ind w:left="460"/>
              <w:spacing w:after="0"/>
              <w:rPr>
                <w:sz w:val="20"/>
                <w:szCs w:val="20"/>
                <w:color w:val="auto"/>
              </w:rPr>
            </w:pPr>
            <w:r>
              <w:rPr>
                <w:rFonts w:ascii="Arial" w:cs="Arial" w:eastAsia="Arial" w:hAnsi="Arial"/>
                <w:sz w:val="18"/>
                <w:szCs w:val="18"/>
                <w:color w:val="auto"/>
              </w:rPr>
              <w:t>Net change in deferred loss on cash flow hedges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360" w:type="dxa"/>
            <w:vAlign w:val="bottom"/>
            <w:tcBorders>
              <w:bottom w:val="single" w:sz="8" w:color="CCEECC"/>
            </w:tcBorders>
          </w:tcPr>
          <w:p>
            <w:pPr>
              <w:jc w:val="right"/>
              <w:ind w:right="2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Borders>
              <w:bottom w:val="single" w:sz="8" w:color="CCEE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w:t>
            </w:r>
          </w:p>
        </w:tc>
        <w:tc>
          <w:tcPr>
            <w:tcW w:w="180" w:type="dxa"/>
            <w:vAlign w:val="bottom"/>
            <w:tcBorders>
              <w:bottom w:val="single" w:sz="8" w:color="CCEECC"/>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CC"/>
          </w:tcPr>
          <w:p>
            <w:pPr>
              <w:spacing w:after="0"/>
              <w:rPr>
                <w:sz w:val="18"/>
                <w:szCs w:val="18"/>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20" w:type="dxa"/>
            <w:vAlign w:val="bottom"/>
            <w:tcBorders>
              <w:bottom w:val="single" w:sz="8" w:color="auto"/>
            </w:tcBorders>
            <w:shd w:val="clear" w:color="auto" w:fill="CCEECC"/>
          </w:tcPr>
          <w:p>
            <w:pPr>
              <w:spacing w:after="0"/>
              <w:rPr>
                <w:sz w:val="18"/>
                <w:szCs w:val="18"/>
                <w:color w:val="auto"/>
              </w:rPr>
            </w:pPr>
          </w:p>
        </w:tc>
        <w:tc>
          <w:tcPr>
            <w:tcW w:w="8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300"/>
              <w:spacing w:after="0"/>
              <w:rPr>
                <w:sz w:val="20"/>
                <w:szCs w:val="20"/>
                <w:color w:val="auto"/>
              </w:rPr>
            </w:pPr>
            <w:r>
              <w:rPr>
                <w:rFonts w:ascii="Arial" w:cs="Arial" w:eastAsia="Arial" w:hAnsi="Arial"/>
                <w:sz w:val="18"/>
                <w:szCs w:val="18"/>
                <w:color w:val="auto"/>
              </w:rPr>
              <w:t>Total other comprehensive income, net of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75,027</w:t>
            </w: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42,831</w:t>
            </w:r>
          </w:p>
        </w:tc>
        <w:tc>
          <w:tcPr>
            <w:tcW w:w="3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116,495</w:t>
            </w:r>
          </w:p>
        </w:tc>
        <w:tc>
          <w:tcPr>
            <w:tcW w:w="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65,254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3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of $2.1 million and $1.5 million for the three months ended June 30, 2013 and 2012, respectively, and $4.9million and $2.2 million for the six months ended June 30, 2013 and 2012, respectively.</w:t>
      </w:r>
    </w:p>
    <w:p>
      <w:pPr>
        <w:spacing w:after="0" w:line="14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$0.6 million and $0.3 million for the three months ended June 30, 2013 and 2012, respectively, and $0.9 million and $2.7 million for the six months ended June 30, 2013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tcPr>
          <w:p>
            <w:pPr>
              <w:ind w:left="140"/>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Net of Taxes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2012</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7"/>
              </w:rPr>
              <w:t>135,637,932</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1,356</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911,942</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704,565</w:t>
            </w:r>
          </w:p>
        </w:tc>
        <w:tc>
          <w:tcPr>
            <w:tcW w:w="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(6,441)</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4"/>
              </w:rPr>
              <w:t>1,611,422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121,868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Preferred stock dividends ($18.54 per share)</w:t>
            </w:r>
          </w:p>
        </w:tc>
        <w:tc>
          <w:tcPr>
            <w:tcW w:w="13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(3,004)</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140"/>
              <w:spacing w:after="0" w:line="201" w:lineRule="exact"/>
              <w:rPr>
                <w:sz w:val="20"/>
                <w:szCs w:val="20"/>
                <w:color w:val="auto"/>
              </w:rPr>
            </w:pPr>
            <w:r>
              <w:rPr>
                <w:rFonts w:ascii="Arial" w:cs="Arial" w:eastAsia="Arial" w:hAnsi="Arial"/>
                <w:sz w:val="18"/>
                <w:szCs w:val="18"/>
                <w:color w:val="auto"/>
              </w:rPr>
              <w:t>Deemed dividend related to beneficial</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conversion feature of preferred stock</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Exercise of common stock options</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105,029</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Equity-based compensation</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12,031</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CC"/>
          </w:tcPr>
          <w:p>
            <w:pPr>
              <w:ind w:left="140"/>
              <w:spacing w:after="0"/>
              <w:rPr>
                <w:sz w:val="20"/>
                <w:szCs w:val="20"/>
                <w:color w:val="auto"/>
              </w:rPr>
            </w:pPr>
            <w:r>
              <w:rPr>
                <w:rFonts w:ascii="Arial" w:cs="Arial" w:eastAsia="Arial" w:hAnsi="Arial"/>
                <w:sz w:val="18"/>
                <w:szCs w:val="18"/>
                <w:color w:val="auto"/>
                <w:w w:val="98"/>
              </w:rPr>
              <w:t>Other comprehensive loss, net of income taxes</w:t>
            </w:r>
          </w:p>
        </w:tc>
        <w:tc>
          <w:tcPr>
            <w:tcW w:w="13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Balance at June 30, 2013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135,754,992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915,397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1,726,198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2011</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7"/>
              </w:rPr>
              <w:t>129,899,288</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1,299</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826,121</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523,787</w:t>
            </w:r>
          </w:p>
        </w:tc>
        <w:tc>
          <w:tcPr>
            <w:tcW w:w="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(7,896)</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4"/>
              </w:rPr>
              <w:t>1,343,311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Conversion of 3.25% Convertible Notes</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4,635,159</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56,364</w:t>
            </w:r>
          </w:p>
        </w:tc>
        <w:tc>
          <w:tcPr>
            <w:tcW w:w="10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342,371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Equity-based compensation</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8,877</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140"/>
              <w:spacing w:after="0" w:line="201" w:lineRule="exact"/>
              <w:rPr>
                <w:sz w:val="20"/>
                <w:szCs w:val="20"/>
                <w:color w:val="auto"/>
              </w:rPr>
            </w:pPr>
            <w:r>
              <w:rPr>
                <w:rFonts w:ascii="Arial" w:cs="Arial" w:eastAsia="Arial" w:hAnsi="Arial"/>
                <w:sz w:val="18"/>
                <w:szCs w:val="18"/>
                <w:color w:val="auto"/>
              </w:rPr>
              <w:t>Other comprehensive income, net of income</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taxes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Balance at June 30, 2012</w:t>
            </w: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134,885,695</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1,349</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887,079</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587,969</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(6,824</w:t>
            </w:r>
          </w:p>
        </w:tc>
        <w:tc>
          <w:tcPr>
            <w:tcW w:w="200" w:type="dxa"/>
            <w:vAlign w:val="bottom"/>
            <w:tcBorders>
              <w:top w:val="single" w:sz="8" w:color="CCEECC"/>
              <w:bottom w:val="single" w:sz="8" w:color="CCEECC"/>
            </w:tcBorders>
            <w:shd w:val="clear" w:color="auto" w:fill="CCEE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1,469,573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CC"/>
            </w:tcBorders>
          </w:tcPr>
          <w:p>
            <w:pPr>
              <w:spacing w:after="0"/>
              <w:rPr>
                <w:sz w:val="20"/>
                <w:szCs w:val="20"/>
                <w:color w:val="auto"/>
              </w:rPr>
            </w:pPr>
          </w:p>
        </w:tc>
        <w:tc>
          <w:tcPr>
            <w:tcW w:w="14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87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121,868</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64,182</w:t>
            </w:r>
          </w:p>
        </w:tc>
      </w:tr>
      <w:tr>
        <w:trPr>
          <w:trHeight w:val="216"/>
        </w:trPr>
        <w:tc>
          <w:tcPr>
            <w:tcW w:w="8700" w:type="dxa"/>
            <w:vAlign w:val="bottom"/>
            <w:shd w:val="clear" w:color="auto" w:fill="CCEEC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118,252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33,411</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Amortization of debt discount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10,455</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1,937</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Gain on sales of loans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(25,267)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Realized and unrealized (gains) losses on derivative financial instruments, net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(22,286)</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2,255</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Origination and purchase of loans held for sale</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7"/>
              </w:rPr>
              <w:t>(5,019,833)</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Proceeds from sale and collection of loans held for sale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5,095,388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429,151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774,643</w:t>
            </w:r>
          </w:p>
        </w:tc>
      </w:tr>
      <w:tr>
        <w:trPr>
          <w:trHeight w:val="216"/>
        </w:trPr>
        <w:tc>
          <w:tcPr>
            <w:tcW w:w="870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Decrease in receivables and other assets, net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112,113</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23,812</w:t>
            </w:r>
          </w:p>
        </w:tc>
      </w:tr>
      <w:tr>
        <w:trPr>
          <w:trHeight w:val="216"/>
        </w:trPr>
        <w:tc>
          <w:tcPr>
            <w:tcW w:w="8700" w:type="dxa"/>
            <w:vAlign w:val="bottom"/>
          </w:tcPr>
          <w:p>
            <w:pPr>
              <w:ind w:left="320"/>
              <w:spacing w:after="0"/>
              <w:rPr>
                <w:sz w:val="20"/>
                <w:szCs w:val="20"/>
                <w:color w:val="auto"/>
              </w:rPr>
            </w:pPr>
            <w:r>
              <w:rPr>
                <w:rFonts w:ascii="Arial" w:cs="Arial" w:eastAsia="Arial" w:hAnsi="Arial"/>
                <w:sz w:val="18"/>
                <w:szCs w:val="18"/>
                <w:color w:val="auto"/>
              </w:rPr>
              <w:t>Increase in servicer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7,250</w:t>
            </w:r>
          </w:p>
        </w:tc>
      </w:tr>
      <w:tr>
        <w:trPr>
          <w:trHeight w:val="216"/>
        </w:trPr>
        <w:tc>
          <w:tcPr>
            <w:tcW w:w="8700" w:type="dxa"/>
            <w:vAlign w:val="bottom"/>
            <w:shd w:val="clear" w:color="auto" w:fill="CCEECC"/>
          </w:tcPr>
          <w:p>
            <w:pPr>
              <w:ind w:left="320"/>
              <w:spacing w:after="0"/>
              <w:rPr>
                <w:sz w:val="20"/>
                <w:szCs w:val="20"/>
                <w:color w:val="auto"/>
              </w:rPr>
            </w:pPr>
            <w:r>
              <w:rPr>
                <w:rFonts w:ascii="Arial" w:cs="Arial" w:eastAsia="Arial" w:hAnsi="Arial"/>
                <w:sz w:val="18"/>
                <w:szCs w:val="18"/>
                <w:color w:val="auto"/>
              </w:rPr>
              <w:t>Increase (decrease) in other liabilities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42,754</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(19,068)</w:t>
            </w:r>
          </w:p>
        </w:tc>
      </w:tr>
      <w:tr>
        <w:trPr>
          <w:trHeight w:val="230"/>
        </w:trPr>
        <w:tc>
          <w:tcPr>
            <w:tcW w:w="87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(5,503)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7,928</w:t>
            </w:r>
          </w:p>
        </w:tc>
      </w:tr>
      <w:tr>
        <w:trPr>
          <w:trHeight w:val="210"/>
        </w:trPr>
        <w:tc>
          <w:tcPr>
            <w:tcW w:w="87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877,027</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900,622</w:t>
            </w:r>
          </w:p>
        </w:tc>
        <w:tc>
          <w:tcPr>
            <w:tcW w:w="100" w:type="dxa"/>
            <w:vAlign w:val="bottom"/>
            <w:tcBorders>
              <w:top w:val="single" w:sz="8" w:color="CCEECC"/>
            </w:tcBorders>
            <w:shd w:val="clear" w:color="auto" w:fill="CCEECC"/>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7"/>
              </w:rPr>
              <w:t>(2,097,821)</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Cash paid to acquire Liberty Home Equity Solutions, Inc.</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(26,568)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Purchase of mortgage servicing rights, net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(543,621)</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(169,411)</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(73,523)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(1,833,485)</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Origination of loans held for investment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(63,029)</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Principal payments received on loans held for investment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76,334</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Proceeds from sale of match funded advances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1,079,777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92,593</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 of diversified fee businesses to Altisource Portfolio Solution, S.A.</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215,700</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Net cash acquired in step acquisition of Correspondent One S.A.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2,839</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(19,413)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(16,720)</w:t>
            </w:r>
          </w:p>
        </w:tc>
      </w:tr>
      <w:tr>
        <w:trPr>
          <w:trHeight w:val="230"/>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2,348</w:t>
            </w:r>
          </w:p>
        </w:tc>
      </w:tr>
      <w:tr>
        <w:trPr>
          <w:trHeight w:val="210"/>
        </w:trPr>
        <w:tc>
          <w:tcPr>
            <w:tcW w:w="87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(1,503,741</w:t>
            </w:r>
          </w:p>
        </w:tc>
        <w:tc>
          <w:tcPr>
            <w:tcW w:w="200" w:type="dxa"/>
            <w:vAlign w:val="bottom"/>
            <w:tcBorders>
              <w:bottom w:val="single" w:sz="8" w:color="CCEE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(1,845,502</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7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Net proceeds from (repayment of) match funded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(140,913)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904,348</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proceeds from other borrowings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6,342,432</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29,784</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Repayment of other borrowings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(5,555,805)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(74,270)</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Payment of debt issuance costs – senior secured term loan</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(24,931)</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162,434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73,691</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 of loans accounted for as a financing</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65,938</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Redemption of 10.875% Capital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Exercise of common stock options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1,200</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Payment of preferred stock dividends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(5,974)</w:t>
            </w:r>
          </w:p>
        </w:tc>
      </w:tr>
      <w:tr>
        <w:trPr>
          <w:trHeight w:val="210"/>
        </w:trPr>
        <w:tc>
          <w:tcPr>
            <w:tcW w:w="87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846,331</w:t>
            </w:r>
          </w:p>
        </w:tc>
        <w:tc>
          <w:tcPr>
            <w:tcW w:w="200" w:type="dxa"/>
            <w:vAlign w:val="bottom"/>
            <w:tcBorders>
              <w:bottom w:val="single" w:sz="8" w:color="CCEECC"/>
            </w:tcBorders>
          </w:tcPr>
          <w:p>
            <w:pPr>
              <w:spacing w:after="0"/>
              <w:rPr>
                <w:sz w:val="18"/>
                <w:szCs w:val="18"/>
                <w:color w:val="auto"/>
              </w:rPr>
            </w:pPr>
          </w:p>
        </w:tc>
        <w:tc>
          <w:tcPr>
            <w:tcW w:w="14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928,754</w:t>
            </w:r>
          </w:p>
        </w:tc>
        <w:tc>
          <w:tcPr>
            <w:tcW w:w="100" w:type="dxa"/>
            <w:vAlign w:val="bottom"/>
            <w:tcBorders>
              <w:bottom w:val="single" w:sz="8" w:color="CCEECC"/>
            </w:tcBorders>
          </w:tcPr>
          <w:p>
            <w:pPr>
              <w:spacing w:after="0"/>
              <w:rPr>
                <w:sz w:val="18"/>
                <w:szCs w:val="18"/>
                <w:color w:val="auto"/>
              </w:rPr>
            </w:pPr>
          </w:p>
        </w:tc>
      </w:tr>
      <w:tr>
        <w:trPr>
          <w:trHeight w:val="210"/>
        </w:trPr>
        <w:tc>
          <w:tcPr>
            <w:tcW w:w="8700" w:type="dxa"/>
            <w:vAlign w:val="bottom"/>
            <w:shd w:val="clear" w:color="auto" w:fill="CCEECC"/>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219,617</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(16,126)</w:t>
            </w:r>
          </w:p>
        </w:tc>
        <w:tc>
          <w:tcPr>
            <w:tcW w:w="100" w:type="dxa"/>
            <w:vAlign w:val="bottom"/>
            <w:shd w:val="clear" w:color="auto" w:fill="CCEECC"/>
          </w:tcPr>
          <w:p>
            <w:pPr>
              <w:spacing w:after="0"/>
              <w:rPr>
                <w:sz w:val="18"/>
                <w:szCs w:val="18"/>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220,130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144,234</w:t>
            </w:r>
          </w:p>
        </w:tc>
      </w:tr>
      <w:tr>
        <w:trPr>
          <w:trHeight w:val="223"/>
        </w:trPr>
        <w:tc>
          <w:tcPr>
            <w:tcW w:w="870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 at end of period</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439,747</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auto"/>
              <w:bottom w:val="single" w:sz="8" w:color="auto"/>
            </w:tcBorders>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128,108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Conversion of 3.25% Convertible Notes to common stock</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56,410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business acquisition information – ResCap Servicing Operations</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Fair value of assets acquired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Advances</w:t>
            </w:r>
          </w:p>
        </w:tc>
        <w:tc>
          <w:tcPr>
            <w:tcW w:w="4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7"/>
              </w:rPr>
              <w:t>(1,618,856)</w:t>
            </w:r>
          </w:p>
        </w:tc>
        <w:tc>
          <w:tcPr>
            <w:tcW w:w="3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Mortgage servicing rights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(393,891)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(16,423)</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(210,038)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Receivables and other assets</w:t>
            </w:r>
          </w:p>
        </w:tc>
        <w:tc>
          <w:tcPr>
            <w:tcW w:w="2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(2,989)</w:t>
            </w:r>
          </w:p>
        </w:tc>
        <w:tc>
          <w:tcPr>
            <w:tcW w:w="1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(2,242,197)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Fair value of liabilities assumed</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74,680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consideration</w:t>
            </w:r>
          </w:p>
        </w:tc>
        <w:tc>
          <w:tcPr>
            <w:tcW w:w="2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(2,167,517)</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Amount due to seller for purchase price adjustments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69,696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Cash paid</w:t>
            </w:r>
          </w:p>
        </w:tc>
        <w:tc>
          <w:tcPr>
            <w:tcW w:w="2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(2,097,821)</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Less cash acquired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Net cash paid</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(2,097,821</w:t>
            </w:r>
          </w:p>
        </w:tc>
        <w:tc>
          <w:tcPr>
            <w:tcW w:w="200" w:type="dxa"/>
            <w:vAlign w:val="bottom"/>
            <w:tcBorders>
              <w:top w:val="single" w:sz="8" w:color="CCEECC"/>
              <w:bottom w:val="single" w:sz="8" w:color="CCEECC"/>
            </w:tcBorders>
            <w:shd w:val="clear" w:color="auto" w:fill="CCEE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 Note 4 – Business Acquisitions for additional information regarding the acquisitions of Liberty Home Equity Solutions, Inc. and Correspondent One S.A. and Note 9 – Mortgage Servicing for additional information regarding the acquisition of mortgage servicing rights from Ally Bank.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if otherwise indicated)</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BUSINESS, BASIS OF PRESENTATION AND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Ocwen Financial Corporation (NYSE: OCN) (Ocwen, OCN, “we”, or “us”) is a financial services holding company which, through its subsidiaries, is engaged in the servicing and origination of mortgage loans. Ocwen is headquartered in Atlanta, Georgia with offices throughout the United States and in the United States Virgin Islands (USVI) with support operations in India and Uruguay. Ocwen is a Florida corporation organized in February 1988. Ocwen owned all of the common stock of one of its primary operating subsidiaries, Ocwen Mortgage Servicing, Inc. (OMS), and directly or indirectly owned all of the outstanding stock of its other primary operating subsidiaries: Ocwen Loan Servicing, LLC (OLS), Ocwen Financial Solutions Private Limited, Homeward Residential, Inc. (Homeward) and Liberty Home Equity Solutions, Inc. (Liberty) (formerly known as Genworth Financial Home Equity Access, Inc.),</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licensed to service mortgage loans and to originate mortgage loans in all jurisdictions in which we operate.</w:t>
      </w:r>
    </w:p>
    <w:p>
      <w:pPr>
        <w:spacing w:after="0" w:line="19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purchase existing mortgage servicing rights (MSRs) from market participants and generate new servicing rights through our origination activities. We perform primary and master servicer activities on behalf of investors and other servicers, including the Federal National Mortgage Association (Fannie Mae), Federal Home Loan Mortgage Corporation (Freddie Mac) and Government National Mortgage Association (Ginnie Mae) (collectively, the GSEs). We service prime and non-prime mortgages including mortgages included in private label mortgage-backed securities. As primary servicer, we may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that the primary servicer does not advance the scheduled principal and interest, as master servicer we are responsible for advancing the shortfall subject to certain limitations.</w:t>
      </w:r>
    </w:p>
    <w:p>
      <w:pPr>
        <w:spacing w:after="0" w:line="13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originate, purchase, sell and securitize prime first-lien and reverse mortgages. These loans are insured or guaranteed by the Federal Housing Authority (FHA) or the Department of Veterans Affairs (VA) or conform to the underwriting standards of Fannie Mae or Freddie Mac. The GSEs guarantee these securitizations.</w:t>
      </w:r>
    </w:p>
    <w:p>
      <w:pPr>
        <w:spacing w:after="0" w:line="141"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We are actively engaged in identifying and completing asset and other acquisitions in connection with our growth strategy. This could involve the acquisition of domestic and international servicing and/or origination platforms or related assets. See Note 4 – Business Acquisitions for additional information.</w:t>
      </w:r>
    </w:p>
    <w:p>
      <w:pPr>
        <w:spacing w:after="0" w:line="15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various dates beginning on April 1, 2013 and continuing through June 30, 2013, we completed the acquisition of Fannie Mae and Freddie Mac MSRs and related advances from Ally Bank (Ally MSR Transaction), a wholly-owned subsidiary of Ally Financial Inc. (Ally), the indirect parent of Residential Capital, LLC (ResCap). Prior to the closing, we subserviced the related MSRs on behalf of Ally Bank. We assumed certain origination representation and warranty obligations in connection with the Ally MSR Transaction. This transaction did not involve the transfer of ownership of any legal entities.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April 1, 2013, we completed the acquisition of Liberty Home Equity Solutions, Inc. (the Liberty Acquisition) through a stock purchase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Liberty is engaged in the origination, purchase, sale and securitization of reverse mortgage loans, both retail and wholesale.</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February 15, 2013, we completed the acquisition of certain assets and operations of ResCap in connection with the asset sale by ResCap and certain of its subsidiaries pursuant to a plan under Chapter 11 of the Bankruptcy Code (the ResCap Acquisition). We purchased MSRs related to “private label,” Freddie Mac and Ginnie Mae residential mortgage loans and certain master and subservicing agreements. The ResCap Acquisition included advances and elements of the servicing platform related to the acquired MSRs.</w:t>
      </w:r>
    </w:p>
    <w:p>
      <w:pPr>
        <w:spacing w:after="0" w:line="16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December 27, 2012, we completed the merger by and among Ocwen, O&amp;H Acquisition Corp., a Delaware corporation and a wholly-owned subsidiary of Ocwen, Homeward Residential Holdings, Inc. (Homeward Holding) and WL Ross &amp; Co. LLC, a Delaware limited liability company as shareholder representative. Pursuant to the merger, O&amp;H Acquisition Corp. merged with and into Homeward Holding with Homeward Holding continuing as the surviving corporation and becoming a wholly-owned subsidiary of Ocwen (the Homeward Acquisition). Homeward primarily engages in the origination, purchase, sale and securitization of prime loans and the servicing of residential mortgage loans.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accruals, necessary for a fair presentation. The results of operations and other data for the three and six months ended June 30, 2013, are not necessarily indicative of the results that may be expected for any other interim period or for the year ending December 31, 2013. The unaudited consolidated financial statements presented herein should be read in conjunction with the audited consolidated financial statements and related notes thereto included in our Annual Report on Form 10-K for the year ended December 31, 2012.</w:t>
      </w:r>
    </w:p>
    <w:p>
      <w:pPr>
        <w:spacing w:after="0" w:line="1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 Material estimates that are particularly significant in the near or medium term relate to fair value measurements, the provision for potential losses that may arise from litigation proceedings, representation and warranty and other indemnification obligations, the amortization of MSRs and the valuation of goodwill and deferred tax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its majority-owned subsidiaries and any variable interest entity (VIE) where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 We have eliminated intercompany accounts and transactions in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8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Within the revenue section of the Consolidated Statement of Operations for the three and six months ended June 30, 2012, we reclassified Process management fees of $9.9 million and $18.7 million to Other revenues. In addition, certain other insignificant amounts in the Consolidated Statements of Operations and Cash Flows for prior periods have been reclassified to conform to the current period presentation. These reclassifications had no impact on our consolidated financial position, cash flows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securitize, sell and service forward and reverse residential mortgage loans. Securitization transactions typically involve the use of VIEs and are accounted for as either sales or secured financings. We typically retain economic interests in the securitized assets in the form of servicing rights and obligations. In order to efficiently finance our assets and operations, we may sell servicing advances and Rights to MSRs. In order to determine whether or not a VIE is required to be consolidated, we consider our ongoing involvement with the VIE. In circumstances where we have both the power to direct the activities that most significantly impact the VIEs performance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record the underlying residential mortgage loans or servicing advances and we record the securitized debt on our consolidated balance sheet.</w:t>
      </w:r>
    </w:p>
    <w:p>
      <w:pPr>
        <w:spacing w:after="0" w:line="152"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the case of transfers where either one or both of the power or economic criteria above are not met, we evaluate whether we achieve a sale for accounting purposes. In order to achieve a sale, the transferred assets must be legally isolated, not be constrained by restrictions from further transfer, and be deemed to be beyond our control. If we fail any of these three criteria, the accounting is consistent with a secured financing as described in the preceding paragraph.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ind w:right="10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Accounting Standards Update (ASU) 2011-11, (Accounting Standards Codification (ASC) 210, Balance Sheet): Disclosures about Offsetting Assets and Liabilities and ASU 2013-01: Clarifying the Scope of Disclosures about Offsetting Assets and Liabilities. </w:t>
      </w:r>
      <w:r>
        <w:rPr>
          <w:rFonts w:ascii="Arial" w:cs="Arial" w:eastAsia="Arial" w:hAnsi="Arial"/>
          <w:sz w:val="17"/>
          <w:szCs w:val="17"/>
          <w:color w:val="auto"/>
        </w:rPr>
        <w:t>This ASU contains new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nature of an entity’s rights of offset and related arrangements associated with financial and derivative instruments. ASU 2013-01 clarified the scope of transactions that are subject to ASU 2011-11</w:t>
      </w:r>
      <w:r>
        <w:rPr>
          <w:rFonts w:ascii="Arial" w:cs="Arial" w:eastAsia="Arial" w:hAnsi="Arial"/>
          <w:sz w:val="17"/>
          <w:szCs w:val="17"/>
          <w:i w:val="1"/>
          <w:iCs w:val="1"/>
          <w:color w:val="auto"/>
        </w:rPr>
        <w:t>.</w:t>
      </w:r>
      <w:r>
        <w:rPr>
          <w:rFonts w:ascii="Arial" w:cs="Arial" w:eastAsia="Arial" w:hAnsi="Arial"/>
          <w:sz w:val="17"/>
          <w:szCs w:val="17"/>
          <w:color w:val="auto"/>
        </w:rPr>
        <w:t xml:space="preserve"> The new disclosures also provide information about gross and net exposures. Retrospective application is required for all comparative periods presented. Our adoption of these standards on January 1, 2013 did not have a material impact on our unaudited consolidated financial statements, as the requirements relate to disclosures only.</w:t>
      </w:r>
    </w:p>
    <w:p>
      <w:pPr>
        <w:spacing w:after="0" w:line="13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 xml:space="preserve">ASU 2013-02 (ASC 220, Comprehensive Income): Reporting of Amounts Reclassified Out of Accumulated Other Comprehensive Income (which amends ASC 220, Comprehensive Income). </w:t>
      </w:r>
      <w:r>
        <w:rPr>
          <w:rFonts w:ascii="Arial" w:cs="Arial" w:eastAsia="Arial" w:hAnsi="Arial"/>
          <w:sz w:val="17"/>
          <w:szCs w:val="17"/>
          <w:color w:val="auto"/>
        </w:rPr>
        <w:t>ASC 2013-02 contains new requirements related to the presentation and disclosure of items that are reclassified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The ASU is required to be applied prospectively. Adoption of this standard on January 1, 2013 did not have a material impact on our unaudited consolidated financial statements, as the requirements relate to disclosures only.</w:t>
      </w:r>
    </w:p>
    <w:p>
      <w:pPr>
        <w:spacing w:after="0" w:line="13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ASU 2013-04 (ASC 405, Liabilities): Obligations Resulting from Joint and Several Liability Arrangements for Which the Total Amount of the Obligation Is Fixed at the Reporting Date, a consensus of the FASB Emerging Issues Task Force (EITF). </w:t>
      </w:r>
      <w:r>
        <w:rPr>
          <w:rFonts w:ascii="Arial" w:cs="Arial" w:eastAsia="Arial" w:hAnsi="Arial"/>
          <w:sz w:val="18"/>
          <w:szCs w:val="18"/>
          <w:color w:val="auto"/>
        </w:rPr>
        <w:t>On February 28, 2013, the FASB issued ASU 2013-04. The</w:t>
      </w:r>
      <w:r>
        <w:rPr>
          <w:rFonts w:ascii="Arial" w:cs="Arial" w:eastAsia="Arial" w:hAnsi="Arial"/>
          <w:sz w:val="18"/>
          <w:szCs w:val="18"/>
          <w:i w:val="1"/>
          <w:iCs w:val="1"/>
          <w:color w:val="auto"/>
        </w:rPr>
        <w:t xml:space="preserve"> </w:t>
      </w:r>
      <w:r>
        <w:rPr>
          <w:rFonts w:ascii="Arial" w:cs="Arial" w:eastAsia="Arial" w:hAnsi="Arial"/>
          <w:sz w:val="18"/>
          <w:szCs w:val="18"/>
          <w:color w:val="auto"/>
        </w:rPr>
        <w:t>ASU requires an entity to measure obligations resulting from joint and several liability arrangements for which the total amount of the obligation within the scope of this guidance is fixed at the reporting date, as the sum of the following:</w:t>
      </w:r>
    </w:p>
    <w:p>
      <w:pPr>
        <w:spacing w:after="0" w:line="16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the reporting entity agreed to pay on the basis of its arrangement among its co-obligors,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additional amount the reporting entity expects to pay on behalf of its co-obligors.”</w:t>
      </w:r>
    </w:p>
    <w:p>
      <w:pPr>
        <w:spacing w:after="0" w:line="1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Required disclosures include a description of the joint-and-several arrangement and the total outstanding amount of the obligation for all joint parties. The ASU permits entities to aggregate disclosures (as opposed to providing separate disclosures for each joint-and-several obligation). The ASU is effective for all prior periods in fiscal years beginning on or after December 15, 2013 (and interim reporting periods within those years). The ASU should be applied retrospectively to obligations with joint-and-several liabilities existing at the beginning of an entity’s fiscal year of adoption. Entities that elect to use hindsight in measuring their obligations during the comparative periods must disclose that fact. Early adoption is permitted. We are currently evaluating the effect of adopting this standard effective January 1, 2014, but we do not anticipate that our adoption will have a material impact on our consolidated financial condition or results of operations.</w:t>
      </w:r>
    </w:p>
    <w:p>
      <w:pPr>
        <w:spacing w:after="0" w:line="16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r>
        <w:rPr>
          <w:rFonts w:ascii="Arial" w:cs="Arial" w:eastAsia="Arial" w:hAnsi="Arial"/>
          <w:sz w:val="18"/>
          <w:szCs w:val="18"/>
          <w:color w:val="auto"/>
        </w:rPr>
        <w:t>.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4, 2013, the FASB issued ASU 2013-05, which requires that the entire amount of a cumulative translation adjustment (CTA) related to an entity’s investment in a foreign entity should be released when there has been a:</w:t>
      </w:r>
    </w:p>
    <w:p>
      <w:pPr>
        <w:spacing w:after="0" w:line="146"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of a subsidiary or group of net assets within a foreign entity and the sale represents the substantially complete liquidation of the investment in the foreign entity,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controlling financial interest in an investment in a foreign entity (i.e., the foreign entity is deconsolidated), or</w:t>
      </w:r>
    </w:p>
    <w:p>
      <w:pPr>
        <w:spacing w:after="0" w:line="198"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acquisition for a foreign entity (i.e., when an entity has changed from applying the equity method for an investment in a foreign entity to consolidating the foreign entity).</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ASU does not change the requirement to release a pro rata portion of the CTA of the foreign entity into earnings for a partial sale of an equity method investment in a foreign entity. The ASU is effective for fiscal years (and interim periods within those fiscal years) beginning on or after December 15, 2013. The ASU should be applied prospectively from the beginning of the fiscal year of adoption. We are currently evaluating the effect of adopting this standard effective January 1, 2014, but we do not anticipate that our adoption will have a material impact on our consolidated financial condition or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SECURITIZATIONS AND VARIABLE INTEREST ENTITIES</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our match funded financing facilities are VIEs of which we are the primary beneficiary. We also determined that we were the primary beneficiary for certain residential mortgage loan securitization trusts which were de-recognized at December 31, 2012, upon sale of our retained interest to a third party.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Currently, we securitize forward and reverse residential mortgage loans involving the GSEs. We retain the right to service these loans and receive servicing fees based upon the securitized loan balances and certain ancillary fees, all of which are reported in servicing and subservicing fees on the Consolidated Statements of Operations. In prior years, we securitized residential mortgage loans through “private label” securitization trusts. We continued to be involved with the securitization trusts, typically by acting as the servicer or sub-servicer for the loans held by the trust and by retaining a beneficial ownership interest in the securitization trust. The beneficial interests that we held consisted of both subordinate and residual securities that were either retained at the time of the securitization or subsequently acquired. We also acquired residual and subordinated interests in trusts where we were not the transferor but were the servicer.</w:t>
      </w:r>
    </w:p>
    <w:p>
      <w:pPr>
        <w:spacing w:after="0" w:line="1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December 2012, we sold the beneficial interests that we held in the four consolidated securitization trusts and deconsolidated these securitization trusts. All assets and liabilities associated with the trusts were derecognized. We have no obligation to provide financial support to unconsolidated securitization trusts and have provided no such support. The beneficial owners of the trusts can look only to the assets of the securitization trusts for satisfaction of the debt issued by the securitization trusts and have no recourse against the assets of Ocwen. The general creditors of Ocwen have no claim on the assets of the trusts.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part of our origination activities, we sell or securitize forward loans that we originate or that we purchase from third parties, generally in the form of mortgage-backed securities guaranteed by the GSEs. Securitization usually occurs within 30 days of loan closing or purchase. We retain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14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elected to measure loans held for sale at fair value. We report interest income on loans held for sale in other income (expense). We report the gain or loss on the transfer of the loans held for sale in Gain on loans held for sale, net in the Consolidated Statements of Operations. We also include in Gain on loans held for sale, net changes in fair value of loans and the gain or loss on the related derivatives. See Note 18 – Derivative Financial Instruments and Hedging Activities for information on these derivative financial instruments. We include all changes in loans held for sale and related derivative balances in operating activities in the Consolidated Statements of Cash Flows.</w:t>
      </w:r>
    </w:p>
    <w:p>
      <w:pPr>
        <w:spacing w:after="0" w:line="16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periods ended June 30, 2013: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Three Months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Six Months</w:t>
            </w:r>
          </w:p>
        </w:tc>
      </w:tr>
      <w:tr>
        <w:trPr>
          <w:trHeight w:val="210"/>
        </w:trPr>
        <w:tc>
          <w:tcPr>
            <w:tcW w:w="84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Proceeds received from securitizations</w:t>
            </w: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1,887,359</w:t>
            </w:r>
          </w:p>
        </w:tc>
        <w:tc>
          <w:tcPr>
            <w:tcW w:w="32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4,464,151</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Servicing fees collected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6,807</w:t>
            </w:r>
          </w:p>
        </w:tc>
        <w:tc>
          <w:tcPr>
            <w:tcW w:w="80" w:type="dxa"/>
            <w:vAlign w:val="bottom"/>
          </w:tcPr>
          <w:p>
            <w:pPr>
              <w:spacing w:after="0"/>
              <w:rPr>
                <w:sz w:val="18"/>
                <w:szCs w:val="18"/>
                <w:color w:val="auto"/>
              </w:rPr>
            </w:pPr>
          </w:p>
        </w:tc>
      </w:tr>
      <w:tr>
        <w:trPr>
          <w:trHeight w:val="230"/>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Purchases of previously transferred assets</w:t>
            </w:r>
          </w:p>
        </w:tc>
        <w:tc>
          <w:tcPr>
            <w:tcW w:w="100" w:type="dxa"/>
            <w:vAlign w:val="bottom"/>
            <w:shd w:val="clear" w:color="auto" w:fill="CCEECC"/>
          </w:tcPr>
          <w:p>
            <w:pPr>
              <w:spacing w:after="0"/>
              <w:rPr>
                <w:sz w:val="19"/>
                <w:szCs w:val="19"/>
                <w:color w:val="auto"/>
              </w:rPr>
            </w:pPr>
          </w:p>
        </w:tc>
        <w:tc>
          <w:tcPr>
            <w:tcW w:w="150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(4,854)</w:t>
            </w:r>
          </w:p>
        </w:tc>
        <w:tc>
          <w:tcPr>
            <w:tcW w:w="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(11,790)</w:t>
            </w:r>
          </w:p>
        </w:tc>
      </w:tr>
      <w:tr>
        <w:trPr>
          <w:trHeight w:val="223"/>
        </w:trPr>
        <w:tc>
          <w:tcPr>
            <w:tcW w:w="8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1,887,795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4,459,168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In connection with these transfers, we recorded MSRs of $18.2 million and $46.9 million for the three and six months ended June 30, 2013. We initially record the MSRs at fair value and subsequently account for them at amortized cost. See Note 9 – Mortgage Servicing for information relating to MSRs.</w:t>
      </w:r>
    </w:p>
    <w:p>
      <w:pPr>
        <w:spacing w:after="0" w:line="9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Certain guarantees arise from agreements associated with the transfers of loans. Under these agreements, we may be obligated to repurchase the loans, or otherwise indemnify or reimburse the investor or insurer, for losses incurred due to material breach of contractual representations and warranties. See Note 16 – Other Liabilities for further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right="300" w:firstLine="324"/>
        <w:spacing w:after="0" w:line="264"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since the Homeward Acquisition as well as our maximum exposure to loss including the unpaid principal balance of the transferred loans:</w:t>
      </w:r>
    </w:p>
    <w:p>
      <w:pPr>
        <w:sectPr>
          <w:pgSz w:w="11900" w:h="16838" w:orient="portrait"/>
          <w:cols w:equalWidth="0" w:num="1">
            <w:col w:w="11360"/>
          </w:cols>
          <w:pgMar w:left="240" w:top="665" w:right="2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Mortgage servicing rights, at amortized cost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Mortgage servicing rights,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Advances and match funded advances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Unpaid principal balance of loans transferred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Maximum exposure to loss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gridSpan w:val="3"/>
          </w:tcPr>
          <w:p>
            <w:pPr>
              <w:ind w:left="16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41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44,375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2,580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w:t>
            </w:r>
          </w:p>
        </w:tc>
      </w:tr>
    </w:tbl>
    <w:p>
      <w:pPr>
        <w:ind w:left="2220" w:hanging="1462"/>
        <w:spacing w:after="0"/>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4,458,218</w:t>
      </w:r>
      <w:r>
        <w:rPr>
          <w:rFonts w:ascii="Arial" w:cs="Arial" w:eastAsia="Arial" w:hAnsi="Arial"/>
          <w:sz w:val="16"/>
          <w:szCs w:val="16"/>
          <w:color w:val="auto"/>
        </w:rPr>
        <w:t>238,010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 w:lineRule="exact"/>
        <w:rPr>
          <w:sz w:val="20"/>
          <w:szCs w:val="20"/>
          <w:color w:val="auto"/>
        </w:rPr>
      </w:pPr>
    </w:p>
    <w:p>
      <w:pPr>
        <w:spacing w:after="0"/>
        <w:tabs>
          <w:tab w:leader="none" w:pos="280" w:val="left"/>
          <w:tab w:leader="none" w:pos="1340" w:val="left"/>
          <w:tab w:leader="none" w:pos="178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4,505,937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240,918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14605</wp:posOffset>
            </wp:positionV>
            <wp:extent cx="660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440"/>
          </w:cols>
          <w:pgMar w:left="240" w:top="665" w:right="2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  The UPB of the loans transferred is the maximum exposure to loss under our standard representations and warranties obligations.</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June 30, 2013, only 0.05% of the transferred residential loans that we serviced were 60 days or more past due. During the three and six months ended June 30, 2013, there were no charge-offs, net of recoveries associated with these transferred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9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With the acquisition of Liberty, we have begun to originate Home Equity Conversion Mortgages (HECMs or reverse mortgages) that are insured by the FHA. We then pool the loans into HMBS that we sell into the secondary market with servicing rights retained. Based upon the structure of the Ginnie Mae securitization program,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HECMs do not qualify for sale accounting, and we, therefore, account for these transfers as secured borrowings. Under this accounting treatment, the HECMs remain on our Consolidated Balance Sheet as loans held for investment (Loans – Restricted for Securitization Investors) in Other assets. We record the proceeds from the transfer of assets as secured borrowings (Secured borrowing – owed to securitization investors) in Other borrowings and recognize no gain or loss on the transfer. Holders of participating interests in the HMBS have no recourse against Ocwen, except for standard representations and warranties and our contractual obligation to service the HECMs and the HMBS, and have no recourse against the assets of Ocwen.</w:t>
      </w:r>
    </w:p>
    <w:p>
      <w:pPr>
        <w:spacing w:after="0" w:line="1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elected to measure the HECMS and HMBS-related borrowings at fair value. The changes in fair value of the HECMs and HMBS-related borrowings are included in other revenues in our Consolidated Statement of Operations. Included in net fair value gains on the HECMs and related HMBS borrowings are the interest income that we expect to be collected on the HECMs and the interest expense that we expect to be paid on the HMBS-related borrowings. We report net fair value gains on HECMs and the related HMBS borrowings as an adjustment to the net cash provided by or used in operating activities in the Consolidated Statements of Cash Flows. Originations of and payments on the HECMs are included in investing activities in the Consolidated Statements of Cash Flows. Proceeds from securitizations of HECMs and payments on HMBS-related borrowings are included in financing activities in the Consolidated Statements of Cash Flows.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HMBS-related borrowings of $73.6 million and $76.6 million of HECMs pledged as collateral to the pools at June 30,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 of Advances on Loans Serviced for Others</w:t>
      </w:r>
    </w:p>
    <w:p>
      <w:pPr>
        <w:spacing w:after="0" w:line="18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consolidate these SPEs because the transfers do not qualify for sales accounting treatment or because Ocwen is the primary beneficiary of the SPE.</w:t>
      </w:r>
    </w:p>
    <w:p>
      <w:pPr>
        <w:spacing w:after="0" w:line="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These SPEs issue debt supported by collections on the transferred advances. We made these transfers under the terms of our advance facility agreements. We classify the transferred advances on our Consolidated Balance Sheet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two of the entities. The maximum amounts payable under the guarantees are limited to 10% of the notes outstanding at the end of each facility’s revolving period in April 2014 and December 2014, respectively. The balance of notes outstanding at these two entities as of June 30, 2013 was $131.4 million and $39.2 million, respectively. The assets and liabilities of the advance financing SPEs are comprised solely of Match funded advances, Debt service accounts, Match funded liabilities and amounts due to affiliates. Amounts due to affiliates are eliminated in consolidation.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8 – Match Funded Advances, Note 12 – Debt Service Accounts and Note 14 – Match Funded Liabilities for additional information.</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type w:val="continuous"/>
        </w:sectPr>
      </w:pPr>
    </w:p>
    <w:bookmarkStart w:id="14" w:name="page15"/>
    <w:bookmarkEnd w:id="14"/>
    <w:p>
      <w:pPr>
        <w:spacing w:after="0"/>
        <w:tabs>
          <w:tab w:leader="none" w:pos="11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TRANSFERS OF FINANCIAL ASSETS</w:t>
      </w:r>
    </w:p>
    <w:p>
      <w:pPr>
        <w:spacing w:after="0" w:line="18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order to efficiently finance our assets and operations, we periodically sell the right to receive servicing fees, excluding ancillary income, relating to certain of our mortgage servicing rights (Rights to MSRs) and related advances (collectively, HLSS Transactions) to Home Loan Servicing Solutions, Ltd. and its wholly owned subsidiary, HLSS Holdings, LLC (collectively HLSS). To the extent applicable, HLSS may also acquire certain advance SPEs and the related match funded liabilities. During the six months ended June 30, 2013 and 2012, we completed HLSS Transactions relating to the Rights to MSRs for $26.5 billion and $18.2 billion of UPB, respectively.</w:t>
      </w:r>
    </w:p>
    <w:p>
      <w:pPr>
        <w:spacing w:after="0" w:line="16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As part of the HLSS Transactions, we retain legal ownership of the MSRs and continue to service the related mortgage loans. However, we service the loans for a reduced fee because HLSS has assumed the match funded liabilities as well as the obligation for future servicing advances related to the MSRs. We are obligated to transfer legal ownership of the MSRs to HLSS upon obtaining all required third party consents. At that time, we would subservice the MSRs pursuant to our subservicing agreement with HLSS which was executed on February 10, 2012 and subsequently amended on October 1, 2012. See Note 22 – Related Party Transactions for additional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summary of the assets and liabilities sold to HLSS in connection with the HLSS Transactions during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Borders>
              <w:bottom w:val="single" w:sz="8" w:color="CCEECC"/>
            </w:tcBorders>
          </w:tcPr>
          <w:p>
            <w:pPr>
              <w:spacing w:after="0"/>
              <w:rPr>
                <w:sz w:val="20"/>
                <w:szCs w:val="20"/>
                <w:color w:val="auto"/>
              </w:rPr>
            </w:pPr>
          </w:p>
        </w:tc>
        <w:tc>
          <w:tcPr>
            <w:tcW w:w="2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6680" w:type="dxa"/>
            <w:vAlign w:val="bottom"/>
            <w:shd w:val="clear" w:color="auto" w:fill="CCEECC"/>
          </w:tcPr>
          <w:p>
            <w:pPr>
              <w:spacing w:after="0"/>
              <w:rPr>
                <w:sz w:val="20"/>
                <w:szCs w:val="20"/>
                <w:color w:val="auto"/>
              </w:rPr>
            </w:pPr>
            <w:r>
              <w:rPr>
                <w:rFonts w:ascii="Arial" w:cs="Arial" w:eastAsia="Arial" w:hAnsi="Arial"/>
                <w:sz w:val="18"/>
                <w:szCs w:val="18"/>
                <w:color w:val="auto"/>
              </w:rPr>
              <w:t>Sale of MSRs accounted for as a financing</w:t>
            </w:r>
          </w:p>
        </w:tc>
        <w:tc>
          <w:tcPr>
            <w:tcW w:w="224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148,622</w:t>
            </w: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73,691</w:t>
            </w:r>
          </w:p>
        </w:tc>
        <w:tc>
          <w:tcPr>
            <w:tcW w:w="100" w:type="dxa"/>
            <w:vAlign w:val="bottom"/>
            <w:shd w:val="clear" w:color="auto" w:fill="CCEECC"/>
          </w:tcPr>
          <w:p>
            <w:pPr>
              <w:spacing w:after="0"/>
              <w:rPr>
                <w:sz w:val="18"/>
                <w:szCs w:val="18"/>
                <w:color w:val="auto"/>
              </w:rPr>
            </w:pPr>
          </w:p>
        </w:tc>
      </w:tr>
      <w:tr>
        <w:trPr>
          <w:trHeight w:val="210"/>
        </w:trPr>
        <w:tc>
          <w:tcPr>
            <w:tcW w:w="66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Sale of match funded advances</w:t>
            </w:r>
          </w:p>
        </w:tc>
        <w:tc>
          <w:tcPr>
            <w:tcW w:w="224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1,079,777</w:t>
            </w:r>
          </w:p>
        </w:tc>
        <w:tc>
          <w:tcPr>
            <w:tcW w:w="1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92,225</w:t>
            </w:r>
          </w:p>
        </w:tc>
        <w:tc>
          <w:tcPr>
            <w:tcW w:w="100" w:type="dxa"/>
            <w:vAlign w:val="bottom"/>
            <w:tcBorders>
              <w:bottom w:val="single" w:sz="8" w:color="CCEECC"/>
            </w:tcBorders>
          </w:tcPr>
          <w:p>
            <w:pPr>
              <w:spacing w:after="0"/>
              <w:rPr>
                <w:sz w:val="18"/>
                <w:szCs w:val="18"/>
                <w:color w:val="auto"/>
              </w:rPr>
            </w:pPr>
          </w:p>
        </w:tc>
      </w:tr>
      <w:tr>
        <w:trPr>
          <w:trHeight w:val="210"/>
        </w:trPr>
        <w:tc>
          <w:tcPr>
            <w:tcW w:w="6680" w:type="dxa"/>
            <w:vAlign w:val="bottom"/>
            <w:shd w:val="clear" w:color="auto" w:fill="CCEECC"/>
          </w:tcPr>
          <w:p>
            <w:pPr>
              <w:spacing w:after="0"/>
              <w:rPr>
                <w:sz w:val="20"/>
                <w:szCs w:val="20"/>
                <w:color w:val="auto"/>
              </w:rPr>
            </w:pPr>
            <w:r>
              <w:rPr>
                <w:rFonts w:ascii="Arial" w:cs="Arial" w:eastAsia="Arial" w:hAnsi="Arial"/>
                <w:sz w:val="18"/>
                <w:szCs w:val="18"/>
                <w:color w:val="auto"/>
              </w:rPr>
              <w:t>Sale of advance SPEs:</w:t>
            </w:r>
          </w:p>
        </w:tc>
        <w:tc>
          <w:tcPr>
            <w:tcW w:w="2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413,374</w:t>
            </w:r>
          </w:p>
        </w:tc>
      </w:tr>
      <w:tr>
        <w:trPr>
          <w:trHeight w:val="216"/>
        </w:trPr>
        <w:tc>
          <w:tcPr>
            <w:tcW w:w="66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Debt service account</w:t>
            </w:r>
          </w:p>
        </w:tc>
        <w:tc>
          <w:tcPr>
            <w:tcW w:w="2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14,786</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Prepaid lender fees and debt issuance costs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r>
      <w:tr>
        <w:trPr>
          <w:trHeight w:val="216"/>
        </w:trPr>
        <w:tc>
          <w:tcPr>
            <w:tcW w:w="66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 prepaid expenses</w:t>
            </w:r>
          </w:p>
        </w:tc>
        <w:tc>
          <w:tcPr>
            <w:tcW w:w="2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1,928</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(358,335)</w:t>
            </w:r>
          </w:p>
        </w:tc>
      </w:tr>
      <w:tr>
        <w:trPr>
          <w:trHeight w:val="230"/>
        </w:trPr>
        <w:tc>
          <w:tcPr>
            <w:tcW w:w="66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Accrued interest payable and other accrued expenses</w:t>
            </w:r>
          </w:p>
        </w:tc>
        <w:tc>
          <w:tcPr>
            <w:tcW w:w="2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(841)</w:t>
            </w:r>
          </w:p>
        </w:tc>
      </w:tr>
      <w:tr>
        <w:trPr>
          <w:trHeight w:val="210"/>
        </w:trPr>
        <w:tc>
          <w:tcPr>
            <w:tcW w:w="668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Net assets of advance SPEs</w:t>
            </w:r>
          </w:p>
        </w:tc>
        <w:tc>
          <w:tcPr>
            <w:tcW w:w="224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100" w:type="dxa"/>
            <w:vAlign w:val="bottom"/>
            <w:tcBorders>
              <w:bottom w:val="single" w:sz="8" w:color="CCEECC"/>
            </w:tcBorders>
          </w:tcPr>
          <w:p>
            <w:pPr>
              <w:spacing w:after="0"/>
              <w:rPr>
                <w:sz w:val="18"/>
                <w:szCs w:val="18"/>
                <w:color w:val="auto"/>
              </w:rPr>
            </w:pPr>
          </w:p>
        </w:tc>
      </w:tr>
      <w:tr>
        <w:trPr>
          <w:trHeight w:val="210"/>
        </w:trPr>
        <w:tc>
          <w:tcPr>
            <w:tcW w:w="6680" w:type="dxa"/>
            <w:vAlign w:val="bottom"/>
            <w:shd w:val="clear" w:color="auto" w:fill="CCEECC"/>
          </w:tcPr>
          <w:p>
            <w:pPr>
              <w:spacing w:after="0"/>
              <w:rPr>
                <w:sz w:val="20"/>
                <w:szCs w:val="20"/>
                <w:color w:val="auto"/>
              </w:rPr>
            </w:pPr>
            <w:r>
              <w:rPr>
                <w:rFonts w:ascii="Arial" w:cs="Arial" w:eastAsia="Arial" w:hAnsi="Arial"/>
                <w:sz w:val="18"/>
                <w:szCs w:val="18"/>
                <w:color w:val="auto"/>
              </w:rPr>
              <w:t>Sales price, as adjusted</w:t>
            </w:r>
          </w:p>
        </w:tc>
        <w:tc>
          <w:tcPr>
            <w:tcW w:w="2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1,228,399</w:t>
            </w: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242,250</w:t>
            </w:r>
          </w:p>
        </w:tc>
        <w:tc>
          <w:tcPr>
            <w:tcW w:w="100" w:type="dxa"/>
            <w:vAlign w:val="bottom"/>
            <w:shd w:val="clear" w:color="auto" w:fill="CCEECC"/>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Amount due to HLSS for post-closing adjustments at June 30</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23"/>
        </w:trPr>
        <w:tc>
          <w:tcPr>
            <w:tcW w:w="66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 received</w:t>
            </w:r>
          </w:p>
        </w:tc>
        <w:tc>
          <w:tcPr>
            <w:tcW w:w="2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1,228,399</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242,618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We completed an additional transaction with HLSS on July 1, 2013 that resulted in the sale of Rights to MSRs with approximately $83.6 billion in UPB of mortgage loans as of June 30, 2013. The purchase price was approximately $2.7 billion, including $2.4 billion for servicing advances and $241 million for the associated Rights to MSRs. See Note 25 – Subsequent Events for additional information regarding this transaction.</w:t>
      </w:r>
    </w:p>
    <w:p>
      <w:pPr>
        <w:spacing w:after="0" w:line="1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Because we retained legal title to the MSRs, the sales of Rights to MSRs are accounted for as financings. The related advance sales meet the requirements for sale accounting under GAAP. When HLSS acquired advance SPEs from Ocwen, we derecognized the consolidated assets and liabilities of the Advance SPEs at the time of the sale. To the extent that we obtain all third party consents, legal title will transfer to HLSS, at which point we will derecognize the related MSRs. Upon derecognition, any resulting gain or loss will be deferred and amortized over the expected life of the related subservicing agreement. Until such time, we continue to recognize the full amount of servicing revenue and amortization of the MSRs.</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ACQUISITIONS</w:t>
      </w:r>
    </w:p>
    <w:p>
      <w:pPr>
        <w:spacing w:after="0" w:line="202"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We completed the Liberty, ResCap and Homeward acquisitions, respectively, as part of our ongoing strategy to expand our residential origination and servicing businesses. We accounted for these transactions using the acquisition method which requires, among other things, that the assets acquired and liabilities assumed be recognized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15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our consolidated net earnings would have been had we completed the acquisitions on the dates indicated because of differences in servicing practices and cost structure between Ocwen and each acquiree. In addition, the pro forma consolidated results do not purport to project our combined future results nor do they reflect the expected realization of any cost savings associated with the acquisitions.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right="40" w:firstLine="324"/>
        <w:spacing w:after="0" w:line="259" w:lineRule="auto"/>
        <w:rPr>
          <w:sz w:val="20"/>
          <w:szCs w:val="20"/>
          <w:color w:val="auto"/>
        </w:rPr>
      </w:pPr>
      <w:r>
        <w:rPr>
          <w:rFonts w:ascii="Arial" w:cs="Arial" w:eastAsia="Arial" w:hAnsi="Arial"/>
          <w:sz w:val="18"/>
          <w:szCs w:val="18"/>
          <w:color w:val="auto"/>
        </w:rPr>
        <w:t>The ResCap acquisition was treated as an asset acquisition for U.S. tax purposes. We expect the opening tax basis for the acquired assets and liabilities to be the fair value as shown in the purchase price allocation tables below. We expect MSRs and goodwill to be treated as intangible assets acquired in connection with the purchase of a trade or business and as such, amortized over 15 years for U.S. tax purposes. The acquisitions of Liberty and Homeward were treated as stock purchases for U.S. tax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values of assets acquired and liabilities assumed as part of the ResCap and Homeward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5"/>
              </w:rPr>
              <w:t>ResCap</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Homeward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1"/>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Revised</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Revised</w:t>
            </w:r>
          </w:p>
        </w:tc>
        <w:tc>
          <w:tcPr>
            <w:tcW w:w="260" w:type="dxa"/>
            <w:vAlign w:val="bottom"/>
          </w:tcPr>
          <w:p>
            <w:pPr>
              <w:spacing w:after="0"/>
              <w:rPr>
                <w:sz w:val="20"/>
                <w:szCs w:val="20"/>
                <w:color w:val="auto"/>
              </w:rPr>
            </w:pPr>
          </w:p>
        </w:tc>
      </w:tr>
      <w:tr>
        <w:trPr>
          <w:trHeight w:val="210"/>
        </w:trPr>
        <w:tc>
          <w:tcPr>
            <w:tcW w:w="302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CC"/>
            </w:tcBorders>
            <w:shd w:val="clear" w:color="auto" w:fill="CCEECC"/>
          </w:tcPr>
          <w:p>
            <w:pPr>
              <w:spacing w:after="0"/>
              <w:rPr>
                <w:sz w:val="18"/>
                <w:szCs w:val="18"/>
                <w:color w:val="auto"/>
              </w:rPr>
            </w:pPr>
          </w:p>
        </w:tc>
        <w:tc>
          <w:tcPr>
            <w:tcW w:w="4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79,511</w:t>
            </w:r>
          </w:p>
        </w:tc>
        <w:tc>
          <w:tcPr>
            <w:tcW w:w="3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79,511</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CCEECC"/>
            </w:tcBorders>
            <w:shd w:val="clear" w:color="auto" w:fill="CCEEC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558,721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558,721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02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393,891</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393,891</w:t>
            </w:r>
          </w:p>
        </w:tc>
        <w:tc>
          <w:tcPr>
            <w:tcW w:w="4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358,119</w:t>
            </w:r>
          </w:p>
        </w:tc>
        <w:tc>
          <w:tcPr>
            <w:tcW w:w="2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2,225</w:t>
            </w: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360,344</w:t>
            </w:r>
          </w:p>
        </w:tc>
        <w:tc>
          <w:tcPr>
            <w:tcW w:w="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w w:val="96"/>
              </w:rPr>
              <w:t>Advances and match funded advances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1,622,348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1,618,856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(1)</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2,266,882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2,266,882</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w:t>
            </w:r>
          </w:p>
        </w:tc>
      </w:tr>
      <w:tr>
        <w:trPr>
          <w:trHeight w:val="216"/>
        </w:trPr>
        <w:tc>
          <w:tcPr>
            <w:tcW w:w="3020" w:type="dxa"/>
            <w:vAlign w:val="bottom"/>
            <w:shd w:val="clear" w:color="auto" w:fill="CCEECC"/>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47,346</w:t>
            </w:r>
          </w:p>
        </w:tc>
        <w:tc>
          <w:tcPr>
            <w:tcW w:w="2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47,346</w:t>
            </w:r>
          </w:p>
        </w:tc>
        <w:tc>
          <w:tcPr>
            <w:tcW w:w="80" w:type="dxa"/>
            <w:vAlign w:val="bottom"/>
            <w:shd w:val="clear" w:color="auto" w:fill="CCEECC"/>
          </w:tcPr>
          <w:p>
            <w:pPr>
              <w:spacing w:after="0"/>
              <w:rPr>
                <w:sz w:val="18"/>
                <w:szCs w:val="18"/>
                <w:color w:val="auto"/>
              </w:rPr>
            </w:pPr>
          </w:p>
        </w:tc>
        <w:tc>
          <w:tcPr>
            <w:tcW w:w="2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22,398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16,423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(1)</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16,803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16,803</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w:t>
            </w:r>
          </w:p>
        </w:tc>
      </w:tr>
      <w:tr>
        <w:trPr>
          <w:trHeight w:val="216"/>
        </w:trPr>
        <w:tc>
          <w:tcPr>
            <w:tcW w:w="3020" w:type="dxa"/>
            <w:vAlign w:val="bottom"/>
            <w:shd w:val="clear" w:color="auto" w:fill="CCEECC"/>
          </w:tcPr>
          <w:p>
            <w:pPr>
              <w:spacing w:after="0"/>
              <w:rPr>
                <w:sz w:val="20"/>
                <w:szCs w:val="20"/>
                <w:color w:val="auto"/>
              </w:rPr>
            </w:pPr>
            <w:r>
              <w:rPr>
                <w:rFonts w:ascii="Arial" w:cs="Arial" w:eastAsia="Arial" w:hAnsi="Arial"/>
                <w:sz w:val="18"/>
                <w:szCs w:val="18"/>
                <w:color w:val="auto"/>
              </w:rPr>
              <w:t>Debt service accounts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69,287</w:t>
            </w:r>
          </w:p>
        </w:tc>
        <w:tc>
          <w:tcPr>
            <w:tcW w:w="2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69,287</w:t>
            </w:r>
          </w:p>
        </w:tc>
        <w:tc>
          <w:tcPr>
            <w:tcW w:w="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5,485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5,485</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w:t>
            </w:r>
          </w:p>
        </w:tc>
      </w:tr>
      <w:tr>
        <w:trPr>
          <w:trHeight w:val="216"/>
        </w:trPr>
        <w:tc>
          <w:tcPr>
            <w:tcW w:w="3020" w:type="dxa"/>
            <w:vAlign w:val="bottom"/>
            <w:shd w:val="clear" w:color="auto" w:fill="CCEECC"/>
          </w:tcPr>
          <w:p>
            <w:pPr>
              <w:spacing w:after="0"/>
              <w:rPr>
                <w:sz w:val="20"/>
                <w:szCs w:val="20"/>
                <w:color w:val="auto"/>
              </w:rPr>
            </w:pPr>
            <w:r>
              <w:rPr>
                <w:rFonts w:ascii="Arial" w:cs="Arial" w:eastAsia="Arial" w:hAnsi="Arial"/>
                <w:sz w:val="18"/>
                <w:szCs w:val="18"/>
                <w:color w:val="auto"/>
              </w:rPr>
              <w:t>Receivables and other assets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2,989</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2,989</w:t>
            </w:r>
          </w:p>
        </w:tc>
        <w:tc>
          <w:tcPr>
            <w:tcW w:w="4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56,886</w:t>
            </w:r>
          </w:p>
        </w:tc>
        <w:tc>
          <w:tcPr>
            <w:tcW w:w="2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56,886</w:t>
            </w:r>
          </w:p>
        </w:tc>
        <w:tc>
          <w:tcPr>
            <w:tcW w:w="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(1,997,459)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(1,997,459)</w:t>
            </w:r>
          </w:p>
        </w:tc>
        <w:tc>
          <w:tcPr>
            <w:tcW w:w="260" w:type="dxa"/>
            <w:vAlign w:val="bottom"/>
          </w:tcPr>
          <w:p>
            <w:pPr>
              <w:spacing w:after="0"/>
              <w:rPr>
                <w:sz w:val="18"/>
                <w:szCs w:val="18"/>
                <w:color w:val="auto"/>
              </w:rPr>
            </w:pPr>
          </w:p>
        </w:tc>
      </w:tr>
      <w:tr>
        <w:trPr>
          <w:trHeight w:val="216"/>
        </w:trPr>
        <w:tc>
          <w:tcPr>
            <w:tcW w:w="302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(864,969)</w:t>
            </w:r>
          </w:p>
        </w:tc>
        <w:tc>
          <w:tcPr>
            <w:tcW w:w="2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(864,969)</w:t>
            </w:r>
          </w:p>
        </w:tc>
        <w:tc>
          <w:tcPr>
            <w:tcW w:w="260" w:type="dxa"/>
            <w:vAlign w:val="bottom"/>
            <w:shd w:val="clear" w:color="auto" w:fill="CCEEC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302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Liability for indemnification</w:t>
            </w:r>
          </w:p>
        </w:tc>
        <w:tc>
          <w:tcPr>
            <w:tcW w:w="2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r>
      <w:tr>
        <w:trPr>
          <w:trHeight w:val="230"/>
        </w:trPr>
        <w:tc>
          <w:tcPr>
            <w:tcW w:w="30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(49,500)</w:t>
            </w:r>
          </w:p>
        </w:tc>
        <w:tc>
          <w:tcPr>
            <w:tcW w:w="14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(49,500)</w:t>
            </w:r>
          </w:p>
        </w:tc>
        <w:tc>
          <w:tcPr>
            <w:tcW w:w="4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(32,498)</w:t>
            </w:r>
          </w:p>
        </w:tc>
        <w:tc>
          <w:tcPr>
            <w:tcW w:w="28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(32,498)</w:t>
            </w:r>
          </w:p>
        </w:tc>
        <w:tc>
          <w:tcPr>
            <w:tcW w:w="2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w w:val="93"/>
              </w:rPr>
              <w:t>Liability for certain foreclosure matters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(13,602)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(13,602)</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Accrued bonuses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(35,201)</w:t>
            </w:r>
          </w:p>
        </w:tc>
        <w:tc>
          <w:tcPr>
            <w:tcW w:w="2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(35,201)</w:t>
            </w:r>
          </w:p>
        </w:tc>
        <w:tc>
          <w:tcPr>
            <w:tcW w:w="260" w:type="dxa"/>
            <w:vAlign w:val="bottom"/>
            <w:shd w:val="clear" w:color="auto" w:fill="CCEECC"/>
          </w:tcPr>
          <w:p>
            <w:pPr>
              <w:spacing w:after="0"/>
              <w:rPr>
                <w:sz w:val="18"/>
                <w:szCs w:val="18"/>
                <w:color w:val="auto"/>
              </w:rPr>
            </w:pP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Checks held for escheat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(16,418)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(16,418) (1)</w:t>
            </w:r>
          </w:p>
        </w:tc>
      </w:tr>
      <w:tr>
        <w:trPr>
          <w:trHeight w:val="230"/>
        </w:trPr>
        <w:tc>
          <w:tcPr>
            <w:tcW w:w="30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(24,840)</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(25,180)</w:t>
            </w:r>
          </w:p>
        </w:tc>
        <w:tc>
          <w:tcPr>
            <w:tcW w:w="4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(47,614)</w:t>
            </w:r>
          </w:p>
        </w:tc>
        <w:tc>
          <w:tcPr>
            <w:tcW w:w="28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(47,614)</w:t>
            </w:r>
          </w:p>
        </w:tc>
        <w:tc>
          <w:tcPr>
            <w:tcW w:w="2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3020" w:type="dxa"/>
            <w:vAlign w:val="bottom"/>
          </w:tcPr>
          <w:p>
            <w:pPr>
              <w:ind w:left="320"/>
              <w:spacing w:after="0"/>
              <w:rPr>
                <w:sz w:val="20"/>
                <w:szCs w:val="20"/>
                <w:color w:val="auto"/>
              </w:rPr>
            </w:pPr>
            <w:r>
              <w:rPr>
                <w:rFonts w:ascii="Arial" w:cs="Arial" w:eastAsia="Arial" w:hAnsi="Arial"/>
                <w:sz w:val="18"/>
                <w:szCs w:val="18"/>
                <w:color w:val="auto"/>
              </w:rPr>
              <w:t>Total identifiable net assets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1,957,479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464,881</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453,504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0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204,743</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210,038</w:t>
            </w:r>
          </w:p>
        </w:tc>
        <w:tc>
          <w:tcPr>
            <w:tcW w:w="420" w:type="dxa"/>
            <w:vAlign w:val="bottom"/>
            <w:shd w:val="clear" w:color="auto" w:fill="CCEECC"/>
          </w:tcPr>
          <w:p>
            <w:pPr>
              <w:jc w:val="right"/>
              <w:ind w:right="110"/>
              <w:spacing w:after="0"/>
              <w:rPr>
                <w:sz w:val="20"/>
                <w:szCs w:val="20"/>
                <w:color w:val="auto"/>
              </w:rPr>
            </w:pPr>
            <w:r>
              <w:rPr>
                <w:rFonts w:ascii="Arial" w:cs="Arial" w:eastAsia="Arial" w:hAnsi="Arial"/>
                <w:sz w:val="18"/>
                <w:szCs w:val="18"/>
                <w:color w:val="auto"/>
                <w:w w:val="90"/>
              </w:rPr>
              <w:t>(1)</w:t>
            </w:r>
          </w:p>
        </w:tc>
        <w:tc>
          <w:tcPr>
            <w:tcW w:w="1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300,843</w:t>
            </w:r>
          </w:p>
        </w:tc>
        <w:tc>
          <w:tcPr>
            <w:tcW w:w="28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10,477</w:t>
            </w: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311,320</w:t>
            </w:r>
          </w:p>
        </w:tc>
        <w:tc>
          <w:tcPr>
            <w:tcW w:w="80" w:type="dxa"/>
            <w:vAlign w:val="bottom"/>
            <w:shd w:val="clear" w:color="auto" w:fill="CCEECC"/>
          </w:tcPr>
          <w:p>
            <w:pPr>
              <w:spacing w:after="0"/>
              <w:rPr>
                <w:sz w:val="19"/>
                <w:szCs w:val="19"/>
                <w:color w:val="auto"/>
              </w:rPr>
            </w:pPr>
          </w:p>
        </w:tc>
        <w:tc>
          <w:tcPr>
            <w:tcW w:w="2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w:t>
            </w: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Total consideration</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2,172,029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2,167,517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765,724</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764,824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Initial fair value estimate</w:t>
      </w:r>
    </w:p>
    <w:p>
      <w:pPr>
        <w:spacing w:after="0" w:line="198"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estimated fair values of the assets acquired and liabilities assumed at the acquisition date, as set forth in the table above, includes some amounts based on preliminary fair value estimates. The following factors led to certain balances having preliminary fair value estimates:</w:t>
      </w:r>
    </w:p>
    <w:p>
      <w:pPr>
        <w:spacing w:after="0" w:line="10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complex nature of certain acquired assets and assumed liabilities prevents us from completing our valuations and reconciliations;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engaged a third party specialist to assist in valuing certain assets and liabilities and this work is not yet complete; and</w:t>
      </w:r>
    </w:p>
    <w:p>
      <w:pPr>
        <w:spacing w:after="0" w:line="19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Underlying information such as unpaid principal balance (UPB) and other loan level details have not yet been boarded and reconciled onto our servicing platform, and therefore, we have not been able to fully validate and reconcile certain asset and liability balances correlated with UPB data.</w:t>
      </w:r>
    </w:p>
    <w:p>
      <w:pPr>
        <w:spacing w:after="0" w:line="83"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Because the measurement period is still open, we expect that certain fair value estimates will change once we receive all information necessary to make a final fair value assessment. Any measurement period adjustments that we identify and determine to be material will be applied retrospectively to the period of acquisition, and depending on the nature of the adjustments, other periods subsequent to the period of acquisition could also be affected.</w:t>
      </w:r>
    </w:p>
    <w:p>
      <w:pPr>
        <w:spacing w:after="0" w:line="106"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 June 2013, we adjusted the initial purchase price and purchase price allocations related to the Homeward and ResCap Acquisitions as indicated in the table above. These measurement period adjustments were applied retrospectively to the period of acquisition. The December 31, 2012 Consolidated Balance Sheet has been revised to reflect the adjustments attributable to the Homeward Acquisition. None of the adjustments had a material effect on earnings.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ResCap Acquisition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completed the ResCap Acquisition on February 15, 2013. We acquired MSRs to “private label,” Freddie Mac and Ginnie Mae loans with a UPB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$107.3 billion and master servicing agreements with a UPB of $42.1 billion. We also assumed subservicing contracts with a UPB of $25.9 billion.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we obtain certain consents and court approvals we will subservice MSRs with a UPB of $9.0 billion on behalf of ResCap. When we obtain such consents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approvals, we will purchase these MSRs and assume the subservicing contracts from ResCap. We also acquired certain diversified fee-based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that include recovery, title and closing services.</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To finance the ResCap Acquisition, we deployed $840.0 million from the proceeds of a new $1.3 billion senior secured term loan (SSTL) facility and borrowed an additional $1.2 billion pursuant to two new servicing advance facilities and one existing facility.</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5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On April 12, 2013 in connection with the sale to Altisource of the diversified fee-based business acquired in connection with the ResCap Acquisition, Ocwen agreed to establish additional terms related to existing servicing arrangements between Altisource and Ocwen for mortgage servicing assets acquired from ResCap. The cash consideration paid by Altisource to Ocwen under the Agreement totaled $128.8 million. At the time of the closing, we derecognized goodwill of $128.8 million associated with the diversified fee-based business sold to Altisource. There were no other significant assets or liabilities associated with this business. See Note 21 – Business Segment Reporting for a discussion of the additional terms of the servicing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revenue and earnings of the ResCap Business operations that are included in our unaudited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the acquisition date of February 15, 2013 through June 30,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 2013:</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Six Months</w:t>
            </w:r>
          </w:p>
        </w:tc>
      </w:tr>
      <w:tr>
        <w:trPr>
          <w:trHeight w:val="210"/>
        </w:trPr>
        <w:tc>
          <w:tcPr>
            <w:tcW w:w="86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193,596</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jc w:val="right"/>
              <w:ind w:right="9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266,636</w:t>
            </w:r>
          </w:p>
        </w:tc>
        <w:tc>
          <w:tcPr>
            <w:tcW w:w="100" w:type="dxa"/>
            <w:vAlign w:val="bottom"/>
            <w:tcBorders>
              <w:top w:val="single" w:sz="8" w:color="CCEECC"/>
            </w:tcBorders>
            <w:shd w:val="clear" w:color="auto" w:fill="CCEECC"/>
          </w:tcPr>
          <w:p>
            <w:pPr>
              <w:spacing w:after="0"/>
              <w:rPr>
                <w:sz w:val="18"/>
                <w:szCs w:val="18"/>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43,646</w:t>
            </w:r>
          </w:p>
        </w:tc>
        <w:tc>
          <w:tcPr>
            <w:tcW w:w="42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58,525</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8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ResCap Acquisition occurred on January 1, 2012. Pro forma adjustments include:</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auto"/>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CC"/>
            </w:tcBorders>
          </w:tcPr>
          <w:p>
            <w:pPr>
              <w:spacing w:after="0"/>
              <w:rPr>
                <w:sz w:val="19"/>
                <w:szCs w:val="19"/>
                <w:color w:val="auto"/>
              </w:rPr>
            </w:pPr>
          </w:p>
        </w:tc>
        <w:tc>
          <w:tcPr>
            <w:tcW w:w="16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bottom w:val="single" w:sz="8" w:color="CCEECC"/>
            </w:tcBorders>
          </w:tcPr>
          <w:p>
            <w:pPr>
              <w:spacing w:after="0"/>
              <w:rPr>
                <w:sz w:val="19"/>
                <w:szCs w:val="19"/>
                <w:color w:val="auto"/>
              </w:rPr>
            </w:pPr>
          </w:p>
        </w:tc>
        <w:tc>
          <w:tcPr>
            <w:tcW w:w="160" w:type="dxa"/>
            <w:vAlign w:val="bottom"/>
            <w:tcBorders>
              <w:top w:val="single" w:sz="8" w:color="auto"/>
              <w:bottom w:val="single" w:sz="8" w:color="CCEEC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75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348,430</w:t>
            </w: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987,623</w:t>
            </w: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652,151</w:t>
            </w:r>
          </w:p>
        </w:tc>
        <w:tc>
          <w:tcPr>
            <w:tcW w:w="100" w:type="dxa"/>
            <w:vAlign w:val="bottom"/>
            <w:shd w:val="clear" w:color="auto" w:fill="CCEECC"/>
          </w:tcPr>
          <w:p>
            <w:pPr>
              <w:spacing w:after="0"/>
              <w:rPr>
                <w:sz w:val="18"/>
                <w:szCs w:val="18"/>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20,335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106,649</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14,138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18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We completed the Homeward Acquisition on December 27, 2012. We acquired the MSRs and subservicing for approximately 421,000 residential mortgage loans with a UPB of $77.0 billion. We also acquired Homeward’s loan origination platform and its diversified fee-based businesses, including property valuation, REO management, title, closing and advisory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ind w:right="60" w:firstLine="324"/>
        <w:spacing w:after="0" w:line="270" w:lineRule="auto"/>
        <w:rPr>
          <w:sz w:val="20"/>
          <w:szCs w:val="20"/>
          <w:color w:val="auto"/>
        </w:rPr>
      </w:pPr>
      <w:r>
        <w:rPr>
          <w:rFonts w:ascii="Arial" w:cs="Arial" w:eastAsia="Arial" w:hAnsi="Arial"/>
          <w:sz w:val="17"/>
          <w:szCs w:val="17"/>
          <w:color w:val="auto"/>
        </w:rPr>
        <w:t>On March 29, 2013, Ocwen sold the Homeward diversified fee-based businesses to Altisource Solutions S.à r.l. and Altisource Portfolio Solutions, Inc., wholly-owned subsidiaries of Altisource, for an aggregate purchase price of $87.0 million in cash. Ocwen sold its investment in two subsidiaries of Homeward, Beltline Road Insurance Agency, Inc. and Power Default Services, Inc. As part of this transaction, Ocwen also agreed to sell certain designated assets used or usable in the business conducted by another Homeward subsidiary, Power Valuation Services, Inc., as well as certain designated intellectual property and information technology assets that are used or usable in the business conducted by the acquired subsidiaries or by Powerline Valuation Services, Inc. Altisource also assumed certain liabilities of the diversified fee-based business. The carrying value of the net assets sold, including allocated goodwill, approximated the sales price. The assets sold consisted of receivables and other assets of $18.7 million. The liabilities assumed by Altisource of $4.0 million consisted principally of deferred revenue. At the time of the sale, we derecognized goodwill of $72.3 million associated with the sold business. In connection with this transaction, Ocwen entered into amendments to certain of its services and intellectual property agreements with Altisource. See Note 22 – Related Party Transactions for a discussion of these amendments.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9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acquisition of Homeward occurred on January 1, 2011. Pro forma adjustments include: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spacing w:after="0" w:line="129"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2011 rather than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 2012:</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Six Months</w:t>
            </w:r>
          </w:p>
        </w:tc>
      </w:tr>
      <w:tr>
        <w:trPr>
          <w:trHeight w:val="210"/>
        </w:trPr>
        <w:tc>
          <w:tcPr>
            <w:tcW w:w="86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325,915</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jc w:val="right"/>
              <w:ind w:right="9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603,550</w:t>
            </w:r>
          </w:p>
        </w:tc>
        <w:tc>
          <w:tcPr>
            <w:tcW w:w="100" w:type="dxa"/>
            <w:vAlign w:val="bottom"/>
            <w:tcBorders>
              <w:top w:val="single" w:sz="8" w:color="CCEECC"/>
            </w:tcBorders>
            <w:shd w:val="clear" w:color="auto" w:fill="CCEECC"/>
          </w:tcPr>
          <w:p>
            <w:pPr>
              <w:spacing w:after="0"/>
              <w:rPr>
                <w:sz w:val="18"/>
                <w:szCs w:val="18"/>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53,880</w:t>
            </w:r>
          </w:p>
        </w:tc>
        <w:tc>
          <w:tcPr>
            <w:tcW w:w="42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76,808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w:t>
      </w:r>
    </w:p>
    <w:p>
      <w:pPr>
        <w:spacing w:after="0" w:line="19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March 31, 2013, we increased our ownership in Correspondent One S.A. (Correspondent One), an entity formed with Altisource in March 2011, from 49% to 100%. We acquired the shares of Correspondent One held by Altisource (49% interest) for $12.6 million and acquired the remaining shares held by an unrelated entity for $0.9 million. We accounted for this transaction as a step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also recognized goodwill of $0.1 million. We began including the accounts of Correspondent One in our consolidated financial statements effective on the date of acquisition and have eliminated our investment in consolidation. Correspondent One facilitates the purchase of conforming and government-guaranteed residential mortgages from approved mortgage originators and resells the mortgages to secondary market investors. Correspondent One is not material to our financial condition, results of operations or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Liberty</w:t>
      </w:r>
    </w:p>
    <w:p>
      <w:pPr>
        <w:spacing w:after="0" w:line="185"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On April 1, 2013, we completed the Liberty Acquisition for $22.0 million in cash. In addition, and as part of the closing, Ocwen repaid Liberty’s $9.1 million existing outstanding debt to the sellers. We acquired approximately 420 reverse mortgage loans with a UPB of $55.2 million. We also acquired Liberty’s reverse mortgage origination platform.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did not recognize any goodwill in connection with this acquisition. The acquisition of Liberty did not have a material effect on our financial condition, results of operations or cash flows.</w:t>
      </w:r>
    </w:p>
    <w:p>
      <w:pPr>
        <w:spacing w:after="0" w:line="1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estimate fair value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Quoted prices (unadjusted) in active markets for identical assets or liabilities that the reporting entity can access at the measurement date.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Inputs other than quoted prices included in Level 1 that are observable for the asset or liability, either directly or indirectly.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 for the asset or liability.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and the estimated fair values of our financial instruments and our nonfinancial assets measured at fair value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June 30, 2013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Financial assets:</w:t>
            </w:r>
          </w:p>
        </w:tc>
        <w:tc>
          <w:tcPr>
            <w:tcW w:w="58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Loans held for sale, at fair value (1)</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361,144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361,144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426,480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Loans held for sale, at lower of cost or fair value (2)</w:t>
            </w:r>
          </w:p>
        </w:tc>
        <w:tc>
          <w:tcPr>
            <w:tcW w:w="58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33,987</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33,987</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82,866</w:t>
            </w: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Loans – restricted for securitization investors, at fair value (1)</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76,649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76,649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Advances and match funded advances (3)</w:t>
            </w:r>
          </w:p>
        </w:tc>
        <w:tc>
          <w:tcPr>
            <w:tcW w:w="58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3,405,795</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3,405,795</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3,233,707</w:t>
            </w: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3,233,707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Receivables, net (3)</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225,011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225,011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167,459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167,459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CC"/>
          </w:tcPr>
          <w:p>
            <w:pPr>
              <w:spacing w:after="0"/>
              <w:rPr>
                <w:sz w:val="20"/>
                <w:szCs w:val="20"/>
                <w:color w:val="auto"/>
              </w:rPr>
            </w:pPr>
            <w:r>
              <w:rPr>
                <w:rFonts w:ascii="Arial" w:cs="Arial" w:eastAsia="Arial" w:hAnsi="Arial"/>
                <w:sz w:val="18"/>
                <w:szCs w:val="18"/>
                <w:color w:val="auto"/>
              </w:rPr>
              <w:t>Financial liabilities:</w:t>
            </w:r>
          </w:p>
        </w:tc>
        <w:tc>
          <w:tcPr>
            <w:tcW w:w="5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Match funded liabilities (3)</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2,391,832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2,391,832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2,532,745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2,533,278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borrowings:</w:t>
            </w:r>
          </w:p>
        </w:tc>
        <w:tc>
          <w:tcPr>
            <w:tcW w:w="5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300"/>
              <w:spacing w:after="0" w:line="201" w:lineRule="exact"/>
              <w:rPr>
                <w:sz w:val="20"/>
                <w:szCs w:val="20"/>
                <w:color w:val="auto"/>
              </w:rPr>
            </w:pPr>
            <w:r>
              <w:rPr>
                <w:rFonts w:ascii="Arial" w:cs="Arial" w:eastAsia="Arial" w:hAnsi="Arial"/>
                <w:sz w:val="18"/>
                <w:szCs w:val="18"/>
                <w:color w:val="auto"/>
              </w:rPr>
              <w:t>Secured borrowings – owed to securitization investors, at fair</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value (1)</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73,641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73,641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 (3)</w:t>
            </w:r>
          </w:p>
        </w:tc>
        <w:tc>
          <w:tcPr>
            <w:tcW w:w="58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2,098,437</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2,082,458</w:t>
            </w:r>
          </w:p>
        </w:tc>
        <w:tc>
          <w:tcPr>
            <w:tcW w:w="1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1,096,679</w:t>
            </w:r>
          </w:p>
        </w:tc>
        <w:tc>
          <w:tcPr>
            <w:tcW w:w="14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1,101,504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60"/>
              <w:spacing w:after="0"/>
              <w:rPr>
                <w:sz w:val="20"/>
                <w:szCs w:val="20"/>
                <w:color w:val="auto"/>
              </w:rPr>
            </w:pPr>
            <w:r>
              <w:rPr>
                <w:rFonts w:ascii="Arial" w:cs="Arial" w:eastAsia="Arial" w:hAnsi="Arial"/>
                <w:sz w:val="18"/>
                <w:szCs w:val="18"/>
                <w:color w:val="auto"/>
              </w:rPr>
              <w:t>Total Other borrowings</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2,172,078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2,156,099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1,096,679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1,101,504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CC"/>
          </w:tcPr>
          <w:p>
            <w:pPr>
              <w:spacing w:after="0"/>
              <w:rPr>
                <w:sz w:val="20"/>
                <w:szCs w:val="20"/>
                <w:color w:val="auto"/>
              </w:rPr>
            </w:pPr>
            <w:r>
              <w:rPr>
                <w:rFonts w:ascii="Arial" w:cs="Arial" w:eastAsia="Arial" w:hAnsi="Arial"/>
                <w:sz w:val="18"/>
                <w:szCs w:val="18"/>
                <w:color w:val="auto"/>
              </w:rPr>
              <w:t>Derivative financial instruments (1):</w:t>
            </w:r>
          </w:p>
        </w:tc>
        <w:tc>
          <w:tcPr>
            <w:tcW w:w="5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Interest rate lock commitments (IRLCs)</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5,781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Interest rate swaps</w:t>
            </w:r>
          </w:p>
        </w:tc>
        <w:tc>
          <w:tcPr>
            <w:tcW w:w="58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(10,836)</w:t>
            </w: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Forward MBS trades</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18,681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18,681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U.S. Treasury futures</w:t>
            </w:r>
          </w:p>
        </w:tc>
        <w:tc>
          <w:tcPr>
            <w:tcW w:w="58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79"/>
              </w:rPr>
              <w:t>1</w:t>
            </w:r>
          </w:p>
        </w:tc>
        <w:tc>
          <w:tcPr>
            <w:tcW w:w="2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Interest rate caps</w:t>
            </w:r>
          </w:p>
        </w:tc>
        <w:tc>
          <w:tcPr>
            <w:tcW w:w="580" w:type="dxa"/>
            <w:vAlign w:val="bottom"/>
          </w:tcPr>
          <w:p>
            <w:pPr>
              <w:jc w:val="center"/>
              <w:ind w:left="10"/>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CC"/>
          </w:tcPr>
          <w:p>
            <w:pPr>
              <w:spacing w:after="0"/>
              <w:rPr>
                <w:sz w:val="20"/>
                <w:szCs w:val="20"/>
                <w:color w:val="auto"/>
              </w:rPr>
            </w:pPr>
            <w:r>
              <w:rPr>
                <w:rFonts w:ascii="Arial" w:cs="Arial" w:eastAsia="Arial" w:hAnsi="Arial"/>
                <w:sz w:val="18"/>
                <w:szCs w:val="18"/>
                <w:color w:val="auto"/>
              </w:rPr>
              <w:t>MSRs, at fair value (1)</w:t>
            </w:r>
          </w:p>
        </w:tc>
        <w:tc>
          <w:tcPr>
            <w:tcW w:w="58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79"/>
              </w:rPr>
              <w:t>3</w:t>
            </w:r>
          </w:p>
        </w:tc>
        <w:tc>
          <w:tcPr>
            <w:tcW w:w="3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97,163</w:t>
            </w:r>
          </w:p>
        </w:tc>
        <w:tc>
          <w:tcPr>
            <w:tcW w:w="3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97,163</w:t>
            </w:r>
          </w:p>
        </w:tc>
        <w:tc>
          <w:tcPr>
            <w:tcW w:w="2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85,213</w:t>
            </w:r>
          </w:p>
        </w:tc>
        <w:tc>
          <w:tcPr>
            <w:tcW w:w="3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405"/>
        </w:trPr>
        <w:tc>
          <w:tcPr>
            <w:tcW w:w="5380" w:type="dxa"/>
            <w:vAlign w:val="bottom"/>
            <w:gridSpan w:val="2"/>
          </w:tcPr>
          <w:p>
            <w:pPr>
              <w:spacing w:after="0"/>
              <w:rPr>
                <w:sz w:val="20"/>
                <w:szCs w:val="20"/>
                <w:color w:val="auto"/>
              </w:rPr>
            </w:pPr>
            <w:r>
              <w:rPr>
                <w:rFonts w:ascii="Arial" w:cs="Arial" w:eastAsia="Arial" w:hAnsi="Arial"/>
                <w:sz w:val="18"/>
                <w:szCs w:val="18"/>
                <w:color w:val="auto"/>
              </w:rPr>
              <w:t>(1)  Measured at fair value on a recurring basis.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80" w:type="dxa"/>
            <w:vAlign w:val="bottom"/>
            <w:gridSpan w:val="2"/>
          </w:tcPr>
          <w:p>
            <w:pPr>
              <w:spacing w:after="0"/>
              <w:rPr>
                <w:sz w:val="20"/>
                <w:szCs w:val="20"/>
                <w:color w:val="auto"/>
              </w:rPr>
            </w:pPr>
            <w:r>
              <w:rPr>
                <w:rFonts w:ascii="Arial" w:cs="Arial" w:eastAsia="Arial" w:hAnsi="Arial"/>
                <w:sz w:val="18"/>
                <w:szCs w:val="18"/>
                <w:color w:val="auto"/>
              </w:rPr>
              <w:t>(2)  Measured at fair value on a non-recurring basis.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80" w:type="dxa"/>
            <w:vAlign w:val="bottom"/>
            <w:gridSpan w:val="2"/>
          </w:tcPr>
          <w:p>
            <w:pPr>
              <w:spacing w:after="0"/>
              <w:rPr>
                <w:sz w:val="20"/>
                <w:szCs w:val="20"/>
                <w:color w:val="auto"/>
              </w:rPr>
            </w:pPr>
            <w:r>
              <w:rPr>
                <w:rFonts w:ascii="Arial" w:cs="Arial" w:eastAsia="Arial" w:hAnsi="Arial"/>
                <w:sz w:val="18"/>
                <w:szCs w:val="18"/>
                <w:color w:val="auto"/>
              </w:rPr>
              <w:t>(3)  Financial instruments disclosed, but not carried, at fair value.</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7"/>
          <w:szCs w:val="17"/>
          <w:color w:val="auto"/>
        </w:rPr>
        <w:t>The following tables present a reconciliation of the changes in fair value of Level 3 assets that we measure at fair value on a recurring basis: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Secured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Loans –</w:t>
            </w:r>
          </w:p>
        </w:tc>
        <w:tc>
          <w:tcPr>
            <w:tcW w:w="14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restricted for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owed to</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MSRs at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14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investors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investors</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8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90"/>
              </w:rPr>
              <w:t>Three Months Ended June 30, 2013:</w:t>
            </w:r>
          </w:p>
        </w:tc>
        <w:tc>
          <w:tcPr>
            <w:tcW w:w="20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8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(18,635)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84,534</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65,899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63,029</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(65,938)</w:t>
            </w: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(1,375)</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Included in Other, net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12,629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(5,439)</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8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90"/>
              </w:rPr>
              <w:t>Three Months Ended June 30, 2012:</w:t>
            </w:r>
          </w:p>
        </w:tc>
        <w:tc>
          <w:tcPr>
            <w:tcW w:w="20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8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(12,806)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CC"/>
            </w:tcBorders>
            <w:shd w:val="clear" w:color="auto" w:fill="CCEECC"/>
          </w:tcPr>
          <w:p>
            <w:pPr>
              <w:spacing w:after="0"/>
              <w:rPr>
                <w:sz w:val="18"/>
                <w:szCs w:val="18"/>
                <w:color w:val="auto"/>
              </w:rPr>
            </w:pPr>
          </w:p>
        </w:tc>
        <w:tc>
          <w:tcPr>
            <w:tcW w:w="20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820" w:type="dxa"/>
            <w:vAlign w:val="bottom"/>
            <w:gridSpan w:val="3"/>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Included in Other, net</w:t>
            </w: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CC"/>
            </w:tcBorders>
            <w:shd w:val="clear" w:color="auto" w:fill="CCEECC"/>
          </w:tcPr>
          <w:p>
            <w:pPr>
              <w:spacing w:after="0"/>
              <w:rPr>
                <w:sz w:val="18"/>
                <w:szCs w:val="18"/>
                <w:color w:val="auto"/>
              </w:rPr>
            </w:pPr>
          </w:p>
        </w:tc>
        <w:tc>
          <w:tcPr>
            <w:tcW w:w="20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Borders>
              <w:top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4820" w:type="dxa"/>
            <w:vAlign w:val="bottom"/>
            <w:gridSpan w:val="3"/>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(14,905</w:t>
            </w:r>
          </w:p>
        </w:tc>
        <w:tc>
          <w:tcPr>
            <w:tcW w:w="180" w:type="dxa"/>
            <w:vAlign w:val="bottom"/>
            <w:tcBorders>
              <w:top w:val="single" w:sz="8" w:color="CCEECC"/>
              <w:bottom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Secured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Loans –</w:t>
            </w:r>
          </w:p>
        </w:tc>
        <w:tc>
          <w:tcPr>
            <w:tcW w:w="14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restricted for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owed to</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MSRs at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14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investors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investors</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6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89"/>
              </w:rPr>
              <w:t>Six Months Ended June 30, 2013:</w:t>
            </w:r>
          </w:p>
        </w:tc>
        <w:tc>
          <w:tcPr>
            <w:tcW w:w="22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8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85,213</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74,545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63,029</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(65,938)</w:t>
            </w: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(1,066)</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Included in Other, net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11,950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(12,363)</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6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89"/>
              </w:rPr>
              <w:t>Six Months Ended June 30, 2012:</w:t>
            </w:r>
          </w:p>
        </w:tc>
        <w:tc>
          <w:tcPr>
            <w:tcW w:w="22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8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(16,676)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CC"/>
            </w:tcBorders>
            <w:shd w:val="clear" w:color="auto" w:fill="CCEECC"/>
          </w:tcPr>
          <w:p>
            <w:pPr>
              <w:spacing w:after="0"/>
              <w:rPr>
                <w:sz w:val="18"/>
                <w:szCs w:val="18"/>
                <w:color w:val="auto"/>
              </w:rPr>
            </w:pPr>
          </w:p>
        </w:tc>
        <w:tc>
          <w:tcPr>
            <w:tcW w:w="22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820" w:type="dxa"/>
            <w:vAlign w:val="bottom"/>
            <w:gridSpan w:val="3"/>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Included in Other, net</w:t>
            </w: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5,248</w:t>
            </w:r>
          </w:p>
        </w:tc>
        <w:tc>
          <w:tcPr>
            <w:tcW w:w="1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CC"/>
            </w:tcBorders>
            <w:shd w:val="clear" w:color="auto" w:fill="CCEECC"/>
          </w:tcPr>
          <w:p>
            <w:pPr>
              <w:spacing w:after="0"/>
              <w:rPr>
                <w:sz w:val="18"/>
                <w:szCs w:val="18"/>
                <w:color w:val="auto"/>
              </w:rPr>
            </w:pPr>
          </w:p>
        </w:tc>
        <w:tc>
          <w:tcPr>
            <w:tcW w:w="22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Borders>
              <w:top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4820" w:type="dxa"/>
            <w:vAlign w:val="bottom"/>
            <w:gridSpan w:val="3"/>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(14,905</w:t>
            </w:r>
          </w:p>
        </w:tc>
        <w:tc>
          <w:tcPr>
            <w:tcW w:w="180" w:type="dxa"/>
            <w:vAlign w:val="bottom"/>
            <w:tcBorders>
              <w:top w:val="single" w:sz="8" w:color="CCEECC"/>
              <w:bottom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0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net gains (losses) attributable to derivative financial instruments held at June 30, 2013 were $0.1 million for the three months ended June 30, 2013. For derivative financial instruments held at June 30, 2012, total net gains (losses) were $(2.2) million and $(6.4) million for the three and six months ended June 30, 2012, respectively.</w:t>
      </w:r>
    </w:p>
    <w:p>
      <w:pPr>
        <w:spacing w:after="0" w:line="15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financial instruments and other assets and liabilities measured at fair value on a recurring or non-recurring basis are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8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as the primary component of the price is obtained from observable values of mortgage forwards for loans of similar terms and characteristics. We have the ability to access this market, and it is the market into which conforming mortgage loans are typically sold.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right="120" w:firstLine="324"/>
        <w:spacing w:after="0" w:line="253" w:lineRule="auto"/>
        <w:rPr>
          <w:sz w:val="20"/>
          <w:szCs w:val="20"/>
          <w:color w:val="auto"/>
        </w:rPr>
      </w:pPr>
      <w:r>
        <w:rPr>
          <w:rFonts w:ascii="Arial" w:cs="Arial" w:eastAsia="Arial" w:hAnsi="Arial"/>
          <w:sz w:val="18"/>
          <w:szCs w:val="18"/>
          <w:color w:val="auto"/>
        </w:rPr>
        <w:t>We report all other loans held for sale at the lower of cost or fair value. Current market illiquidity has reduced the availability of observable pricing data for certain of these loans.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 Assumptions used in the valuation of performing loans include historical default rates, re-performance rates on defaulted loans, loss severity on defaulted loans, average resolution timeline, average coupon rate and a discount rate. Significant assumptions used in the valuation of nonperforming loans include the current market value of the underlying collateral based on third party sources such as appraisals or broker price opinions, resolution timeline, estimated foreclosure and disposition costs that are based on historical experience and a discount rate. The assumptions we used in the valuation of these performing and non-performing loans at June 30, 2013 have not changed significantly from those we used in the December 31, 2012 valuations.</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as we expect to redeliver (sell) the loans to new Ginnie Mae guaranteed securitizations in the case of modified loans.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loans are not traded in an active, open market with readily observable prices. We base the fair value of transferred reverse mortgage loans that do not qualify as sales for accounting purposes on the expected future cash flows discounted over the expected life of the loans at a rate commensurate with the risk of the estimated cash flows. Significant assumptions included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2013 valuation of our Loans – Restricted for Securitization Investors include:</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life in years ranging from 3.19 to 23.58 (weighted average of 6.86),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Conditional repayment rate ranging from 5.04% to 64.59% (weighted average of 12.82%),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 of 2.14%.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8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the valuation of MSRs are the speed at which mortgages prepay and delinquency experience. Other assumptions typically used in the valuation of MSRs are:</w:t>
      </w:r>
    </w:p>
    <w:p>
      <w:pPr>
        <w:spacing w:after="0" w:line="14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Collection rate of other ancillary fees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211"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We perform an impairment analysis based on the difference between the carrying amount and fair value after grouping our loans into the applicable strata. As a result of the Homeward and ResCap Acquisitions, management has re-evaluated the portfolio and determined the appropriate strata are Agency and Non-Agency. The Agency stratum includes all GSE MSRs. The Non-Agency stratum includes all private label primary and master MSRs.</w:t>
      </w:r>
    </w:p>
    <w:p>
      <w:pPr>
        <w:spacing w:after="0" w:line="12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derived prepayment speeds and delinquency assumptions from historical experience adjusted for prevailing market conditions. We utilize discount rate provided by third-party valuation experts, and we consider external market-based assumptions in determining the interest rate for the cost of financing advances, the interest rate for float earnings and the cost of servicing.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2" w:name="page23"/>
    <w:bookmarkEnd w:id="22"/>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2013 valuation of our MSRs carried at amortized cost include:</w:t>
      </w:r>
    </w:p>
    <w:p>
      <w:pPr>
        <w:spacing w:after="0" w:line="19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speeds ranging from 7.22% to 25.92% (weighted average of 14.42%) depending on loan type;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Delinquency rates ranging from 3.83% to 25.02% (weighted average of 14.61%) depending on loan type;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of 1-month LIBOR plus 4% for computing the cost of financing advances;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rates ranging from 10.9% to 20.0% (weighted average of 14.65%).</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As a result of the Homeward and ResCap Acquisitions, management has re-evaluated the portfolio and determined the appropriate strata are Agency and Non-Agency. The Agency stratum includes all GSE MSRs. The Non-Agency stratum includes all “private label” primary and master MSRs.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98" w:lineRule="exact"/>
        <w:rPr>
          <w:sz w:val="20"/>
          <w:szCs w:val="20"/>
          <w:color w:val="auto"/>
        </w:rPr>
      </w:pPr>
    </w:p>
    <w:p>
      <w:pPr>
        <w:ind w:left="660" w:hanging="341"/>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184" w:lineRule="exact"/>
        <w:rPr>
          <w:rFonts w:ascii="Arial" w:cs="Arial" w:eastAsia="Arial" w:hAnsi="Arial"/>
          <w:sz w:val="18"/>
          <w:szCs w:val="18"/>
          <w:color w:val="auto"/>
        </w:rPr>
      </w:pPr>
    </w:p>
    <w:p>
      <w:pPr>
        <w:ind w:left="660" w:hanging="341"/>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184" w:lineRule="exact"/>
        <w:rPr>
          <w:rFonts w:ascii="Arial" w:cs="Arial" w:eastAsia="Arial" w:hAnsi="Arial"/>
          <w:sz w:val="18"/>
          <w:szCs w:val="18"/>
          <w:color w:val="auto"/>
        </w:rPr>
      </w:pPr>
    </w:p>
    <w:p>
      <w:pPr>
        <w:ind w:left="660" w:hanging="341"/>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9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primary assumptions used in the June 30, 2013 valuation include a 9.51% weighted average constant prepayment rate and a discount rate equal to 1-Month LIBOR plus a range of 10.5%.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8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net realizable value which generally approximates fair value because advances have no stated maturity, generally are realized within a relatively short period of time and do not bear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8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Borrowings – Owed to Securitization Investors</w:t>
      </w:r>
    </w:p>
    <w:p>
      <w:pPr>
        <w:spacing w:after="0" w:line="20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more significant assumptions used in the June 30, 2013 valuation of our Secured Borrowings – Owed to Securitization Investors include:</w:t>
      </w:r>
    </w:p>
    <w:p>
      <w:pPr>
        <w:spacing w:after="0" w:line="19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life in years ranging from 3.15 to 22.84 (weighted average of 6.44),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Conditional repayment rate ranging from 5.01% to 61.69% (weighted average of 10.74%),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 rate of 1.27%.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099"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Match Funded Liabilities and Other Borrowings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June 30, 2013, the interest on all borrowings under match funded facilities was based on a variable rate adjusted regularly using a market index and therefore the carrying value approximates fair value. For the SSTL, we used a discount rate of 5.63% and the repayment schedule specified in the loan agreement to determine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may execute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 We terminated our outstanding interest rates swaps on May 31, 2013.</w:t>
      </w:r>
    </w:p>
    <w:p>
      <w:pPr>
        <w:spacing w:after="0" w:line="13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enter into forward trades to provide an economic hedge against changes in the value of residential forward and reverse mortgage loans held for sale that we carry at fair value. Forward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14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applicant (locked pipeline),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14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previously entered into derivative contracts that included interest rate swaps, U.S. Treasury futures and forward contracts to hedge against the effects of changes in the value of the MSRs that we carry at fair value. Effective April 1, 2013, we modified our strategy for managing the risks of the underlying loan portfolios and no longer use derivative contracts to hedge against the effects of changes in the value of MSRs which we carry at fair value. The fair value of interest rate swaps were based upon projected short-term interest rates and volatility based on published market based sources, a Level 3 valuation. Because futures and forward contracts are actively traded in the market, they are classified within Level 1 of the valuation hierarchy.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18 – Derivative Financial Instruments and Hedging Activities for additional information regarding derivative financial instruments.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4" w:name="page25"/>
    <w:bookmarkEnd w:id="24"/>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LOANS HELD FOR SALE, AT FAIR VALUE</w:t>
      </w:r>
    </w:p>
    <w:p>
      <w:pPr>
        <w:spacing w:after="0" w:line="1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party investors. The following table summarizes the activity in the balance of loans held for sale during the six months ended June 30, 2013: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8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426,480</w:t>
            </w:r>
          </w:p>
        </w:tc>
      </w:tr>
      <w:tr>
        <w:trPr>
          <w:trHeight w:val="216"/>
        </w:trPr>
        <w:tc>
          <w:tcPr>
            <w:tcW w:w="10280" w:type="dxa"/>
            <w:vAlign w:val="bottom"/>
          </w:tcPr>
          <w:p>
            <w:pPr>
              <w:ind w:left="160"/>
              <w:spacing w:after="0"/>
              <w:rPr>
                <w:sz w:val="20"/>
                <w:szCs w:val="20"/>
                <w:color w:val="auto"/>
              </w:rPr>
            </w:pPr>
            <w:r>
              <w:rPr>
                <w:rFonts w:ascii="Arial" w:cs="Arial" w:eastAsia="Arial" w:hAnsi="Arial"/>
                <w:sz w:val="18"/>
                <w:szCs w:val="18"/>
                <w:color w:val="auto"/>
              </w:rPr>
              <w:t>Originations and purchases (1)</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4,511,255</w:t>
            </w:r>
          </w:p>
        </w:tc>
      </w:tr>
      <w:tr>
        <w:trPr>
          <w:trHeight w:val="216"/>
        </w:trPr>
        <w:tc>
          <w:tcPr>
            <w:tcW w:w="102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w:t>
            </w:r>
          </w:p>
        </w:tc>
        <w:tc>
          <w:tcPr>
            <w:tcW w:w="18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7"/>
              </w:rPr>
              <w:t>(4,526,875)</w:t>
            </w:r>
          </w:p>
        </w:tc>
      </w:tr>
      <w:tr>
        <w:trPr>
          <w:trHeight w:val="216"/>
        </w:trPr>
        <w:tc>
          <w:tcPr>
            <w:tcW w:w="10280" w:type="dxa"/>
            <w:vAlign w:val="bottom"/>
          </w:tcPr>
          <w:p>
            <w:pPr>
              <w:ind w:left="160"/>
              <w:spacing w:after="0"/>
              <w:rPr>
                <w:sz w:val="20"/>
                <w:szCs w:val="20"/>
                <w:color w:val="auto"/>
              </w:rPr>
            </w:pPr>
            <w:r>
              <w:rPr>
                <w:rFonts w:ascii="Arial" w:cs="Arial" w:eastAsia="Arial" w:hAnsi="Arial"/>
                <w:sz w:val="18"/>
                <w:szCs w:val="18"/>
                <w:color w:val="auto"/>
              </w:rPr>
              <w:t>Loss on sale of loans</w:t>
            </w: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(37,794)</w:t>
            </w:r>
          </w:p>
        </w:tc>
      </w:tr>
      <w:tr>
        <w:trPr>
          <w:trHeight w:val="216"/>
        </w:trPr>
        <w:tc>
          <w:tcPr>
            <w:tcW w:w="102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Decrease in fair value</w:t>
            </w:r>
          </w:p>
        </w:tc>
        <w:tc>
          <w:tcPr>
            <w:tcW w:w="18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(11,821)</w:t>
            </w:r>
          </w:p>
        </w:tc>
      </w:tr>
      <w:tr>
        <w:trPr>
          <w:trHeight w:val="230"/>
        </w:trPr>
        <w:tc>
          <w:tcPr>
            <w:tcW w:w="1028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23"/>
        </w:trPr>
        <w:tc>
          <w:tcPr>
            <w:tcW w:w="102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June 30, 2013</w:t>
            </w:r>
          </w:p>
        </w:tc>
        <w:tc>
          <w:tcPr>
            <w:tcW w:w="1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361,144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10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include $60.0 million of reverse mortgages acquired in the Liberty Acquisition.</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summarizes the activity in Gain on loans held for sale, net, during the periods ended June 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Three Months</w:t>
            </w:r>
          </w:p>
        </w:tc>
        <w:tc>
          <w:tcPr>
            <w:tcW w:w="2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CCEEC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Gain on sales of loans (1)</w:t>
            </w: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10,179</w:t>
            </w:r>
          </w:p>
        </w:tc>
        <w:tc>
          <w:tcPr>
            <w:tcW w:w="360" w:type="dxa"/>
            <w:vAlign w:val="bottom"/>
            <w:shd w:val="clear" w:color="auto" w:fill="CCEECC"/>
          </w:tcPr>
          <w:p>
            <w:pPr>
              <w:spacing w:after="0"/>
              <w:rPr>
                <w:sz w:val="18"/>
                <w:szCs w:val="18"/>
                <w:color w:val="auto"/>
              </w:rPr>
            </w:pPr>
          </w:p>
        </w:tc>
        <w:tc>
          <w:tcPr>
            <w:tcW w:w="780" w:type="dxa"/>
            <w:vAlign w:val="bottom"/>
            <w:shd w:val="clear" w:color="auto" w:fill="CCEECC"/>
          </w:tcPr>
          <w:p>
            <w:pPr>
              <w:jc w:val="right"/>
              <w:ind w:right="62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9,098</w:t>
            </w:r>
          </w:p>
        </w:tc>
        <w:tc>
          <w:tcPr>
            <w:tcW w:w="3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C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Changes in fair value of IRLCs</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(11,757)</w:t>
            </w:r>
          </w:p>
        </w:tc>
        <w:tc>
          <w:tcPr>
            <w:tcW w:w="7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(12,994)</w:t>
            </w:r>
          </w:p>
        </w:tc>
        <w:tc>
          <w:tcPr>
            <w:tcW w:w="30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Change in fair value of loans held for sale (2)</w:t>
            </w:r>
          </w:p>
        </w:tc>
        <w:tc>
          <w:tcPr>
            <w:tcW w:w="2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(5,216)</w:t>
            </w:r>
          </w:p>
        </w:tc>
        <w:tc>
          <w:tcPr>
            <w:tcW w:w="780" w:type="dxa"/>
            <w:vAlign w:val="bottom"/>
            <w:shd w:val="clear" w:color="auto" w:fill="CCEECC"/>
          </w:tcPr>
          <w:p>
            <w:pPr>
              <w:spacing w:after="0"/>
              <w:rPr>
                <w:sz w:val="18"/>
                <w:szCs w:val="18"/>
                <w:color w:val="auto"/>
              </w:rPr>
            </w:pPr>
          </w:p>
        </w:tc>
        <w:tc>
          <w:tcPr>
            <w:tcW w:w="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(5,656)</w:t>
            </w: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Gain on hedge instruments</w:t>
            </w:r>
          </w:p>
        </w:tc>
        <w:tc>
          <w:tcPr>
            <w:tcW w:w="2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28,814</w:t>
            </w:r>
          </w:p>
        </w:tc>
        <w:tc>
          <w:tcPr>
            <w:tcW w:w="7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39,003</w:t>
            </w:r>
          </w:p>
        </w:tc>
        <w:tc>
          <w:tcPr>
            <w:tcW w:w="30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Provision for representations and warranties</w:t>
            </w:r>
          </w:p>
        </w:tc>
        <w:tc>
          <w:tcPr>
            <w:tcW w:w="2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(370)</w:t>
            </w:r>
          </w:p>
        </w:tc>
        <w:tc>
          <w:tcPr>
            <w:tcW w:w="780" w:type="dxa"/>
            <w:vAlign w:val="bottom"/>
            <w:shd w:val="clear" w:color="auto" w:fill="CCEECC"/>
          </w:tcPr>
          <w:p>
            <w:pPr>
              <w:spacing w:after="0"/>
              <w:rPr>
                <w:sz w:val="18"/>
                <w:szCs w:val="18"/>
                <w:color w:val="auto"/>
              </w:rPr>
            </w:pPr>
          </w:p>
        </w:tc>
        <w:tc>
          <w:tcPr>
            <w:tcW w:w="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(883)</w:t>
            </w: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21,631</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780" w:type="dxa"/>
            <w:vAlign w:val="bottom"/>
            <w:tcBorders>
              <w:top w:val="single" w:sz="8" w:color="auto"/>
              <w:bottom w:val="single" w:sz="8" w:color="auto"/>
            </w:tcBorders>
            <w:shd w:val="clear" w:color="auto" w:fill="CCEECC"/>
          </w:tcPr>
          <w:p>
            <w:pPr>
              <w:jc w:val="right"/>
              <w:ind w:right="6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28,380</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4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gains of $18.2 million and $46.9 million for the three and six months ended June 30, 2013, respectively, representing the value assigned to MSRs retained on sales of loans.</w:t>
      </w:r>
    </w:p>
    <w:p>
      <w:pPr>
        <w:spacing w:after="0" w:line="129"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gain of $6.2 million recorded during the three months ended June 30, 2013 to adjust Loans – Restricted for Securitization Investors to fair value.</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ADVANCES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940" w:type="dxa"/>
            <w:vAlign w:val="bottom"/>
            <w:tcBorders>
              <w:bottom w:val="single" w:sz="8" w:color="CCEECC"/>
            </w:tcBorders>
          </w:tcPr>
          <w:p>
            <w:pPr>
              <w:spacing w:after="0"/>
              <w:rPr>
                <w:sz w:val="20"/>
                <w:szCs w:val="20"/>
                <w:color w:val="auto"/>
              </w:rPr>
            </w:pPr>
          </w:p>
        </w:tc>
        <w:tc>
          <w:tcPr>
            <w:tcW w:w="5340" w:type="dxa"/>
            <w:vAlign w:val="bottom"/>
            <w:tcBorders>
              <w:bottom w:val="single" w:sz="8" w:color="CCEECC"/>
            </w:tcBorders>
          </w:tcPr>
          <w:p>
            <w:pPr>
              <w:spacing w:after="0"/>
              <w:rPr>
                <w:sz w:val="20"/>
                <w:szCs w:val="20"/>
                <w:color w:val="auto"/>
              </w:rPr>
            </w:pPr>
          </w:p>
        </w:tc>
        <w:tc>
          <w:tcPr>
            <w:tcW w:w="264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CC"/>
          </w:tcPr>
          <w:p>
            <w:pPr>
              <w:spacing w:after="0"/>
              <w:rPr>
                <w:sz w:val="20"/>
                <w:szCs w:val="20"/>
                <w:color w:val="auto"/>
              </w:rPr>
            </w:pPr>
            <w:r>
              <w:rPr>
                <w:rFonts w:ascii="Arial" w:cs="Arial" w:eastAsia="Arial" w:hAnsi="Arial"/>
                <w:sz w:val="18"/>
                <w:szCs w:val="18"/>
                <w:color w:val="auto"/>
              </w:rPr>
              <w:t>Servicing:</w:t>
            </w:r>
          </w:p>
        </w:tc>
        <w:tc>
          <w:tcPr>
            <w:tcW w:w="5340" w:type="dxa"/>
            <w:vAlign w:val="bottom"/>
            <w:shd w:val="clear" w:color="auto" w:fill="CCEECC"/>
          </w:tcPr>
          <w:p>
            <w:pPr>
              <w:spacing w:after="0"/>
              <w:rPr>
                <w:sz w:val="18"/>
                <w:szCs w:val="18"/>
                <w:color w:val="auto"/>
              </w:rPr>
            </w:pPr>
          </w:p>
        </w:tc>
        <w:tc>
          <w:tcPr>
            <w:tcW w:w="26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60"/>
              <w:spacing w:after="0"/>
              <w:rPr>
                <w:sz w:val="20"/>
                <w:szCs w:val="20"/>
                <w:color w:val="auto"/>
              </w:rPr>
            </w:pPr>
            <w:r>
              <w:rPr>
                <w:rFonts w:ascii="Arial" w:cs="Arial" w:eastAsia="Arial" w:hAnsi="Arial"/>
                <w:sz w:val="18"/>
                <w:szCs w:val="18"/>
                <w:color w:val="auto"/>
              </w:rPr>
              <w:t>Principal and interest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109,012</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83,617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Taxes and insurance</w:t>
            </w:r>
          </w:p>
        </w:tc>
        <w:tc>
          <w:tcPr>
            <w:tcW w:w="26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215,981</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60"/>
              <w:spacing w:after="0"/>
              <w:rPr>
                <w:sz w:val="20"/>
                <w:szCs w:val="20"/>
                <w:color w:val="auto"/>
              </w:rPr>
            </w:pPr>
            <w:r>
              <w:rPr>
                <w:rFonts w:ascii="Arial" w:cs="Arial" w:eastAsia="Arial" w:hAnsi="Arial"/>
                <w:sz w:val="18"/>
                <w:szCs w:val="18"/>
                <w:color w:val="auto"/>
              </w:rPr>
              <w:t>Foreclosures, bankruptcy and other</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108,115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41,296</w:t>
            </w:r>
          </w:p>
        </w:tc>
        <w:tc>
          <w:tcPr>
            <w:tcW w:w="0" w:type="dxa"/>
            <w:vAlign w:val="bottom"/>
          </w:tcPr>
          <w:p>
            <w:pPr>
              <w:spacing w:after="0"/>
              <w:rPr>
                <w:sz w:val="1"/>
                <w:szCs w:val="1"/>
                <w:color w:val="auto"/>
              </w:rPr>
            </w:pPr>
          </w:p>
        </w:tc>
      </w:tr>
      <w:tr>
        <w:trPr>
          <w:trHeight w:val="210"/>
        </w:trPr>
        <w:tc>
          <w:tcPr>
            <w:tcW w:w="940" w:type="dxa"/>
            <w:vAlign w:val="bottom"/>
            <w:tcBorders>
              <w:top w:val="single" w:sz="8" w:color="CCEECC"/>
            </w:tcBorders>
            <w:shd w:val="clear" w:color="auto" w:fill="CCEECC"/>
          </w:tcPr>
          <w:p>
            <w:pPr>
              <w:spacing w:after="0"/>
              <w:rPr>
                <w:sz w:val="18"/>
                <w:szCs w:val="18"/>
                <w:color w:val="auto"/>
              </w:rPr>
            </w:pPr>
          </w:p>
        </w:tc>
        <w:tc>
          <w:tcPr>
            <w:tcW w:w="5340" w:type="dxa"/>
            <w:vAlign w:val="bottom"/>
            <w:tcBorders>
              <w:top w:val="single" w:sz="8" w:color="CCEECC"/>
            </w:tcBorders>
            <w:shd w:val="clear" w:color="auto" w:fill="CCEECC"/>
          </w:tcPr>
          <w:p>
            <w:pPr>
              <w:spacing w:after="0"/>
              <w:rPr>
                <w:sz w:val="18"/>
                <w:szCs w:val="18"/>
                <w:color w:val="auto"/>
              </w:rPr>
            </w:pPr>
          </w:p>
        </w:tc>
        <w:tc>
          <w:tcPr>
            <w:tcW w:w="26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433,108</w:t>
            </w:r>
          </w:p>
        </w:tc>
        <w:tc>
          <w:tcPr>
            <w:tcW w:w="1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Lending</w:t>
            </w:r>
          </w:p>
        </w:tc>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Corporate Items and Other</w:t>
            </w:r>
          </w:p>
        </w:tc>
        <w:tc>
          <w:tcPr>
            <w:tcW w:w="26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12,010</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445,471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NOTE 8</w:t>
            </w:r>
          </w:p>
        </w:tc>
        <w:tc>
          <w:tcPr>
            <w:tcW w:w="53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MATCH FUNDED ADVANCES</w:t>
            </w: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0" w:type="dxa"/>
            <w:vAlign w:val="bottom"/>
            <w:vMerge w:val="continue"/>
          </w:tcPr>
          <w:p>
            <w:pPr>
              <w:spacing w:after="0"/>
              <w:rPr>
                <w:sz w:val="24"/>
                <w:szCs w:val="24"/>
                <w:color w:val="auto"/>
              </w:rPr>
            </w:pPr>
          </w:p>
        </w:tc>
        <w:tc>
          <w:tcPr>
            <w:tcW w:w="534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mortgage loans that we service for others are comprised of the following at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CEECC"/>
            </w:tcBorders>
          </w:tcPr>
          <w:p>
            <w:pPr>
              <w:spacing w:after="0"/>
              <w:rPr>
                <w:sz w:val="20"/>
                <w:szCs w:val="20"/>
                <w:color w:val="auto"/>
              </w:rPr>
            </w:pPr>
          </w:p>
        </w:tc>
        <w:tc>
          <w:tcPr>
            <w:tcW w:w="444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Principal and interest</w:t>
            </w:r>
          </w:p>
        </w:tc>
        <w:tc>
          <w:tcPr>
            <w:tcW w:w="444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1,931,073</w:t>
            </w: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1,577,808</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Taxes and insurance</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765,241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1,148,486</w:t>
            </w:r>
          </w:p>
        </w:tc>
        <w:tc>
          <w:tcPr>
            <w:tcW w:w="0" w:type="dxa"/>
            <w:vAlign w:val="bottom"/>
          </w:tcPr>
          <w:p>
            <w:pPr>
              <w:spacing w:after="0"/>
              <w:rPr>
                <w:sz w:val="1"/>
                <w:szCs w:val="1"/>
                <w:color w:val="auto"/>
              </w:rPr>
            </w:pPr>
          </w:p>
        </w:tc>
      </w:tr>
      <w:tr>
        <w:trPr>
          <w:trHeight w:val="230"/>
        </w:trPr>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Foreclosures, bankruptcy, real estate and other</w:t>
            </w:r>
          </w:p>
        </w:tc>
        <w:tc>
          <w:tcPr>
            <w:tcW w:w="44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264,010</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322,950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2,960,324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440" w:type="dxa"/>
            <w:vAlign w:val="bottom"/>
            <w:vMerge w:val="restart"/>
          </w:tcPr>
          <w:p>
            <w:pPr>
              <w:jc w:val="right"/>
              <w:ind w:right="303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NOTE 9</w:t>
            </w:r>
          </w:p>
        </w:tc>
        <w:tc>
          <w:tcPr>
            <w:tcW w:w="7160" w:type="dxa"/>
            <w:vAlign w:val="bottom"/>
          </w:tcPr>
          <w:p>
            <w:pPr>
              <w:ind w:left="240"/>
              <w:spacing w:after="0"/>
              <w:rPr>
                <w:sz w:val="20"/>
                <w:szCs w:val="20"/>
                <w:color w:val="auto"/>
              </w:rPr>
            </w:pPr>
            <w:r>
              <w:rPr>
                <w:rFonts w:ascii="Arial" w:cs="Arial" w:eastAsia="Arial" w:hAnsi="Arial"/>
                <w:sz w:val="18"/>
                <w:szCs w:val="18"/>
                <w:b w:val="1"/>
                <w:bCs w:val="1"/>
                <w:color w:val="auto"/>
              </w:rPr>
              <w:t>MORTGAGE SERVICING</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The following table summarizes our activity related to MSRs for the six months ended June 30:</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tcBorders>
              <w:bottom w:val="single" w:sz="8" w:color="CCEECC"/>
            </w:tcBorders>
          </w:tcPr>
          <w:p>
            <w:pPr>
              <w:spacing w:after="0"/>
              <w:rPr>
                <w:sz w:val="24"/>
                <w:szCs w:val="24"/>
                <w:color w:val="auto"/>
              </w:rPr>
            </w:pPr>
          </w:p>
        </w:tc>
        <w:tc>
          <w:tcPr>
            <w:tcW w:w="7160" w:type="dxa"/>
            <w:vAlign w:val="bottom"/>
            <w:tcBorders>
              <w:bottom w:val="single" w:sz="8" w:color="CCEECC"/>
            </w:tcBorders>
          </w:tcPr>
          <w:p>
            <w:pPr>
              <w:spacing w:after="0"/>
              <w:rPr>
                <w:sz w:val="24"/>
                <w:szCs w:val="24"/>
                <w:color w:val="auto"/>
              </w:rPr>
            </w:pPr>
          </w:p>
        </w:tc>
        <w:tc>
          <w:tcPr>
            <w:tcW w:w="86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CC"/>
            </w:tcBorders>
          </w:tcPr>
          <w:p>
            <w:pPr>
              <w:spacing w:after="0"/>
              <w:rPr>
                <w:sz w:val="24"/>
                <w:szCs w:val="24"/>
                <w:color w:val="auto"/>
              </w:rPr>
            </w:pPr>
          </w:p>
        </w:tc>
        <w:tc>
          <w:tcPr>
            <w:tcW w:w="14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Balance at December 31</w:t>
            </w: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678,937</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293,152</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40"/>
              <w:spacing w:after="0"/>
              <w:rPr>
                <w:sz w:val="20"/>
                <w:szCs w:val="20"/>
                <w:color w:val="auto"/>
              </w:rPr>
            </w:pPr>
            <w:r>
              <w:rPr>
                <w:rFonts w:ascii="Arial" w:cs="Arial" w:eastAsia="Arial" w:hAnsi="Arial"/>
                <w:sz w:val="18"/>
                <w:szCs w:val="18"/>
                <w:color w:val="auto"/>
              </w:rPr>
              <w:t>Additions recognized in connection with business and asset acquisitions (1) (2)</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1,078,819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Additions recognized on the sale of residential mortgage loans</w:t>
            </w:r>
          </w:p>
        </w:tc>
        <w:tc>
          <w:tcPr>
            <w:tcW w:w="8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46,892</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40"/>
              <w:spacing w:after="0"/>
              <w:rPr>
                <w:sz w:val="20"/>
                <w:szCs w:val="20"/>
                <w:color w:val="auto"/>
              </w:rPr>
            </w:pPr>
            <w:r>
              <w:rPr>
                <w:rFonts w:ascii="Arial" w:cs="Arial" w:eastAsia="Arial" w:hAnsi="Arial"/>
                <w:sz w:val="18"/>
                <w:szCs w:val="18"/>
                <w:color w:val="auto"/>
              </w:rPr>
              <w:t>Servicing transfers, adjustments and other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Amortization (3)</w:t>
            </w:r>
          </w:p>
        </w:tc>
        <w:tc>
          <w:tcPr>
            <w:tcW w:w="8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(118,580)</w:t>
            </w:r>
          </w:p>
        </w:tc>
        <w:tc>
          <w:tcPr>
            <w:tcW w:w="1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(34,348)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1,688,038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Estimated fair value at June 30</w:t>
            </w:r>
          </w:p>
        </w:tc>
        <w:tc>
          <w:tcPr>
            <w:tcW w:w="106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2,269,985</w:t>
            </w:r>
          </w:p>
        </w:tc>
        <w:tc>
          <w:tcPr>
            <w:tcW w:w="3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470,974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CC"/>
            </w:tcBorders>
          </w:tcPr>
          <w:p>
            <w:pPr>
              <w:spacing w:after="0" w:line="20" w:lineRule="exact"/>
              <w:rPr>
                <w:sz w:val="1"/>
                <w:szCs w:val="1"/>
                <w:color w:val="auto"/>
              </w:rPr>
            </w:pPr>
          </w:p>
        </w:tc>
        <w:tc>
          <w:tcPr>
            <w:tcW w:w="7160" w:type="dxa"/>
            <w:vAlign w:val="bottom"/>
            <w:tcBorders>
              <w:top w:val="single" w:sz="8" w:color="CCEECC"/>
            </w:tcBorders>
          </w:tcPr>
          <w:p>
            <w:pPr>
              <w:spacing w:after="0" w:line="20" w:lineRule="exact"/>
              <w:rPr>
                <w:sz w:val="1"/>
                <w:szCs w:val="1"/>
                <w:color w:val="auto"/>
              </w:rPr>
            </w:pPr>
          </w:p>
        </w:tc>
        <w:tc>
          <w:tcPr>
            <w:tcW w:w="86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MSRs purchased during 2013 include $393.9 million acquired in the ResCap Acquisition. See Note 4 – Business Acquisitions for additional information.</w:t>
      </w:r>
    </w:p>
    <w:p>
      <w:pPr>
        <w:spacing w:after="0" w:line="221" w:lineRule="exact"/>
        <w:rPr>
          <w:rFonts w:ascii="Arial" w:cs="Arial" w:eastAsia="Arial" w:hAnsi="Arial"/>
          <w:sz w:val="16"/>
          <w:szCs w:val="16"/>
          <w:color w:val="auto"/>
        </w:rPr>
      </w:pPr>
    </w:p>
    <w:p>
      <w:pPr>
        <w:ind w:left="340" w:right="40" w:hanging="332"/>
        <w:spacing w:after="0" w:line="30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MSRs purchased during 2013 also include $680.0 million of MSRs acquired in the Ally MSR Transaction. The acquired MSRs relate to mortgage loans with a UPB of approximately $87.0 billion owned by Freddie Mac and Fannie Mae. We also acquired servicing advance receivables of $73.5 million. We assumed the origination representation and warranty obligations of approximately $136.4 million in connection with a majority of the acquired MSRs. We had been subservicing these MSRs on behalf of Ally under a subservicing contract assumed by us in connection with the ResCap Acquisition.</w:t>
      </w:r>
    </w:p>
    <w:p>
      <w:pPr>
        <w:spacing w:after="0" w:line="113" w:lineRule="exact"/>
        <w:rPr>
          <w:rFonts w:ascii="Arial" w:cs="Arial" w:eastAsia="Arial" w:hAnsi="Arial"/>
          <w:sz w:val="16"/>
          <w:szCs w:val="16"/>
          <w:color w:val="auto"/>
        </w:rPr>
      </w:pPr>
    </w:p>
    <w:p>
      <w:pPr>
        <w:ind w:left="340" w:right="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mortgage servicing rights is reported net of the amortization of servicing liabilities and includes the amount of charges we recognized to increase servicing liability obligations.</w:t>
      </w:r>
    </w:p>
    <w:p>
      <w:pPr>
        <w:spacing w:after="0" w:line="13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disclosed in Note 3 – Transfers of Financial Assets, we sold certain Rights to MSRs during 2012 and 2013 as part of the HLSS Transactions. The carrying value of the related MSRs which have not been derecognized at June 30, 2013 was $360.6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189"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This portfolio comprises servicing rights for which we elected the fair value option and includes prime forward mortgage loans for which we hedged the related market risks. The following table summarizes the activity related to our fair value MSRs for the six months ended June 30, 2013: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8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32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85,213</w:t>
            </w:r>
          </w:p>
        </w:tc>
      </w:tr>
      <w:tr>
        <w:trPr>
          <w:trHeight w:val="216"/>
        </w:trPr>
        <w:tc>
          <w:tcPr>
            <w:tcW w:w="10280" w:type="dxa"/>
            <w:vAlign w:val="bottom"/>
          </w:tcPr>
          <w:p>
            <w:pPr>
              <w:ind w:left="160"/>
              <w:spacing w:after="0"/>
              <w:rPr>
                <w:sz w:val="20"/>
                <w:szCs w:val="20"/>
                <w:color w:val="auto"/>
              </w:rPr>
            </w:pPr>
            <w:r>
              <w:rPr>
                <w:rFonts w:ascii="Arial" w:cs="Arial" w:eastAsia="Arial" w:hAnsi="Arial"/>
                <w:sz w:val="18"/>
                <w:szCs w:val="18"/>
                <w:color w:val="auto"/>
              </w:rPr>
              <w:t>Changes in fair value: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Due to changes in market valuation assumptions</w:t>
            </w:r>
          </w:p>
        </w:tc>
        <w:tc>
          <w:tcPr>
            <w:tcW w:w="3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20,680</w:t>
            </w:r>
          </w:p>
        </w:tc>
      </w:tr>
      <w:tr>
        <w:trPr>
          <w:trHeight w:val="230"/>
        </w:trPr>
        <w:tc>
          <w:tcPr>
            <w:tcW w:w="10280" w:type="dxa"/>
            <w:vAlign w:val="bottom"/>
          </w:tcPr>
          <w:p>
            <w:pPr>
              <w:ind w:left="320"/>
              <w:spacing w:after="0"/>
              <w:rPr>
                <w:sz w:val="20"/>
                <w:szCs w:val="20"/>
                <w:color w:val="auto"/>
              </w:rPr>
            </w:pPr>
            <w:r>
              <w:rPr>
                <w:rFonts w:ascii="Arial" w:cs="Arial" w:eastAsia="Arial" w:hAnsi="Arial"/>
                <w:sz w:val="18"/>
                <w:szCs w:val="18"/>
                <w:color w:val="auto"/>
              </w:rPr>
              <w:t>Realization of cash flows and other changes</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(8,730)</w:t>
            </w:r>
          </w:p>
        </w:tc>
      </w:tr>
      <w:tr>
        <w:trPr>
          <w:trHeight w:val="223"/>
        </w:trPr>
        <w:tc>
          <w:tcPr>
            <w:tcW w:w="102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June 30, 2013</w:t>
            </w:r>
          </w:p>
        </w:tc>
        <w:tc>
          <w:tcPr>
            <w:tcW w:w="320" w:type="dxa"/>
            <w:vAlign w:val="bottom"/>
            <w:tcBorders>
              <w:top w:val="single" w:sz="8" w:color="auto"/>
              <w:bottom w:val="single" w:sz="8" w:color="auto"/>
            </w:tcBorders>
            <w:shd w:val="clear" w:color="auto" w:fill="CCEEC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97,163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10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June 30, 2013 given hypothetical instantaneous parallel shifts in the yield curve: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6"/>
          </w:tcPr>
          <w:p>
            <w:pPr>
              <w:spacing w:after="0"/>
              <w:rPr>
                <w:sz w:val="20"/>
                <w:szCs w:val="20"/>
                <w:color w:val="auto"/>
              </w:rPr>
            </w:pPr>
            <w:r>
              <w:rPr>
                <w:rFonts w:ascii="Arial" w:cs="Arial" w:eastAsia="Arial" w:hAnsi="Arial"/>
                <w:sz w:val="18"/>
                <w:szCs w:val="18"/>
                <w:b w:val="1"/>
                <w:bCs w:val="1"/>
                <w:color w:val="auto"/>
                <w:w w:val="97"/>
              </w:rPr>
              <w:t>Adverse change in fair value</w:t>
            </w:r>
          </w:p>
        </w:tc>
      </w:tr>
      <w:tr>
        <w:trPr>
          <w:trHeight w:val="223"/>
        </w:trPr>
        <w:tc>
          <w:tcPr>
            <w:tcW w:w="5860" w:type="dxa"/>
            <w:vAlign w:val="bottom"/>
            <w:tcBorders>
              <w:bottom w:val="single" w:sz="8" w:color="CCEECC"/>
            </w:tcBorders>
          </w:tcPr>
          <w:p>
            <w:pPr>
              <w:spacing w:after="0"/>
              <w:rPr>
                <w:sz w:val="19"/>
                <w:szCs w:val="19"/>
                <w:color w:val="auto"/>
              </w:rPr>
            </w:pPr>
          </w:p>
        </w:tc>
        <w:tc>
          <w:tcPr>
            <w:tcW w:w="3060" w:type="dxa"/>
            <w:vAlign w:val="bottom"/>
            <w:tcBorders>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CCEECC"/>
            </w:tcBorders>
          </w:tcPr>
          <w:p>
            <w:pPr>
              <w:spacing w:after="0"/>
              <w:rPr>
                <w:sz w:val="19"/>
                <w:szCs w:val="19"/>
                <w:color w:val="auto"/>
              </w:rPr>
            </w:pPr>
          </w:p>
        </w:tc>
        <w:tc>
          <w:tcPr>
            <w:tcW w:w="140" w:type="dxa"/>
            <w:vAlign w:val="bottom"/>
            <w:tcBorders>
              <w:top w:val="single" w:sz="8" w:color="auto"/>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CC"/>
            </w:tcBorders>
          </w:tcPr>
          <w:p>
            <w:pPr>
              <w:spacing w:after="0"/>
              <w:rPr>
                <w:sz w:val="19"/>
                <w:szCs w:val="19"/>
                <w:color w:val="auto"/>
              </w:rPr>
            </w:pPr>
          </w:p>
        </w:tc>
      </w:tr>
      <w:tr>
        <w:trPr>
          <w:trHeight w:val="210"/>
        </w:trPr>
        <w:tc>
          <w:tcPr>
            <w:tcW w:w="5860" w:type="dxa"/>
            <w:vAlign w:val="bottom"/>
            <w:shd w:val="clear" w:color="auto" w:fill="CCEECC"/>
          </w:tcPr>
          <w:p>
            <w:pPr>
              <w:spacing w:after="0"/>
              <w:rPr>
                <w:sz w:val="20"/>
                <w:szCs w:val="20"/>
                <w:color w:val="auto"/>
              </w:rPr>
            </w:pPr>
            <w:r>
              <w:rPr>
                <w:rFonts w:ascii="Arial" w:cs="Arial" w:eastAsia="Arial" w:hAnsi="Arial"/>
                <w:sz w:val="18"/>
                <w:szCs w:val="18"/>
                <w:color w:val="auto"/>
              </w:rPr>
              <w:t>Weighted average prepayment speeds</w:t>
            </w:r>
          </w:p>
        </w:tc>
        <w:tc>
          <w:tcPr>
            <w:tcW w:w="30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CC"/>
          </w:tcPr>
          <w:p>
            <w:pPr>
              <w:ind w:left="480"/>
              <w:spacing w:after="0"/>
              <w:rPr>
                <w:sz w:val="20"/>
                <w:szCs w:val="20"/>
                <w:color w:val="auto"/>
              </w:rPr>
            </w:pPr>
            <w:r>
              <w:rPr>
                <w:rFonts w:ascii="Arial" w:cs="Arial" w:eastAsia="Arial" w:hAnsi="Arial"/>
                <w:sz w:val="18"/>
                <w:szCs w:val="18"/>
                <w:color w:val="auto"/>
                <w:w w:val="77"/>
              </w:rPr>
              <w:t>(3,850)</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CC"/>
          </w:tcPr>
          <w:p>
            <w:pPr>
              <w:ind w:left="320"/>
              <w:spacing w:after="0"/>
              <w:rPr>
                <w:sz w:val="20"/>
                <w:szCs w:val="20"/>
                <w:color w:val="auto"/>
              </w:rPr>
            </w:pPr>
            <w:r>
              <w:rPr>
                <w:rFonts w:ascii="Arial" w:cs="Arial" w:eastAsia="Arial" w:hAnsi="Arial"/>
                <w:sz w:val="18"/>
                <w:szCs w:val="18"/>
                <w:color w:val="auto"/>
                <w:w w:val="80"/>
              </w:rPr>
              <w:t>(7,459)</w:t>
            </w:r>
          </w:p>
        </w:tc>
        <w:tc>
          <w:tcPr>
            <w:tcW w:w="100" w:type="dxa"/>
            <w:vAlign w:val="bottom"/>
            <w:shd w:val="clear" w:color="auto" w:fill="CCEECC"/>
          </w:tcPr>
          <w:p>
            <w:pPr>
              <w:spacing w:after="0"/>
              <w:rPr>
                <w:sz w:val="18"/>
                <w:szCs w:val="18"/>
                <w:color w:val="auto"/>
              </w:rPr>
            </w:pP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Discount rate (Option-adjusted spread)</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(4,143)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98"/>
              </w:rPr>
              <w:t>(7,962)</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960" w:type="dxa"/>
            <w:vAlign w:val="bottom"/>
            <w:gridSpan w:val="7"/>
          </w:tcPr>
          <w:p>
            <w:pPr>
              <w:ind w:left="340"/>
              <w:spacing w:after="0"/>
              <w:rPr>
                <w:sz w:val="20"/>
                <w:szCs w:val="20"/>
                <w:color w:val="auto"/>
              </w:rPr>
            </w:pPr>
            <w:r>
              <w:rPr>
                <w:rFonts w:ascii="Arial" w:cs="Arial" w:eastAsia="Arial" w:hAnsi="Arial"/>
                <w:sz w:val="18"/>
                <w:szCs w:val="18"/>
                <w:color w:val="auto"/>
                <w:w w:val="97"/>
              </w:rPr>
              <w:t>The following table presents the components of servicing and subservicing fees for the periods ended June 30: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18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CCEE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CCEEC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Loan servicing and subservicing fees</w:t>
            </w: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363,739</w:t>
            </w: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149,384</w:t>
            </w: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631,767</w:t>
            </w:r>
          </w:p>
        </w:tc>
        <w:tc>
          <w:tcPr>
            <w:tcW w:w="3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261,973</w:t>
            </w:r>
          </w:p>
        </w:tc>
        <w:tc>
          <w:tcPr>
            <w:tcW w:w="100" w:type="dxa"/>
            <w:vAlign w:val="bottom"/>
            <w:shd w:val="clear" w:color="auto" w:fill="CCEEC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2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46,792</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21,390</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86,939</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34,074</w:t>
            </w: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Late charges</w:t>
            </w:r>
          </w:p>
        </w:tc>
        <w:tc>
          <w:tcPr>
            <w:tcW w:w="2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29,589</w:t>
            </w:r>
          </w:p>
        </w:tc>
        <w:tc>
          <w:tcPr>
            <w:tcW w:w="2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17,676</w:t>
            </w: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55,485</w:t>
            </w: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36,521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Loan collection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3,830</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14,137</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7,169</w:t>
            </w: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Custodial accounts (float earnings)</w:t>
            </w:r>
          </w:p>
        </w:tc>
        <w:tc>
          <w:tcPr>
            <w:tcW w:w="2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2,110</w:t>
            </w:r>
          </w:p>
        </w:tc>
        <w:tc>
          <w:tcPr>
            <w:tcW w:w="2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3,790</w:t>
            </w: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1,450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32,647</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7,392</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58,007</w:t>
            </w: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14,237</w:t>
            </w:r>
          </w:p>
        </w:tc>
      </w:tr>
      <w:tr>
        <w:trPr>
          <w:trHeight w:val="223"/>
        </w:trPr>
        <w:tc>
          <w:tcPr>
            <w:tcW w:w="61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482,632</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200,335</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850,125</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355,424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8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asset serviced as measured by UPB. The servicing portfolio represents loans for which we own the MSRs while subservicing represents all other loans.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Residential</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Commercial</w:t>
            </w:r>
          </w:p>
        </w:tc>
        <w:tc>
          <w:tcPr>
            <w:tcW w:w="20" w:type="dxa"/>
            <w:vAlign w:val="bottom"/>
          </w:tcPr>
          <w:p>
            <w:pPr>
              <w:spacing w:after="0"/>
              <w:rPr>
                <w:sz w:val="20"/>
                <w:szCs w:val="20"/>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UPB at June 30, 2013</w:t>
            </w:r>
          </w:p>
        </w:tc>
        <w:tc>
          <w:tcPr>
            <w:tcW w:w="1040" w:type="dxa"/>
            <w:vAlign w:val="bottom"/>
            <w:tcBorders>
              <w:top w:val="single" w:sz="8" w:color="auto"/>
            </w:tcBorders>
            <w:shd w:val="clear" w:color="auto" w:fill="CCEECC"/>
          </w:tcPr>
          <w:p>
            <w:pPr>
              <w:spacing w:after="0"/>
              <w:rPr>
                <w:sz w:val="18"/>
                <w:szCs w:val="18"/>
                <w:color w:val="auto"/>
              </w:rPr>
            </w:pPr>
          </w:p>
        </w:tc>
        <w:tc>
          <w:tcPr>
            <w:tcW w:w="36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78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Servicing (1)</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$ 344,173,439</w:t>
            </w:r>
          </w:p>
        </w:tc>
        <w:tc>
          <w:tcPr>
            <w:tcW w:w="36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$ 344,173,439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Subservicing</w:t>
            </w:r>
          </w:p>
        </w:tc>
        <w:tc>
          <w:tcPr>
            <w:tcW w:w="14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92,081,944</w:t>
            </w:r>
          </w:p>
        </w:tc>
        <w:tc>
          <w:tcPr>
            <w:tcW w:w="26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452,042</w:t>
            </w:r>
          </w:p>
        </w:tc>
        <w:tc>
          <w:tcPr>
            <w:tcW w:w="10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92,533,986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$ 436,255,383</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452,042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$ 436,707,425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CC"/>
          </w:tcPr>
          <w:p>
            <w:pPr>
              <w:spacing w:after="0"/>
              <w:rPr>
                <w:sz w:val="20"/>
                <w:szCs w:val="20"/>
                <w:color w:val="auto"/>
              </w:rPr>
            </w:pPr>
            <w:r>
              <w:rPr>
                <w:rFonts w:ascii="Arial" w:cs="Arial" w:eastAsia="Arial" w:hAnsi="Arial"/>
                <w:sz w:val="18"/>
                <w:szCs w:val="18"/>
                <w:color w:val="auto"/>
              </w:rPr>
              <w:t>UPB at December 31, 2012</w:t>
            </w:r>
          </w:p>
        </w:tc>
        <w:tc>
          <w:tcPr>
            <w:tcW w:w="104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Servicing (1)</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$ 175,762,161</w:t>
            </w:r>
          </w:p>
        </w:tc>
        <w:tc>
          <w:tcPr>
            <w:tcW w:w="36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$ 175,762,161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Subservicing</w:t>
            </w:r>
          </w:p>
        </w:tc>
        <w:tc>
          <w:tcPr>
            <w:tcW w:w="14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27,903,555</w:t>
            </w:r>
          </w:p>
        </w:tc>
        <w:tc>
          <w:tcPr>
            <w:tcW w:w="26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401,031</w:t>
            </w:r>
          </w:p>
        </w:tc>
        <w:tc>
          <w:tcPr>
            <w:tcW w:w="10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28,304,586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$ 203,665,716</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401,031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$ 204,066,747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8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UPB of $99.8 billion and $79.4 billion at June 30, 2013 and December 31, 2012, respectively, for which the Rights to MSRs have been sold to HLSS.</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Residential assets serviced consist principally of residential mortgage loans, but also include foreclosed real estate. Residential assets serviced also include small-balance commercial assets with a UPB of $1.9 billion and $2.1 billion at June 30, 2013 and December 31, 2012, respectively, that are managed using the REALServicing™ application. Commercial assets consist of large-balance foreclosed real estate. The UPB of assets serviced for others are not included on our unaudited Consolidated Balance Sheets.</w:t>
      </w:r>
    </w:p>
    <w:p>
      <w:pPr>
        <w:spacing w:after="0" w:line="16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are held in escrow by an unaffiliated bank and are excluded from our unaudited Consolidated Balance Sheets. Custodial accounts amounted to $7.6 billion and $1.3 billion at June 30, 2013 and December 31, 2012,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6720" w:type="dxa"/>
            <w:vAlign w:val="bottom"/>
            <w:gridSpan w:val="3"/>
          </w:tcPr>
          <w:p>
            <w:pPr>
              <w:jc w:val="right"/>
              <w:ind w:right="5330"/>
              <w:spacing w:after="0"/>
              <w:rPr>
                <w:sz w:val="20"/>
                <w:szCs w:val="20"/>
                <w:color w:val="auto"/>
              </w:rPr>
            </w:pPr>
            <w:r>
              <w:rPr>
                <w:rFonts w:ascii="Arial" w:cs="Arial" w:eastAsia="Arial" w:hAnsi="Arial"/>
                <w:sz w:val="18"/>
                <w:szCs w:val="18"/>
                <w:b w:val="1"/>
                <w:bCs w:val="1"/>
                <w:color w:val="auto"/>
                <w:w w:val="99"/>
              </w:rPr>
              <w:t>RECEIVABLES</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0" w:type="dxa"/>
            <w:vAlign w:val="bottom"/>
            <w:gridSpan w:val="4"/>
          </w:tcPr>
          <w:p>
            <w:pPr>
              <w:jc w:val="right"/>
              <w:ind w:right="2990"/>
              <w:spacing w:after="0"/>
              <w:rPr>
                <w:sz w:val="20"/>
                <w:szCs w:val="20"/>
                <w:color w:val="auto"/>
              </w:rPr>
            </w:pPr>
            <w:r>
              <w:rPr>
                <w:rFonts w:ascii="Arial" w:cs="Arial" w:eastAsia="Arial" w:hAnsi="Arial"/>
                <w:sz w:val="18"/>
                <w:szCs w:val="18"/>
                <w:color w:val="auto"/>
                <w:w w:val="96"/>
              </w:rPr>
              <w:t>Receivables consisted of the following at the dates indicated:</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Allowance for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Receivables</w:t>
            </w:r>
          </w:p>
        </w:tc>
        <w:tc>
          <w:tcPr>
            <w:tcW w:w="2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Borders>
              <w:top w:val="single" w:sz="8" w:color="CCEECC"/>
              <w:bottom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w w:val="90"/>
              </w:rPr>
              <w:t>June 30, 2013</w:t>
            </w:r>
          </w:p>
        </w:tc>
        <w:tc>
          <w:tcPr>
            <w:tcW w:w="6220" w:type="dxa"/>
            <w:vAlign w:val="bottom"/>
            <w:tcBorders>
              <w:top w:val="single" w:sz="8" w:color="CCEECC"/>
              <w:bottom w:val="single" w:sz="8" w:color="auto"/>
            </w:tcBorders>
            <w:shd w:val="clear" w:color="auto" w:fill="CCEECC"/>
          </w:tcPr>
          <w:p>
            <w:pPr>
              <w:spacing w:after="0"/>
              <w:rPr>
                <w:sz w:val="19"/>
                <w:szCs w:val="19"/>
                <w:color w:val="auto"/>
              </w:rPr>
            </w:pPr>
          </w:p>
        </w:tc>
        <w:tc>
          <w:tcPr>
            <w:tcW w:w="220" w:type="dxa"/>
            <w:vAlign w:val="bottom"/>
            <w:tcBorders>
              <w:top w:val="single" w:sz="8" w:color="CCEECC"/>
            </w:tcBorders>
            <w:shd w:val="clear" w:color="auto" w:fill="CCEECC"/>
          </w:tcPr>
          <w:p>
            <w:pPr>
              <w:spacing w:after="0"/>
              <w:rPr>
                <w:sz w:val="19"/>
                <w:szCs w:val="19"/>
                <w:color w:val="auto"/>
              </w:rPr>
            </w:pPr>
          </w:p>
        </w:tc>
        <w:tc>
          <w:tcPr>
            <w:tcW w:w="280" w:type="dxa"/>
            <w:vAlign w:val="bottom"/>
            <w:tcBorders>
              <w:top w:val="single" w:sz="8" w:color="auto"/>
            </w:tcBorders>
            <w:shd w:val="clear" w:color="auto" w:fill="CCEECC"/>
          </w:tcPr>
          <w:p>
            <w:pPr>
              <w:spacing w:after="0"/>
              <w:rPr>
                <w:sz w:val="19"/>
                <w:szCs w:val="19"/>
                <w:color w:val="auto"/>
              </w:rPr>
            </w:pPr>
          </w:p>
        </w:tc>
        <w:tc>
          <w:tcPr>
            <w:tcW w:w="760" w:type="dxa"/>
            <w:vAlign w:val="bottom"/>
            <w:tcBorders>
              <w:top w:val="single" w:sz="8" w:color="auto"/>
            </w:tcBorders>
            <w:shd w:val="clear" w:color="auto" w:fill="CCEECC"/>
          </w:tcPr>
          <w:p>
            <w:pPr>
              <w:spacing w:after="0"/>
              <w:rPr>
                <w:sz w:val="19"/>
                <w:szCs w:val="19"/>
                <w:color w:val="auto"/>
              </w:rPr>
            </w:pPr>
          </w:p>
        </w:tc>
        <w:tc>
          <w:tcPr>
            <w:tcW w:w="320" w:type="dxa"/>
            <w:vAlign w:val="bottom"/>
            <w:tcBorders>
              <w:top w:val="single" w:sz="8" w:color="CCEECC"/>
            </w:tcBorders>
            <w:shd w:val="clear" w:color="auto" w:fill="CCEECC"/>
          </w:tcPr>
          <w:p>
            <w:pPr>
              <w:spacing w:after="0"/>
              <w:rPr>
                <w:sz w:val="19"/>
                <w:szCs w:val="19"/>
                <w:color w:val="auto"/>
              </w:rPr>
            </w:pPr>
          </w:p>
        </w:tc>
        <w:tc>
          <w:tcPr>
            <w:tcW w:w="200" w:type="dxa"/>
            <w:vAlign w:val="bottom"/>
            <w:tcBorders>
              <w:top w:val="single" w:sz="8" w:color="auto"/>
            </w:tcBorders>
            <w:shd w:val="clear" w:color="auto" w:fill="CCEECC"/>
          </w:tcPr>
          <w:p>
            <w:pPr>
              <w:spacing w:after="0"/>
              <w:rPr>
                <w:sz w:val="19"/>
                <w:szCs w:val="19"/>
                <w:color w:val="auto"/>
              </w:rPr>
            </w:pPr>
          </w:p>
        </w:tc>
        <w:tc>
          <w:tcPr>
            <w:tcW w:w="880" w:type="dxa"/>
            <w:vAlign w:val="bottom"/>
            <w:tcBorders>
              <w:top w:val="single" w:sz="8" w:color="auto"/>
            </w:tcBorders>
            <w:shd w:val="clear" w:color="auto" w:fill="CCEECC"/>
          </w:tcPr>
          <w:p>
            <w:pPr>
              <w:spacing w:after="0"/>
              <w:rPr>
                <w:sz w:val="19"/>
                <w:szCs w:val="19"/>
                <w:color w:val="auto"/>
              </w:rPr>
            </w:pPr>
          </w:p>
        </w:tc>
        <w:tc>
          <w:tcPr>
            <w:tcW w:w="320" w:type="dxa"/>
            <w:vAlign w:val="bottom"/>
            <w:tcBorders>
              <w:top w:val="single" w:sz="8" w:color="CCEECC"/>
            </w:tcBorders>
            <w:shd w:val="clear" w:color="auto" w:fill="CCEECC"/>
          </w:tcPr>
          <w:p>
            <w:pPr>
              <w:spacing w:after="0"/>
              <w:rPr>
                <w:sz w:val="19"/>
                <w:szCs w:val="19"/>
                <w:color w:val="auto"/>
              </w:rPr>
            </w:pPr>
          </w:p>
        </w:tc>
        <w:tc>
          <w:tcPr>
            <w:tcW w:w="20" w:type="dxa"/>
            <w:vAlign w:val="bottom"/>
            <w:tcBorders>
              <w:top w:val="single" w:sz="8" w:color="CCEECC"/>
            </w:tcBorders>
            <w:shd w:val="clear" w:color="auto" w:fill="CCEECC"/>
          </w:tcPr>
          <w:p>
            <w:pPr>
              <w:spacing w:after="0"/>
              <w:rPr>
                <w:sz w:val="19"/>
                <w:szCs w:val="19"/>
                <w:color w:val="auto"/>
              </w:rPr>
            </w:pPr>
          </w:p>
        </w:tc>
        <w:tc>
          <w:tcPr>
            <w:tcW w:w="200" w:type="dxa"/>
            <w:vAlign w:val="bottom"/>
            <w:tcBorders>
              <w:top w:val="single" w:sz="8" w:color="auto"/>
            </w:tcBorders>
            <w:shd w:val="clear" w:color="auto" w:fill="CCEECC"/>
          </w:tcPr>
          <w:p>
            <w:pPr>
              <w:spacing w:after="0"/>
              <w:rPr>
                <w:sz w:val="19"/>
                <w:szCs w:val="19"/>
                <w:color w:val="auto"/>
              </w:rPr>
            </w:pPr>
          </w:p>
        </w:tc>
        <w:tc>
          <w:tcPr>
            <w:tcW w:w="800" w:type="dxa"/>
            <w:vAlign w:val="bottom"/>
            <w:tcBorders>
              <w:top w:val="single" w:sz="8" w:color="auto"/>
            </w:tcBorders>
            <w:shd w:val="clear" w:color="auto" w:fill="CCEECC"/>
          </w:tcPr>
          <w:p>
            <w:pPr>
              <w:spacing w:after="0"/>
              <w:rPr>
                <w:sz w:val="19"/>
                <w:szCs w:val="19"/>
                <w:color w:val="auto"/>
              </w:rPr>
            </w:pPr>
          </w:p>
        </w:tc>
        <w:tc>
          <w:tcPr>
            <w:tcW w:w="20" w:type="dxa"/>
            <w:vAlign w:val="bottom"/>
            <w:tcBorders>
              <w:top w:val="single" w:sz="8" w:color="CCEECC"/>
            </w:tcBorders>
            <w:shd w:val="clear" w:color="auto" w:fill="CCEECC"/>
          </w:tcPr>
          <w:p>
            <w:pPr>
              <w:spacing w:after="0"/>
              <w:rPr>
                <w:sz w:val="19"/>
                <w:szCs w:val="19"/>
                <w:color w:val="auto"/>
              </w:rPr>
            </w:pPr>
          </w:p>
        </w:tc>
        <w:tc>
          <w:tcPr>
            <w:tcW w:w="80" w:type="dxa"/>
            <w:vAlign w:val="bottom"/>
            <w:tcBorders>
              <w:top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Servicing (1)</w:t>
            </w:r>
          </w:p>
        </w:tc>
        <w:tc>
          <w:tcPr>
            <w:tcW w:w="6220" w:type="dxa"/>
            <w:vAlign w:val="bottom"/>
          </w:tcPr>
          <w:p>
            <w:pPr>
              <w:spacing w:after="0"/>
              <w:rPr>
                <w:sz w:val="18"/>
                <w:szCs w:val="18"/>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157,869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(14,202)</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143,667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10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43,851</w:t>
            </w:r>
          </w:p>
        </w:tc>
        <w:tc>
          <w:tcPr>
            <w:tcW w:w="20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43,851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Due from related parties (2)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21,828</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62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17,622</w:t>
            </w:r>
          </w:p>
        </w:tc>
        <w:tc>
          <w:tcPr>
            <w:tcW w:w="20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(1,957)</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15,665</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241,170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gridSpan w:val="4"/>
            <w:shd w:val="clear" w:color="auto" w:fill="CCEECC"/>
          </w:tcPr>
          <w:p>
            <w:pPr>
              <w:spacing w:after="0"/>
              <w:rPr>
                <w:sz w:val="20"/>
                <w:szCs w:val="20"/>
                <w:color w:val="auto"/>
              </w:rPr>
            </w:pPr>
            <w:r>
              <w:rPr>
                <w:rFonts w:ascii="Arial" w:cs="Arial" w:eastAsia="Arial" w:hAnsi="Arial"/>
                <w:sz w:val="18"/>
                <w:szCs w:val="18"/>
                <w:b w:val="1"/>
                <w:bCs w:val="1"/>
                <w:color w:val="auto"/>
              </w:rPr>
              <w:t>December 31, 2012</w:t>
            </w:r>
          </w:p>
        </w:tc>
        <w:tc>
          <w:tcPr>
            <w:tcW w:w="76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Servicing (1)</w:t>
            </w:r>
          </w:p>
        </w:tc>
        <w:tc>
          <w:tcPr>
            <w:tcW w:w="6220" w:type="dxa"/>
            <w:vAlign w:val="bottom"/>
            <w:tcBorders>
              <w:top w:val="single" w:sz="8" w:color="auto"/>
            </w:tcBorders>
          </w:tcPr>
          <w:p>
            <w:pPr>
              <w:spacing w:after="0"/>
              <w:rPr>
                <w:sz w:val="18"/>
                <w:szCs w:val="18"/>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84,870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(1,647)</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10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55,292</w:t>
            </w:r>
          </w:p>
        </w:tc>
        <w:tc>
          <w:tcPr>
            <w:tcW w:w="20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55,292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Due from related parties (2)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12,361</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62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18,577</w:t>
            </w:r>
          </w:p>
        </w:tc>
        <w:tc>
          <w:tcPr>
            <w:tcW w:w="20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(1,994)</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16,583</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171,100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8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receivable balances arise from our Servicing business and include reimbursable expenditures due from investors and amounts to be recovered from the custodial accounts of the trustees.</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22 – Related Party Transactions for additional information regarding transactions with Altisource and HLSS.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842"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GOODWILL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activity in the carrying value of goodwill during the six months ended June 30,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ResCap</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Homeward</w:t>
            </w:r>
          </w:p>
        </w:tc>
        <w:tc>
          <w:tcPr>
            <w:tcW w:w="18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Litton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Hom Eq</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Acquisition</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5"/>
              </w:rPr>
              <w:t>Acquisition</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20"/>
                <w:szCs w:val="20"/>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311,320</w:t>
            </w:r>
          </w:p>
        </w:tc>
        <w:tc>
          <w:tcPr>
            <w:tcW w:w="3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57,430</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12,810</w:t>
            </w: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381,560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820" w:type="dxa"/>
            <w:vAlign w:val="bottom"/>
          </w:tcPr>
          <w:p>
            <w:pPr>
              <w:ind w:left="160"/>
              <w:spacing w:after="0"/>
              <w:rPr>
                <w:sz w:val="20"/>
                <w:szCs w:val="20"/>
                <w:color w:val="auto"/>
              </w:rPr>
            </w:pPr>
            <w:r>
              <w:rPr>
                <w:rFonts w:ascii="Arial" w:cs="Arial" w:eastAsia="Arial" w:hAnsi="Arial"/>
                <w:sz w:val="18"/>
                <w:szCs w:val="18"/>
                <w:color w:val="auto"/>
              </w:rPr>
              <w:t>Derecognition of goodwill in connection with the sale of a</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20"/>
              <w:spacing w:after="0"/>
              <w:rPr>
                <w:sz w:val="20"/>
                <w:szCs w:val="20"/>
                <w:color w:val="auto"/>
              </w:rPr>
            </w:pPr>
            <w:r>
              <w:rPr>
                <w:rFonts w:ascii="Arial" w:cs="Arial" w:eastAsia="Arial" w:hAnsi="Arial"/>
                <w:sz w:val="18"/>
                <w:szCs w:val="18"/>
                <w:color w:val="auto"/>
              </w:rPr>
              <w:t>business (1) (2)</w:t>
            </w: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(128,750)</w:t>
            </w:r>
          </w:p>
        </w:tc>
        <w:tc>
          <w:tcPr>
            <w:tcW w:w="1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(72,309)</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(201,059)</w:t>
            </w:r>
          </w:p>
        </w:tc>
        <w:tc>
          <w:tcPr>
            <w:tcW w:w="0" w:type="dxa"/>
            <w:vAlign w:val="bottom"/>
          </w:tcPr>
          <w:p>
            <w:pPr>
              <w:spacing w:after="0"/>
              <w:rPr>
                <w:sz w:val="1"/>
                <w:szCs w:val="1"/>
                <w:color w:val="auto"/>
              </w:rPr>
            </w:pPr>
          </w:p>
        </w:tc>
      </w:tr>
      <w:tr>
        <w:trPr>
          <w:trHeight w:val="230"/>
        </w:trPr>
        <w:tc>
          <w:tcPr>
            <w:tcW w:w="48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ResCap Acquisition (2)</w:t>
            </w:r>
          </w:p>
        </w:tc>
        <w:tc>
          <w:tcPr>
            <w:tcW w:w="160" w:type="dxa"/>
            <w:vAlign w:val="bottom"/>
            <w:shd w:val="clear" w:color="auto" w:fill="CCEECC"/>
          </w:tcPr>
          <w:p>
            <w:pPr>
              <w:spacing w:after="0"/>
              <w:rPr>
                <w:sz w:val="19"/>
                <w:szCs w:val="19"/>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210,038</w:t>
            </w:r>
          </w:p>
        </w:tc>
        <w:tc>
          <w:tcPr>
            <w:tcW w:w="3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210,038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81,288</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239,011</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57,430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12,810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390,539</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20" w:type="dxa"/>
            <w:vAlign w:val="bottom"/>
            <w:tcBorders>
              <w:top w:val="single" w:sz="8" w:color="CCEECC"/>
            </w:tcBorders>
            <w:shd w:val="clear" w:color="auto" w:fill="CCEECC"/>
          </w:tcPr>
          <w:p>
            <w:pPr>
              <w:ind w:left="160"/>
              <w:spacing w:after="0" w:line="196" w:lineRule="exact"/>
              <w:rPr>
                <w:sz w:val="20"/>
                <w:szCs w:val="20"/>
                <w:color w:val="auto"/>
              </w:rPr>
            </w:pPr>
            <w:r>
              <w:rPr>
                <w:rFonts w:ascii="Arial" w:cs="Arial" w:eastAsia="Arial" w:hAnsi="Arial"/>
                <w:sz w:val="18"/>
                <w:szCs w:val="18"/>
                <w:color w:val="auto"/>
              </w:rPr>
              <w:t>Liberty Acquisition (2)</w:t>
            </w:r>
          </w:p>
        </w:tc>
        <w:tc>
          <w:tcPr>
            <w:tcW w:w="160" w:type="dxa"/>
            <w:vAlign w:val="bottom"/>
            <w:tcBorders>
              <w:top w:val="single" w:sz="8" w:color="auto"/>
            </w:tcBorders>
            <w:shd w:val="clear" w:color="auto" w:fill="CCEECC"/>
          </w:tcPr>
          <w:p>
            <w:pPr>
              <w:spacing w:after="0"/>
              <w:rPr>
                <w:sz w:val="17"/>
                <w:szCs w:val="17"/>
                <w:color w:val="auto"/>
              </w:rPr>
            </w:pPr>
          </w:p>
        </w:tc>
        <w:tc>
          <w:tcPr>
            <w:tcW w:w="880" w:type="dxa"/>
            <w:vAlign w:val="bottom"/>
            <w:tcBorders>
              <w:top w:val="single" w:sz="8" w:color="auto"/>
            </w:tcBorders>
            <w:shd w:val="clear" w:color="auto" w:fill="CCEECC"/>
          </w:tcPr>
          <w:p>
            <w:pPr>
              <w:spacing w:after="0"/>
              <w:rPr>
                <w:sz w:val="17"/>
                <w:szCs w:val="17"/>
                <w:color w:val="auto"/>
              </w:rPr>
            </w:pPr>
          </w:p>
        </w:tc>
        <w:tc>
          <w:tcPr>
            <w:tcW w:w="340" w:type="dxa"/>
            <w:vAlign w:val="bottom"/>
            <w:tcBorders>
              <w:top w:val="single" w:sz="8" w:color="CCEECC"/>
            </w:tcBorders>
            <w:shd w:val="clear" w:color="auto" w:fill="CCEECC"/>
          </w:tcPr>
          <w:p>
            <w:pPr>
              <w:spacing w:after="0"/>
              <w:rPr>
                <w:sz w:val="17"/>
                <w:szCs w:val="17"/>
                <w:color w:val="auto"/>
              </w:rPr>
            </w:pPr>
          </w:p>
        </w:tc>
        <w:tc>
          <w:tcPr>
            <w:tcW w:w="100" w:type="dxa"/>
            <w:vAlign w:val="bottom"/>
            <w:tcBorders>
              <w:top w:val="single" w:sz="8" w:color="auto"/>
            </w:tcBorders>
            <w:shd w:val="clear" w:color="auto" w:fill="CCEECC"/>
          </w:tcPr>
          <w:p>
            <w:pPr>
              <w:spacing w:after="0"/>
              <w:rPr>
                <w:sz w:val="17"/>
                <w:szCs w:val="17"/>
                <w:color w:val="auto"/>
              </w:rPr>
            </w:pPr>
          </w:p>
        </w:tc>
        <w:tc>
          <w:tcPr>
            <w:tcW w:w="940" w:type="dxa"/>
            <w:vAlign w:val="bottom"/>
            <w:tcBorders>
              <w:top w:val="single" w:sz="8" w:color="auto"/>
            </w:tcBorders>
            <w:shd w:val="clear" w:color="auto" w:fill="CCEECC"/>
          </w:tcPr>
          <w:p>
            <w:pPr>
              <w:spacing w:after="0"/>
              <w:rPr>
                <w:sz w:val="17"/>
                <w:szCs w:val="17"/>
                <w:color w:val="auto"/>
              </w:rPr>
            </w:pPr>
          </w:p>
        </w:tc>
        <w:tc>
          <w:tcPr>
            <w:tcW w:w="360" w:type="dxa"/>
            <w:vAlign w:val="bottom"/>
            <w:tcBorders>
              <w:top w:val="single" w:sz="8" w:color="CCEECC"/>
            </w:tcBorders>
            <w:shd w:val="clear" w:color="auto" w:fill="CCEECC"/>
          </w:tcPr>
          <w:p>
            <w:pPr>
              <w:spacing w:after="0"/>
              <w:rPr>
                <w:sz w:val="17"/>
                <w:szCs w:val="17"/>
                <w:color w:val="auto"/>
              </w:rPr>
            </w:pPr>
          </w:p>
        </w:tc>
        <w:tc>
          <w:tcPr>
            <w:tcW w:w="180" w:type="dxa"/>
            <w:vAlign w:val="bottom"/>
            <w:tcBorders>
              <w:top w:val="single" w:sz="8" w:color="auto"/>
            </w:tcBorders>
            <w:shd w:val="clear" w:color="auto" w:fill="CCEECC"/>
          </w:tcPr>
          <w:p>
            <w:pPr>
              <w:spacing w:after="0"/>
              <w:rPr>
                <w:sz w:val="17"/>
                <w:szCs w:val="17"/>
                <w:color w:val="auto"/>
              </w:rPr>
            </w:pPr>
          </w:p>
        </w:tc>
        <w:tc>
          <w:tcPr>
            <w:tcW w:w="860" w:type="dxa"/>
            <w:vAlign w:val="bottom"/>
            <w:tcBorders>
              <w:top w:val="single" w:sz="8" w:color="auto"/>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140" w:type="dxa"/>
            <w:vAlign w:val="bottom"/>
            <w:tcBorders>
              <w:top w:val="single" w:sz="8" w:color="auto"/>
            </w:tcBorders>
            <w:shd w:val="clear" w:color="auto" w:fill="CCEECC"/>
          </w:tcPr>
          <w:p>
            <w:pPr>
              <w:spacing w:after="0"/>
              <w:rPr>
                <w:sz w:val="17"/>
                <w:szCs w:val="17"/>
                <w:color w:val="auto"/>
              </w:rPr>
            </w:pPr>
          </w:p>
        </w:tc>
        <w:tc>
          <w:tcPr>
            <w:tcW w:w="880" w:type="dxa"/>
            <w:vAlign w:val="bottom"/>
            <w:tcBorders>
              <w:top w:val="single" w:sz="8" w:color="auto"/>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200" w:type="dxa"/>
            <w:vAlign w:val="bottom"/>
            <w:tcBorders>
              <w:top w:val="single" w:sz="8" w:color="CCEECC"/>
            </w:tcBorders>
            <w:shd w:val="clear" w:color="auto" w:fill="CCEECC"/>
          </w:tcPr>
          <w:p>
            <w:pPr>
              <w:spacing w:after="0"/>
              <w:rPr>
                <w:sz w:val="17"/>
                <w:szCs w:val="17"/>
                <w:color w:val="auto"/>
              </w:rPr>
            </w:pPr>
          </w:p>
        </w:tc>
        <w:tc>
          <w:tcPr>
            <w:tcW w:w="920" w:type="dxa"/>
            <w:vAlign w:val="bottom"/>
            <w:tcBorders>
              <w:top w:val="single" w:sz="8" w:color="CCEECC"/>
            </w:tcBorders>
            <w:gridSpan w:val="2"/>
            <w:shd w:val="clear" w:color="auto" w:fill="CCEEC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Step acquisition - Correspondent One (2)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880" w:type="dxa"/>
            <w:vAlign w:val="bottom"/>
            <w:tcBorders>
              <w:top w:val="single" w:sz="8" w:color="CCEECC"/>
              <w:bottom w:val="single" w:sz="8" w:color="CCEECC"/>
            </w:tcBorders>
            <w:shd w:val="clear" w:color="auto" w:fill="CCEECC"/>
          </w:tcPr>
          <w:p>
            <w:pPr>
              <w:spacing w:after="0"/>
              <w:rPr>
                <w:sz w:val="19"/>
                <w:szCs w:val="19"/>
                <w:color w:val="auto"/>
              </w:rPr>
            </w:pP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940" w:type="dxa"/>
            <w:vAlign w:val="bottom"/>
            <w:tcBorders>
              <w:top w:val="single" w:sz="8" w:color="CCEECC"/>
              <w:bottom w:val="single" w:sz="8" w:color="CCEECC"/>
            </w:tcBorders>
            <w:shd w:val="clear" w:color="auto" w:fill="CCEECC"/>
          </w:tcPr>
          <w:p>
            <w:pPr>
              <w:spacing w:after="0"/>
              <w:rPr>
                <w:sz w:val="19"/>
                <w:szCs w:val="19"/>
                <w:color w:val="auto"/>
              </w:rPr>
            </w:pP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8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8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390,640</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29, 2013, we sold the diversified fee-based business acquired in the Homeward Acquisition to Altisource and derecognized the assigned goodwill. On April 12, 2013, we sold the diversified fee-based business acquired in the ResCap Acquisition to Altisource and derecognized the assigned goodwill.</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4 – Business Acquisitions for additional information regarding this transaction.</w:t>
      </w:r>
    </w:p>
    <w:p>
      <w:pPr>
        <w:spacing w:after="0" w:line="198"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For the ResCap Acquisition, the $81.3 million of remaining goodwill is assigned to the Servicing segment. For the Homeward Acquisition, $118.6 million of the remaining goodwill is assigned to the Servicing segment and $120.4 million is assigned to the Lending segment. Subsequent to the initial assignment and prior to the sale to Altisource, $4.7 million of the purchase price allocated to the diversified fee-based business was reallocated to Servicing and Lending. The assignment of goodwill in the ResCap and Homeward Acquisitions is preliminary pending the final purchase price allocation. For the Litton and HomEq Acquisitions, the entire balance of goodwill pertains to the Servicing segment.</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DEBT SERVICE ACCOUNTS</w:t>
      </w:r>
    </w:p>
    <w:p>
      <w:pPr>
        <w:spacing w:after="0" w:line="18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These funds are held in interest earning accounts in the name of the SPE created in connection with the match funded financing facility. The balance of such debt service accounts at June 30, 2013 and December 31, 2012 was $84.2 million and $88.7 million,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NOTE 13</w:t>
            </w: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120" w:type="dxa"/>
            <w:vAlign w:val="bottom"/>
            <w:tcBorders>
              <w:bottom w:val="single" w:sz="8" w:color="CCEECC"/>
            </w:tcBorders>
          </w:tcPr>
          <w:p>
            <w:pPr>
              <w:spacing w:after="0"/>
              <w:rPr>
                <w:sz w:val="20"/>
                <w:szCs w:val="20"/>
                <w:color w:val="auto"/>
              </w:rPr>
            </w:pPr>
          </w:p>
        </w:tc>
        <w:tc>
          <w:tcPr>
            <w:tcW w:w="5700" w:type="dxa"/>
            <w:vAlign w:val="bottom"/>
            <w:tcBorders>
              <w:bottom w:val="single" w:sz="8" w:color="CCEECC"/>
            </w:tcBorders>
          </w:tcPr>
          <w:p>
            <w:pPr>
              <w:spacing w:after="0"/>
              <w:rPr>
                <w:sz w:val="20"/>
                <w:szCs w:val="20"/>
                <w:color w:val="auto"/>
              </w:rPr>
            </w:pPr>
          </w:p>
        </w:tc>
        <w:tc>
          <w:tcPr>
            <w:tcW w:w="210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68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Loans – restricted for securitization investors, at fair value (1)</w:t>
            </w:r>
          </w:p>
        </w:tc>
        <w:tc>
          <w:tcPr>
            <w:tcW w:w="210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76,649</w:t>
            </w: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Loans held for sale, at lower of cost or fair value (2)</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33,987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82,866</w:t>
            </w:r>
          </w:p>
        </w:tc>
      </w:tr>
      <w:tr>
        <w:trPr>
          <w:trHeight w:val="216"/>
        </w:trPr>
        <w:tc>
          <w:tcPr>
            <w:tcW w:w="68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Prepaid lender fees and debt issuance costs, net (3)</w:t>
            </w:r>
          </w:p>
        </w:tc>
        <w:tc>
          <w:tcPr>
            <w:tcW w:w="21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32,912</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14,389</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Prepaid income taxes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23,112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23,112</w:t>
            </w:r>
          </w:p>
        </w:tc>
      </w:tr>
      <w:tr>
        <w:trPr>
          <w:trHeight w:val="216"/>
        </w:trPr>
        <w:tc>
          <w:tcPr>
            <w:tcW w:w="68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Derivatives, at fair value (4)</w:t>
            </w:r>
          </w:p>
        </w:tc>
        <w:tc>
          <w:tcPr>
            <w:tcW w:w="21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18,857</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10,795</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 (5)</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12,886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r>
      <w:tr>
        <w:trPr>
          <w:trHeight w:val="216"/>
        </w:trPr>
        <w:tc>
          <w:tcPr>
            <w:tcW w:w="1120" w:type="dxa"/>
            <w:vAlign w:val="bottom"/>
            <w:shd w:val="clear" w:color="auto" w:fill="CCEECC"/>
          </w:tcPr>
          <w:p>
            <w:pPr>
              <w:spacing w:after="0"/>
              <w:rPr>
                <w:sz w:val="20"/>
                <w:szCs w:val="20"/>
                <w:color w:val="auto"/>
              </w:rPr>
            </w:pPr>
            <w:r>
              <w:rPr>
                <w:rFonts w:ascii="Arial" w:cs="Arial" w:eastAsia="Arial" w:hAnsi="Arial"/>
                <w:sz w:val="18"/>
                <w:szCs w:val="18"/>
                <w:color w:val="auto"/>
                <w:w w:val="87"/>
              </w:rPr>
              <w:t>Real estate, net</w:t>
            </w:r>
          </w:p>
        </w:tc>
        <w:tc>
          <w:tcPr>
            <w:tcW w:w="5700" w:type="dxa"/>
            <w:vAlign w:val="bottom"/>
            <w:shd w:val="clear" w:color="auto" w:fill="CCEECC"/>
          </w:tcPr>
          <w:p>
            <w:pPr>
              <w:spacing w:after="0"/>
              <w:rPr>
                <w:sz w:val="18"/>
                <w:szCs w:val="18"/>
                <w:color w:val="auto"/>
              </w:rPr>
            </w:pPr>
          </w:p>
        </w:tc>
        <w:tc>
          <w:tcPr>
            <w:tcW w:w="21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8,028</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6,205</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(6)</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31,710</w:t>
            </w:r>
          </w:p>
        </w:tc>
      </w:tr>
      <w:tr>
        <w:trPr>
          <w:trHeight w:val="216"/>
        </w:trPr>
        <w:tc>
          <w:tcPr>
            <w:tcW w:w="68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Acquisition deposits (7)</w:t>
            </w:r>
          </w:p>
        </w:tc>
        <w:tc>
          <w:tcPr>
            <w:tcW w:w="21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57,000</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19,125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22,314</w:t>
            </w:r>
          </w:p>
        </w:tc>
      </w:tr>
      <w:tr>
        <w:trPr>
          <w:trHeight w:val="223"/>
        </w:trPr>
        <w:tc>
          <w:tcPr>
            <w:tcW w:w="1120" w:type="dxa"/>
            <w:vAlign w:val="bottom"/>
            <w:tcBorders>
              <w:top w:val="single" w:sz="8" w:color="CCEECC"/>
              <w:bottom w:val="single" w:sz="8" w:color="CCEECC"/>
            </w:tcBorders>
            <w:shd w:val="clear" w:color="auto" w:fill="CCEECC"/>
          </w:tcPr>
          <w:p>
            <w:pPr>
              <w:spacing w:after="0"/>
              <w:rPr>
                <w:sz w:val="19"/>
                <w:szCs w:val="19"/>
                <w:color w:val="auto"/>
              </w:rPr>
            </w:pPr>
          </w:p>
        </w:tc>
        <w:tc>
          <w:tcPr>
            <w:tcW w:w="5700" w:type="dxa"/>
            <w:vAlign w:val="bottom"/>
            <w:tcBorders>
              <w:top w:val="single" w:sz="8" w:color="CCEECC"/>
              <w:bottom w:val="single" w:sz="8" w:color="CCEECC"/>
            </w:tcBorders>
            <w:shd w:val="clear" w:color="auto" w:fill="CCEECC"/>
          </w:tcPr>
          <w:p>
            <w:pPr>
              <w:spacing w:after="0"/>
              <w:rPr>
                <w:sz w:val="19"/>
                <w:szCs w:val="19"/>
                <w:color w:val="auto"/>
              </w:rPr>
            </w:pPr>
          </w:p>
        </w:tc>
        <w:tc>
          <w:tcPr>
            <w:tcW w:w="21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231,224</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273,578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70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Loans sold into Ginnie Mae guaranteed securitizations that we include in our Consolidated Financial Statements because the transfers of reverse mortgage loans to the trusts did not qualify for sales accounting treatment.</w:t>
      </w:r>
    </w:p>
    <w:p>
      <w:pPr>
        <w:spacing w:after="0" w:line="129" w:lineRule="exact"/>
        <w:rPr>
          <w:rFonts w:ascii="Arial" w:cs="Arial" w:eastAsia="Arial" w:hAnsi="Arial"/>
          <w:sz w:val="18"/>
          <w:szCs w:val="18"/>
          <w:color w:val="auto"/>
        </w:rPr>
      </w:pPr>
    </w:p>
    <w:p>
      <w:pPr>
        <w:ind w:left="340" w:right="340" w:hanging="332"/>
        <w:spacing w:after="0" w:line="297"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carrying values at June 30, 2013 and December 31, 2012 are net of valuation allowances of $19.4 million and $14.7 million, respectively. The balances include non-performing subprime single-family residential loans that we do not intend to hold to maturity. The balance at June 30, 2013 includes $14.0 million of loans that we were required to repurchase from Ginnie Mae guaranteed securitizations following the ResCap Acquisition in connection with loan modifications and loan resolutions. The balance at December 31, 2012 includes non-performing mortgage loans with a carrying value of $65.4 million that we acquired in December 2012 and sold to Altisource Residential, LP in February 2013 for an insignificant gain.</w:t>
      </w:r>
    </w:p>
    <w:p>
      <w:pPr>
        <w:spacing w:after="0" w:line="131"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balances relate to match funded liabilities and other secured borrowings.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18 – Derivative Financial Instruments and Hedging Activities for additional information.</w:t>
      </w:r>
    </w:p>
    <w:p>
      <w:pPr>
        <w:spacing w:after="0" w:line="184"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balance at December 31, 2012 includes an investment of $13.4 million that represented our 49% equity interest in Correspondent One. As disclosed in Note 4 – Business Acquisitions, we increased our ownership to 100% on March 31, 2013. Effective on that date, we began including the accounts of Correspondent One in our consolidated financial statements and have eliminated our current investment in consolidation.</w:t>
      </w:r>
    </w:p>
    <w:p>
      <w:pPr>
        <w:spacing w:after="0" w:line="138" w:lineRule="exact"/>
        <w:rPr>
          <w:rFonts w:ascii="Arial" w:cs="Arial" w:eastAsia="Arial" w:hAnsi="Arial"/>
          <w:sz w:val="17"/>
          <w:szCs w:val="17"/>
          <w:color w:val="auto"/>
        </w:rPr>
      </w:pPr>
    </w:p>
    <w:p>
      <w:pPr>
        <w:ind w:left="340" w:righ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balances include $1.1 million and $25.8 million of cash collateral held by the counterparties to certain of our derivative agreements at June 30, 2013 and December 31, 2012, respectively.</w:t>
      </w:r>
    </w:p>
    <w:p>
      <w:pPr>
        <w:spacing w:after="0" w:line="129"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balance at December 31, 2012 represents an earnest money cash deposit we made in connection with the ResCap Acquisition. This deposit was subsequently applied towards the purchase price upon closing of the transaction on February 15, 2013. See Note 4 – Business Acquisitions for additional information.</w:t>
      </w:r>
    </w:p>
    <w:p>
      <w:pPr>
        <w:spacing w:after="0" w:line="1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MATCH FUNDED LIABILITIES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left="140"/>
              <w:spacing w:after="0"/>
              <w:rPr>
                <w:sz w:val="20"/>
                <w:szCs w:val="20"/>
                <w:color w:val="auto"/>
              </w:rPr>
            </w:pPr>
            <w:r>
              <w:rPr>
                <w:rFonts w:ascii="Arial" w:cs="Arial" w:eastAsia="Arial" w:hAnsi="Arial"/>
                <w:sz w:val="16"/>
                <w:szCs w:val="16"/>
                <w:b w:val="1"/>
                <w:bCs w:val="1"/>
                <w:color w:val="auto"/>
                <w:w w:val="91"/>
              </w:rPr>
              <w:t>Available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gridSpan w:val="6"/>
          </w:tcPr>
          <w:p>
            <w:pPr>
              <w:ind w:left="240"/>
              <w:spacing w:after="0"/>
              <w:rPr>
                <w:sz w:val="20"/>
                <w:szCs w:val="20"/>
                <w:color w:val="auto"/>
              </w:rPr>
            </w:pPr>
            <w:r>
              <w:rPr>
                <w:rFonts w:ascii="Arial" w:cs="Arial" w:eastAsia="Arial" w:hAnsi="Arial"/>
                <w:sz w:val="16"/>
                <w:szCs w:val="16"/>
                <w:b w:val="1"/>
                <w:bCs w:val="1"/>
                <w:color w:val="auto"/>
              </w:rPr>
              <w:t>Balance Outstanding</w:t>
            </w:r>
          </w:p>
        </w:tc>
      </w:tr>
      <w:tr>
        <w:trPr>
          <w:trHeight w:val="188"/>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ind w:left="80"/>
              <w:spacing w:after="0"/>
              <w:rPr>
                <w:sz w:val="20"/>
                <w:szCs w:val="20"/>
                <w:color w:val="auto"/>
              </w:rPr>
            </w:pPr>
            <w:r>
              <w:rPr>
                <w:rFonts w:ascii="Arial" w:cs="Arial" w:eastAsia="Arial" w:hAnsi="Arial"/>
                <w:sz w:val="16"/>
                <w:szCs w:val="16"/>
                <w:b w:val="1"/>
                <w:bCs w:val="1"/>
                <w:color w:val="auto"/>
                <w:w w:val="96"/>
              </w:rPr>
              <w:t>Amortization</w:t>
            </w:r>
          </w:p>
        </w:tc>
        <w:tc>
          <w:tcPr>
            <w:tcW w:w="240" w:type="dxa"/>
            <w:vAlign w:val="bottom"/>
          </w:tcPr>
          <w:p>
            <w:pPr>
              <w:spacing w:after="0"/>
              <w:rPr>
                <w:sz w:val="16"/>
                <w:szCs w:val="16"/>
                <w:color w:val="auto"/>
              </w:rPr>
            </w:pPr>
          </w:p>
        </w:tc>
        <w:tc>
          <w:tcPr>
            <w:tcW w:w="1060" w:type="dxa"/>
            <w:vAlign w:val="bottom"/>
          </w:tcPr>
          <w:p>
            <w:pPr>
              <w:jc w:val="center"/>
              <w:ind w:left="100"/>
              <w:spacing w:after="0"/>
              <w:rPr>
                <w:sz w:val="20"/>
                <w:szCs w:val="20"/>
                <w:color w:val="auto"/>
              </w:rPr>
            </w:pPr>
            <w:r>
              <w:rPr>
                <w:rFonts w:ascii="Arial" w:cs="Arial" w:eastAsia="Arial" w:hAnsi="Arial"/>
                <w:sz w:val="16"/>
                <w:szCs w:val="16"/>
                <w:b w:val="1"/>
                <w:bCs w:val="1"/>
                <w:color w:val="auto"/>
                <w:w w:val="94"/>
              </w:rPr>
              <w:t>Borrowing</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gridSpan w:val="2"/>
          </w:tcPr>
          <w:p>
            <w:pPr>
              <w:spacing w:after="0"/>
              <w:rPr>
                <w:sz w:val="16"/>
                <w:szCs w:val="16"/>
                <w:color w:val="auto"/>
              </w:rPr>
            </w:pPr>
          </w:p>
        </w:tc>
      </w:tr>
      <w:tr>
        <w:trPr>
          <w:trHeight w:val="213"/>
        </w:trPr>
        <w:tc>
          <w:tcPr>
            <w:tcW w:w="3780" w:type="dxa"/>
            <w:vAlign w:val="bottom"/>
            <w:gridSpan w:val="2"/>
          </w:tcPr>
          <w:p>
            <w:pPr>
              <w:ind w:left="1240"/>
              <w:spacing w:after="0"/>
              <w:rPr>
                <w:sz w:val="20"/>
                <w:szCs w:val="20"/>
                <w:color w:val="auto"/>
              </w:rPr>
            </w:pPr>
            <w:r>
              <w:rPr>
                <w:rFonts w:ascii="Arial" w:cs="Arial" w:eastAsia="Arial" w:hAnsi="Arial"/>
                <w:sz w:val="16"/>
                <w:szCs w:val="16"/>
                <w:b w:val="1"/>
                <w:bCs w:val="1"/>
                <w:color w:val="auto"/>
              </w:rPr>
              <w:t>Borrowing Type</w:t>
            </w: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Interest Rate</w:t>
            </w: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Maturity (1)</w:t>
            </w:r>
          </w:p>
        </w:tc>
        <w:tc>
          <w:tcPr>
            <w:tcW w:w="1040" w:type="dxa"/>
            <w:vAlign w:val="bottom"/>
          </w:tcPr>
          <w:p>
            <w:pPr>
              <w:ind w:left="240"/>
              <w:spacing w:after="0"/>
              <w:rPr>
                <w:sz w:val="20"/>
                <w:szCs w:val="20"/>
                <w:color w:val="auto"/>
              </w:rPr>
            </w:pPr>
            <w:r>
              <w:rPr>
                <w:rFonts w:ascii="Arial" w:cs="Arial" w:eastAsia="Arial" w:hAnsi="Arial"/>
                <w:sz w:val="16"/>
                <w:szCs w:val="16"/>
                <w:b w:val="1"/>
                <w:bCs w:val="1"/>
                <w:color w:val="auto"/>
              </w:rPr>
              <w:t>Date (1)</w:t>
            </w:r>
          </w:p>
        </w:tc>
        <w:tc>
          <w:tcPr>
            <w:tcW w:w="240" w:type="dxa"/>
            <w:vAlign w:val="bottom"/>
          </w:tcPr>
          <w:p>
            <w:pPr>
              <w:spacing w:after="0"/>
              <w:rPr>
                <w:sz w:val="18"/>
                <w:szCs w:val="18"/>
                <w:color w:val="auto"/>
              </w:rPr>
            </w:pPr>
          </w:p>
        </w:tc>
        <w:tc>
          <w:tcPr>
            <w:tcW w:w="1060" w:type="dxa"/>
            <w:vAlign w:val="bottom"/>
          </w:tcPr>
          <w:p>
            <w:pPr>
              <w:jc w:val="center"/>
              <w:ind w:left="100"/>
              <w:spacing w:after="0"/>
              <w:rPr>
                <w:sz w:val="20"/>
                <w:szCs w:val="20"/>
                <w:color w:val="auto"/>
              </w:rPr>
            </w:pPr>
            <w:r>
              <w:rPr>
                <w:rFonts w:ascii="Arial" w:cs="Arial" w:eastAsia="Arial" w:hAnsi="Arial"/>
                <w:sz w:val="16"/>
                <w:szCs w:val="16"/>
                <w:b w:val="1"/>
                <w:bCs w:val="1"/>
                <w:color w:val="auto"/>
                <w:w w:val="92"/>
              </w:rPr>
              <w:t>Capacity (2)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35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6"/>
                <w:szCs w:val="16"/>
                <w:color w:val="auto"/>
              </w:rPr>
              <w:t>2011-Servicer Advance Revolving Trust 1 (3)</w:t>
            </w:r>
          </w:p>
        </w:tc>
        <w:tc>
          <w:tcPr>
            <w:tcW w:w="240" w:type="dxa"/>
            <w:vAlign w:val="bottom"/>
            <w:tcBorders>
              <w:top w:val="single" w:sz="8" w:color="CCEECC"/>
            </w:tcBorders>
            <w:shd w:val="clear" w:color="auto" w:fill="CCEECC"/>
          </w:tcPr>
          <w:p>
            <w:pPr>
              <w:spacing w:after="0"/>
              <w:rPr>
                <w:sz w:val="17"/>
                <w:szCs w:val="17"/>
                <w:color w:val="auto"/>
              </w:rPr>
            </w:pPr>
          </w:p>
        </w:tc>
        <w:tc>
          <w:tcPr>
            <w:tcW w:w="96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6"/>
                <w:szCs w:val="16"/>
                <w:color w:val="auto"/>
              </w:rPr>
              <w:t>2.23%</w:t>
            </w:r>
          </w:p>
        </w:tc>
        <w:tc>
          <w:tcPr>
            <w:tcW w:w="220" w:type="dxa"/>
            <w:vAlign w:val="bottom"/>
            <w:tcBorders>
              <w:top w:val="single" w:sz="8" w:color="CCEECC"/>
            </w:tcBorders>
            <w:shd w:val="clear" w:color="auto" w:fill="CCEECC"/>
          </w:tcPr>
          <w:p>
            <w:pPr>
              <w:spacing w:after="0"/>
              <w:rPr>
                <w:sz w:val="17"/>
                <w:szCs w:val="17"/>
                <w:color w:val="auto"/>
              </w:rPr>
            </w:pPr>
          </w:p>
        </w:tc>
        <w:tc>
          <w:tcPr>
            <w:tcW w:w="1160" w:type="dxa"/>
            <w:vAlign w:val="bottom"/>
            <w:tcBorders>
              <w:top w:val="single" w:sz="8" w:color="auto"/>
            </w:tcBorders>
            <w:shd w:val="clear" w:color="auto" w:fill="CCEECC"/>
          </w:tcPr>
          <w:p>
            <w:pPr>
              <w:ind w:left="320"/>
              <w:spacing w:after="0"/>
              <w:rPr>
                <w:sz w:val="20"/>
                <w:szCs w:val="20"/>
                <w:color w:val="auto"/>
              </w:rPr>
            </w:pPr>
            <w:r>
              <w:rPr>
                <w:rFonts w:ascii="Arial" w:cs="Arial" w:eastAsia="Arial" w:hAnsi="Arial"/>
                <w:sz w:val="16"/>
                <w:szCs w:val="16"/>
                <w:color w:val="auto"/>
              </w:rPr>
              <w:t>May 2043</w:t>
            </w:r>
          </w:p>
        </w:tc>
        <w:tc>
          <w:tcPr>
            <w:tcW w:w="220" w:type="dxa"/>
            <w:vAlign w:val="bottom"/>
            <w:tcBorders>
              <w:top w:val="single" w:sz="8" w:color="CCEECC"/>
            </w:tcBorders>
            <w:shd w:val="clear" w:color="auto" w:fill="CCEECC"/>
          </w:tcPr>
          <w:p>
            <w:pPr>
              <w:spacing w:after="0"/>
              <w:rPr>
                <w:sz w:val="17"/>
                <w:szCs w:val="17"/>
                <w:color w:val="auto"/>
              </w:rPr>
            </w:pPr>
          </w:p>
        </w:tc>
        <w:tc>
          <w:tcPr>
            <w:tcW w:w="1040" w:type="dxa"/>
            <w:vAlign w:val="bottom"/>
            <w:tcBorders>
              <w:top w:val="single" w:sz="8" w:color="auto"/>
            </w:tcBorders>
            <w:shd w:val="clear" w:color="auto" w:fill="CCEECC"/>
          </w:tcPr>
          <w:p>
            <w:pPr>
              <w:ind w:left="280"/>
              <w:spacing w:after="0"/>
              <w:rPr>
                <w:sz w:val="20"/>
                <w:szCs w:val="20"/>
                <w:color w:val="auto"/>
              </w:rPr>
            </w:pPr>
            <w:r>
              <w:rPr>
                <w:rFonts w:ascii="Arial" w:cs="Arial" w:eastAsia="Arial" w:hAnsi="Arial"/>
                <w:sz w:val="16"/>
                <w:szCs w:val="16"/>
                <w:color w:val="auto"/>
              </w:rPr>
              <w:t>May 2013</w:t>
            </w:r>
          </w:p>
        </w:tc>
        <w:tc>
          <w:tcPr>
            <w:tcW w:w="240" w:type="dxa"/>
            <w:vAlign w:val="bottom"/>
            <w:tcBorders>
              <w:top w:val="single" w:sz="8" w:color="CCEECC"/>
            </w:tcBorders>
            <w:shd w:val="clear" w:color="auto" w:fill="CCEECC"/>
          </w:tcPr>
          <w:p>
            <w:pPr>
              <w:spacing w:after="0"/>
              <w:rPr>
                <w:sz w:val="17"/>
                <w:szCs w:val="17"/>
                <w:color w:val="auto"/>
              </w:rPr>
            </w:pPr>
          </w:p>
        </w:tc>
        <w:tc>
          <w:tcPr>
            <w:tcW w:w="1060" w:type="dxa"/>
            <w:vAlign w:val="bottom"/>
            <w:tcBorders>
              <w:top w:val="single" w:sz="8" w:color="auto"/>
            </w:tcBorders>
            <w:shd w:val="clear" w:color="auto" w:fill="CCEECC"/>
          </w:tcPr>
          <w:p>
            <w:pPr>
              <w:jc w:val="right"/>
              <w:ind w:right="90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CC"/>
          </w:tcPr>
          <w:p>
            <w:pPr>
              <w:ind w:left="20"/>
              <w:spacing w:after="0"/>
              <w:rPr>
                <w:sz w:val="20"/>
                <w:szCs w:val="20"/>
                <w:color w:val="auto"/>
              </w:rPr>
            </w:pPr>
            <w:r>
              <w:rPr>
                <w:rFonts w:ascii="Arial" w:cs="Arial" w:eastAsia="Arial" w:hAnsi="Arial"/>
                <w:sz w:val="16"/>
                <w:szCs w:val="16"/>
                <w:color w:val="auto"/>
                <w:w w:val="87"/>
              </w:rPr>
              <w:t>—</w:t>
            </w:r>
          </w:p>
        </w:tc>
        <w:tc>
          <w:tcPr>
            <w:tcW w:w="340" w:type="dxa"/>
            <w:vAlign w:val="bottom"/>
            <w:tcBorders>
              <w:top w:val="single" w:sz="8" w:color="CCEECC"/>
            </w:tcBorders>
            <w:shd w:val="clear" w:color="auto" w:fill="CCEECC"/>
          </w:tcPr>
          <w:p>
            <w:pPr>
              <w:spacing w:after="0"/>
              <w:rPr>
                <w:sz w:val="17"/>
                <w:szCs w:val="17"/>
                <w:color w:val="auto"/>
              </w:rPr>
            </w:pPr>
          </w:p>
        </w:tc>
        <w:tc>
          <w:tcPr>
            <w:tcW w:w="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CC"/>
          </w:tcPr>
          <w:p>
            <w:pPr>
              <w:ind w:left="540"/>
              <w:spacing w:after="0"/>
              <w:rPr>
                <w:sz w:val="20"/>
                <w:szCs w:val="20"/>
                <w:color w:val="auto"/>
              </w:rPr>
            </w:pPr>
            <w:r>
              <w:rPr>
                <w:rFonts w:ascii="Arial" w:cs="Arial" w:eastAsia="Arial" w:hAnsi="Arial"/>
                <w:sz w:val="16"/>
                <w:szCs w:val="16"/>
                <w:color w:val="auto"/>
                <w:w w:val="87"/>
              </w:rPr>
              <w:t>—</w:t>
            </w:r>
          </w:p>
        </w:tc>
        <w:tc>
          <w:tcPr>
            <w:tcW w:w="320" w:type="dxa"/>
            <w:vAlign w:val="bottom"/>
            <w:tcBorders>
              <w:top w:val="single" w:sz="8" w:color="CCEECC"/>
            </w:tcBorders>
            <w:shd w:val="clear" w:color="auto" w:fill="CCEECC"/>
          </w:tcPr>
          <w:p>
            <w:pPr>
              <w:spacing w:after="0"/>
              <w:rPr>
                <w:sz w:val="17"/>
                <w:szCs w:val="17"/>
                <w:color w:val="auto"/>
              </w:rPr>
            </w:pPr>
          </w:p>
        </w:tc>
        <w:tc>
          <w:tcPr>
            <w:tcW w:w="220" w:type="dxa"/>
            <w:vAlign w:val="bottom"/>
            <w:tcBorders>
              <w:top w:val="single" w:sz="8" w:color="auto"/>
            </w:tcBorders>
            <w:shd w:val="clear" w:color="auto" w:fill="CCEECC"/>
          </w:tcPr>
          <w:p>
            <w:pPr>
              <w:jc w:val="right"/>
              <w:ind w:right="6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6"/>
                <w:szCs w:val="16"/>
                <w:color w:val="auto"/>
              </w:rPr>
              <w:t>325,000</w:t>
            </w:r>
          </w:p>
        </w:tc>
        <w:tc>
          <w:tcPr>
            <w:tcW w:w="20" w:type="dxa"/>
            <w:vAlign w:val="bottom"/>
            <w:tcBorders>
              <w:top w:val="single" w:sz="8" w:color="CCEECC"/>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r>
      <w:tr>
        <w:trPr>
          <w:trHeight w:val="193"/>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color w:val="auto"/>
              </w:rPr>
              <w:t>3.37 –</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6"/>
                <w:szCs w:val="16"/>
                <w:color w:val="auto"/>
              </w:rPr>
              <w:t>2011-Servicer Advance Revolving Trust 1 (3)</w:t>
            </w:r>
          </w:p>
        </w:tc>
        <w:tc>
          <w:tcPr>
            <w:tcW w:w="960" w:type="dxa"/>
            <w:vAlign w:val="bottom"/>
          </w:tcPr>
          <w:p>
            <w:pPr>
              <w:ind w:left="100"/>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color w:val="auto"/>
              </w:rPr>
              <w:t>May 2043</w:t>
            </w:r>
          </w:p>
        </w:tc>
        <w:tc>
          <w:tcPr>
            <w:tcW w:w="1040" w:type="dxa"/>
            <w:vAlign w:val="bottom"/>
          </w:tcPr>
          <w:p>
            <w:pPr>
              <w:ind w:left="280"/>
              <w:spacing w:after="0"/>
              <w:rPr>
                <w:sz w:val="20"/>
                <w:szCs w:val="20"/>
                <w:color w:val="auto"/>
              </w:rPr>
            </w:pPr>
            <w:r>
              <w:rPr>
                <w:rFonts w:ascii="Arial" w:cs="Arial" w:eastAsia="Arial" w:hAnsi="Arial"/>
                <w:sz w:val="16"/>
                <w:szCs w:val="16"/>
                <w:color w:val="auto"/>
              </w:rPr>
              <w:t>May 2013</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525,000</w:t>
            </w:r>
          </w:p>
        </w:tc>
        <w:tc>
          <w:tcPr>
            <w:tcW w:w="80" w:type="dxa"/>
            <w:vAlign w:val="bottom"/>
          </w:tcPr>
          <w:p>
            <w:pPr>
              <w:spacing w:after="0"/>
              <w:rPr>
                <w:sz w:val="18"/>
                <w:szCs w:val="18"/>
                <w:color w:val="auto"/>
              </w:rPr>
            </w:pPr>
          </w:p>
        </w:tc>
      </w:tr>
      <w:tr>
        <w:trPr>
          <w:trHeight w:val="196"/>
        </w:trPr>
        <w:tc>
          <w:tcPr>
            <w:tcW w:w="35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18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3.27 –</w:t>
            </w: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12"/>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2012-Servicing Advance Revolving Trust 2 (3)</w:t>
            </w:r>
          </w:p>
        </w:tc>
        <w:tc>
          <w:tcPr>
            <w:tcW w:w="960" w:type="dxa"/>
            <w:vAlign w:val="bottom"/>
            <w:shd w:val="clear" w:color="auto" w:fill="CCEECC"/>
          </w:tcPr>
          <w:p>
            <w:pPr>
              <w:ind w:left="100"/>
              <w:spacing w:after="0"/>
              <w:rPr>
                <w:sz w:val="20"/>
                <w:szCs w:val="20"/>
                <w:color w:val="auto"/>
              </w:rPr>
            </w:pPr>
            <w:r>
              <w:rPr>
                <w:rFonts w:ascii="Arial" w:cs="Arial" w:eastAsia="Arial" w:hAnsi="Arial"/>
                <w:sz w:val="16"/>
                <w:szCs w:val="16"/>
                <w:color w:val="auto"/>
              </w:rPr>
              <w:t>6.90%</w:t>
            </w:r>
          </w:p>
        </w:tc>
        <w:tc>
          <w:tcPr>
            <w:tcW w:w="220" w:type="dxa"/>
            <w:vAlign w:val="bottom"/>
            <w:shd w:val="clear" w:color="auto" w:fill="CCEECC"/>
          </w:tcPr>
          <w:p>
            <w:pPr>
              <w:spacing w:after="0"/>
              <w:rPr>
                <w:sz w:val="18"/>
                <w:szCs w:val="18"/>
                <w:color w:val="auto"/>
              </w:rPr>
            </w:pPr>
          </w:p>
        </w:tc>
        <w:tc>
          <w:tcPr>
            <w:tcW w:w="1380" w:type="dxa"/>
            <w:vAlign w:val="bottom"/>
            <w:gridSpan w:val="2"/>
            <w:shd w:val="clear" w:color="auto" w:fill="CCEECC"/>
          </w:tcPr>
          <w:p>
            <w:pPr>
              <w:ind w:left="340"/>
              <w:spacing w:after="0"/>
              <w:rPr>
                <w:sz w:val="20"/>
                <w:szCs w:val="20"/>
                <w:color w:val="auto"/>
              </w:rPr>
            </w:pPr>
            <w:r>
              <w:rPr>
                <w:rFonts w:ascii="Arial" w:cs="Arial" w:eastAsia="Arial" w:hAnsi="Arial"/>
                <w:sz w:val="16"/>
                <w:szCs w:val="16"/>
                <w:color w:val="auto"/>
              </w:rPr>
              <w:t>Sep. 2043</w:t>
            </w:r>
          </w:p>
        </w:tc>
        <w:tc>
          <w:tcPr>
            <w:tcW w:w="1040" w:type="dxa"/>
            <w:vAlign w:val="bottom"/>
            <w:shd w:val="clear" w:color="auto" w:fill="CCEECC"/>
          </w:tcPr>
          <w:p>
            <w:pPr>
              <w:ind w:left="260"/>
              <w:spacing w:after="0"/>
              <w:rPr>
                <w:sz w:val="20"/>
                <w:szCs w:val="20"/>
                <w:color w:val="auto"/>
              </w:rPr>
            </w:pPr>
            <w:r>
              <w:rPr>
                <w:rFonts w:ascii="Arial" w:cs="Arial" w:eastAsia="Arial" w:hAnsi="Arial"/>
                <w:sz w:val="16"/>
                <w:szCs w:val="16"/>
                <w:color w:val="auto"/>
                <w:w w:val="98"/>
              </w:rPr>
              <w:t>Sept. 2013</w:t>
            </w:r>
          </w:p>
        </w:tc>
        <w:tc>
          <w:tcPr>
            <w:tcW w:w="24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520" w:type="dxa"/>
            <w:vAlign w:val="bottom"/>
            <w:gridSpan w:val="2"/>
            <w:shd w:val="clear" w:color="auto" w:fill="CCEECC"/>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ind w:left="540"/>
              <w:spacing w:after="0"/>
              <w:rPr>
                <w:sz w:val="20"/>
                <w:szCs w:val="20"/>
                <w:color w:val="auto"/>
              </w:rPr>
            </w:pPr>
            <w:r>
              <w:rPr>
                <w:rFonts w:ascii="Arial" w:cs="Arial" w:eastAsia="Arial" w:hAnsi="Arial"/>
                <w:sz w:val="16"/>
                <w:szCs w:val="16"/>
                <w:color w:val="auto"/>
                <w:w w:val="87"/>
              </w:rPr>
              <w:t>—</w:t>
            </w: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CC"/>
          </w:tcPr>
          <w:p>
            <w:pPr>
              <w:spacing w:after="0"/>
              <w:rPr>
                <w:sz w:val="18"/>
                <w:szCs w:val="18"/>
                <w:color w:val="auto"/>
              </w:rPr>
            </w:pPr>
          </w:p>
        </w:tc>
      </w:tr>
      <w:tr>
        <w:trPr>
          <w:trHeight w:val="203"/>
        </w:trPr>
        <w:tc>
          <w:tcPr>
            <w:tcW w:w="3780" w:type="dxa"/>
            <w:vAlign w:val="bottom"/>
            <w:gridSpan w:val="2"/>
          </w:tcPr>
          <w:p>
            <w:pPr>
              <w:spacing w:after="0"/>
              <w:rPr>
                <w:sz w:val="20"/>
                <w:szCs w:val="20"/>
                <w:color w:val="auto"/>
              </w:rPr>
            </w:pPr>
            <w:r>
              <w:rPr>
                <w:rFonts w:ascii="Arial" w:cs="Arial" w:eastAsia="Arial" w:hAnsi="Arial"/>
                <w:sz w:val="16"/>
                <w:szCs w:val="16"/>
                <w:color w:val="auto"/>
              </w:rPr>
              <w:t>2012-Servicing Advance Revolving Trust 3 (3)</w:t>
            </w:r>
          </w:p>
        </w:tc>
        <w:tc>
          <w:tcPr>
            <w:tcW w:w="960" w:type="dxa"/>
            <w:vAlign w:val="bottom"/>
          </w:tcPr>
          <w:p>
            <w:pPr>
              <w:ind w:left="100"/>
              <w:spacing w:after="0"/>
              <w:rPr>
                <w:sz w:val="20"/>
                <w:szCs w:val="20"/>
                <w:color w:val="auto"/>
              </w:rPr>
            </w:pPr>
            <w:r>
              <w:rPr>
                <w:rFonts w:ascii="Arial" w:cs="Arial" w:eastAsia="Arial" w:hAnsi="Arial"/>
                <w:sz w:val="16"/>
                <w:szCs w:val="16"/>
                <w:color w:val="auto"/>
              </w:rPr>
              <w:t>2.98%</w:t>
            </w:r>
          </w:p>
        </w:tc>
        <w:tc>
          <w:tcPr>
            <w:tcW w:w="220" w:type="dxa"/>
            <w:vAlign w:val="bottom"/>
          </w:tcPr>
          <w:p>
            <w:pPr>
              <w:spacing w:after="0"/>
              <w:rPr>
                <w:sz w:val="17"/>
                <w:szCs w:val="17"/>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color w:val="auto"/>
              </w:rPr>
              <w:t>Mar. 2043</w:t>
            </w:r>
          </w:p>
        </w:tc>
        <w:tc>
          <w:tcPr>
            <w:tcW w:w="1040" w:type="dxa"/>
            <w:vAlign w:val="bottom"/>
          </w:tcPr>
          <w:p>
            <w:pPr>
              <w:ind w:left="260"/>
              <w:spacing w:after="0"/>
              <w:rPr>
                <w:sz w:val="20"/>
                <w:szCs w:val="20"/>
                <w:color w:val="auto"/>
              </w:rPr>
            </w:pPr>
            <w:r>
              <w:rPr>
                <w:rFonts w:ascii="Arial" w:cs="Arial" w:eastAsia="Arial" w:hAnsi="Arial"/>
                <w:sz w:val="16"/>
                <w:szCs w:val="16"/>
                <w:color w:val="auto"/>
              </w:rPr>
              <w:t>Mar. 2013</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248,999</w:t>
            </w:r>
          </w:p>
        </w:tc>
        <w:tc>
          <w:tcPr>
            <w:tcW w:w="80" w:type="dxa"/>
            <w:vAlign w:val="bottom"/>
          </w:tcPr>
          <w:p>
            <w:pPr>
              <w:spacing w:after="0"/>
              <w:rPr>
                <w:sz w:val="17"/>
                <w:szCs w:val="17"/>
                <w:color w:val="auto"/>
              </w:rPr>
            </w:pPr>
          </w:p>
        </w:tc>
      </w:tr>
      <w:tr>
        <w:trPr>
          <w:trHeight w:val="193"/>
        </w:trPr>
        <w:tc>
          <w:tcPr>
            <w:tcW w:w="3540" w:type="dxa"/>
            <w:vAlign w:val="bottom"/>
            <w:shd w:val="clear" w:color="auto" w:fill="CCEECC"/>
          </w:tcPr>
          <w:p>
            <w:pPr>
              <w:spacing w:after="0"/>
              <w:rPr>
                <w:sz w:val="16"/>
                <w:szCs w:val="16"/>
                <w:color w:val="auto"/>
              </w:rPr>
            </w:pPr>
          </w:p>
        </w:tc>
        <w:tc>
          <w:tcPr>
            <w:tcW w:w="240" w:type="dxa"/>
            <w:vAlign w:val="bottom"/>
            <w:shd w:val="clear" w:color="auto" w:fill="CCEECC"/>
          </w:tcPr>
          <w:p>
            <w:pPr>
              <w:spacing w:after="0"/>
              <w:rPr>
                <w:sz w:val="16"/>
                <w:szCs w:val="16"/>
                <w:color w:val="auto"/>
              </w:rPr>
            </w:pPr>
          </w:p>
        </w:tc>
        <w:tc>
          <w:tcPr>
            <w:tcW w:w="118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3.72 –</w:t>
            </w:r>
          </w:p>
        </w:tc>
        <w:tc>
          <w:tcPr>
            <w:tcW w:w="116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1040" w:type="dxa"/>
            <w:vAlign w:val="bottom"/>
            <w:shd w:val="clear" w:color="auto" w:fill="CCEECC"/>
          </w:tcPr>
          <w:p>
            <w:pPr>
              <w:spacing w:after="0"/>
              <w:rPr>
                <w:sz w:val="16"/>
                <w:szCs w:val="16"/>
                <w:color w:val="auto"/>
              </w:rPr>
            </w:pPr>
          </w:p>
        </w:tc>
        <w:tc>
          <w:tcPr>
            <w:tcW w:w="240" w:type="dxa"/>
            <w:vAlign w:val="bottom"/>
            <w:shd w:val="clear" w:color="auto" w:fill="CCEECC"/>
          </w:tcPr>
          <w:p>
            <w:pPr>
              <w:spacing w:after="0"/>
              <w:rPr>
                <w:sz w:val="16"/>
                <w:szCs w:val="16"/>
                <w:color w:val="auto"/>
              </w:rPr>
            </w:pPr>
          </w:p>
        </w:tc>
        <w:tc>
          <w:tcPr>
            <w:tcW w:w="106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3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700" w:type="dxa"/>
            <w:vAlign w:val="bottom"/>
            <w:shd w:val="clear" w:color="auto" w:fill="CCEECC"/>
          </w:tcPr>
          <w:p>
            <w:pPr>
              <w:spacing w:after="0"/>
              <w:rPr>
                <w:sz w:val="16"/>
                <w:szCs w:val="16"/>
                <w:color w:val="auto"/>
              </w:rPr>
            </w:pPr>
          </w:p>
        </w:tc>
        <w:tc>
          <w:tcPr>
            <w:tcW w:w="32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800" w:type="dxa"/>
            <w:vAlign w:val="bottom"/>
            <w:shd w:val="clear" w:color="auto" w:fill="CCEECC"/>
          </w:tcPr>
          <w:p>
            <w:pPr>
              <w:spacing w:after="0"/>
              <w:rPr>
                <w:sz w:val="16"/>
                <w:szCs w:val="16"/>
                <w:color w:val="auto"/>
              </w:rPr>
            </w:pPr>
          </w:p>
        </w:tc>
        <w:tc>
          <w:tcPr>
            <w:tcW w:w="2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r>
      <w:tr>
        <w:trPr>
          <w:trHeight w:val="226"/>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2012-Servicing Advance Revolving Trust 3 (3)</w:t>
            </w:r>
          </w:p>
        </w:tc>
        <w:tc>
          <w:tcPr>
            <w:tcW w:w="960" w:type="dxa"/>
            <w:vAlign w:val="bottom"/>
            <w:shd w:val="clear" w:color="auto" w:fill="CCEECC"/>
          </w:tcPr>
          <w:p>
            <w:pPr>
              <w:ind w:left="100"/>
              <w:spacing w:after="0"/>
              <w:rPr>
                <w:sz w:val="20"/>
                <w:szCs w:val="20"/>
                <w:color w:val="auto"/>
              </w:rPr>
            </w:pPr>
            <w:r>
              <w:rPr>
                <w:rFonts w:ascii="Arial" w:cs="Arial" w:eastAsia="Arial" w:hAnsi="Arial"/>
                <w:sz w:val="16"/>
                <w:szCs w:val="16"/>
                <w:color w:val="auto"/>
              </w:rPr>
              <w:t>7.04%</w:t>
            </w:r>
          </w:p>
        </w:tc>
        <w:tc>
          <w:tcPr>
            <w:tcW w:w="220" w:type="dxa"/>
            <w:vAlign w:val="bottom"/>
            <w:shd w:val="clear" w:color="auto" w:fill="CCEECC"/>
          </w:tcPr>
          <w:p>
            <w:pPr>
              <w:spacing w:after="0"/>
              <w:rPr>
                <w:sz w:val="19"/>
                <w:szCs w:val="19"/>
                <w:color w:val="auto"/>
              </w:rPr>
            </w:pPr>
          </w:p>
        </w:tc>
        <w:tc>
          <w:tcPr>
            <w:tcW w:w="1380" w:type="dxa"/>
            <w:vAlign w:val="bottom"/>
            <w:gridSpan w:val="2"/>
            <w:shd w:val="clear" w:color="auto" w:fill="CCEECC"/>
          </w:tcPr>
          <w:p>
            <w:pPr>
              <w:ind w:left="320"/>
              <w:spacing w:after="0"/>
              <w:rPr>
                <w:sz w:val="20"/>
                <w:szCs w:val="20"/>
                <w:color w:val="auto"/>
              </w:rPr>
            </w:pPr>
            <w:r>
              <w:rPr>
                <w:rFonts w:ascii="Arial" w:cs="Arial" w:eastAsia="Arial" w:hAnsi="Arial"/>
                <w:sz w:val="16"/>
                <w:szCs w:val="16"/>
                <w:color w:val="auto"/>
              </w:rPr>
              <w:t>Mar. 2044</w:t>
            </w:r>
          </w:p>
        </w:tc>
        <w:tc>
          <w:tcPr>
            <w:tcW w:w="1040" w:type="dxa"/>
            <w:vAlign w:val="bottom"/>
            <w:shd w:val="clear" w:color="auto" w:fill="CCEECC"/>
          </w:tcPr>
          <w:p>
            <w:pPr>
              <w:ind w:left="260"/>
              <w:spacing w:after="0"/>
              <w:rPr>
                <w:sz w:val="20"/>
                <w:szCs w:val="20"/>
                <w:color w:val="auto"/>
              </w:rPr>
            </w:pPr>
            <w:r>
              <w:rPr>
                <w:rFonts w:ascii="Arial" w:cs="Arial" w:eastAsia="Arial" w:hAnsi="Arial"/>
                <w:sz w:val="16"/>
                <w:szCs w:val="16"/>
                <w:color w:val="auto"/>
              </w:rPr>
              <w:t>Mar. 2014</w:t>
            </w:r>
          </w:p>
        </w:tc>
        <w:tc>
          <w:tcPr>
            <w:tcW w:w="240" w:type="dxa"/>
            <w:vAlign w:val="bottom"/>
            <w:shd w:val="clear" w:color="auto" w:fill="CCEECC"/>
          </w:tcPr>
          <w:p>
            <w:pPr>
              <w:spacing w:after="0"/>
              <w:rPr>
                <w:sz w:val="19"/>
                <w:szCs w:val="19"/>
                <w:color w:val="auto"/>
              </w:rPr>
            </w:pPr>
          </w:p>
        </w:tc>
        <w:tc>
          <w:tcPr>
            <w:tcW w:w="1060" w:type="dxa"/>
            <w:vAlign w:val="bottom"/>
            <w:shd w:val="clear" w:color="auto" w:fill="CCEECC"/>
          </w:tcPr>
          <w:p>
            <w:pPr>
              <w:spacing w:after="0"/>
              <w:rPr>
                <w:sz w:val="19"/>
                <w:szCs w:val="19"/>
                <w:color w:val="auto"/>
              </w:rPr>
            </w:pPr>
          </w:p>
        </w:tc>
        <w:tc>
          <w:tcPr>
            <w:tcW w:w="520" w:type="dxa"/>
            <w:vAlign w:val="bottom"/>
            <w:gridSpan w:val="2"/>
            <w:shd w:val="clear" w:color="auto" w:fill="CCEECC"/>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CC"/>
          </w:tcPr>
          <w:p>
            <w:pPr>
              <w:spacing w:after="0"/>
              <w:rPr>
                <w:sz w:val="19"/>
                <w:szCs w:val="19"/>
                <w:color w:val="auto"/>
              </w:rPr>
            </w:pPr>
          </w:p>
        </w:tc>
        <w:tc>
          <w:tcPr>
            <w:tcW w:w="700" w:type="dxa"/>
            <w:vAlign w:val="bottom"/>
            <w:shd w:val="clear" w:color="auto" w:fill="CCEECC"/>
          </w:tcPr>
          <w:p>
            <w:pPr>
              <w:ind w:left="540"/>
              <w:spacing w:after="0"/>
              <w:rPr>
                <w:sz w:val="20"/>
                <w:szCs w:val="20"/>
                <w:color w:val="auto"/>
              </w:rPr>
            </w:pPr>
            <w:r>
              <w:rPr>
                <w:rFonts w:ascii="Arial" w:cs="Arial" w:eastAsia="Arial" w:hAnsi="Arial"/>
                <w:sz w:val="16"/>
                <w:szCs w:val="16"/>
                <w:color w:val="auto"/>
                <w:w w:val="87"/>
              </w:rPr>
              <w:t>—</w:t>
            </w:r>
          </w:p>
        </w:tc>
        <w:tc>
          <w:tcPr>
            <w:tcW w:w="3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299,278</w:t>
            </w:r>
          </w:p>
        </w:tc>
        <w:tc>
          <w:tcPr>
            <w:tcW w:w="80" w:type="dxa"/>
            <w:vAlign w:val="bottom"/>
            <w:shd w:val="clear" w:color="auto" w:fill="CCEECC"/>
          </w:tcPr>
          <w:p>
            <w:pPr>
              <w:spacing w:after="0"/>
              <w:rPr>
                <w:sz w:val="19"/>
                <w:szCs w:val="19"/>
                <w:color w:val="auto"/>
              </w:rPr>
            </w:pPr>
          </w:p>
        </w:tc>
      </w:tr>
      <w:tr>
        <w:trPr>
          <w:trHeight w:val="196"/>
        </w:trPr>
        <w:tc>
          <w:tcPr>
            <w:tcW w:w="3780" w:type="dxa"/>
            <w:vAlign w:val="bottom"/>
            <w:gridSpan w:val="2"/>
          </w:tcPr>
          <w:p>
            <w:pPr>
              <w:ind w:left="360"/>
              <w:spacing w:after="0"/>
              <w:rPr>
                <w:sz w:val="20"/>
                <w:szCs w:val="20"/>
                <w:color w:val="auto"/>
              </w:rPr>
            </w:pPr>
            <w:r>
              <w:rPr>
                <w:rFonts w:ascii="Arial" w:cs="Arial" w:eastAsia="Arial" w:hAnsi="Arial"/>
                <w:sz w:val="16"/>
                <w:szCs w:val="16"/>
                <w:color w:val="auto"/>
              </w:rPr>
              <w:t>Total fixed rate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7"/>
              </w:rPr>
              <w:t>—</w:t>
            </w: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1,648,277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4"/>
        </w:trPr>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ind w:left="240"/>
              <w:spacing w:after="0"/>
              <w:rPr>
                <w:sz w:val="20"/>
                <w:szCs w:val="20"/>
                <w:color w:val="auto"/>
              </w:rPr>
            </w:pPr>
            <w:r>
              <w:rPr>
                <w:rFonts w:ascii="Arial" w:cs="Arial" w:eastAsia="Arial" w:hAnsi="Arial"/>
                <w:sz w:val="16"/>
                <w:szCs w:val="16"/>
                <w:b w:val="1"/>
                <w:bCs w:val="1"/>
                <w:color w:val="auto"/>
              </w:rPr>
              <w:t>Balance Outstanding</w:t>
            </w:r>
          </w:p>
        </w:tc>
      </w:tr>
      <w:tr>
        <w:trPr>
          <w:trHeight w:val="188"/>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Amortization</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Borrowing</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w w:val="96"/>
              </w:rPr>
              <w:t>June 30,</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gridSpan w:val="2"/>
          </w:tcPr>
          <w:p>
            <w:pPr>
              <w:spacing w:after="0"/>
              <w:rPr>
                <w:sz w:val="16"/>
                <w:szCs w:val="16"/>
                <w:color w:val="auto"/>
              </w:rPr>
            </w:pPr>
          </w:p>
        </w:tc>
      </w:tr>
      <w:tr>
        <w:trPr>
          <w:trHeight w:val="213"/>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Type</w:t>
            </w: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Interest Rate</w:t>
            </w: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Maturity (1)</w:t>
            </w:r>
          </w:p>
        </w:tc>
        <w:tc>
          <w:tcPr>
            <w:tcW w:w="12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Date (1)</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Capacity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35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6"/>
                <w:szCs w:val="16"/>
                <w:color w:val="auto"/>
              </w:rPr>
              <w:t>Advance Receivable Backed Notes (4)</w:t>
            </w:r>
          </w:p>
        </w:tc>
        <w:tc>
          <w:tcPr>
            <w:tcW w:w="240" w:type="dxa"/>
            <w:vAlign w:val="bottom"/>
            <w:tcBorders>
              <w:top w:val="single" w:sz="8" w:color="CCEECC"/>
            </w:tcBorders>
            <w:shd w:val="clear" w:color="auto" w:fill="CCEECC"/>
          </w:tcPr>
          <w:p>
            <w:pPr>
              <w:spacing w:after="0"/>
              <w:rPr>
                <w:sz w:val="16"/>
                <w:szCs w:val="16"/>
                <w:color w:val="auto"/>
              </w:rPr>
            </w:pPr>
          </w:p>
        </w:tc>
        <w:tc>
          <w:tcPr>
            <w:tcW w:w="138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6"/>
                <w:szCs w:val="16"/>
                <w:color w:val="auto"/>
              </w:rPr>
              <w:t>1-month LIBOR</w:t>
            </w:r>
          </w:p>
        </w:tc>
        <w:tc>
          <w:tcPr>
            <w:tcW w:w="220" w:type="dxa"/>
            <w:vAlign w:val="bottom"/>
            <w:tcBorders>
              <w:top w:val="single" w:sz="8" w:color="CCEECC"/>
            </w:tcBorders>
            <w:shd w:val="clear" w:color="auto" w:fill="CCEECC"/>
          </w:tcPr>
          <w:p>
            <w:pPr>
              <w:spacing w:after="0"/>
              <w:rPr>
                <w:sz w:val="16"/>
                <w:szCs w:val="16"/>
                <w:color w:val="auto"/>
              </w:rPr>
            </w:pPr>
          </w:p>
        </w:tc>
        <w:tc>
          <w:tcPr>
            <w:tcW w:w="104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98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102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86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220" w:type="dxa"/>
            <w:vAlign w:val="bottom"/>
            <w:tcBorders>
              <w:top w:val="single" w:sz="8" w:color="auto"/>
            </w:tcBorders>
            <w:shd w:val="clear" w:color="auto" w:fill="CCEECC"/>
          </w:tcPr>
          <w:p>
            <w:pPr>
              <w:spacing w:after="0"/>
              <w:rPr>
                <w:sz w:val="16"/>
                <w:szCs w:val="16"/>
                <w:color w:val="auto"/>
              </w:rPr>
            </w:pPr>
          </w:p>
        </w:tc>
        <w:tc>
          <w:tcPr>
            <w:tcW w:w="80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12"/>
        </w:trPr>
        <w:tc>
          <w:tcPr>
            <w:tcW w:w="35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(1ML) + 285 bps</w:t>
            </w:r>
          </w:p>
        </w:tc>
        <w:tc>
          <w:tcPr>
            <w:tcW w:w="1260" w:type="dxa"/>
            <w:vAlign w:val="bottom"/>
            <w:gridSpan w:val="2"/>
            <w:shd w:val="clear" w:color="auto" w:fill="CCEECC"/>
          </w:tcPr>
          <w:p>
            <w:pPr>
              <w:jc w:val="center"/>
              <w:ind w:right="60"/>
              <w:spacing w:after="0"/>
              <w:rPr>
                <w:sz w:val="20"/>
                <w:szCs w:val="20"/>
                <w:color w:val="auto"/>
              </w:rPr>
            </w:pPr>
            <w:r>
              <w:rPr>
                <w:rFonts w:ascii="Arial" w:cs="Arial" w:eastAsia="Arial" w:hAnsi="Arial"/>
                <w:sz w:val="16"/>
                <w:szCs w:val="16"/>
                <w:color w:val="auto"/>
                <w:w w:val="92"/>
              </w:rPr>
              <w:t>Apr. 2015</w:t>
            </w:r>
          </w:p>
        </w:tc>
        <w:tc>
          <w:tcPr>
            <w:tcW w:w="1200" w:type="dxa"/>
            <w:vAlign w:val="bottom"/>
            <w:gridSpan w:val="3"/>
            <w:shd w:val="clear" w:color="auto" w:fill="CCEECC"/>
          </w:tcPr>
          <w:p>
            <w:pPr>
              <w:jc w:val="center"/>
              <w:ind w:right="60"/>
              <w:spacing w:after="0"/>
              <w:rPr>
                <w:sz w:val="20"/>
                <w:szCs w:val="20"/>
                <w:color w:val="auto"/>
              </w:rPr>
            </w:pPr>
            <w:r>
              <w:rPr>
                <w:rFonts w:ascii="Arial" w:cs="Arial" w:eastAsia="Arial" w:hAnsi="Arial"/>
                <w:sz w:val="16"/>
                <w:szCs w:val="16"/>
                <w:color w:val="auto"/>
                <w:w w:val="95"/>
              </w:rPr>
              <w:t>Apr. 2014</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6"/>
                <w:szCs w:val="16"/>
                <w:color w:val="auto"/>
              </w:rPr>
              <w:t>168,640</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6"/>
                <w:szCs w:val="16"/>
                <w:color w:val="auto"/>
              </w:rPr>
              <w:t>131,360</w:t>
            </w: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205,016</w:t>
            </w:r>
          </w:p>
        </w:tc>
        <w:tc>
          <w:tcPr>
            <w:tcW w:w="80" w:type="dxa"/>
            <w:vAlign w:val="bottom"/>
            <w:shd w:val="clear" w:color="auto" w:fill="CCEECC"/>
          </w:tcPr>
          <w:p>
            <w:pPr>
              <w:spacing w:after="0"/>
              <w:rPr>
                <w:sz w:val="18"/>
                <w:szCs w:val="18"/>
                <w:color w:val="auto"/>
              </w:rPr>
            </w:pPr>
          </w:p>
        </w:tc>
      </w:tr>
      <w:tr>
        <w:trPr>
          <w:trHeight w:val="193"/>
        </w:trPr>
        <w:tc>
          <w:tcPr>
            <w:tcW w:w="3780" w:type="dxa"/>
            <w:vAlign w:val="bottom"/>
            <w:gridSpan w:val="2"/>
          </w:tcPr>
          <w:p>
            <w:pPr>
              <w:spacing w:after="0"/>
              <w:rPr>
                <w:sz w:val="20"/>
                <w:szCs w:val="20"/>
                <w:color w:val="auto"/>
              </w:rPr>
            </w:pPr>
            <w:r>
              <w:rPr>
                <w:rFonts w:ascii="Arial" w:cs="Arial" w:eastAsia="Arial" w:hAnsi="Arial"/>
                <w:sz w:val="16"/>
                <w:szCs w:val="16"/>
                <w:color w:val="auto"/>
              </w:rPr>
              <w:t>Advance Receivable Backed Notes Series 2012-</w:t>
            </w: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Commercial paper</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ADV1</w:t>
            </w: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(CP) rate + 225 or</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335 bps</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Dec. 2043</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0"/>
              </w:rPr>
              <w:t>Dec. 2013</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276,618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173,382</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232,712</w:t>
            </w:r>
          </w:p>
        </w:tc>
        <w:tc>
          <w:tcPr>
            <w:tcW w:w="80" w:type="dxa"/>
            <w:vAlign w:val="bottom"/>
          </w:tcPr>
          <w:p>
            <w:pPr>
              <w:spacing w:after="0"/>
              <w:rPr>
                <w:sz w:val="17"/>
                <w:szCs w:val="17"/>
                <w:color w:val="auto"/>
              </w:rPr>
            </w:pPr>
          </w:p>
        </w:tc>
      </w:tr>
      <w:tr>
        <w:trPr>
          <w:trHeight w:val="199"/>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Advance Receivable Backed Notes Series 2012-</w:t>
            </w:r>
          </w:p>
        </w:tc>
        <w:tc>
          <w:tcPr>
            <w:tcW w:w="13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12"/>
        </w:trPr>
        <w:tc>
          <w:tcPr>
            <w:tcW w:w="3780" w:type="dxa"/>
            <w:vAlign w:val="bottom"/>
            <w:gridSpan w:val="2"/>
            <w:shd w:val="clear" w:color="auto" w:fill="CCEECC"/>
          </w:tcPr>
          <w:p>
            <w:pPr>
              <w:ind w:left="120"/>
              <w:spacing w:after="0"/>
              <w:rPr>
                <w:sz w:val="20"/>
                <w:szCs w:val="20"/>
                <w:color w:val="auto"/>
              </w:rPr>
            </w:pPr>
            <w:r>
              <w:rPr>
                <w:rFonts w:ascii="Arial" w:cs="Arial" w:eastAsia="Arial" w:hAnsi="Arial"/>
                <w:sz w:val="16"/>
                <w:szCs w:val="16"/>
                <w:color w:val="auto"/>
              </w:rPr>
              <w:t>ADV1</w:t>
            </w: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1ML + 250 bps</w:t>
            </w:r>
          </w:p>
        </w:tc>
        <w:tc>
          <w:tcPr>
            <w:tcW w:w="1260" w:type="dxa"/>
            <w:vAlign w:val="bottom"/>
            <w:gridSpan w:val="2"/>
            <w:shd w:val="clear" w:color="auto" w:fill="CCEECC"/>
          </w:tcPr>
          <w:p>
            <w:pPr>
              <w:jc w:val="center"/>
              <w:ind w:right="40"/>
              <w:spacing w:after="0"/>
              <w:rPr>
                <w:sz w:val="20"/>
                <w:szCs w:val="20"/>
                <w:color w:val="auto"/>
              </w:rPr>
            </w:pPr>
            <w:r>
              <w:rPr>
                <w:rFonts w:ascii="Arial" w:cs="Arial" w:eastAsia="Arial" w:hAnsi="Arial"/>
                <w:sz w:val="16"/>
                <w:szCs w:val="16"/>
                <w:color w:val="auto"/>
                <w:w w:val="88"/>
              </w:rPr>
              <w:t>June 2016</w:t>
            </w:r>
          </w:p>
        </w:tc>
        <w:tc>
          <w:tcPr>
            <w:tcW w:w="1200" w:type="dxa"/>
            <w:vAlign w:val="bottom"/>
            <w:gridSpan w:val="3"/>
            <w:shd w:val="clear" w:color="auto" w:fill="CCEECC"/>
          </w:tcPr>
          <w:p>
            <w:pPr>
              <w:jc w:val="center"/>
              <w:ind w:right="60"/>
              <w:spacing w:after="0"/>
              <w:rPr>
                <w:sz w:val="20"/>
                <w:szCs w:val="20"/>
                <w:color w:val="auto"/>
              </w:rPr>
            </w:pPr>
            <w:r>
              <w:rPr>
                <w:rFonts w:ascii="Arial" w:cs="Arial" w:eastAsia="Arial" w:hAnsi="Arial"/>
                <w:sz w:val="16"/>
                <w:szCs w:val="16"/>
                <w:color w:val="auto"/>
                <w:w w:val="88"/>
              </w:rPr>
              <w:t>June 2014</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6"/>
                <w:szCs w:val="16"/>
                <w:color w:val="auto"/>
              </w:rPr>
              <w:t>200,000</w:t>
            </w: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94,095</w:t>
            </w:r>
          </w:p>
        </w:tc>
        <w:tc>
          <w:tcPr>
            <w:tcW w:w="80" w:type="dxa"/>
            <w:vAlign w:val="bottom"/>
            <w:shd w:val="clear" w:color="auto" w:fill="CCEECC"/>
          </w:tcPr>
          <w:p>
            <w:pPr>
              <w:spacing w:after="0"/>
              <w:rPr>
                <w:sz w:val="18"/>
                <w:szCs w:val="18"/>
                <w:color w:val="auto"/>
              </w:rPr>
            </w:pPr>
          </w:p>
        </w:tc>
      </w:tr>
      <w:tr>
        <w:trPr>
          <w:trHeight w:val="203"/>
        </w:trPr>
        <w:tc>
          <w:tcPr>
            <w:tcW w:w="3780" w:type="dxa"/>
            <w:vAlign w:val="bottom"/>
            <w:gridSpan w:val="2"/>
          </w:tcPr>
          <w:p>
            <w:pPr>
              <w:spacing w:after="0"/>
              <w:rPr>
                <w:sz w:val="20"/>
                <w:szCs w:val="20"/>
                <w:color w:val="auto"/>
              </w:rPr>
            </w:pPr>
            <w:r>
              <w:rPr>
                <w:rFonts w:ascii="Arial" w:cs="Arial" w:eastAsia="Arial" w:hAnsi="Arial"/>
                <w:sz w:val="16"/>
                <w:szCs w:val="16"/>
                <w:color w:val="auto"/>
              </w:rPr>
              <w:t>Advance Receivable Backed Note</w:t>
            </w: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1ML + 300 bps</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Dec. 2015</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0"/>
              </w:rPr>
              <w:t>Dec. 2014</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10,827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39,173</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49,138</w:t>
            </w:r>
          </w:p>
        </w:tc>
        <w:tc>
          <w:tcPr>
            <w:tcW w:w="80" w:type="dxa"/>
            <w:vAlign w:val="bottom"/>
          </w:tcPr>
          <w:p>
            <w:pPr>
              <w:spacing w:after="0"/>
              <w:rPr>
                <w:sz w:val="17"/>
                <w:szCs w:val="17"/>
                <w:color w:val="auto"/>
              </w:rPr>
            </w:pPr>
          </w:p>
        </w:tc>
      </w:tr>
      <w:tr>
        <w:trPr>
          <w:trHeight w:val="203"/>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2011-Servicing Advance Revolving Trust 1 (3)</w:t>
            </w: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1ML + 300 bps</w:t>
            </w:r>
          </w:p>
        </w:tc>
        <w:tc>
          <w:tcPr>
            <w:tcW w:w="1260" w:type="dxa"/>
            <w:vAlign w:val="bottom"/>
            <w:gridSpan w:val="2"/>
            <w:shd w:val="clear" w:color="auto" w:fill="CCEECC"/>
          </w:tcPr>
          <w:p>
            <w:pPr>
              <w:jc w:val="center"/>
              <w:ind w:right="40"/>
              <w:spacing w:after="0"/>
              <w:rPr>
                <w:sz w:val="20"/>
                <w:szCs w:val="20"/>
                <w:color w:val="auto"/>
              </w:rPr>
            </w:pPr>
            <w:r>
              <w:rPr>
                <w:rFonts w:ascii="Arial" w:cs="Arial" w:eastAsia="Arial" w:hAnsi="Arial"/>
                <w:sz w:val="16"/>
                <w:szCs w:val="16"/>
                <w:color w:val="auto"/>
                <w:w w:val="93"/>
              </w:rPr>
              <w:t>May 2043</w:t>
            </w:r>
          </w:p>
        </w:tc>
        <w:tc>
          <w:tcPr>
            <w:tcW w:w="1200" w:type="dxa"/>
            <w:vAlign w:val="bottom"/>
            <w:gridSpan w:val="3"/>
            <w:shd w:val="clear" w:color="auto" w:fill="CCEECC"/>
          </w:tcPr>
          <w:p>
            <w:pPr>
              <w:jc w:val="center"/>
              <w:ind w:right="60"/>
              <w:spacing w:after="0"/>
              <w:rPr>
                <w:sz w:val="20"/>
                <w:szCs w:val="20"/>
                <w:color w:val="auto"/>
              </w:rPr>
            </w:pPr>
            <w:r>
              <w:rPr>
                <w:rFonts w:ascii="Arial" w:cs="Arial" w:eastAsia="Arial" w:hAnsi="Arial"/>
                <w:sz w:val="16"/>
                <w:szCs w:val="16"/>
                <w:color w:val="auto"/>
                <w:w w:val="93"/>
              </w:rPr>
              <w:t>May 2013</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CC"/>
          </w:tcPr>
          <w:p>
            <w:pPr>
              <w:spacing w:after="0"/>
              <w:rPr>
                <w:sz w:val="17"/>
                <w:szCs w:val="17"/>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204,633</w:t>
            </w:r>
          </w:p>
        </w:tc>
        <w:tc>
          <w:tcPr>
            <w:tcW w:w="80" w:type="dxa"/>
            <w:vAlign w:val="bottom"/>
            <w:shd w:val="clear" w:color="auto" w:fill="CCEECC"/>
          </w:tcPr>
          <w:p>
            <w:pPr>
              <w:spacing w:after="0"/>
              <w:rPr>
                <w:sz w:val="17"/>
                <w:szCs w:val="17"/>
                <w:color w:val="auto"/>
              </w:rPr>
            </w:pPr>
          </w:p>
        </w:tc>
      </w:tr>
      <w:tr>
        <w:trPr>
          <w:trHeight w:val="203"/>
        </w:trPr>
        <w:tc>
          <w:tcPr>
            <w:tcW w:w="3780" w:type="dxa"/>
            <w:vAlign w:val="bottom"/>
            <w:gridSpan w:val="2"/>
          </w:tcPr>
          <w:p>
            <w:pPr>
              <w:spacing w:after="0"/>
              <w:rPr>
                <w:sz w:val="20"/>
                <w:szCs w:val="20"/>
                <w:color w:val="auto"/>
              </w:rPr>
            </w:pPr>
            <w:r>
              <w:rPr>
                <w:rFonts w:ascii="Arial" w:cs="Arial" w:eastAsia="Arial" w:hAnsi="Arial"/>
                <w:sz w:val="16"/>
                <w:szCs w:val="16"/>
                <w:color w:val="auto"/>
              </w:rPr>
              <w:t>2012-Servicing Advance Revolving Trust 2 (3)</w:t>
            </w: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1ML + 315 bps</w:t>
            </w:r>
          </w:p>
        </w:tc>
        <w:tc>
          <w:tcPr>
            <w:tcW w:w="126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Sep. 2043</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0"/>
              </w:rPr>
              <w:t>Sept. 2013</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22,003</w:t>
            </w:r>
          </w:p>
        </w:tc>
        <w:tc>
          <w:tcPr>
            <w:tcW w:w="80" w:type="dxa"/>
            <w:vAlign w:val="bottom"/>
          </w:tcPr>
          <w:p>
            <w:pPr>
              <w:spacing w:after="0"/>
              <w:rPr>
                <w:sz w:val="17"/>
                <w:szCs w:val="17"/>
                <w:color w:val="auto"/>
              </w:rPr>
            </w:pPr>
          </w:p>
        </w:tc>
      </w:tr>
      <w:tr>
        <w:trPr>
          <w:trHeight w:val="193"/>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2012-Servicing Advance Revolving Trust 3 (3)</w:t>
            </w: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1ML + 300 bps –</w:t>
            </w:r>
          </w:p>
        </w:tc>
        <w:tc>
          <w:tcPr>
            <w:tcW w:w="104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980" w:type="dxa"/>
            <w:vAlign w:val="bottom"/>
            <w:shd w:val="clear" w:color="auto" w:fill="CCEECC"/>
          </w:tcPr>
          <w:p>
            <w:pPr>
              <w:spacing w:after="0"/>
              <w:rPr>
                <w:sz w:val="16"/>
                <w:szCs w:val="16"/>
                <w:color w:val="auto"/>
              </w:rPr>
            </w:pPr>
          </w:p>
        </w:tc>
        <w:tc>
          <w:tcPr>
            <w:tcW w:w="100" w:type="dxa"/>
            <w:vAlign w:val="bottom"/>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1020" w:type="dxa"/>
            <w:vAlign w:val="bottom"/>
            <w:shd w:val="clear" w:color="auto" w:fill="CCEECC"/>
          </w:tcPr>
          <w:p>
            <w:pPr>
              <w:spacing w:after="0"/>
              <w:rPr>
                <w:sz w:val="16"/>
                <w:szCs w:val="16"/>
                <w:color w:val="auto"/>
              </w:rPr>
            </w:pPr>
          </w:p>
        </w:tc>
        <w:tc>
          <w:tcPr>
            <w:tcW w:w="100" w:type="dxa"/>
            <w:vAlign w:val="bottom"/>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140" w:type="dxa"/>
            <w:vAlign w:val="bottom"/>
            <w:shd w:val="clear" w:color="auto" w:fill="CCEECC"/>
          </w:tcPr>
          <w:p>
            <w:pPr>
              <w:spacing w:after="0"/>
              <w:rPr>
                <w:sz w:val="16"/>
                <w:szCs w:val="16"/>
                <w:color w:val="auto"/>
              </w:rPr>
            </w:pPr>
          </w:p>
        </w:tc>
        <w:tc>
          <w:tcPr>
            <w:tcW w:w="86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800" w:type="dxa"/>
            <w:vAlign w:val="bottom"/>
            <w:shd w:val="clear" w:color="auto" w:fill="CCEECC"/>
          </w:tcPr>
          <w:p>
            <w:pPr>
              <w:spacing w:after="0"/>
              <w:rPr>
                <w:sz w:val="16"/>
                <w:szCs w:val="16"/>
                <w:color w:val="auto"/>
              </w:rPr>
            </w:pPr>
          </w:p>
        </w:tc>
        <w:tc>
          <w:tcPr>
            <w:tcW w:w="2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r>
      <w:tr>
        <w:trPr>
          <w:trHeight w:val="212"/>
        </w:trPr>
        <w:tc>
          <w:tcPr>
            <w:tcW w:w="35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675 bps</w:t>
            </w:r>
          </w:p>
        </w:tc>
        <w:tc>
          <w:tcPr>
            <w:tcW w:w="1260" w:type="dxa"/>
            <w:vAlign w:val="bottom"/>
            <w:gridSpan w:val="2"/>
            <w:shd w:val="clear" w:color="auto" w:fill="CCEECC"/>
          </w:tcPr>
          <w:p>
            <w:pPr>
              <w:jc w:val="center"/>
              <w:ind w:right="40"/>
              <w:spacing w:after="0"/>
              <w:rPr>
                <w:sz w:val="20"/>
                <w:szCs w:val="20"/>
                <w:color w:val="auto"/>
              </w:rPr>
            </w:pPr>
            <w:r>
              <w:rPr>
                <w:rFonts w:ascii="Arial" w:cs="Arial" w:eastAsia="Arial" w:hAnsi="Arial"/>
                <w:sz w:val="16"/>
                <w:szCs w:val="16"/>
                <w:color w:val="auto"/>
                <w:w w:val="91"/>
              </w:rPr>
              <w:t>Mar. 2044</w:t>
            </w:r>
          </w:p>
        </w:tc>
        <w:tc>
          <w:tcPr>
            <w:tcW w:w="1200" w:type="dxa"/>
            <w:vAlign w:val="bottom"/>
            <w:gridSpan w:val="3"/>
            <w:shd w:val="clear" w:color="auto" w:fill="CCEECC"/>
          </w:tcPr>
          <w:p>
            <w:pPr>
              <w:jc w:val="center"/>
              <w:ind w:right="60"/>
              <w:spacing w:after="0"/>
              <w:rPr>
                <w:sz w:val="20"/>
                <w:szCs w:val="20"/>
                <w:color w:val="auto"/>
              </w:rPr>
            </w:pPr>
            <w:r>
              <w:rPr>
                <w:rFonts w:ascii="Arial" w:cs="Arial" w:eastAsia="Arial" w:hAnsi="Arial"/>
                <w:sz w:val="16"/>
                <w:szCs w:val="16"/>
                <w:color w:val="auto"/>
                <w:w w:val="91"/>
              </w:rPr>
              <w:t>Mar. 2014</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40,626</w:t>
            </w:r>
          </w:p>
        </w:tc>
        <w:tc>
          <w:tcPr>
            <w:tcW w:w="80" w:type="dxa"/>
            <w:vAlign w:val="bottom"/>
            <w:shd w:val="clear" w:color="auto" w:fill="CCEECC"/>
          </w:tcPr>
          <w:p>
            <w:pPr>
              <w:spacing w:after="0"/>
              <w:rPr>
                <w:sz w:val="18"/>
                <w:szCs w:val="18"/>
                <w:color w:val="auto"/>
              </w:rPr>
            </w:pPr>
          </w:p>
        </w:tc>
      </w:tr>
      <w:tr>
        <w:trPr>
          <w:trHeight w:val="193"/>
        </w:trPr>
        <w:tc>
          <w:tcPr>
            <w:tcW w:w="3780" w:type="dxa"/>
            <w:vAlign w:val="bottom"/>
            <w:gridSpan w:val="2"/>
          </w:tcPr>
          <w:p>
            <w:pPr>
              <w:spacing w:after="0"/>
              <w:rPr>
                <w:sz w:val="20"/>
                <w:szCs w:val="20"/>
                <w:color w:val="auto"/>
              </w:rPr>
            </w:pPr>
            <w:r>
              <w:rPr>
                <w:rFonts w:ascii="Arial" w:cs="Arial" w:eastAsia="Arial" w:hAnsi="Arial"/>
                <w:sz w:val="16"/>
                <w:szCs w:val="16"/>
                <w:color w:val="auto"/>
              </w:rPr>
              <w:t>2012-Homeward Agency Advance Funding Trust</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540" w:type="dxa"/>
            <w:vAlign w:val="bottom"/>
          </w:tcPr>
          <w:p>
            <w:pPr>
              <w:ind w:left="120"/>
              <w:spacing w:after="0"/>
              <w:rPr>
                <w:sz w:val="20"/>
                <w:szCs w:val="20"/>
                <w:color w:val="auto"/>
              </w:rPr>
            </w:pPr>
            <w:r>
              <w:rPr>
                <w:rFonts w:ascii="Arial" w:cs="Arial" w:eastAsia="Arial" w:hAnsi="Arial"/>
                <w:sz w:val="16"/>
                <w:szCs w:val="16"/>
                <w:color w:val="auto"/>
              </w:rPr>
              <w:t>2012-1</w:t>
            </w:r>
          </w:p>
        </w:tc>
        <w:tc>
          <w:tcPr>
            <w:tcW w:w="24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1ML + 300 bps</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Sept. 2013</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0"/>
              </w:rPr>
              <w:t>Sept. 2013</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21,419</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16,094</w:t>
            </w:r>
          </w:p>
        </w:tc>
        <w:tc>
          <w:tcPr>
            <w:tcW w:w="80" w:type="dxa"/>
            <w:vAlign w:val="bottom"/>
          </w:tcPr>
          <w:p>
            <w:pPr>
              <w:spacing w:after="0"/>
              <w:rPr>
                <w:sz w:val="17"/>
                <w:szCs w:val="17"/>
                <w:color w:val="auto"/>
              </w:rPr>
            </w:pPr>
          </w:p>
        </w:tc>
      </w:tr>
      <w:tr>
        <w:trPr>
          <w:trHeight w:val="199"/>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2012-Homeward DSF Advance Revolving Trust</w:t>
            </w:r>
          </w:p>
        </w:tc>
        <w:tc>
          <w:tcPr>
            <w:tcW w:w="13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12"/>
        </w:trPr>
        <w:tc>
          <w:tcPr>
            <w:tcW w:w="3540" w:type="dxa"/>
            <w:vAlign w:val="bottom"/>
            <w:shd w:val="clear" w:color="auto" w:fill="CCEECC"/>
          </w:tcPr>
          <w:p>
            <w:pPr>
              <w:ind w:left="120"/>
              <w:spacing w:after="0"/>
              <w:rPr>
                <w:sz w:val="20"/>
                <w:szCs w:val="20"/>
                <w:color w:val="auto"/>
              </w:rPr>
            </w:pPr>
            <w:r>
              <w:rPr>
                <w:rFonts w:ascii="Arial" w:cs="Arial" w:eastAsia="Arial" w:hAnsi="Arial"/>
                <w:sz w:val="16"/>
                <w:szCs w:val="16"/>
                <w:color w:val="auto"/>
              </w:rPr>
              <w:t>2012-1 (3)</w:t>
            </w:r>
          </w:p>
        </w:tc>
        <w:tc>
          <w:tcPr>
            <w:tcW w:w="240" w:type="dxa"/>
            <w:vAlign w:val="bottom"/>
            <w:shd w:val="clear" w:color="auto" w:fill="CCEECC"/>
          </w:tcPr>
          <w:p>
            <w:pPr>
              <w:spacing w:after="0"/>
              <w:rPr>
                <w:sz w:val="18"/>
                <w:szCs w:val="18"/>
                <w:color w:val="auto"/>
              </w:rPr>
            </w:pP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1ML + 450 bps</w:t>
            </w:r>
          </w:p>
        </w:tc>
        <w:tc>
          <w:tcPr>
            <w:tcW w:w="1260" w:type="dxa"/>
            <w:vAlign w:val="bottom"/>
            <w:gridSpan w:val="2"/>
            <w:shd w:val="clear" w:color="auto" w:fill="CCEECC"/>
          </w:tcPr>
          <w:p>
            <w:pPr>
              <w:jc w:val="center"/>
              <w:ind w:right="60"/>
              <w:spacing w:after="0"/>
              <w:rPr>
                <w:sz w:val="20"/>
                <w:szCs w:val="20"/>
                <w:color w:val="auto"/>
              </w:rPr>
            </w:pPr>
            <w:r>
              <w:rPr>
                <w:rFonts w:ascii="Arial" w:cs="Arial" w:eastAsia="Arial" w:hAnsi="Arial"/>
                <w:sz w:val="16"/>
                <w:szCs w:val="16"/>
                <w:color w:val="auto"/>
                <w:w w:val="88"/>
              </w:rPr>
              <w:t>Feb. 2013</w:t>
            </w:r>
          </w:p>
        </w:tc>
        <w:tc>
          <w:tcPr>
            <w:tcW w:w="1200" w:type="dxa"/>
            <w:vAlign w:val="bottom"/>
            <w:gridSpan w:val="3"/>
            <w:shd w:val="clear" w:color="auto" w:fill="CCEECC"/>
          </w:tcPr>
          <w:p>
            <w:pPr>
              <w:jc w:val="center"/>
              <w:ind w:right="60"/>
              <w:spacing w:after="0"/>
              <w:rPr>
                <w:sz w:val="20"/>
                <w:szCs w:val="20"/>
                <w:color w:val="auto"/>
              </w:rPr>
            </w:pPr>
            <w:r>
              <w:rPr>
                <w:rFonts w:ascii="Arial" w:cs="Arial" w:eastAsia="Arial" w:hAnsi="Arial"/>
                <w:sz w:val="16"/>
                <w:szCs w:val="16"/>
                <w:color w:val="auto"/>
                <w:w w:val="91"/>
              </w:rPr>
              <w:t>Feb. 2013</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6"/>
                <w:szCs w:val="16"/>
                <w:color w:val="auto"/>
              </w:rPr>
              <w:t>20,151</w:t>
            </w:r>
          </w:p>
        </w:tc>
        <w:tc>
          <w:tcPr>
            <w:tcW w:w="80" w:type="dxa"/>
            <w:vAlign w:val="bottom"/>
            <w:shd w:val="clear" w:color="auto" w:fill="CCEECC"/>
          </w:tcPr>
          <w:p>
            <w:pPr>
              <w:spacing w:after="0"/>
              <w:rPr>
                <w:sz w:val="18"/>
                <w:szCs w:val="18"/>
                <w:color w:val="auto"/>
              </w:rPr>
            </w:pPr>
          </w:p>
        </w:tc>
      </w:tr>
      <w:tr>
        <w:trPr>
          <w:trHeight w:val="193"/>
        </w:trPr>
        <w:tc>
          <w:tcPr>
            <w:tcW w:w="3780" w:type="dxa"/>
            <w:vAlign w:val="bottom"/>
            <w:gridSpan w:val="2"/>
          </w:tcPr>
          <w:p>
            <w:pPr>
              <w:spacing w:after="0"/>
              <w:rPr>
                <w:sz w:val="20"/>
                <w:szCs w:val="20"/>
                <w:color w:val="auto"/>
              </w:rPr>
            </w:pPr>
            <w:r>
              <w:rPr>
                <w:rFonts w:ascii="Arial" w:cs="Arial" w:eastAsia="Arial" w:hAnsi="Arial"/>
                <w:sz w:val="16"/>
                <w:szCs w:val="16"/>
                <w:color w:val="auto"/>
              </w:rPr>
              <w:t>Homeward Residential Bridge Loan Trust – 2013</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Series-Bridge-VF1 and VF2 (3)(5)</w:t>
            </w: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1ML + 150 bps</w:t>
            </w:r>
          </w:p>
        </w:tc>
        <w:tc>
          <w:tcPr>
            <w:tcW w:w="1260" w:type="dxa"/>
            <w:vAlign w:val="bottom"/>
            <w:gridSpan w:val="2"/>
          </w:tcPr>
          <w:p>
            <w:pPr>
              <w:jc w:val="center"/>
              <w:ind w:right="60"/>
              <w:spacing w:after="0"/>
              <w:rPr>
                <w:sz w:val="20"/>
                <w:szCs w:val="20"/>
                <w:color w:val="auto"/>
              </w:rPr>
            </w:pPr>
            <w:r>
              <w:rPr>
                <w:rFonts w:ascii="Arial" w:cs="Arial" w:eastAsia="Arial" w:hAnsi="Arial"/>
                <w:sz w:val="16"/>
                <w:szCs w:val="16"/>
                <w:color w:val="auto"/>
                <w:w w:val="93"/>
              </w:rPr>
              <w:t>Aug. 2043</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color w:val="auto"/>
                <w:w w:val="93"/>
              </w:rPr>
              <w:t>Aug. 2013</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133,162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766,838</w:t>
            </w:r>
          </w:p>
        </w:tc>
        <w:tc>
          <w:tcPr>
            <w:tcW w:w="22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99"/>
        </w:trPr>
        <w:tc>
          <w:tcPr>
            <w:tcW w:w="3780" w:type="dxa"/>
            <w:vAlign w:val="bottom"/>
            <w:gridSpan w:val="2"/>
            <w:shd w:val="clear" w:color="auto" w:fill="CCEECC"/>
          </w:tcPr>
          <w:p>
            <w:pPr>
              <w:spacing w:after="0"/>
              <w:rPr>
                <w:sz w:val="20"/>
                <w:szCs w:val="20"/>
                <w:color w:val="auto"/>
              </w:rPr>
            </w:pPr>
            <w:r>
              <w:rPr>
                <w:rFonts w:ascii="Arial" w:cs="Arial" w:eastAsia="Arial" w:hAnsi="Arial"/>
                <w:sz w:val="16"/>
                <w:szCs w:val="16"/>
                <w:color w:val="auto"/>
              </w:rPr>
              <w:t>Ocwen Servicer Advance Receivables Trust – Series</w:t>
            </w: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1ML + 150 – 525</w:t>
            </w: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12"/>
        </w:trPr>
        <w:tc>
          <w:tcPr>
            <w:tcW w:w="3780" w:type="dxa"/>
            <w:vAlign w:val="bottom"/>
            <w:gridSpan w:val="2"/>
            <w:shd w:val="clear" w:color="auto" w:fill="CCEECC"/>
          </w:tcPr>
          <w:p>
            <w:pPr>
              <w:ind w:left="120"/>
              <w:spacing w:after="0"/>
              <w:rPr>
                <w:sz w:val="20"/>
                <w:szCs w:val="20"/>
                <w:color w:val="auto"/>
              </w:rPr>
            </w:pPr>
            <w:r>
              <w:rPr>
                <w:rFonts w:ascii="Arial" w:cs="Arial" w:eastAsia="Arial" w:hAnsi="Arial"/>
                <w:sz w:val="16"/>
                <w:szCs w:val="16"/>
                <w:color w:val="auto"/>
              </w:rPr>
              <w:t>2013-VF1 Class A, B, C and D Notes (5)(6)</w:t>
            </w:r>
          </w:p>
        </w:tc>
        <w:tc>
          <w:tcPr>
            <w:tcW w:w="1600" w:type="dxa"/>
            <w:vAlign w:val="bottom"/>
            <w:gridSpan w:val="2"/>
            <w:shd w:val="clear" w:color="auto" w:fill="CCEECC"/>
          </w:tcPr>
          <w:p>
            <w:pPr>
              <w:ind w:left="100"/>
              <w:spacing w:after="0"/>
              <w:rPr>
                <w:sz w:val="20"/>
                <w:szCs w:val="20"/>
                <w:color w:val="auto"/>
              </w:rPr>
            </w:pPr>
            <w:r>
              <w:rPr>
                <w:rFonts w:ascii="Arial" w:cs="Arial" w:eastAsia="Arial" w:hAnsi="Arial"/>
                <w:sz w:val="16"/>
                <w:szCs w:val="16"/>
                <w:color w:val="auto"/>
              </w:rPr>
              <w:t>bps</w:t>
            </w:r>
          </w:p>
        </w:tc>
        <w:tc>
          <w:tcPr>
            <w:tcW w:w="1260" w:type="dxa"/>
            <w:vAlign w:val="bottom"/>
            <w:gridSpan w:val="2"/>
            <w:shd w:val="clear" w:color="auto" w:fill="CCEECC"/>
          </w:tcPr>
          <w:p>
            <w:pPr>
              <w:jc w:val="center"/>
              <w:ind w:right="60"/>
              <w:spacing w:after="0"/>
              <w:rPr>
                <w:sz w:val="20"/>
                <w:szCs w:val="20"/>
                <w:color w:val="auto"/>
              </w:rPr>
            </w:pPr>
            <w:r>
              <w:rPr>
                <w:rFonts w:ascii="Arial" w:cs="Arial" w:eastAsia="Arial" w:hAnsi="Arial"/>
                <w:sz w:val="16"/>
                <w:szCs w:val="16"/>
                <w:color w:val="auto"/>
                <w:w w:val="88"/>
              </w:rPr>
              <w:t>Feb. 2044</w:t>
            </w:r>
          </w:p>
        </w:tc>
        <w:tc>
          <w:tcPr>
            <w:tcW w:w="1200" w:type="dxa"/>
            <w:vAlign w:val="bottom"/>
            <w:gridSpan w:val="3"/>
            <w:shd w:val="clear" w:color="auto" w:fill="CCEECC"/>
          </w:tcPr>
          <w:p>
            <w:pPr>
              <w:jc w:val="center"/>
              <w:ind w:right="60"/>
              <w:spacing w:after="0"/>
              <w:rPr>
                <w:sz w:val="20"/>
                <w:szCs w:val="20"/>
                <w:color w:val="auto"/>
              </w:rPr>
            </w:pPr>
            <w:r>
              <w:rPr>
                <w:rFonts w:ascii="Arial" w:cs="Arial" w:eastAsia="Arial" w:hAnsi="Arial"/>
                <w:sz w:val="16"/>
                <w:szCs w:val="16"/>
                <w:color w:val="auto"/>
                <w:w w:val="91"/>
              </w:rPr>
              <w:t>Feb. 2014</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6"/>
                <w:szCs w:val="16"/>
                <w:color w:val="auto"/>
              </w:rPr>
              <w:t>351,254</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6"/>
                <w:szCs w:val="16"/>
                <w:color w:val="auto"/>
              </w:rPr>
              <w:t>848,746</w:t>
            </w:r>
          </w:p>
        </w:tc>
        <w:tc>
          <w:tcPr>
            <w:tcW w:w="220" w:type="dxa"/>
            <w:vAlign w:val="bottom"/>
            <w:shd w:val="clear" w:color="auto" w:fill="CCEECC"/>
          </w:tcPr>
          <w:p>
            <w:pPr>
              <w:spacing w:after="0"/>
              <w:rPr>
                <w:sz w:val="18"/>
                <w:szCs w:val="18"/>
                <w:color w:val="auto"/>
              </w:rPr>
            </w:pPr>
          </w:p>
        </w:tc>
        <w:tc>
          <w:tcPr>
            <w:tcW w:w="900" w:type="dxa"/>
            <w:vAlign w:val="bottom"/>
            <w:gridSpan w:val="3"/>
            <w:shd w:val="clear" w:color="auto" w:fill="CCEECC"/>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3780" w:type="dxa"/>
            <w:vAlign w:val="bottom"/>
            <w:gridSpan w:val="2"/>
          </w:tcPr>
          <w:p>
            <w:pPr>
              <w:spacing w:after="0"/>
              <w:rPr>
                <w:sz w:val="20"/>
                <w:szCs w:val="20"/>
                <w:color w:val="auto"/>
              </w:rPr>
            </w:pPr>
            <w:r>
              <w:rPr>
                <w:rFonts w:ascii="Arial" w:cs="Arial" w:eastAsia="Arial" w:hAnsi="Arial"/>
                <w:sz w:val="16"/>
                <w:szCs w:val="16"/>
                <w:color w:val="auto"/>
              </w:rPr>
              <w:t>Ocwen Servicer Advance Receivables Trust II –</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Series 2013-VF1 Class A, B, C and D Notes (5)(6)</w:t>
            </w: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1ML + 287.5 bps</w:t>
            </w:r>
          </w:p>
        </w:tc>
        <w:tc>
          <w:tcPr>
            <w:tcW w:w="1260" w:type="dxa"/>
            <w:vAlign w:val="bottom"/>
            <w:gridSpan w:val="2"/>
          </w:tcPr>
          <w:p>
            <w:pPr>
              <w:jc w:val="center"/>
              <w:ind w:right="60"/>
              <w:spacing w:after="0"/>
              <w:rPr>
                <w:sz w:val="20"/>
                <w:szCs w:val="20"/>
                <w:color w:val="auto"/>
              </w:rPr>
            </w:pPr>
            <w:r>
              <w:rPr>
                <w:rFonts w:ascii="Arial" w:cs="Arial" w:eastAsia="Arial" w:hAnsi="Arial"/>
                <w:sz w:val="16"/>
                <w:szCs w:val="16"/>
                <w:color w:val="auto"/>
                <w:w w:val="88"/>
              </w:rPr>
              <w:t>Feb. 2044</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Feb. 2014</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14,086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210,914</w:t>
            </w:r>
          </w:p>
        </w:tc>
        <w:tc>
          <w:tcPr>
            <w:tcW w:w="2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99"/>
        </w:trPr>
        <w:tc>
          <w:tcPr>
            <w:tcW w:w="3780" w:type="dxa"/>
            <w:vAlign w:val="bottom"/>
            <w:tcBorders>
              <w:top w:val="single" w:sz="8" w:color="CCEECC"/>
            </w:tcBorders>
            <w:gridSpan w:val="2"/>
            <w:shd w:val="clear" w:color="auto" w:fill="CCEECC"/>
          </w:tcPr>
          <w:p>
            <w:pPr>
              <w:ind w:left="360"/>
              <w:spacing w:after="0"/>
              <w:rPr>
                <w:sz w:val="20"/>
                <w:szCs w:val="20"/>
                <w:color w:val="auto"/>
              </w:rPr>
            </w:pPr>
            <w:r>
              <w:rPr>
                <w:rFonts w:ascii="Arial" w:cs="Arial" w:eastAsia="Arial" w:hAnsi="Arial"/>
                <w:sz w:val="16"/>
                <w:szCs w:val="16"/>
                <w:color w:val="auto"/>
              </w:rPr>
              <w:t>Total variable rate</w:t>
            </w:r>
          </w:p>
        </w:tc>
        <w:tc>
          <w:tcPr>
            <w:tcW w:w="1380" w:type="dxa"/>
            <w:vAlign w:val="bottom"/>
            <w:tcBorders>
              <w:top w:val="single" w:sz="8" w:color="CCEECC"/>
            </w:tcBorders>
            <w:shd w:val="clear" w:color="auto" w:fill="CCEECC"/>
          </w:tcPr>
          <w:p>
            <w:pPr>
              <w:spacing w:after="0"/>
              <w:rPr>
                <w:sz w:val="17"/>
                <w:szCs w:val="17"/>
                <w:color w:val="auto"/>
              </w:rPr>
            </w:pPr>
          </w:p>
        </w:tc>
        <w:tc>
          <w:tcPr>
            <w:tcW w:w="220" w:type="dxa"/>
            <w:vAlign w:val="bottom"/>
            <w:tcBorders>
              <w:top w:val="single" w:sz="8" w:color="CCEECC"/>
            </w:tcBorders>
            <w:shd w:val="clear" w:color="auto" w:fill="CCEECC"/>
          </w:tcPr>
          <w:p>
            <w:pPr>
              <w:spacing w:after="0"/>
              <w:rPr>
                <w:sz w:val="17"/>
                <w:szCs w:val="17"/>
                <w:color w:val="auto"/>
              </w:rPr>
            </w:pPr>
          </w:p>
        </w:tc>
        <w:tc>
          <w:tcPr>
            <w:tcW w:w="1040" w:type="dxa"/>
            <w:vAlign w:val="bottom"/>
            <w:tcBorders>
              <w:top w:val="single" w:sz="8" w:color="CCEECC"/>
            </w:tcBorders>
            <w:shd w:val="clear" w:color="auto" w:fill="CCEECC"/>
          </w:tcPr>
          <w:p>
            <w:pPr>
              <w:spacing w:after="0"/>
              <w:rPr>
                <w:sz w:val="17"/>
                <w:szCs w:val="17"/>
                <w:color w:val="auto"/>
              </w:rPr>
            </w:pPr>
          </w:p>
        </w:tc>
        <w:tc>
          <w:tcPr>
            <w:tcW w:w="220" w:type="dxa"/>
            <w:vAlign w:val="bottom"/>
            <w:tcBorders>
              <w:top w:val="single" w:sz="8" w:color="CCEECC"/>
            </w:tcBorders>
            <w:shd w:val="clear" w:color="auto" w:fill="CCEECC"/>
          </w:tcPr>
          <w:p>
            <w:pPr>
              <w:spacing w:after="0"/>
              <w:rPr>
                <w:sz w:val="17"/>
                <w:szCs w:val="17"/>
                <w:color w:val="auto"/>
              </w:rPr>
            </w:pPr>
          </w:p>
        </w:tc>
        <w:tc>
          <w:tcPr>
            <w:tcW w:w="980" w:type="dxa"/>
            <w:vAlign w:val="bottom"/>
            <w:tcBorders>
              <w:top w:val="single" w:sz="8" w:color="CCEECC"/>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rPr>
                <w:sz w:val="17"/>
                <w:szCs w:val="17"/>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6"/>
                <w:szCs w:val="16"/>
                <w:color w:val="auto"/>
              </w:rPr>
              <w:t>983,168</w:t>
            </w:r>
          </w:p>
        </w:tc>
        <w:tc>
          <w:tcPr>
            <w:tcW w:w="100" w:type="dxa"/>
            <w:vAlign w:val="bottom"/>
            <w:tcBorders>
              <w:top w:val="single" w:sz="8" w:color="CCEECC"/>
            </w:tcBorders>
            <w:shd w:val="clear" w:color="auto" w:fill="CCEECC"/>
          </w:tcPr>
          <w:p>
            <w:pPr>
              <w:spacing w:after="0"/>
              <w:rPr>
                <w:sz w:val="17"/>
                <w:szCs w:val="17"/>
                <w:color w:val="auto"/>
              </w:rPr>
            </w:pPr>
          </w:p>
        </w:tc>
        <w:tc>
          <w:tcPr>
            <w:tcW w:w="120" w:type="dxa"/>
            <w:vAlign w:val="bottom"/>
            <w:tcBorders>
              <w:top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spacing w:after="0"/>
              <w:rPr>
                <w:sz w:val="17"/>
                <w:szCs w:val="17"/>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6"/>
                <w:szCs w:val="16"/>
                <w:color w:val="auto"/>
              </w:rPr>
              <w:t>2,391,832</w:t>
            </w:r>
          </w:p>
        </w:tc>
        <w:tc>
          <w:tcPr>
            <w:tcW w:w="220" w:type="dxa"/>
            <w:vAlign w:val="bottom"/>
            <w:tcBorders>
              <w:top w:val="single" w:sz="8" w:color="CCEECC"/>
            </w:tcBorders>
            <w:shd w:val="clear" w:color="auto" w:fill="CCEECC"/>
          </w:tcPr>
          <w:p>
            <w:pPr>
              <w:spacing w:after="0"/>
              <w:rPr>
                <w:sz w:val="17"/>
                <w:szCs w:val="17"/>
                <w:color w:val="auto"/>
              </w:rPr>
            </w:pPr>
          </w:p>
        </w:tc>
        <w:tc>
          <w:tcPr>
            <w:tcW w:w="220" w:type="dxa"/>
            <w:vAlign w:val="bottom"/>
            <w:tcBorders>
              <w:top w:val="single" w:sz="8" w:color="auto"/>
              <w:bottom w:val="single" w:sz="8" w:color="auto"/>
            </w:tcBorders>
            <w:shd w:val="clear" w:color="auto" w:fill="CCEECC"/>
          </w:tcPr>
          <w:p>
            <w:pPr>
              <w:spacing w:after="0"/>
              <w:rPr>
                <w:sz w:val="17"/>
                <w:szCs w:val="17"/>
                <w:color w:val="auto"/>
              </w:rPr>
            </w:pP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6"/>
                <w:szCs w:val="16"/>
                <w:color w:val="auto"/>
              </w:rPr>
              <w:t>884,468</w:t>
            </w:r>
          </w:p>
        </w:tc>
        <w:tc>
          <w:tcPr>
            <w:tcW w:w="20" w:type="dxa"/>
            <w:vAlign w:val="bottom"/>
            <w:tcBorders>
              <w:top w:val="single" w:sz="8" w:color="CCEECC"/>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r>
      <w:tr>
        <w:trPr>
          <w:trHeight w:val="207"/>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983,168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2,391,832</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2,532,745</w:t>
            </w:r>
          </w:p>
        </w:tc>
        <w:tc>
          <w:tcPr>
            <w:tcW w:w="8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 w:hanging="332"/>
        <w:spacing w:after="0" w:line="30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27" w:lineRule="exact"/>
        <w:rPr>
          <w:rFonts w:ascii="Arial" w:cs="Arial" w:eastAsia="Arial" w:hAnsi="Arial"/>
          <w:sz w:val="16"/>
          <w:szCs w:val="16"/>
          <w:color w:val="auto"/>
        </w:rPr>
      </w:pPr>
    </w:p>
    <w:p>
      <w:pPr>
        <w:ind w:left="340" w:right="28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June 30, 2013, none of the available borrowing capacity could be used because we had borrowed the maximum amount against the pledged collateral.</w:t>
      </w:r>
    </w:p>
    <w:p>
      <w:pPr>
        <w:spacing w:after="0" w:line="83" w:lineRule="exact"/>
        <w:rPr>
          <w:rFonts w:ascii="Arial" w:cs="Arial" w:eastAsia="Arial" w:hAnsi="Arial"/>
          <w:sz w:val="16"/>
          <w:szCs w:val="16"/>
          <w:color w:val="auto"/>
        </w:rPr>
      </w:pPr>
    </w:p>
    <w:p>
      <w:pPr>
        <w:ind w:left="340" w:right="28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Facility was repaid in February 2013 from the proceeds of a new $1.4 billion bridge facility (Homeward Residential Bridge Loan Trust – 2013) which has an amortization date of August 14, 2013. On May 24, 2013, the total maximum borrowing capacity for this facility was reduced to $900,000.</w:t>
      </w:r>
    </w:p>
    <w:p>
      <w:pPr>
        <w:spacing w:after="0" w:line="83"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repaid this facility in full in July 2013.</w:t>
      </w:r>
    </w:p>
    <w:p>
      <w:pPr>
        <w:spacing w:after="0" w:line="198"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 2013, we repaid these facilities in full from the proceeds received on the sale of servicing advances to HLSS. See Note 25 – Subsequent Events for additional information regarding this transaction.</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entered into these facilities in connection with the ResCap Acquisition (See Note 4 – Business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NOTE 15</w:t>
            </w:r>
          </w:p>
        </w:tc>
        <w:tc>
          <w:tcPr>
            <w:tcW w:w="32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BORROWINGS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20" w:type="dxa"/>
            <w:vAlign w:val="bottom"/>
            <w:gridSpan w:val="13"/>
          </w:tcPr>
          <w:p>
            <w:pPr>
              <w:spacing w:after="0"/>
              <w:rPr>
                <w:sz w:val="20"/>
                <w:szCs w:val="20"/>
                <w:color w:val="auto"/>
              </w:rPr>
            </w:pPr>
            <w:r>
              <w:rPr>
                <w:rFonts w:ascii="Arial" w:cs="Arial" w:eastAsia="Arial" w:hAnsi="Arial"/>
                <w:sz w:val="18"/>
                <w:szCs w:val="18"/>
                <w:color w:val="auto"/>
                <w:w w:val="90"/>
              </w:rPr>
              <w:t>Lines of credit and other secured and unsecured borrowings are comprised of the following at the dates indicated: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Available</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Balance Outstanding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Borrowing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20" w:type="dxa"/>
            <w:vAlign w:val="bottom"/>
            <w:gridSpan w:val="2"/>
          </w:tcPr>
          <w:p>
            <w:pPr>
              <w:ind w:left="160"/>
              <w:spacing w:after="0"/>
              <w:rPr>
                <w:sz w:val="20"/>
                <w:szCs w:val="20"/>
                <w:color w:val="auto"/>
              </w:rPr>
            </w:pPr>
            <w:r>
              <w:rPr>
                <w:rFonts w:ascii="Arial" w:cs="Arial" w:eastAsia="Arial" w:hAnsi="Arial"/>
                <w:sz w:val="14"/>
                <w:szCs w:val="14"/>
                <w:b w:val="1"/>
                <w:bCs w:val="1"/>
                <w:color w:val="auto"/>
              </w:rPr>
              <w:t>Borrowings</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Collateral</w:t>
            </w:r>
          </w:p>
        </w:tc>
        <w:tc>
          <w:tcPr>
            <w:tcW w:w="220" w:type="dxa"/>
            <w:vAlign w:val="bottom"/>
          </w:tcPr>
          <w:p>
            <w:pPr>
              <w:spacing w:after="0"/>
              <w:rPr>
                <w:sz w:val="21"/>
                <w:szCs w:val="21"/>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Interest Rate</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Capacity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00" w:type="dxa"/>
            <w:vAlign w:val="bottom"/>
            <w:gridSpan w:val="3"/>
            <w:shd w:val="clear" w:color="auto" w:fill="CCEECC"/>
          </w:tcPr>
          <w:p>
            <w:pPr>
              <w:spacing w:after="0" w:line="135" w:lineRule="exact"/>
              <w:rPr>
                <w:sz w:val="20"/>
                <w:szCs w:val="20"/>
                <w:color w:val="auto"/>
              </w:rPr>
            </w:pPr>
            <w:r>
              <w:rPr>
                <w:rFonts w:ascii="Arial" w:cs="Arial" w:eastAsia="Arial" w:hAnsi="Arial"/>
                <w:sz w:val="14"/>
                <w:szCs w:val="14"/>
                <w:color w:val="auto"/>
              </w:rPr>
              <w:t>Servicing:</w:t>
            </w:r>
          </w:p>
        </w:tc>
        <w:tc>
          <w:tcPr>
            <w:tcW w:w="420" w:type="dxa"/>
            <w:vAlign w:val="bottom"/>
            <w:shd w:val="clear" w:color="auto" w:fill="CCEECC"/>
          </w:tcPr>
          <w:p>
            <w:pPr>
              <w:spacing w:after="0"/>
              <w:rPr>
                <w:sz w:val="11"/>
                <w:szCs w:val="11"/>
                <w:color w:val="auto"/>
              </w:rPr>
            </w:pPr>
          </w:p>
        </w:tc>
        <w:tc>
          <w:tcPr>
            <w:tcW w:w="258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92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38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92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20" w:type="dxa"/>
            <w:vAlign w:val="bottom"/>
            <w:shd w:val="clear" w:color="auto" w:fill="CCEECC"/>
          </w:tcPr>
          <w:p>
            <w:pPr>
              <w:spacing w:after="0"/>
              <w:rPr>
                <w:sz w:val="11"/>
                <w:szCs w:val="11"/>
                <w:color w:val="auto"/>
              </w:rPr>
            </w:pPr>
          </w:p>
        </w:tc>
        <w:tc>
          <w:tcPr>
            <w:tcW w:w="80" w:type="dxa"/>
            <w:vAlign w:val="bottom"/>
            <w:shd w:val="clear" w:color="auto" w:fill="CCEECC"/>
          </w:tcPr>
          <w:p>
            <w:pPr>
              <w:spacing w:after="0"/>
              <w:rPr>
                <w:sz w:val="11"/>
                <w:szCs w:val="11"/>
                <w:color w:val="auto"/>
              </w:rPr>
            </w:pPr>
          </w:p>
        </w:tc>
        <w:tc>
          <w:tcPr>
            <w:tcW w:w="70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CCEECC"/>
            </w:tcBorders>
          </w:tcPr>
          <w:p>
            <w:pPr>
              <w:spacing w:after="0"/>
              <w:rPr>
                <w:sz w:val="10"/>
                <w:szCs w:val="10"/>
                <w:color w:val="auto"/>
              </w:rPr>
            </w:pPr>
          </w:p>
        </w:tc>
        <w:tc>
          <w:tcPr>
            <w:tcW w:w="420" w:type="dxa"/>
            <w:vAlign w:val="bottom"/>
            <w:tcBorders>
              <w:top w:val="single" w:sz="8" w:color="CCEECC"/>
            </w:tcBorders>
          </w:tcPr>
          <w:p>
            <w:pPr>
              <w:spacing w:after="0"/>
              <w:rPr>
                <w:sz w:val="10"/>
                <w:szCs w:val="10"/>
                <w:color w:val="auto"/>
              </w:rPr>
            </w:pPr>
          </w:p>
        </w:tc>
        <w:tc>
          <w:tcPr>
            <w:tcW w:w="2580" w:type="dxa"/>
            <w:vAlign w:val="bottom"/>
            <w:tcBorders>
              <w:top w:val="single" w:sz="8" w:color="CCEECC"/>
            </w:tcBorders>
          </w:tcPr>
          <w:p>
            <w:pPr>
              <w:spacing w:after="0"/>
              <w:rPr>
                <w:sz w:val="10"/>
                <w:szCs w:val="10"/>
                <w:color w:val="auto"/>
              </w:rPr>
            </w:pPr>
          </w:p>
        </w:tc>
        <w:tc>
          <w:tcPr>
            <w:tcW w:w="240" w:type="dxa"/>
            <w:vAlign w:val="bottom"/>
            <w:tcBorders>
              <w:top w:val="single" w:sz="8" w:color="CCEECC"/>
            </w:tcBorders>
          </w:tcPr>
          <w:p>
            <w:pPr>
              <w:spacing w:after="0"/>
              <w:rPr>
                <w:sz w:val="10"/>
                <w:szCs w:val="10"/>
                <w:color w:val="auto"/>
              </w:rPr>
            </w:pPr>
          </w:p>
        </w:tc>
        <w:tc>
          <w:tcPr>
            <w:tcW w:w="920" w:type="dxa"/>
            <w:vAlign w:val="bottom"/>
            <w:tcBorders>
              <w:top w:val="single" w:sz="8" w:color="CCEECC"/>
            </w:tcBorders>
          </w:tcPr>
          <w:p>
            <w:pPr>
              <w:spacing w:after="0"/>
              <w:rPr>
                <w:sz w:val="10"/>
                <w:szCs w:val="10"/>
                <w:color w:val="auto"/>
              </w:rPr>
            </w:pPr>
          </w:p>
        </w:tc>
        <w:tc>
          <w:tcPr>
            <w:tcW w:w="1840" w:type="dxa"/>
            <w:vAlign w:val="bottom"/>
            <w:tcBorders>
              <w:top w:val="single" w:sz="8" w:color="CCEECC"/>
            </w:tcBorders>
            <w:gridSpan w:val="3"/>
          </w:tcPr>
          <w:p>
            <w:pPr>
              <w:ind w:left="220"/>
              <w:spacing w:after="0" w:line="123" w:lineRule="exact"/>
              <w:rPr>
                <w:sz w:val="20"/>
                <w:szCs w:val="20"/>
                <w:color w:val="auto"/>
              </w:rPr>
            </w:pPr>
            <w:r>
              <w:rPr>
                <w:rFonts w:ascii="Arial" w:cs="Arial" w:eastAsia="Arial" w:hAnsi="Arial"/>
                <w:sz w:val="14"/>
                <w:szCs w:val="14"/>
                <w:color w:val="auto"/>
              </w:rPr>
              <w:t>1ML + 550 bps;</w:t>
            </w:r>
          </w:p>
        </w:tc>
        <w:tc>
          <w:tcPr>
            <w:tcW w:w="92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20" w:type="dxa"/>
            <w:vAlign w:val="bottom"/>
            <w:tcBorders>
              <w:top w:val="single" w:sz="8" w:color="CCEECC"/>
            </w:tcBorders>
          </w:tcPr>
          <w:p>
            <w:pPr>
              <w:spacing w:after="0"/>
              <w:rPr>
                <w:sz w:val="10"/>
                <w:szCs w:val="10"/>
                <w:color w:val="auto"/>
              </w:rPr>
            </w:pPr>
          </w:p>
        </w:tc>
        <w:tc>
          <w:tcPr>
            <w:tcW w:w="80" w:type="dxa"/>
            <w:vAlign w:val="bottom"/>
            <w:tcBorders>
              <w:top w:val="single" w:sz="8" w:color="CCEECC"/>
            </w:tcBorders>
          </w:tcPr>
          <w:p>
            <w:pPr>
              <w:spacing w:after="0"/>
              <w:rPr>
                <w:sz w:val="10"/>
                <w:szCs w:val="10"/>
                <w:color w:val="auto"/>
              </w:rPr>
            </w:pPr>
          </w:p>
        </w:tc>
        <w:tc>
          <w:tcPr>
            <w:tcW w:w="70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160" w:type="dxa"/>
            <w:vAlign w:val="bottom"/>
            <w:tcBorders>
              <w:top w:val="single" w:sz="8" w:color="CCEECC"/>
            </w:tcBorders>
          </w:tcPr>
          <w:p>
            <w:pPr>
              <w:spacing w:after="0"/>
              <w:rPr>
                <w:sz w:val="10"/>
                <w:szCs w:val="10"/>
                <w:color w:val="auto"/>
              </w:rPr>
            </w:pPr>
          </w:p>
        </w:tc>
        <w:tc>
          <w:tcPr>
            <w:tcW w:w="100" w:type="dxa"/>
            <w:vAlign w:val="bottom"/>
            <w:tcBorders>
              <w:top w:val="single" w:sz="8" w:color="CCEECC"/>
            </w:tcBorders>
          </w:tcPr>
          <w:p>
            <w:pPr>
              <w:spacing w:after="0"/>
              <w:rPr>
                <w:sz w:val="10"/>
                <w:szCs w:val="10"/>
                <w:color w:val="auto"/>
              </w:rPr>
            </w:pPr>
          </w:p>
        </w:tc>
        <w:tc>
          <w:tcPr>
            <w:tcW w:w="68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14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680" w:type="dxa"/>
            <w:vAlign w:val="bottom"/>
            <w:tcBorders>
              <w:top w:val="single" w:sz="8" w:color="CCEECC"/>
            </w:tcBorders>
          </w:tcPr>
          <w:p>
            <w:pPr>
              <w:spacing w:after="0"/>
              <w:rPr>
                <w:sz w:val="10"/>
                <w:szCs w:val="10"/>
                <w:color w:val="auto"/>
              </w:rPr>
            </w:pPr>
          </w:p>
        </w:tc>
        <w:tc>
          <w:tcPr>
            <w:tcW w:w="100" w:type="dxa"/>
            <w:vAlign w:val="bottom"/>
            <w:tcBorders>
              <w:top w:val="single" w:sz="8" w:color="CCEEC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LIBOR floor of 150</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color w:val="auto"/>
              </w:rPr>
              <w:t>SSTL (1)</w:t>
            </w:r>
          </w:p>
        </w:tc>
        <w:tc>
          <w:tcPr>
            <w:tcW w:w="4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w:t>
            </w:r>
          </w:p>
        </w:tc>
        <w:tc>
          <w:tcPr>
            <w:tcW w:w="1840" w:type="dxa"/>
            <w:vAlign w:val="bottom"/>
            <w:gridSpan w:val="3"/>
          </w:tcPr>
          <w:p>
            <w:pPr>
              <w:ind w:left="220"/>
              <w:spacing w:after="0"/>
              <w:rPr>
                <w:sz w:val="20"/>
                <w:szCs w:val="20"/>
                <w:color w:val="auto"/>
              </w:rPr>
            </w:pPr>
            <w:r>
              <w:rPr>
                <w:rFonts w:ascii="Arial" w:cs="Arial" w:eastAsia="Arial" w:hAnsi="Arial"/>
                <w:sz w:val="14"/>
                <w:szCs w:val="14"/>
                <w:color w:val="auto"/>
              </w:rPr>
              <w:t>bps (1)</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Sept. 2016</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314,229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3"/>
            <w:shd w:val="clear" w:color="auto" w:fill="CCEECC"/>
          </w:tcPr>
          <w:p>
            <w:pPr>
              <w:ind w:left="140"/>
              <w:spacing w:after="0" w:line="149" w:lineRule="exact"/>
              <w:rPr>
                <w:sz w:val="20"/>
                <w:szCs w:val="20"/>
                <w:color w:val="auto"/>
              </w:rPr>
            </w:pPr>
            <w:r>
              <w:rPr>
                <w:rFonts w:ascii="Arial" w:cs="Arial" w:eastAsia="Arial" w:hAnsi="Arial"/>
                <w:sz w:val="14"/>
                <w:szCs w:val="14"/>
                <w:color w:val="auto"/>
              </w:rPr>
              <w:t>SSTL (2)</w:t>
            </w:r>
          </w:p>
        </w:tc>
        <w:tc>
          <w:tcPr>
            <w:tcW w:w="420" w:type="dxa"/>
            <w:vAlign w:val="bottom"/>
            <w:shd w:val="clear" w:color="auto" w:fill="CCEECC"/>
          </w:tcPr>
          <w:p>
            <w:pPr>
              <w:spacing w:after="0"/>
              <w:rPr>
                <w:sz w:val="12"/>
                <w:szCs w:val="12"/>
                <w:color w:val="auto"/>
              </w:rPr>
            </w:pPr>
          </w:p>
        </w:tc>
        <w:tc>
          <w:tcPr>
            <w:tcW w:w="2580" w:type="dxa"/>
            <w:vAlign w:val="bottom"/>
            <w:shd w:val="clear" w:color="auto" w:fill="CCEECC"/>
          </w:tcPr>
          <w:p>
            <w:pPr>
              <w:spacing w:after="0"/>
              <w:rPr>
                <w:sz w:val="12"/>
                <w:szCs w:val="12"/>
                <w:color w:val="auto"/>
              </w:rPr>
            </w:pPr>
          </w:p>
        </w:tc>
        <w:tc>
          <w:tcPr>
            <w:tcW w:w="240" w:type="dxa"/>
            <w:vAlign w:val="bottom"/>
            <w:shd w:val="clear" w:color="auto" w:fill="CCEECC"/>
          </w:tcPr>
          <w:p>
            <w:pPr>
              <w:spacing w:after="0"/>
              <w:rPr>
                <w:sz w:val="12"/>
                <w:szCs w:val="12"/>
                <w:color w:val="auto"/>
              </w:rPr>
            </w:pPr>
          </w:p>
        </w:tc>
        <w:tc>
          <w:tcPr>
            <w:tcW w:w="92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(2)</w:t>
            </w:r>
          </w:p>
        </w:tc>
        <w:tc>
          <w:tcPr>
            <w:tcW w:w="1600" w:type="dxa"/>
            <w:vAlign w:val="bottom"/>
            <w:gridSpan w:val="2"/>
            <w:shd w:val="clear" w:color="auto" w:fill="CCEECC"/>
          </w:tcPr>
          <w:p>
            <w:pPr>
              <w:ind w:left="220"/>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CC"/>
          </w:tcPr>
          <w:p>
            <w:pPr>
              <w:spacing w:after="0"/>
              <w:rPr>
                <w:sz w:val="12"/>
                <w:szCs w:val="12"/>
                <w:color w:val="auto"/>
              </w:rPr>
            </w:pPr>
          </w:p>
        </w:tc>
        <w:tc>
          <w:tcPr>
            <w:tcW w:w="1100" w:type="dxa"/>
            <w:vAlign w:val="bottom"/>
            <w:gridSpan w:val="2"/>
            <w:shd w:val="clear" w:color="auto" w:fill="CCEECC"/>
          </w:tcPr>
          <w:p>
            <w:pPr>
              <w:jc w:val="center"/>
              <w:ind w:right="200"/>
              <w:spacing w:after="0" w:line="149" w:lineRule="exact"/>
              <w:rPr>
                <w:sz w:val="20"/>
                <w:szCs w:val="20"/>
                <w:color w:val="auto"/>
              </w:rPr>
            </w:pPr>
            <w:r>
              <w:rPr>
                <w:rFonts w:ascii="Arial" w:cs="Arial" w:eastAsia="Arial" w:hAnsi="Arial"/>
                <w:sz w:val="14"/>
                <w:szCs w:val="14"/>
                <w:color w:val="auto"/>
                <w:w w:val="91"/>
              </w:rPr>
              <w:t>Feb. 2018</w:t>
            </w:r>
          </w:p>
        </w:tc>
        <w:tc>
          <w:tcPr>
            <w:tcW w:w="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86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1,296,750</w:t>
            </w:r>
          </w:p>
        </w:tc>
        <w:tc>
          <w:tcPr>
            <w:tcW w:w="14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4"/>
                <w:szCs w:val="14"/>
                <w:color w:val="auto"/>
              </w:rPr>
              <w:t>1-Month Euro-dollar</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rate + 675 bps with a</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Eurodollar floor of 150</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6"/>
          </w:tcPr>
          <w:p>
            <w:pPr>
              <w:ind w:left="140"/>
              <w:spacing w:after="0"/>
              <w:rPr>
                <w:sz w:val="20"/>
                <w:szCs w:val="20"/>
                <w:color w:val="auto"/>
              </w:rPr>
            </w:pPr>
            <w:r>
              <w:rPr>
                <w:rFonts w:ascii="Arial" w:cs="Arial" w:eastAsia="Arial" w:hAnsi="Arial"/>
                <w:sz w:val="14"/>
                <w:szCs w:val="14"/>
                <w:color w:val="auto"/>
              </w:rPr>
              <w:t>Senior unsecured term loan (3)</w:t>
            </w:r>
          </w:p>
        </w:tc>
        <w:tc>
          <w:tcPr>
            <w:tcW w:w="920" w:type="dxa"/>
            <w:vAlign w:val="bottom"/>
          </w:tcPr>
          <w:p>
            <w:pPr>
              <w:spacing w:after="0"/>
              <w:rPr>
                <w:sz w:val="14"/>
                <w:szCs w:val="14"/>
                <w:color w:val="auto"/>
              </w:rPr>
            </w:pPr>
          </w:p>
        </w:tc>
        <w:tc>
          <w:tcPr>
            <w:tcW w:w="1840" w:type="dxa"/>
            <w:vAlign w:val="bottom"/>
            <w:gridSpan w:val="3"/>
          </w:tcPr>
          <w:p>
            <w:pPr>
              <w:ind w:left="220"/>
              <w:spacing w:after="0"/>
              <w:rPr>
                <w:sz w:val="20"/>
                <w:szCs w:val="20"/>
                <w:color w:val="auto"/>
              </w:rPr>
            </w:pPr>
            <w:r>
              <w:rPr>
                <w:rFonts w:ascii="Arial" w:cs="Arial" w:eastAsia="Arial" w:hAnsi="Arial"/>
                <w:sz w:val="14"/>
                <w:szCs w:val="14"/>
                <w:color w:val="auto"/>
              </w:rPr>
              <w:t>bps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Mar.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shd w:val="clear" w:color="auto" w:fill="CCEECC"/>
          </w:tcPr>
          <w:p>
            <w:pPr>
              <w:ind w:left="140"/>
              <w:spacing w:after="0" w:line="149" w:lineRule="exact"/>
              <w:rPr>
                <w:sz w:val="20"/>
                <w:szCs w:val="20"/>
                <w:color w:val="auto"/>
              </w:rPr>
            </w:pPr>
            <w:r>
              <w:rPr>
                <w:rFonts w:ascii="Arial" w:cs="Arial" w:eastAsia="Arial" w:hAnsi="Arial"/>
                <w:sz w:val="14"/>
                <w:szCs w:val="14"/>
                <w:color w:val="auto"/>
              </w:rPr>
              <w:t>Financing liability – MSRs pledged (4)</w:t>
            </w:r>
          </w:p>
        </w:tc>
        <w:tc>
          <w:tcPr>
            <w:tcW w:w="92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MSRs (4)</w:t>
            </w:r>
          </w:p>
        </w:tc>
        <w:tc>
          <w:tcPr>
            <w:tcW w:w="1600" w:type="dxa"/>
            <w:vAlign w:val="bottom"/>
            <w:gridSpan w:val="2"/>
            <w:shd w:val="clear" w:color="auto" w:fill="CCEECC"/>
          </w:tcPr>
          <w:p>
            <w:pPr>
              <w:ind w:left="220"/>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CC"/>
          </w:tcPr>
          <w:p>
            <w:pPr>
              <w:spacing w:after="0"/>
              <w:rPr>
                <w:sz w:val="12"/>
                <w:szCs w:val="12"/>
                <w:color w:val="auto"/>
              </w:rPr>
            </w:pPr>
          </w:p>
        </w:tc>
        <w:tc>
          <w:tcPr>
            <w:tcW w:w="920" w:type="dxa"/>
            <w:vAlign w:val="bottom"/>
            <w:shd w:val="clear" w:color="auto" w:fill="CCEECC"/>
          </w:tcPr>
          <w:p>
            <w:pPr>
              <w:jc w:val="center"/>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CC"/>
          </w:tcPr>
          <w:p>
            <w:pPr>
              <w:spacing w:after="0"/>
              <w:rPr>
                <w:sz w:val="12"/>
                <w:szCs w:val="12"/>
                <w:color w:val="auto"/>
              </w:rPr>
            </w:pPr>
          </w:p>
        </w:tc>
        <w:tc>
          <w:tcPr>
            <w:tcW w:w="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86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428,339</w:t>
            </w:r>
          </w:p>
        </w:tc>
        <w:tc>
          <w:tcPr>
            <w:tcW w:w="14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100"/>
              <w:spacing w:after="0" w:line="149" w:lineRule="exact"/>
              <w:rPr>
                <w:sz w:val="20"/>
                <w:szCs w:val="20"/>
                <w:color w:val="auto"/>
              </w:rPr>
            </w:pPr>
            <w:r>
              <w:rPr>
                <w:rFonts w:ascii="Arial" w:cs="Arial" w:eastAsia="Arial" w:hAnsi="Arial"/>
                <w:sz w:val="14"/>
                <w:szCs w:val="14"/>
                <w:color w:val="auto"/>
              </w:rPr>
              <w:t>303,705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Financing liability – MSRs pledged (5)</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MSRs (5)</w:t>
            </w:r>
          </w:p>
        </w:tc>
        <w:tc>
          <w:tcPr>
            <w:tcW w:w="1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shd w:val="clear" w:color="auto" w:fill="CCEECC"/>
          </w:tcPr>
          <w:p>
            <w:pPr>
              <w:ind w:left="140"/>
              <w:spacing w:after="0" w:line="149" w:lineRule="exact"/>
              <w:rPr>
                <w:sz w:val="20"/>
                <w:szCs w:val="20"/>
                <w:color w:val="auto"/>
              </w:rPr>
            </w:pPr>
            <w:r>
              <w:rPr>
                <w:rFonts w:ascii="Arial" w:cs="Arial" w:eastAsia="Arial" w:hAnsi="Arial"/>
                <w:sz w:val="14"/>
                <w:szCs w:val="14"/>
                <w:color w:val="auto"/>
              </w:rPr>
              <w:t>Promissory note (6)</w:t>
            </w:r>
          </w:p>
        </w:tc>
        <w:tc>
          <w:tcPr>
            <w:tcW w:w="92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MSRs</w:t>
            </w:r>
          </w:p>
        </w:tc>
        <w:tc>
          <w:tcPr>
            <w:tcW w:w="1840" w:type="dxa"/>
            <w:vAlign w:val="bottom"/>
            <w:gridSpan w:val="3"/>
            <w:shd w:val="clear" w:color="auto" w:fill="CCEECC"/>
          </w:tcPr>
          <w:p>
            <w:pPr>
              <w:ind w:left="220"/>
              <w:spacing w:after="0" w:line="149" w:lineRule="exact"/>
              <w:rPr>
                <w:sz w:val="20"/>
                <w:szCs w:val="20"/>
                <w:color w:val="auto"/>
              </w:rPr>
            </w:pPr>
            <w:r>
              <w:rPr>
                <w:rFonts w:ascii="Arial" w:cs="Arial" w:eastAsia="Arial" w:hAnsi="Arial"/>
                <w:sz w:val="14"/>
                <w:szCs w:val="14"/>
                <w:color w:val="auto"/>
              </w:rPr>
              <w:t>1ML + 350 bps</w:t>
            </w:r>
          </w:p>
        </w:tc>
        <w:tc>
          <w:tcPr>
            <w:tcW w:w="1100" w:type="dxa"/>
            <w:vAlign w:val="bottom"/>
            <w:gridSpan w:val="2"/>
            <w:shd w:val="clear" w:color="auto" w:fill="CCEECC"/>
          </w:tcPr>
          <w:p>
            <w:pPr>
              <w:jc w:val="center"/>
              <w:ind w:right="200"/>
              <w:spacing w:after="0" w:line="149" w:lineRule="exact"/>
              <w:rPr>
                <w:sz w:val="20"/>
                <w:szCs w:val="20"/>
                <w:color w:val="auto"/>
              </w:rPr>
            </w:pPr>
            <w:r>
              <w:rPr>
                <w:rFonts w:ascii="Arial" w:cs="Arial" w:eastAsia="Arial" w:hAnsi="Arial"/>
                <w:sz w:val="14"/>
                <w:szCs w:val="14"/>
                <w:color w:val="auto"/>
                <w:w w:val="94"/>
              </w:rPr>
              <w:t>May 2017</w:t>
            </w:r>
          </w:p>
        </w:tc>
        <w:tc>
          <w:tcPr>
            <w:tcW w:w="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86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17,844</w:t>
            </w:r>
          </w:p>
        </w:tc>
        <w:tc>
          <w:tcPr>
            <w:tcW w:w="14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100"/>
              <w:spacing w:after="0" w:line="149" w:lineRule="exact"/>
              <w:rPr>
                <w:sz w:val="20"/>
                <w:szCs w:val="20"/>
                <w:color w:val="auto"/>
              </w:rPr>
            </w:pPr>
            <w:r>
              <w:rPr>
                <w:rFonts w:ascii="Arial" w:cs="Arial" w:eastAsia="Arial" w:hAnsi="Arial"/>
                <w:sz w:val="14"/>
                <w:szCs w:val="14"/>
                <w:color w:val="auto"/>
              </w:rPr>
              <w:t>18,466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4"/>
                <w:szCs w:val="14"/>
                <w:color w:val="auto"/>
              </w:rPr>
              <w:t>Loans held for</w:t>
            </w: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6"/>
          </w:tcPr>
          <w:p>
            <w:pPr>
              <w:ind w:left="140"/>
              <w:spacing w:after="0"/>
              <w:rPr>
                <w:sz w:val="20"/>
                <w:szCs w:val="20"/>
                <w:color w:val="auto"/>
              </w:rPr>
            </w:pPr>
            <w:r>
              <w:rPr>
                <w:rFonts w:ascii="Arial" w:cs="Arial" w:eastAsia="Arial" w:hAnsi="Arial"/>
                <w:sz w:val="14"/>
                <w:szCs w:val="14"/>
                <w:color w:val="auto"/>
              </w:rPr>
              <w:t>Repurchase agreement</w:t>
            </w:r>
          </w:p>
        </w:tc>
        <w:tc>
          <w:tcPr>
            <w:tcW w:w="920" w:type="dxa"/>
            <w:vAlign w:val="bottom"/>
          </w:tcPr>
          <w:p>
            <w:pPr>
              <w:spacing w:after="0"/>
              <w:rPr>
                <w:sz w:val="20"/>
                <w:szCs w:val="20"/>
                <w:color w:val="auto"/>
              </w:rPr>
            </w:pPr>
            <w:r>
              <w:rPr>
                <w:rFonts w:ascii="Arial" w:cs="Arial" w:eastAsia="Arial" w:hAnsi="Arial"/>
                <w:sz w:val="14"/>
                <w:szCs w:val="14"/>
                <w:color w:val="auto"/>
              </w:rPr>
              <w:t>sale (LHFS)</w:t>
            </w:r>
          </w:p>
        </w:tc>
        <w:tc>
          <w:tcPr>
            <w:tcW w:w="1840" w:type="dxa"/>
            <w:vAlign w:val="bottom"/>
            <w:gridSpan w:val="3"/>
          </w:tcPr>
          <w:p>
            <w:pPr>
              <w:ind w:left="220"/>
              <w:spacing w:after="0"/>
              <w:rPr>
                <w:sz w:val="20"/>
                <w:szCs w:val="20"/>
                <w:color w:val="auto"/>
              </w:rPr>
            </w:pPr>
            <w:r>
              <w:rPr>
                <w:rFonts w:ascii="Arial" w:cs="Arial" w:eastAsia="Arial" w:hAnsi="Arial"/>
                <w:sz w:val="14"/>
                <w:szCs w:val="14"/>
                <w:color w:val="auto"/>
              </w:rPr>
              <w:t>1 ML + 250 – 345 bps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Apr. 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92,579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7,421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Borders>
              <w:top w:val="single" w:sz="8" w:color="CCEECC"/>
            </w:tcBorders>
            <w:shd w:val="clear" w:color="auto" w:fill="CCEECC"/>
          </w:tcPr>
          <w:p>
            <w:pPr>
              <w:spacing w:after="0"/>
              <w:rPr>
                <w:sz w:val="12"/>
                <w:szCs w:val="12"/>
                <w:color w:val="auto"/>
              </w:rPr>
            </w:pPr>
          </w:p>
        </w:tc>
        <w:tc>
          <w:tcPr>
            <w:tcW w:w="40" w:type="dxa"/>
            <w:vAlign w:val="bottom"/>
            <w:tcBorders>
              <w:top w:val="single" w:sz="8" w:color="CCEECC"/>
            </w:tcBorders>
            <w:shd w:val="clear" w:color="auto" w:fill="CCEECC"/>
          </w:tcPr>
          <w:p>
            <w:pPr>
              <w:spacing w:after="0"/>
              <w:rPr>
                <w:sz w:val="12"/>
                <w:szCs w:val="12"/>
                <w:color w:val="auto"/>
              </w:rPr>
            </w:pPr>
          </w:p>
        </w:tc>
        <w:tc>
          <w:tcPr>
            <w:tcW w:w="560" w:type="dxa"/>
            <w:vAlign w:val="bottom"/>
            <w:tcBorders>
              <w:top w:val="single" w:sz="8" w:color="CCEECC"/>
            </w:tcBorders>
            <w:shd w:val="clear" w:color="auto" w:fill="CCEECC"/>
          </w:tcPr>
          <w:p>
            <w:pPr>
              <w:spacing w:after="0"/>
              <w:rPr>
                <w:sz w:val="12"/>
                <w:szCs w:val="12"/>
                <w:color w:val="auto"/>
              </w:rPr>
            </w:pPr>
          </w:p>
        </w:tc>
        <w:tc>
          <w:tcPr>
            <w:tcW w:w="420" w:type="dxa"/>
            <w:vAlign w:val="bottom"/>
            <w:tcBorders>
              <w:top w:val="single" w:sz="8" w:color="CCEECC"/>
            </w:tcBorders>
            <w:shd w:val="clear" w:color="auto" w:fill="CCEECC"/>
          </w:tcPr>
          <w:p>
            <w:pPr>
              <w:spacing w:after="0"/>
              <w:rPr>
                <w:sz w:val="12"/>
                <w:szCs w:val="12"/>
                <w:color w:val="auto"/>
              </w:rPr>
            </w:pPr>
          </w:p>
        </w:tc>
        <w:tc>
          <w:tcPr>
            <w:tcW w:w="2580" w:type="dxa"/>
            <w:vAlign w:val="bottom"/>
            <w:tcBorders>
              <w:top w:val="single" w:sz="8" w:color="CCEECC"/>
            </w:tcBorders>
            <w:shd w:val="clear" w:color="auto" w:fill="CCEECC"/>
          </w:tcPr>
          <w:p>
            <w:pPr>
              <w:spacing w:after="0"/>
              <w:rPr>
                <w:sz w:val="12"/>
                <w:szCs w:val="12"/>
                <w:color w:val="auto"/>
              </w:rPr>
            </w:pPr>
          </w:p>
        </w:tc>
        <w:tc>
          <w:tcPr>
            <w:tcW w:w="240" w:type="dxa"/>
            <w:vAlign w:val="bottom"/>
            <w:tcBorders>
              <w:top w:val="single" w:sz="8" w:color="CCEECC"/>
            </w:tcBorders>
            <w:shd w:val="clear" w:color="auto" w:fill="CCEECC"/>
          </w:tcPr>
          <w:p>
            <w:pPr>
              <w:spacing w:after="0"/>
              <w:rPr>
                <w:sz w:val="12"/>
                <w:szCs w:val="12"/>
                <w:color w:val="auto"/>
              </w:rPr>
            </w:pPr>
          </w:p>
        </w:tc>
        <w:tc>
          <w:tcPr>
            <w:tcW w:w="920" w:type="dxa"/>
            <w:vAlign w:val="bottom"/>
            <w:tcBorders>
              <w:top w:val="single" w:sz="8" w:color="CCEECC"/>
            </w:tcBorders>
            <w:shd w:val="clear" w:color="auto" w:fill="CCEECC"/>
          </w:tcPr>
          <w:p>
            <w:pPr>
              <w:spacing w:after="0"/>
              <w:rPr>
                <w:sz w:val="12"/>
                <w:szCs w:val="12"/>
                <w:color w:val="auto"/>
              </w:rPr>
            </w:pPr>
          </w:p>
        </w:tc>
        <w:tc>
          <w:tcPr>
            <w:tcW w:w="220" w:type="dxa"/>
            <w:vAlign w:val="bottom"/>
            <w:tcBorders>
              <w:top w:val="single" w:sz="8" w:color="CCEECC"/>
            </w:tcBorders>
            <w:shd w:val="clear" w:color="auto" w:fill="CCEECC"/>
          </w:tcPr>
          <w:p>
            <w:pPr>
              <w:spacing w:after="0"/>
              <w:rPr>
                <w:sz w:val="12"/>
                <w:szCs w:val="12"/>
                <w:color w:val="auto"/>
              </w:rPr>
            </w:pPr>
          </w:p>
        </w:tc>
        <w:tc>
          <w:tcPr>
            <w:tcW w:w="1380" w:type="dxa"/>
            <w:vAlign w:val="bottom"/>
            <w:tcBorders>
              <w:top w:val="single" w:sz="8" w:color="CCEECC"/>
            </w:tcBorders>
            <w:shd w:val="clear" w:color="auto" w:fill="CCEECC"/>
          </w:tcPr>
          <w:p>
            <w:pPr>
              <w:spacing w:after="0"/>
              <w:rPr>
                <w:sz w:val="12"/>
                <w:szCs w:val="12"/>
                <w:color w:val="auto"/>
              </w:rPr>
            </w:pPr>
          </w:p>
        </w:tc>
        <w:tc>
          <w:tcPr>
            <w:tcW w:w="240" w:type="dxa"/>
            <w:vAlign w:val="bottom"/>
            <w:tcBorders>
              <w:top w:val="single" w:sz="8" w:color="CCEECC"/>
            </w:tcBorders>
            <w:shd w:val="clear" w:color="auto" w:fill="CCEECC"/>
          </w:tcPr>
          <w:p>
            <w:pPr>
              <w:spacing w:after="0"/>
              <w:rPr>
                <w:sz w:val="12"/>
                <w:szCs w:val="12"/>
                <w:color w:val="auto"/>
              </w:rPr>
            </w:pPr>
          </w:p>
        </w:tc>
        <w:tc>
          <w:tcPr>
            <w:tcW w:w="920" w:type="dxa"/>
            <w:vAlign w:val="bottom"/>
            <w:tcBorders>
              <w:top w:val="single" w:sz="8" w:color="CCEECC"/>
            </w:tcBorders>
            <w:shd w:val="clear" w:color="auto" w:fill="CCEECC"/>
          </w:tcPr>
          <w:p>
            <w:pPr>
              <w:spacing w:after="0"/>
              <w:rPr>
                <w:sz w:val="12"/>
                <w:szCs w:val="12"/>
                <w:color w:val="auto"/>
              </w:rPr>
            </w:pPr>
          </w:p>
        </w:tc>
        <w:tc>
          <w:tcPr>
            <w:tcW w:w="180" w:type="dxa"/>
            <w:vAlign w:val="bottom"/>
            <w:tcBorders>
              <w:top w:val="single" w:sz="8" w:color="CCEECC"/>
            </w:tcBorders>
            <w:shd w:val="clear" w:color="auto" w:fill="CCEECC"/>
          </w:tcPr>
          <w:p>
            <w:pPr>
              <w:spacing w:after="0"/>
              <w:rPr>
                <w:sz w:val="12"/>
                <w:szCs w:val="12"/>
                <w:color w:val="auto"/>
              </w:rPr>
            </w:pPr>
          </w:p>
        </w:tc>
        <w:tc>
          <w:tcPr>
            <w:tcW w:w="20" w:type="dxa"/>
            <w:vAlign w:val="bottom"/>
            <w:tcBorders>
              <w:top w:val="single" w:sz="8" w:color="CCEECC"/>
            </w:tcBorders>
            <w:shd w:val="clear" w:color="auto" w:fill="CCEECC"/>
          </w:tcPr>
          <w:p>
            <w:pPr>
              <w:spacing w:after="0"/>
              <w:rPr>
                <w:sz w:val="12"/>
                <w:szCs w:val="12"/>
                <w:color w:val="auto"/>
              </w:rPr>
            </w:pPr>
          </w:p>
        </w:tc>
        <w:tc>
          <w:tcPr>
            <w:tcW w:w="80" w:type="dxa"/>
            <w:vAlign w:val="bottom"/>
            <w:tcBorders>
              <w:top w:val="single" w:sz="8" w:color="auto"/>
              <w:bottom w:val="single" w:sz="8" w:color="auto"/>
            </w:tcBorders>
            <w:shd w:val="clear" w:color="auto" w:fill="CCEECC"/>
          </w:tcPr>
          <w:p>
            <w:pPr>
              <w:spacing w:after="0"/>
              <w:rPr>
                <w:sz w:val="12"/>
                <w:szCs w:val="12"/>
                <w:color w:val="auto"/>
              </w:rPr>
            </w:pPr>
          </w:p>
        </w:tc>
        <w:tc>
          <w:tcPr>
            <w:tcW w:w="700" w:type="dxa"/>
            <w:vAlign w:val="bottom"/>
            <w:tcBorders>
              <w:top w:val="single" w:sz="8" w:color="auto"/>
              <w:bottom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92,579</w:t>
            </w:r>
          </w:p>
        </w:tc>
        <w:tc>
          <w:tcPr>
            <w:tcW w:w="18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CCEECC"/>
            </w:tcBorders>
            <w:shd w:val="clear" w:color="auto" w:fill="CCEECC"/>
          </w:tcPr>
          <w:p>
            <w:pPr>
              <w:spacing w:after="0"/>
              <w:rPr>
                <w:sz w:val="12"/>
                <w:szCs w:val="12"/>
                <w:color w:val="auto"/>
              </w:rPr>
            </w:pPr>
          </w:p>
        </w:tc>
        <w:tc>
          <w:tcPr>
            <w:tcW w:w="100" w:type="dxa"/>
            <w:vAlign w:val="bottom"/>
            <w:tcBorders>
              <w:top w:val="single" w:sz="8" w:color="auto"/>
              <w:bottom w:val="single" w:sz="8" w:color="auto"/>
            </w:tcBorders>
            <w:shd w:val="clear" w:color="auto" w:fill="CCEECC"/>
          </w:tcPr>
          <w:p>
            <w:pPr>
              <w:spacing w:after="0"/>
              <w:rPr>
                <w:sz w:val="12"/>
                <w:szCs w:val="12"/>
                <w:color w:val="auto"/>
              </w:rPr>
            </w:pPr>
          </w:p>
        </w:tc>
        <w:tc>
          <w:tcPr>
            <w:tcW w:w="680" w:type="dxa"/>
            <w:vAlign w:val="bottom"/>
            <w:tcBorders>
              <w:top w:val="single" w:sz="8" w:color="auto"/>
              <w:bottom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1,750,354</w:t>
            </w:r>
          </w:p>
        </w:tc>
        <w:tc>
          <w:tcPr>
            <w:tcW w:w="180" w:type="dxa"/>
            <w:vAlign w:val="bottom"/>
            <w:tcBorders>
              <w:top w:val="single" w:sz="8" w:color="CCEECC"/>
            </w:tcBorders>
            <w:shd w:val="clear" w:color="auto" w:fill="CCEECC"/>
          </w:tcPr>
          <w:p>
            <w:pPr>
              <w:spacing w:after="0"/>
              <w:rPr>
                <w:sz w:val="12"/>
                <w:szCs w:val="12"/>
                <w:color w:val="auto"/>
              </w:rPr>
            </w:pPr>
          </w:p>
        </w:tc>
        <w:tc>
          <w:tcPr>
            <w:tcW w:w="140" w:type="dxa"/>
            <w:vAlign w:val="bottom"/>
            <w:tcBorders>
              <w:top w:val="single" w:sz="8" w:color="CCEECC"/>
            </w:tcBorders>
            <w:shd w:val="clear" w:color="auto" w:fill="CCEECC"/>
          </w:tcPr>
          <w:p>
            <w:pPr>
              <w:spacing w:after="0"/>
              <w:rPr>
                <w:sz w:val="12"/>
                <w:szCs w:val="12"/>
                <w:color w:val="auto"/>
              </w:rPr>
            </w:pPr>
          </w:p>
        </w:tc>
        <w:tc>
          <w:tcPr>
            <w:tcW w:w="180" w:type="dxa"/>
            <w:vAlign w:val="bottom"/>
            <w:tcBorders>
              <w:top w:val="single" w:sz="8" w:color="auto"/>
              <w:bottom w:val="single" w:sz="8" w:color="auto"/>
            </w:tcBorders>
            <w:shd w:val="clear" w:color="auto" w:fill="CCEECC"/>
          </w:tcPr>
          <w:p>
            <w:pPr>
              <w:spacing w:after="0"/>
              <w:rPr>
                <w:sz w:val="12"/>
                <w:szCs w:val="12"/>
                <w:color w:val="auto"/>
              </w:rPr>
            </w:pPr>
          </w:p>
        </w:tc>
        <w:tc>
          <w:tcPr>
            <w:tcW w:w="680" w:type="dxa"/>
            <w:vAlign w:val="bottom"/>
            <w:tcBorders>
              <w:top w:val="single" w:sz="8" w:color="auto"/>
              <w:bottom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714,003</w:t>
            </w:r>
          </w:p>
        </w:tc>
        <w:tc>
          <w:tcPr>
            <w:tcW w:w="100" w:type="dxa"/>
            <w:vAlign w:val="bottom"/>
            <w:tcBorders>
              <w:top w:val="single" w:sz="8" w:color="CCEECC"/>
            </w:tcBorders>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120" w:type="dxa"/>
            <w:vAlign w:val="bottom"/>
            <w:gridSpan w:val="4"/>
          </w:tcPr>
          <w:p>
            <w:pPr>
              <w:spacing w:after="0"/>
              <w:rPr>
                <w:sz w:val="20"/>
                <w:szCs w:val="20"/>
                <w:color w:val="auto"/>
              </w:rPr>
            </w:pPr>
            <w:r>
              <w:rPr>
                <w:rFonts w:ascii="Arial" w:cs="Arial" w:eastAsia="Arial" w:hAnsi="Arial"/>
                <w:sz w:val="14"/>
                <w:szCs w:val="14"/>
                <w:color w:val="auto"/>
              </w:rPr>
              <w:t>Lending:</w:t>
            </w:r>
          </w:p>
        </w:tc>
        <w:tc>
          <w:tcPr>
            <w:tcW w:w="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gridSpan w:val="6"/>
            <w:shd w:val="clear" w:color="auto" w:fill="CCEECC"/>
          </w:tcPr>
          <w:p>
            <w:pPr>
              <w:ind w:left="140"/>
              <w:spacing w:after="0" w:line="142" w:lineRule="exact"/>
              <w:rPr>
                <w:sz w:val="20"/>
                <w:szCs w:val="20"/>
                <w:color w:val="auto"/>
              </w:rPr>
            </w:pPr>
            <w:r>
              <w:rPr>
                <w:rFonts w:ascii="Arial" w:cs="Arial" w:eastAsia="Arial" w:hAnsi="Arial"/>
                <w:sz w:val="14"/>
                <w:szCs w:val="14"/>
                <w:color w:val="auto"/>
              </w:rPr>
              <w:t>Master repurchase agreement (7)</w:t>
            </w:r>
          </w:p>
        </w:tc>
        <w:tc>
          <w:tcPr>
            <w:tcW w:w="920" w:type="dxa"/>
            <w:vAlign w:val="bottom"/>
            <w:shd w:val="clear" w:color="auto" w:fill="CCEECC"/>
          </w:tcPr>
          <w:p>
            <w:pPr>
              <w:spacing w:after="0" w:line="142" w:lineRule="exact"/>
              <w:rPr>
                <w:sz w:val="20"/>
                <w:szCs w:val="20"/>
                <w:color w:val="auto"/>
              </w:rPr>
            </w:pPr>
            <w:r>
              <w:rPr>
                <w:rFonts w:ascii="Arial" w:cs="Arial" w:eastAsia="Arial" w:hAnsi="Arial"/>
                <w:sz w:val="14"/>
                <w:szCs w:val="14"/>
                <w:color w:val="auto"/>
              </w:rPr>
              <w:t>LHFS</w:t>
            </w:r>
          </w:p>
        </w:tc>
        <w:tc>
          <w:tcPr>
            <w:tcW w:w="1840" w:type="dxa"/>
            <w:vAlign w:val="bottom"/>
            <w:gridSpan w:val="3"/>
            <w:shd w:val="clear" w:color="auto" w:fill="CCEECC"/>
          </w:tcPr>
          <w:p>
            <w:pPr>
              <w:ind w:left="220"/>
              <w:spacing w:after="0" w:line="142" w:lineRule="exact"/>
              <w:rPr>
                <w:sz w:val="20"/>
                <w:szCs w:val="20"/>
                <w:color w:val="auto"/>
              </w:rPr>
            </w:pPr>
            <w:r>
              <w:rPr>
                <w:rFonts w:ascii="Arial" w:cs="Arial" w:eastAsia="Arial" w:hAnsi="Arial"/>
                <w:sz w:val="14"/>
                <w:szCs w:val="14"/>
                <w:color w:val="auto"/>
              </w:rPr>
              <w:t>1ML + 175 bps</w:t>
            </w:r>
          </w:p>
        </w:tc>
        <w:tc>
          <w:tcPr>
            <w:tcW w:w="1100" w:type="dxa"/>
            <w:vAlign w:val="bottom"/>
            <w:gridSpan w:val="2"/>
            <w:shd w:val="clear" w:color="auto" w:fill="CCEECC"/>
          </w:tcPr>
          <w:p>
            <w:pPr>
              <w:jc w:val="center"/>
              <w:ind w:right="200"/>
              <w:spacing w:after="0" w:line="142" w:lineRule="exact"/>
              <w:rPr>
                <w:sz w:val="20"/>
                <w:szCs w:val="20"/>
                <w:color w:val="auto"/>
              </w:rPr>
            </w:pPr>
            <w:r>
              <w:rPr>
                <w:rFonts w:ascii="Arial" w:cs="Arial" w:eastAsia="Arial" w:hAnsi="Arial"/>
                <w:sz w:val="14"/>
                <w:szCs w:val="14"/>
                <w:color w:val="auto"/>
                <w:w w:val="91"/>
              </w:rPr>
              <w:t>Mar. 2014</w:t>
            </w:r>
          </w:p>
        </w:tc>
        <w:tc>
          <w:tcPr>
            <w:tcW w:w="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80"/>
              <w:spacing w:after="0" w:line="142" w:lineRule="exact"/>
              <w:rPr>
                <w:sz w:val="20"/>
                <w:szCs w:val="20"/>
                <w:color w:val="auto"/>
              </w:rPr>
            </w:pPr>
            <w:r>
              <w:rPr>
                <w:rFonts w:ascii="Arial" w:cs="Arial" w:eastAsia="Arial" w:hAnsi="Arial"/>
                <w:sz w:val="14"/>
                <w:szCs w:val="14"/>
                <w:color w:val="auto"/>
              </w:rPr>
              <w:t>231,875</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860" w:type="dxa"/>
            <w:vAlign w:val="bottom"/>
            <w:gridSpan w:val="2"/>
            <w:shd w:val="clear" w:color="auto" w:fill="CCEECC"/>
          </w:tcPr>
          <w:p>
            <w:pPr>
              <w:jc w:val="right"/>
              <w:ind w:right="180"/>
              <w:spacing w:after="0" w:line="142" w:lineRule="exact"/>
              <w:rPr>
                <w:sz w:val="20"/>
                <w:szCs w:val="20"/>
                <w:color w:val="auto"/>
              </w:rPr>
            </w:pPr>
            <w:r>
              <w:rPr>
                <w:rFonts w:ascii="Arial" w:cs="Arial" w:eastAsia="Arial" w:hAnsi="Arial"/>
                <w:sz w:val="14"/>
                <w:szCs w:val="14"/>
                <w:color w:val="auto"/>
              </w:rPr>
              <w:t>68,125</w:t>
            </w:r>
          </w:p>
        </w:tc>
        <w:tc>
          <w:tcPr>
            <w:tcW w:w="14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100"/>
              <w:spacing w:after="0" w:line="142" w:lineRule="exact"/>
              <w:rPr>
                <w:sz w:val="20"/>
                <w:szCs w:val="20"/>
                <w:color w:val="auto"/>
              </w:rPr>
            </w:pPr>
            <w:r>
              <w:rPr>
                <w:rFonts w:ascii="Arial" w:cs="Arial" w:eastAsia="Arial" w:hAnsi="Arial"/>
                <w:sz w:val="14"/>
                <w:szCs w:val="14"/>
                <w:color w:val="auto"/>
              </w:rPr>
              <w:t>88,122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Participation agreement (8)</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LHFS</w:t>
            </w: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May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21,742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shd w:val="clear" w:color="auto" w:fill="CCEECC"/>
          </w:tcPr>
          <w:p>
            <w:pPr>
              <w:ind w:left="140"/>
              <w:spacing w:after="0" w:line="149" w:lineRule="exact"/>
              <w:rPr>
                <w:sz w:val="20"/>
                <w:szCs w:val="20"/>
                <w:color w:val="auto"/>
              </w:rPr>
            </w:pPr>
            <w:r>
              <w:rPr>
                <w:rFonts w:ascii="Arial" w:cs="Arial" w:eastAsia="Arial" w:hAnsi="Arial"/>
                <w:sz w:val="14"/>
                <w:szCs w:val="14"/>
                <w:color w:val="auto"/>
              </w:rPr>
              <w:t>Master repurchase agreement (9)</w:t>
            </w:r>
          </w:p>
        </w:tc>
        <w:tc>
          <w:tcPr>
            <w:tcW w:w="92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LHFS</w:t>
            </w:r>
          </w:p>
        </w:tc>
        <w:tc>
          <w:tcPr>
            <w:tcW w:w="1840" w:type="dxa"/>
            <w:vAlign w:val="bottom"/>
            <w:gridSpan w:val="3"/>
            <w:shd w:val="clear" w:color="auto" w:fill="CCEECC"/>
          </w:tcPr>
          <w:p>
            <w:pPr>
              <w:ind w:left="220"/>
              <w:spacing w:after="0" w:line="149" w:lineRule="exact"/>
              <w:rPr>
                <w:sz w:val="20"/>
                <w:szCs w:val="20"/>
                <w:color w:val="auto"/>
              </w:rPr>
            </w:pPr>
            <w:r>
              <w:rPr>
                <w:rFonts w:ascii="Arial" w:cs="Arial" w:eastAsia="Arial" w:hAnsi="Arial"/>
                <w:sz w:val="14"/>
                <w:szCs w:val="14"/>
                <w:color w:val="auto"/>
              </w:rPr>
              <w:t>1ML + 200 bps</w:t>
            </w:r>
          </w:p>
        </w:tc>
        <w:tc>
          <w:tcPr>
            <w:tcW w:w="1100" w:type="dxa"/>
            <w:vAlign w:val="bottom"/>
            <w:gridSpan w:val="2"/>
            <w:shd w:val="clear" w:color="auto" w:fill="CCEECC"/>
          </w:tcPr>
          <w:p>
            <w:pPr>
              <w:jc w:val="center"/>
              <w:ind w:right="200"/>
              <w:spacing w:after="0" w:line="149" w:lineRule="exact"/>
              <w:rPr>
                <w:sz w:val="20"/>
                <w:szCs w:val="20"/>
                <w:color w:val="auto"/>
              </w:rPr>
            </w:pPr>
            <w:r>
              <w:rPr>
                <w:rFonts w:ascii="Arial" w:cs="Arial" w:eastAsia="Arial" w:hAnsi="Arial"/>
                <w:sz w:val="14"/>
                <w:szCs w:val="14"/>
                <w:color w:val="auto"/>
                <w:w w:val="97"/>
              </w:rPr>
              <w:t>Aug. 2013</w:t>
            </w:r>
          </w:p>
        </w:tc>
        <w:tc>
          <w:tcPr>
            <w:tcW w:w="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143,392</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86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106,608</w:t>
            </w:r>
          </w:p>
        </w:tc>
        <w:tc>
          <w:tcPr>
            <w:tcW w:w="14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100"/>
              <w:spacing w:after="0" w:line="149" w:lineRule="exact"/>
              <w:rPr>
                <w:sz w:val="20"/>
                <w:szCs w:val="20"/>
                <w:color w:val="auto"/>
              </w:rPr>
            </w:pPr>
            <w:r>
              <w:rPr>
                <w:rFonts w:ascii="Arial" w:cs="Arial" w:eastAsia="Arial" w:hAnsi="Arial"/>
                <w:sz w:val="14"/>
                <w:szCs w:val="14"/>
                <w:color w:val="auto"/>
              </w:rPr>
              <w:t>133,995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Master repurchase agreement</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LHFS</w:t>
            </w: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1ML + 200 bps</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Jul. 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216,806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83,194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shd w:val="clear" w:color="auto" w:fill="CCEECC"/>
          </w:tcPr>
          <w:p>
            <w:pPr>
              <w:ind w:left="140"/>
              <w:spacing w:after="0" w:line="149" w:lineRule="exact"/>
              <w:rPr>
                <w:sz w:val="20"/>
                <w:szCs w:val="20"/>
                <w:color w:val="auto"/>
              </w:rPr>
            </w:pPr>
            <w:r>
              <w:rPr>
                <w:rFonts w:ascii="Arial" w:cs="Arial" w:eastAsia="Arial" w:hAnsi="Arial"/>
                <w:sz w:val="14"/>
                <w:szCs w:val="14"/>
                <w:color w:val="auto"/>
              </w:rPr>
              <w:t>Master repurchase agreement</w:t>
            </w:r>
          </w:p>
        </w:tc>
        <w:tc>
          <w:tcPr>
            <w:tcW w:w="92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LHFS</w:t>
            </w:r>
          </w:p>
        </w:tc>
        <w:tc>
          <w:tcPr>
            <w:tcW w:w="1840" w:type="dxa"/>
            <w:vAlign w:val="bottom"/>
            <w:gridSpan w:val="3"/>
            <w:shd w:val="clear" w:color="auto" w:fill="CCEECC"/>
          </w:tcPr>
          <w:p>
            <w:pPr>
              <w:ind w:left="220"/>
              <w:spacing w:after="0" w:line="149" w:lineRule="exact"/>
              <w:rPr>
                <w:sz w:val="20"/>
                <w:szCs w:val="20"/>
                <w:color w:val="auto"/>
              </w:rPr>
            </w:pPr>
            <w:r>
              <w:rPr>
                <w:rFonts w:ascii="Arial" w:cs="Arial" w:eastAsia="Arial" w:hAnsi="Arial"/>
                <w:sz w:val="14"/>
                <w:szCs w:val="14"/>
                <w:color w:val="auto"/>
              </w:rPr>
              <w:t>1ML + 275 bps</w:t>
            </w:r>
          </w:p>
        </w:tc>
        <w:tc>
          <w:tcPr>
            <w:tcW w:w="1100" w:type="dxa"/>
            <w:vAlign w:val="bottom"/>
            <w:gridSpan w:val="2"/>
            <w:shd w:val="clear" w:color="auto" w:fill="CCEECC"/>
          </w:tcPr>
          <w:p>
            <w:pPr>
              <w:jc w:val="center"/>
              <w:ind w:right="200"/>
              <w:spacing w:after="0" w:line="149" w:lineRule="exact"/>
              <w:rPr>
                <w:sz w:val="20"/>
                <w:szCs w:val="20"/>
                <w:color w:val="auto"/>
              </w:rPr>
            </w:pPr>
            <w:r>
              <w:rPr>
                <w:rFonts w:ascii="Arial" w:cs="Arial" w:eastAsia="Arial" w:hAnsi="Arial"/>
                <w:sz w:val="14"/>
                <w:szCs w:val="14"/>
                <w:color w:val="auto"/>
                <w:w w:val="97"/>
              </w:rPr>
              <w:t>Aug. 2013</w:t>
            </w:r>
          </w:p>
        </w:tc>
        <w:tc>
          <w:tcPr>
            <w:tcW w:w="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39,690</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860" w:type="dxa"/>
            <w:vAlign w:val="bottom"/>
            <w:gridSpan w:val="2"/>
            <w:shd w:val="clear" w:color="auto" w:fill="CCEECC"/>
          </w:tcPr>
          <w:p>
            <w:pPr>
              <w:jc w:val="right"/>
              <w:ind w:right="180"/>
              <w:spacing w:after="0" w:line="149" w:lineRule="exact"/>
              <w:rPr>
                <w:sz w:val="20"/>
                <w:szCs w:val="20"/>
                <w:color w:val="auto"/>
              </w:rPr>
            </w:pPr>
            <w:r>
              <w:rPr>
                <w:rFonts w:ascii="Arial" w:cs="Arial" w:eastAsia="Arial" w:hAnsi="Arial"/>
                <w:sz w:val="14"/>
                <w:szCs w:val="14"/>
                <w:color w:val="auto"/>
              </w:rPr>
              <w:t>60,310</w:t>
            </w:r>
          </w:p>
        </w:tc>
        <w:tc>
          <w:tcPr>
            <w:tcW w:w="14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Financing liability – MSRs pledged (5)</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MSRs (5)</w:t>
            </w:r>
          </w:p>
        </w:tc>
        <w:tc>
          <w:tcPr>
            <w:tcW w:w="1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10,068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 w:type="dxa"/>
            <w:vAlign w:val="bottom"/>
            <w:shd w:val="clear" w:color="auto" w:fill="CCEECC"/>
          </w:tcPr>
          <w:p>
            <w:pPr>
              <w:spacing w:after="0"/>
              <w:rPr>
                <w:sz w:val="11"/>
                <w:szCs w:val="11"/>
                <w:color w:val="auto"/>
              </w:rPr>
            </w:pPr>
          </w:p>
        </w:tc>
        <w:tc>
          <w:tcPr>
            <w:tcW w:w="40" w:type="dxa"/>
            <w:vAlign w:val="bottom"/>
            <w:shd w:val="clear" w:color="auto" w:fill="CCEECC"/>
          </w:tcPr>
          <w:p>
            <w:pPr>
              <w:spacing w:after="0"/>
              <w:rPr>
                <w:sz w:val="11"/>
                <w:szCs w:val="11"/>
                <w:color w:val="auto"/>
              </w:rPr>
            </w:pPr>
          </w:p>
        </w:tc>
        <w:tc>
          <w:tcPr>
            <w:tcW w:w="560" w:type="dxa"/>
            <w:vAlign w:val="bottom"/>
            <w:shd w:val="clear" w:color="auto" w:fill="CCEECC"/>
          </w:tcPr>
          <w:p>
            <w:pPr>
              <w:spacing w:after="0"/>
              <w:rPr>
                <w:sz w:val="11"/>
                <w:szCs w:val="11"/>
                <w:color w:val="auto"/>
              </w:rPr>
            </w:pPr>
          </w:p>
        </w:tc>
        <w:tc>
          <w:tcPr>
            <w:tcW w:w="420" w:type="dxa"/>
            <w:vAlign w:val="bottom"/>
            <w:shd w:val="clear" w:color="auto" w:fill="CCEECC"/>
          </w:tcPr>
          <w:p>
            <w:pPr>
              <w:spacing w:after="0"/>
              <w:rPr>
                <w:sz w:val="11"/>
                <w:szCs w:val="11"/>
                <w:color w:val="auto"/>
              </w:rPr>
            </w:pPr>
          </w:p>
        </w:tc>
        <w:tc>
          <w:tcPr>
            <w:tcW w:w="258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920" w:type="dxa"/>
            <w:vAlign w:val="bottom"/>
            <w:shd w:val="clear" w:color="auto" w:fill="CCEECC"/>
          </w:tcPr>
          <w:p>
            <w:pPr>
              <w:spacing w:after="0" w:line="130" w:lineRule="exact"/>
              <w:rPr>
                <w:sz w:val="20"/>
                <w:szCs w:val="20"/>
                <w:color w:val="auto"/>
              </w:rPr>
            </w:pPr>
            <w:r>
              <w:rPr>
                <w:rFonts w:ascii="Arial" w:cs="Arial" w:eastAsia="Arial" w:hAnsi="Arial"/>
                <w:sz w:val="14"/>
                <w:szCs w:val="14"/>
                <w:color w:val="auto"/>
              </w:rPr>
              <w:t>Loans held for</w:t>
            </w:r>
          </w:p>
        </w:tc>
        <w:tc>
          <w:tcPr>
            <w:tcW w:w="220" w:type="dxa"/>
            <w:vAlign w:val="bottom"/>
            <w:shd w:val="clear" w:color="auto" w:fill="CCEECC"/>
          </w:tcPr>
          <w:p>
            <w:pPr>
              <w:spacing w:after="0"/>
              <w:rPr>
                <w:sz w:val="11"/>
                <w:szCs w:val="11"/>
                <w:color w:val="auto"/>
              </w:rPr>
            </w:pPr>
          </w:p>
        </w:tc>
        <w:tc>
          <w:tcPr>
            <w:tcW w:w="138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92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20" w:type="dxa"/>
            <w:vAlign w:val="bottom"/>
            <w:shd w:val="clear" w:color="auto" w:fill="CCEECC"/>
          </w:tcPr>
          <w:p>
            <w:pPr>
              <w:spacing w:after="0"/>
              <w:rPr>
                <w:sz w:val="11"/>
                <w:szCs w:val="11"/>
                <w:color w:val="auto"/>
              </w:rPr>
            </w:pPr>
          </w:p>
        </w:tc>
        <w:tc>
          <w:tcPr>
            <w:tcW w:w="80" w:type="dxa"/>
            <w:vAlign w:val="bottom"/>
            <w:shd w:val="clear" w:color="auto" w:fill="CCEECC"/>
          </w:tcPr>
          <w:p>
            <w:pPr>
              <w:spacing w:after="0"/>
              <w:rPr>
                <w:sz w:val="11"/>
                <w:szCs w:val="11"/>
                <w:color w:val="auto"/>
              </w:rPr>
            </w:pPr>
          </w:p>
        </w:tc>
        <w:tc>
          <w:tcPr>
            <w:tcW w:w="70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6"/>
            <w:shd w:val="clear" w:color="auto" w:fill="CCEECC"/>
          </w:tcPr>
          <w:p>
            <w:pPr>
              <w:ind w:left="140"/>
              <w:spacing w:after="0"/>
              <w:rPr>
                <w:sz w:val="20"/>
                <w:szCs w:val="20"/>
                <w:color w:val="auto"/>
              </w:rPr>
            </w:pPr>
            <w:r>
              <w:rPr>
                <w:rFonts w:ascii="Arial" w:cs="Arial" w:eastAsia="Arial" w:hAnsi="Arial"/>
                <w:sz w:val="14"/>
                <w:szCs w:val="14"/>
                <w:color w:val="auto"/>
              </w:rPr>
              <w:t>Secured borrowings - owed to securitization investors (10)</w:t>
            </w:r>
          </w:p>
        </w:tc>
        <w:tc>
          <w:tcPr>
            <w:tcW w:w="920" w:type="dxa"/>
            <w:vAlign w:val="bottom"/>
            <w:shd w:val="clear" w:color="auto" w:fill="CCEECC"/>
          </w:tcPr>
          <w:p>
            <w:pPr>
              <w:spacing w:after="0"/>
              <w:rPr>
                <w:sz w:val="20"/>
                <w:szCs w:val="20"/>
                <w:color w:val="auto"/>
              </w:rPr>
            </w:pPr>
            <w:r>
              <w:rPr>
                <w:rFonts w:ascii="Arial" w:cs="Arial" w:eastAsia="Arial" w:hAnsi="Arial"/>
                <w:sz w:val="14"/>
                <w:szCs w:val="14"/>
                <w:color w:val="auto"/>
              </w:rPr>
              <w:t>investment</w:t>
            </w:r>
          </w:p>
        </w:tc>
        <w:tc>
          <w:tcPr>
            <w:tcW w:w="1840" w:type="dxa"/>
            <w:vAlign w:val="bottom"/>
            <w:gridSpan w:val="3"/>
            <w:shd w:val="clear" w:color="auto" w:fill="CCEECC"/>
          </w:tcPr>
          <w:p>
            <w:pPr>
              <w:ind w:left="220"/>
              <w:spacing w:after="0"/>
              <w:rPr>
                <w:sz w:val="20"/>
                <w:szCs w:val="20"/>
                <w:color w:val="auto"/>
              </w:rPr>
            </w:pPr>
            <w:r>
              <w:rPr>
                <w:rFonts w:ascii="Arial" w:cs="Arial" w:eastAsia="Arial" w:hAnsi="Arial"/>
                <w:sz w:val="14"/>
                <w:szCs w:val="14"/>
                <w:color w:val="auto"/>
              </w:rPr>
              <w:t>1ML + 220 bps</w:t>
            </w:r>
          </w:p>
        </w:tc>
        <w:tc>
          <w:tcPr>
            <w:tcW w:w="920" w:type="dxa"/>
            <w:vAlign w:val="bottom"/>
            <w:shd w:val="clear" w:color="auto" w:fill="CCEECC"/>
          </w:tcPr>
          <w:p>
            <w:pPr>
              <w:jc w:val="center"/>
              <w:spacing w:after="0"/>
              <w:rPr>
                <w:sz w:val="20"/>
                <w:szCs w:val="20"/>
                <w:color w:val="auto"/>
              </w:rPr>
            </w:pPr>
            <w:r>
              <w:rPr>
                <w:rFonts w:ascii="Arial" w:cs="Arial" w:eastAsia="Arial" w:hAnsi="Arial"/>
                <w:sz w:val="14"/>
                <w:szCs w:val="14"/>
                <w:color w:val="auto"/>
                <w:w w:val="96"/>
              </w:rPr>
              <w:t>(10)</w:t>
            </w:r>
          </w:p>
        </w:tc>
        <w:tc>
          <w:tcPr>
            <w:tcW w:w="180" w:type="dxa"/>
            <w:vAlign w:val="bottom"/>
            <w:shd w:val="clear" w:color="auto" w:fill="CCEECC"/>
          </w:tcPr>
          <w:p>
            <w:pPr>
              <w:spacing w:after="0"/>
              <w:rPr>
                <w:sz w:val="14"/>
                <w:szCs w:val="14"/>
                <w:color w:val="auto"/>
              </w:rPr>
            </w:pPr>
          </w:p>
        </w:tc>
        <w:tc>
          <w:tcPr>
            <w:tcW w:w="2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880" w:type="dxa"/>
            <w:vAlign w:val="bottom"/>
            <w:gridSpan w:val="2"/>
            <w:shd w:val="clear" w:color="auto" w:fill="CCEEC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00" w:type="dxa"/>
            <w:vAlign w:val="bottom"/>
            <w:shd w:val="clear" w:color="auto" w:fill="CCEECC"/>
          </w:tcPr>
          <w:p>
            <w:pPr>
              <w:spacing w:after="0"/>
              <w:rPr>
                <w:sz w:val="14"/>
                <w:szCs w:val="14"/>
                <w:color w:val="auto"/>
              </w:rPr>
            </w:pPr>
          </w:p>
        </w:tc>
        <w:tc>
          <w:tcPr>
            <w:tcW w:w="860" w:type="dxa"/>
            <w:vAlign w:val="bottom"/>
            <w:gridSpan w:val="2"/>
            <w:shd w:val="clear" w:color="auto" w:fill="CCEECC"/>
          </w:tcPr>
          <w:p>
            <w:pPr>
              <w:jc w:val="right"/>
              <w:ind w:right="180"/>
              <w:spacing w:after="0"/>
              <w:rPr>
                <w:sz w:val="20"/>
                <w:szCs w:val="20"/>
                <w:color w:val="auto"/>
              </w:rPr>
            </w:pPr>
            <w:r>
              <w:rPr>
                <w:rFonts w:ascii="Arial" w:cs="Arial" w:eastAsia="Arial" w:hAnsi="Arial"/>
                <w:sz w:val="14"/>
                <w:szCs w:val="14"/>
                <w:color w:val="auto"/>
              </w:rPr>
              <w:t>73,641</w:t>
            </w:r>
          </w:p>
        </w:tc>
        <w:tc>
          <w:tcPr>
            <w:tcW w:w="140" w:type="dxa"/>
            <w:vAlign w:val="bottom"/>
            <w:shd w:val="clear" w:color="auto" w:fill="CCEECC"/>
          </w:tcPr>
          <w:p>
            <w:pPr>
              <w:spacing w:after="0"/>
              <w:rPr>
                <w:sz w:val="14"/>
                <w:szCs w:val="14"/>
                <w:color w:val="auto"/>
              </w:rPr>
            </w:pPr>
          </w:p>
        </w:tc>
        <w:tc>
          <w:tcPr>
            <w:tcW w:w="180" w:type="dxa"/>
            <w:vAlign w:val="bottom"/>
            <w:shd w:val="clear" w:color="auto" w:fill="CCEECC"/>
          </w:tcPr>
          <w:p>
            <w:pPr>
              <w:spacing w:after="0"/>
              <w:rPr>
                <w:sz w:val="14"/>
                <w:szCs w:val="14"/>
                <w:color w:val="auto"/>
              </w:rPr>
            </w:pPr>
          </w:p>
        </w:tc>
        <w:tc>
          <w:tcPr>
            <w:tcW w:w="780" w:type="dxa"/>
            <w:vAlign w:val="bottom"/>
            <w:gridSpan w:val="2"/>
            <w:shd w:val="clear" w:color="auto" w:fill="CCEE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631,763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423,688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40" w:type="dxa"/>
            <w:vAlign w:val="bottom"/>
            <w:gridSpan w:val="6"/>
            <w:shd w:val="clear" w:color="auto" w:fill="CCEECC"/>
          </w:tcPr>
          <w:p>
            <w:pPr>
              <w:spacing w:after="0" w:line="135" w:lineRule="exact"/>
              <w:rPr>
                <w:sz w:val="20"/>
                <w:szCs w:val="20"/>
                <w:color w:val="auto"/>
              </w:rPr>
            </w:pPr>
            <w:r>
              <w:rPr>
                <w:rFonts w:ascii="Arial" w:cs="Arial" w:eastAsia="Arial" w:hAnsi="Arial"/>
                <w:sz w:val="14"/>
                <w:szCs w:val="14"/>
                <w:color w:val="auto"/>
              </w:rPr>
              <w:t>Corporate Items and Other</w:t>
            </w:r>
          </w:p>
        </w:tc>
        <w:tc>
          <w:tcPr>
            <w:tcW w:w="92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38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92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20" w:type="dxa"/>
            <w:vAlign w:val="bottom"/>
            <w:shd w:val="clear" w:color="auto" w:fill="CCEECC"/>
          </w:tcPr>
          <w:p>
            <w:pPr>
              <w:spacing w:after="0"/>
              <w:rPr>
                <w:sz w:val="11"/>
                <w:szCs w:val="11"/>
                <w:color w:val="auto"/>
              </w:rPr>
            </w:pPr>
          </w:p>
        </w:tc>
        <w:tc>
          <w:tcPr>
            <w:tcW w:w="80" w:type="dxa"/>
            <w:vAlign w:val="bottom"/>
            <w:shd w:val="clear" w:color="auto" w:fill="CCEECC"/>
          </w:tcPr>
          <w:p>
            <w:pPr>
              <w:spacing w:after="0"/>
              <w:rPr>
                <w:sz w:val="11"/>
                <w:szCs w:val="11"/>
                <w:color w:val="auto"/>
              </w:rPr>
            </w:pPr>
          </w:p>
        </w:tc>
        <w:tc>
          <w:tcPr>
            <w:tcW w:w="70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8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580" w:type="dxa"/>
            <w:vAlign w:val="bottom"/>
            <w:tcBorders>
              <w:top w:val="single" w:sz="8" w:color="CCEECC"/>
            </w:tcBorders>
          </w:tcPr>
          <w:p>
            <w:pPr>
              <w:spacing w:after="0"/>
              <w:rPr>
                <w:sz w:val="10"/>
                <w:szCs w:val="10"/>
                <w:color w:val="auto"/>
              </w:rPr>
            </w:pPr>
          </w:p>
        </w:tc>
        <w:tc>
          <w:tcPr>
            <w:tcW w:w="240" w:type="dxa"/>
            <w:vAlign w:val="bottom"/>
            <w:tcBorders>
              <w:top w:val="single" w:sz="8" w:color="CCEECC"/>
            </w:tcBorders>
          </w:tcPr>
          <w:p>
            <w:pPr>
              <w:spacing w:after="0"/>
              <w:rPr>
                <w:sz w:val="10"/>
                <w:szCs w:val="10"/>
                <w:color w:val="auto"/>
              </w:rPr>
            </w:pPr>
          </w:p>
        </w:tc>
        <w:tc>
          <w:tcPr>
            <w:tcW w:w="920" w:type="dxa"/>
            <w:vAlign w:val="bottom"/>
            <w:tcBorders>
              <w:top w:val="single" w:sz="8" w:color="CCEECC"/>
            </w:tcBorders>
          </w:tcPr>
          <w:p>
            <w:pPr>
              <w:spacing w:after="0" w:line="123" w:lineRule="exact"/>
              <w:rPr>
                <w:sz w:val="20"/>
                <w:szCs w:val="20"/>
                <w:color w:val="auto"/>
              </w:rPr>
            </w:pPr>
            <w:r>
              <w:rPr>
                <w:rFonts w:ascii="Arial" w:cs="Arial" w:eastAsia="Arial" w:hAnsi="Arial"/>
                <w:sz w:val="14"/>
                <w:szCs w:val="14"/>
                <w:color w:val="auto"/>
              </w:rPr>
              <w:t>Ocwen Real</w:t>
            </w:r>
          </w:p>
        </w:tc>
        <w:tc>
          <w:tcPr>
            <w:tcW w:w="220" w:type="dxa"/>
            <w:vAlign w:val="bottom"/>
            <w:tcBorders>
              <w:top w:val="single" w:sz="8" w:color="CCEECC"/>
            </w:tcBorders>
          </w:tcPr>
          <w:p>
            <w:pPr>
              <w:spacing w:after="0"/>
              <w:rPr>
                <w:sz w:val="10"/>
                <w:szCs w:val="10"/>
                <w:color w:val="auto"/>
              </w:rPr>
            </w:pPr>
          </w:p>
        </w:tc>
        <w:tc>
          <w:tcPr>
            <w:tcW w:w="1380" w:type="dxa"/>
            <w:vAlign w:val="bottom"/>
            <w:tcBorders>
              <w:top w:val="single" w:sz="8" w:color="CCEECC"/>
            </w:tcBorders>
          </w:tcPr>
          <w:p>
            <w:pPr>
              <w:spacing w:after="0"/>
              <w:rPr>
                <w:sz w:val="10"/>
                <w:szCs w:val="10"/>
                <w:color w:val="auto"/>
              </w:rPr>
            </w:pPr>
          </w:p>
        </w:tc>
        <w:tc>
          <w:tcPr>
            <w:tcW w:w="240" w:type="dxa"/>
            <w:vAlign w:val="bottom"/>
            <w:tcBorders>
              <w:top w:val="single" w:sz="8" w:color="CCEECC"/>
            </w:tcBorders>
          </w:tcPr>
          <w:p>
            <w:pPr>
              <w:spacing w:after="0"/>
              <w:rPr>
                <w:sz w:val="10"/>
                <w:szCs w:val="10"/>
                <w:color w:val="auto"/>
              </w:rPr>
            </w:pPr>
          </w:p>
        </w:tc>
        <w:tc>
          <w:tcPr>
            <w:tcW w:w="92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20" w:type="dxa"/>
            <w:vAlign w:val="bottom"/>
            <w:tcBorders>
              <w:top w:val="single" w:sz="8" w:color="CCEECC"/>
            </w:tcBorders>
          </w:tcPr>
          <w:p>
            <w:pPr>
              <w:spacing w:after="0"/>
              <w:rPr>
                <w:sz w:val="10"/>
                <w:szCs w:val="10"/>
                <w:color w:val="auto"/>
              </w:rPr>
            </w:pPr>
          </w:p>
        </w:tc>
        <w:tc>
          <w:tcPr>
            <w:tcW w:w="80" w:type="dxa"/>
            <w:vAlign w:val="bottom"/>
            <w:tcBorders>
              <w:top w:val="single" w:sz="8" w:color="CCEECC"/>
            </w:tcBorders>
          </w:tcPr>
          <w:p>
            <w:pPr>
              <w:spacing w:after="0"/>
              <w:rPr>
                <w:sz w:val="10"/>
                <w:szCs w:val="10"/>
                <w:color w:val="auto"/>
              </w:rPr>
            </w:pPr>
          </w:p>
        </w:tc>
        <w:tc>
          <w:tcPr>
            <w:tcW w:w="70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160" w:type="dxa"/>
            <w:vAlign w:val="bottom"/>
            <w:tcBorders>
              <w:top w:val="single" w:sz="8" w:color="CCEECC"/>
            </w:tcBorders>
          </w:tcPr>
          <w:p>
            <w:pPr>
              <w:spacing w:after="0"/>
              <w:rPr>
                <w:sz w:val="10"/>
                <w:szCs w:val="10"/>
                <w:color w:val="auto"/>
              </w:rPr>
            </w:pPr>
          </w:p>
        </w:tc>
        <w:tc>
          <w:tcPr>
            <w:tcW w:w="100" w:type="dxa"/>
            <w:vAlign w:val="bottom"/>
            <w:tcBorders>
              <w:top w:val="single" w:sz="8" w:color="CCEECC"/>
            </w:tcBorders>
          </w:tcPr>
          <w:p>
            <w:pPr>
              <w:spacing w:after="0"/>
              <w:rPr>
                <w:sz w:val="10"/>
                <w:szCs w:val="10"/>
                <w:color w:val="auto"/>
              </w:rPr>
            </w:pPr>
          </w:p>
        </w:tc>
        <w:tc>
          <w:tcPr>
            <w:tcW w:w="68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140" w:type="dxa"/>
            <w:vAlign w:val="bottom"/>
            <w:tcBorders>
              <w:top w:val="single" w:sz="8" w:color="CCEECC"/>
            </w:tcBorders>
          </w:tcPr>
          <w:p>
            <w:pPr>
              <w:spacing w:after="0"/>
              <w:rPr>
                <w:sz w:val="10"/>
                <w:szCs w:val="10"/>
                <w:color w:val="auto"/>
              </w:rPr>
            </w:pPr>
          </w:p>
        </w:tc>
        <w:tc>
          <w:tcPr>
            <w:tcW w:w="180" w:type="dxa"/>
            <w:vAlign w:val="bottom"/>
            <w:tcBorders>
              <w:top w:val="single" w:sz="8" w:color="CCEECC"/>
            </w:tcBorders>
          </w:tcPr>
          <w:p>
            <w:pPr>
              <w:spacing w:after="0"/>
              <w:rPr>
                <w:sz w:val="10"/>
                <w:szCs w:val="10"/>
                <w:color w:val="auto"/>
              </w:rPr>
            </w:pPr>
          </w:p>
        </w:tc>
        <w:tc>
          <w:tcPr>
            <w:tcW w:w="680" w:type="dxa"/>
            <w:vAlign w:val="bottom"/>
            <w:tcBorders>
              <w:top w:val="single" w:sz="8" w:color="CCEECC"/>
            </w:tcBorders>
          </w:tcPr>
          <w:p>
            <w:pPr>
              <w:spacing w:after="0"/>
              <w:rPr>
                <w:sz w:val="10"/>
                <w:szCs w:val="10"/>
                <w:color w:val="auto"/>
              </w:rPr>
            </w:pPr>
          </w:p>
        </w:tc>
        <w:tc>
          <w:tcPr>
            <w:tcW w:w="100" w:type="dxa"/>
            <w:vAlign w:val="bottom"/>
            <w:tcBorders>
              <w:top w:val="single" w:sz="8" w:color="CCEEC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Estate Asset</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Liquidating</w:t>
            </w: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Class A-2 notes: 1ML</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Trust 2007-1</w:t>
            </w:r>
          </w:p>
        </w:tc>
        <w:tc>
          <w:tcPr>
            <w:tcW w:w="1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+ 200 bps; Class A-3</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6"/>
          </w:tcPr>
          <w:p>
            <w:pPr>
              <w:ind w:left="140"/>
              <w:spacing w:after="0"/>
              <w:rPr>
                <w:sz w:val="20"/>
                <w:szCs w:val="20"/>
                <w:color w:val="auto"/>
              </w:rPr>
            </w:pPr>
            <w:r>
              <w:rPr>
                <w:rFonts w:ascii="Arial" w:cs="Arial" w:eastAsia="Arial" w:hAnsi="Arial"/>
                <w:sz w:val="14"/>
                <w:szCs w:val="14"/>
                <w:color w:val="auto"/>
              </w:rPr>
              <w:t>Securities sold under an agreement to repurchase (11)</w:t>
            </w:r>
          </w:p>
        </w:tc>
        <w:tc>
          <w:tcPr>
            <w:tcW w:w="920" w:type="dxa"/>
            <w:vAlign w:val="bottom"/>
          </w:tcPr>
          <w:p>
            <w:pPr>
              <w:spacing w:after="0"/>
              <w:rPr>
                <w:sz w:val="20"/>
                <w:szCs w:val="20"/>
                <w:color w:val="auto"/>
              </w:rPr>
            </w:pPr>
            <w:r>
              <w:rPr>
                <w:rFonts w:ascii="Arial" w:cs="Arial" w:eastAsia="Arial" w:hAnsi="Arial"/>
                <w:sz w:val="14"/>
                <w:szCs w:val="14"/>
                <w:color w:val="auto"/>
              </w:rPr>
              <w:t>Notes</w:t>
            </w:r>
          </w:p>
        </w:tc>
        <w:tc>
          <w:tcPr>
            <w:tcW w:w="1840" w:type="dxa"/>
            <w:vAlign w:val="bottom"/>
            <w:gridSpan w:val="3"/>
          </w:tcPr>
          <w:p>
            <w:pPr>
              <w:ind w:left="220"/>
              <w:spacing w:after="0"/>
              <w:rPr>
                <w:sz w:val="20"/>
                <w:szCs w:val="20"/>
                <w:color w:val="auto"/>
              </w:rPr>
            </w:pPr>
            <w:r>
              <w:rPr>
                <w:rFonts w:ascii="Arial" w:cs="Arial" w:eastAsia="Arial" w:hAnsi="Arial"/>
                <w:sz w:val="14"/>
                <w:szCs w:val="14"/>
                <w:color w:val="auto"/>
              </w:rPr>
              <w:t>notes: 1ML + 300 bps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Monthly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4,045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Borders>
              <w:top w:val="single" w:sz="8" w:color="CCEECC"/>
            </w:tcBorders>
            <w:shd w:val="clear" w:color="auto" w:fill="CCEECC"/>
          </w:tcPr>
          <w:p>
            <w:pPr>
              <w:spacing w:after="0"/>
              <w:rPr>
                <w:sz w:val="12"/>
                <w:szCs w:val="12"/>
                <w:color w:val="auto"/>
              </w:rPr>
            </w:pPr>
          </w:p>
        </w:tc>
        <w:tc>
          <w:tcPr>
            <w:tcW w:w="40" w:type="dxa"/>
            <w:vAlign w:val="bottom"/>
            <w:tcBorders>
              <w:top w:val="single" w:sz="8" w:color="CCEECC"/>
            </w:tcBorders>
            <w:shd w:val="clear" w:color="auto" w:fill="CCEECC"/>
          </w:tcPr>
          <w:p>
            <w:pPr>
              <w:spacing w:after="0"/>
              <w:rPr>
                <w:sz w:val="12"/>
                <w:szCs w:val="12"/>
                <w:color w:val="auto"/>
              </w:rPr>
            </w:pPr>
          </w:p>
        </w:tc>
        <w:tc>
          <w:tcPr>
            <w:tcW w:w="560" w:type="dxa"/>
            <w:vAlign w:val="bottom"/>
            <w:tcBorders>
              <w:top w:val="single" w:sz="8" w:color="CCEECC"/>
            </w:tcBorders>
            <w:shd w:val="clear" w:color="auto" w:fill="CCEECC"/>
          </w:tcPr>
          <w:p>
            <w:pPr>
              <w:spacing w:after="0"/>
              <w:rPr>
                <w:sz w:val="12"/>
                <w:szCs w:val="12"/>
                <w:color w:val="auto"/>
              </w:rPr>
            </w:pPr>
          </w:p>
        </w:tc>
        <w:tc>
          <w:tcPr>
            <w:tcW w:w="420" w:type="dxa"/>
            <w:vAlign w:val="bottom"/>
            <w:tcBorders>
              <w:top w:val="single" w:sz="8" w:color="CCEECC"/>
            </w:tcBorders>
            <w:shd w:val="clear" w:color="auto" w:fill="CCEECC"/>
          </w:tcPr>
          <w:p>
            <w:pPr>
              <w:spacing w:after="0"/>
              <w:rPr>
                <w:sz w:val="12"/>
                <w:szCs w:val="12"/>
                <w:color w:val="auto"/>
              </w:rPr>
            </w:pPr>
          </w:p>
        </w:tc>
        <w:tc>
          <w:tcPr>
            <w:tcW w:w="2580" w:type="dxa"/>
            <w:vAlign w:val="bottom"/>
            <w:tcBorders>
              <w:top w:val="single" w:sz="8" w:color="CCEECC"/>
            </w:tcBorders>
            <w:shd w:val="clear" w:color="auto" w:fill="CCEECC"/>
          </w:tcPr>
          <w:p>
            <w:pPr>
              <w:spacing w:after="0"/>
              <w:rPr>
                <w:sz w:val="12"/>
                <w:szCs w:val="12"/>
                <w:color w:val="auto"/>
              </w:rPr>
            </w:pPr>
          </w:p>
        </w:tc>
        <w:tc>
          <w:tcPr>
            <w:tcW w:w="240" w:type="dxa"/>
            <w:vAlign w:val="bottom"/>
            <w:tcBorders>
              <w:top w:val="single" w:sz="8" w:color="CCEECC"/>
            </w:tcBorders>
            <w:shd w:val="clear" w:color="auto" w:fill="CCEECC"/>
          </w:tcPr>
          <w:p>
            <w:pPr>
              <w:spacing w:after="0"/>
              <w:rPr>
                <w:sz w:val="12"/>
                <w:szCs w:val="12"/>
                <w:color w:val="auto"/>
              </w:rPr>
            </w:pPr>
          </w:p>
        </w:tc>
        <w:tc>
          <w:tcPr>
            <w:tcW w:w="920" w:type="dxa"/>
            <w:vAlign w:val="bottom"/>
            <w:tcBorders>
              <w:top w:val="single" w:sz="8" w:color="CCEECC"/>
            </w:tcBorders>
            <w:shd w:val="clear" w:color="auto" w:fill="CCEECC"/>
          </w:tcPr>
          <w:p>
            <w:pPr>
              <w:spacing w:after="0"/>
              <w:rPr>
                <w:sz w:val="12"/>
                <w:szCs w:val="12"/>
                <w:color w:val="auto"/>
              </w:rPr>
            </w:pPr>
          </w:p>
        </w:tc>
        <w:tc>
          <w:tcPr>
            <w:tcW w:w="220" w:type="dxa"/>
            <w:vAlign w:val="bottom"/>
            <w:tcBorders>
              <w:top w:val="single" w:sz="8" w:color="CCEECC"/>
            </w:tcBorders>
            <w:shd w:val="clear" w:color="auto" w:fill="CCEECC"/>
          </w:tcPr>
          <w:p>
            <w:pPr>
              <w:spacing w:after="0"/>
              <w:rPr>
                <w:sz w:val="12"/>
                <w:szCs w:val="12"/>
                <w:color w:val="auto"/>
              </w:rPr>
            </w:pPr>
          </w:p>
        </w:tc>
        <w:tc>
          <w:tcPr>
            <w:tcW w:w="1380" w:type="dxa"/>
            <w:vAlign w:val="bottom"/>
            <w:tcBorders>
              <w:top w:val="single" w:sz="8" w:color="CCEECC"/>
            </w:tcBorders>
            <w:shd w:val="clear" w:color="auto" w:fill="CCEECC"/>
          </w:tcPr>
          <w:p>
            <w:pPr>
              <w:spacing w:after="0"/>
              <w:rPr>
                <w:sz w:val="12"/>
                <w:szCs w:val="12"/>
                <w:color w:val="auto"/>
              </w:rPr>
            </w:pPr>
          </w:p>
        </w:tc>
        <w:tc>
          <w:tcPr>
            <w:tcW w:w="240" w:type="dxa"/>
            <w:vAlign w:val="bottom"/>
            <w:tcBorders>
              <w:top w:val="single" w:sz="8" w:color="CCEECC"/>
            </w:tcBorders>
            <w:shd w:val="clear" w:color="auto" w:fill="CCEECC"/>
          </w:tcPr>
          <w:p>
            <w:pPr>
              <w:spacing w:after="0"/>
              <w:rPr>
                <w:sz w:val="12"/>
                <w:szCs w:val="12"/>
                <w:color w:val="auto"/>
              </w:rPr>
            </w:pPr>
          </w:p>
        </w:tc>
        <w:tc>
          <w:tcPr>
            <w:tcW w:w="920" w:type="dxa"/>
            <w:vAlign w:val="bottom"/>
            <w:tcBorders>
              <w:top w:val="single" w:sz="8" w:color="CCEECC"/>
            </w:tcBorders>
            <w:shd w:val="clear" w:color="auto" w:fill="CCEECC"/>
          </w:tcPr>
          <w:p>
            <w:pPr>
              <w:spacing w:after="0"/>
              <w:rPr>
                <w:sz w:val="12"/>
                <w:szCs w:val="12"/>
                <w:color w:val="auto"/>
              </w:rPr>
            </w:pPr>
          </w:p>
        </w:tc>
        <w:tc>
          <w:tcPr>
            <w:tcW w:w="180" w:type="dxa"/>
            <w:vAlign w:val="bottom"/>
            <w:tcBorders>
              <w:top w:val="single" w:sz="8" w:color="CCEECC"/>
            </w:tcBorders>
            <w:shd w:val="clear" w:color="auto" w:fill="CCEECC"/>
          </w:tcPr>
          <w:p>
            <w:pPr>
              <w:spacing w:after="0"/>
              <w:rPr>
                <w:sz w:val="12"/>
                <w:szCs w:val="12"/>
                <w:color w:val="auto"/>
              </w:rPr>
            </w:pPr>
          </w:p>
        </w:tc>
        <w:tc>
          <w:tcPr>
            <w:tcW w:w="20" w:type="dxa"/>
            <w:vAlign w:val="bottom"/>
            <w:tcBorders>
              <w:top w:val="single" w:sz="8" w:color="CCEECC"/>
            </w:tcBorders>
            <w:shd w:val="clear" w:color="auto" w:fill="CCEECC"/>
          </w:tcPr>
          <w:p>
            <w:pPr>
              <w:spacing w:after="0"/>
              <w:rPr>
                <w:sz w:val="12"/>
                <w:szCs w:val="12"/>
                <w:color w:val="auto"/>
              </w:rPr>
            </w:pPr>
          </w:p>
        </w:tc>
        <w:tc>
          <w:tcPr>
            <w:tcW w:w="80" w:type="dxa"/>
            <w:vAlign w:val="bottom"/>
            <w:tcBorders>
              <w:top w:val="single" w:sz="8" w:color="auto"/>
            </w:tcBorders>
            <w:shd w:val="clear" w:color="auto" w:fill="CCEECC"/>
          </w:tcPr>
          <w:p>
            <w:pPr>
              <w:spacing w:after="0"/>
              <w:rPr>
                <w:sz w:val="12"/>
                <w:szCs w:val="12"/>
                <w:color w:val="auto"/>
              </w:rPr>
            </w:pPr>
          </w:p>
        </w:tc>
        <w:tc>
          <w:tcPr>
            <w:tcW w:w="70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724,342</w:t>
            </w:r>
          </w:p>
        </w:tc>
        <w:tc>
          <w:tcPr>
            <w:tcW w:w="18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CCEECC"/>
            </w:tcBorders>
            <w:shd w:val="clear" w:color="auto" w:fill="CCEECC"/>
          </w:tcPr>
          <w:p>
            <w:pPr>
              <w:spacing w:after="0"/>
              <w:rPr>
                <w:sz w:val="12"/>
                <w:szCs w:val="12"/>
                <w:color w:val="auto"/>
              </w:rPr>
            </w:pPr>
          </w:p>
        </w:tc>
        <w:tc>
          <w:tcPr>
            <w:tcW w:w="100" w:type="dxa"/>
            <w:vAlign w:val="bottom"/>
            <w:tcBorders>
              <w:top w:val="single" w:sz="8" w:color="auto"/>
            </w:tcBorders>
            <w:shd w:val="clear" w:color="auto" w:fill="CCEECC"/>
          </w:tcPr>
          <w:p>
            <w:pPr>
              <w:spacing w:after="0"/>
              <w:rPr>
                <w:sz w:val="12"/>
                <w:szCs w:val="12"/>
                <w:color w:val="auto"/>
              </w:rPr>
            </w:pPr>
          </w:p>
        </w:tc>
        <w:tc>
          <w:tcPr>
            <w:tcW w:w="68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2,178,087</w:t>
            </w:r>
          </w:p>
        </w:tc>
        <w:tc>
          <w:tcPr>
            <w:tcW w:w="180" w:type="dxa"/>
            <w:vAlign w:val="bottom"/>
            <w:tcBorders>
              <w:top w:val="single" w:sz="8" w:color="CCEECC"/>
            </w:tcBorders>
            <w:shd w:val="clear" w:color="auto" w:fill="CCEECC"/>
          </w:tcPr>
          <w:p>
            <w:pPr>
              <w:spacing w:after="0"/>
              <w:rPr>
                <w:sz w:val="12"/>
                <w:szCs w:val="12"/>
                <w:color w:val="auto"/>
              </w:rPr>
            </w:pPr>
          </w:p>
        </w:tc>
        <w:tc>
          <w:tcPr>
            <w:tcW w:w="140" w:type="dxa"/>
            <w:vAlign w:val="bottom"/>
            <w:tcBorders>
              <w:top w:val="single" w:sz="8" w:color="CCEECC"/>
            </w:tcBorders>
            <w:shd w:val="clear" w:color="auto" w:fill="CCEECC"/>
          </w:tcPr>
          <w:p>
            <w:pPr>
              <w:spacing w:after="0"/>
              <w:rPr>
                <w:sz w:val="12"/>
                <w:szCs w:val="12"/>
                <w:color w:val="auto"/>
              </w:rPr>
            </w:pPr>
          </w:p>
        </w:tc>
        <w:tc>
          <w:tcPr>
            <w:tcW w:w="180" w:type="dxa"/>
            <w:vAlign w:val="bottom"/>
            <w:tcBorders>
              <w:top w:val="single" w:sz="8" w:color="auto"/>
            </w:tcBorders>
            <w:shd w:val="clear" w:color="auto" w:fill="CCEECC"/>
          </w:tcPr>
          <w:p>
            <w:pPr>
              <w:spacing w:after="0"/>
              <w:rPr>
                <w:sz w:val="12"/>
                <w:szCs w:val="12"/>
                <w:color w:val="auto"/>
              </w:rPr>
            </w:pPr>
          </w:p>
        </w:tc>
        <w:tc>
          <w:tcPr>
            <w:tcW w:w="68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1,104,911</w:t>
            </w:r>
          </w:p>
        </w:tc>
        <w:tc>
          <w:tcPr>
            <w:tcW w:w="100" w:type="dxa"/>
            <w:vAlign w:val="bottom"/>
            <w:tcBorders>
              <w:top w:val="single" w:sz="8" w:color="CCEECC"/>
            </w:tcBorders>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color w:val="auto"/>
                <w:w w:val="97"/>
              </w:rPr>
              <w:t>Discount (1) (2)</w:t>
            </w:r>
          </w:p>
        </w:tc>
        <w:tc>
          <w:tcPr>
            <w:tcW w:w="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(6,009)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(8,232)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Borders>
              <w:top w:val="single" w:sz="8" w:color="CCEECC"/>
              <w:bottom w:val="single" w:sz="8" w:color="CCEECC"/>
            </w:tcBorders>
            <w:shd w:val="clear" w:color="auto" w:fill="CCEECC"/>
          </w:tcPr>
          <w:p>
            <w:pPr>
              <w:spacing w:after="0"/>
              <w:rPr>
                <w:sz w:val="13"/>
                <w:szCs w:val="13"/>
                <w:color w:val="auto"/>
              </w:rPr>
            </w:pPr>
          </w:p>
        </w:tc>
        <w:tc>
          <w:tcPr>
            <w:tcW w:w="40" w:type="dxa"/>
            <w:vAlign w:val="bottom"/>
            <w:tcBorders>
              <w:top w:val="single" w:sz="8" w:color="CCEECC"/>
              <w:bottom w:val="single" w:sz="8" w:color="CCEECC"/>
            </w:tcBorders>
            <w:shd w:val="clear" w:color="auto" w:fill="CCEECC"/>
          </w:tcPr>
          <w:p>
            <w:pPr>
              <w:spacing w:after="0"/>
              <w:rPr>
                <w:sz w:val="13"/>
                <w:szCs w:val="13"/>
                <w:color w:val="auto"/>
              </w:rPr>
            </w:pPr>
          </w:p>
        </w:tc>
        <w:tc>
          <w:tcPr>
            <w:tcW w:w="560" w:type="dxa"/>
            <w:vAlign w:val="bottom"/>
            <w:tcBorders>
              <w:top w:val="single" w:sz="8" w:color="CCEECC"/>
              <w:bottom w:val="single" w:sz="8" w:color="CCEECC"/>
            </w:tcBorders>
            <w:shd w:val="clear" w:color="auto" w:fill="CCEECC"/>
          </w:tcPr>
          <w:p>
            <w:pPr>
              <w:spacing w:after="0"/>
              <w:rPr>
                <w:sz w:val="13"/>
                <w:szCs w:val="13"/>
                <w:color w:val="auto"/>
              </w:rPr>
            </w:pPr>
          </w:p>
        </w:tc>
        <w:tc>
          <w:tcPr>
            <w:tcW w:w="420" w:type="dxa"/>
            <w:vAlign w:val="bottom"/>
            <w:tcBorders>
              <w:top w:val="single" w:sz="8" w:color="CCEECC"/>
              <w:bottom w:val="single" w:sz="8" w:color="CCEECC"/>
            </w:tcBorders>
            <w:shd w:val="clear" w:color="auto" w:fill="CCEECC"/>
          </w:tcPr>
          <w:p>
            <w:pPr>
              <w:spacing w:after="0"/>
              <w:rPr>
                <w:sz w:val="13"/>
                <w:szCs w:val="13"/>
                <w:color w:val="auto"/>
              </w:rPr>
            </w:pPr>
          </w:p>
        </w:tc>
        <w:tc>
          <w:tcPr>
            <w:tcW w:w="2580" w:type="dxa"/>
            <w:vAlign w:val="bottom"/>
            <w:tcBorders>
              <w:top w:val="single" w:sz="8" w:color="CCEECC"/>
              <w:bottom w:val="single" w:sz="8" w:color="CCEECC"/>
            </w:tcBorders>
            <w:shd w:val="clear" w:color="auto" w:fill="CCEECC"/>
          </w:tcPr>
          <w:p>
            <w:pPr>
              <w:spacing w:after="0"/>
              <w:rPr>
                <w:sz w:val="13"/>
                <w:szCs w:val="13"/>
                <w:color w:val="auto"/>
              </w:rPr>
            </w:pPr>
          </w:p>
        </w:tc>
        <w:tc>
          <w:tcPr>
            <w:tcW w:w="240" w:type="dxa"/>
            <w:vAlign w:val="bottom"/>
            <w:tcBorders>
              <w:top w:val="single" w:sz="8" w:color="CCEECC"/>
              <w:bottom w:val="single" w:sz="8" w:color="CCEECC"/>
            </w:tcBorders>
            <w:shd w:val="clear" w:color="auto" w:fill="CCEECC"/>
          </w:tcPr>
          <w:p>
            <w:pPr>
              <w:spacing w:after="0"/>
              <w:rPr>
                <w:sz w:val="13"/>
                <w:szCs w:val="13"/>
                <w:color w:val="auto"/>
              </w:rPr>
            </w:pPr>
          </w:p>
        </w:tc>
        <w:tc>
          <w:tcPr>
            <w:tcW w:w="920" w:type="dxa"/>
            <w:vAlign w:val="bottom"/>
            <w:tcBorders>
              <w:top w:val="single" w:sz="8" w:color="CCEECC"/>
              <w:bottom w:val="single" w:sz="8" w:color="CCEECC"/>
            </w:tcBorders>
            <w:shd w:val="clear" w:color="auto" w:fill="CCEECC"/>
          </w:tcPr>
          <w:p>
            <w:pPr>
              <w:spacing w:after="0"/>
              <w:rPr>
                <w:sz w:val="13"/>
                <w:szCs w:val="13"/>
                <w:color w:val="auto"/>
              </w:rPr>
            </w:pPr>
          </w:p>
        </w:tc>
        <w:tc>
          <w:tcPr>
            <w:tcW w:w="220" w:type="dxa"/>
            <w:vAlign w:val="bottom"/>
            <w:tcBorders>
              <w:top w:val="single" w:sz="8" w:color="CCEECC"/>
              <w:bottom w:val="single" w:sz="8" w:color="CCEECC"/>
            </w:tcBorders>
            <w:shd w:val="clear" w:color="auto" w:fill="CCEECC"/>
          </w:tcPr>
          <w:p>
            <w:pPr>
              <w:spacing w:after="0"/>
              <w:rPr>
                <w:sz w:val="13"/>
                <w:szCs w:val="13"/>
                <w:color w:val="auto"/>
              </w:rPr>
            </w:pPr>
          </w:p>
        </w:tc>
        <w:tc>
          <w:tcPr>
            <w:tcW w:w="1380" w:type="dxa"/>
            <w:vAlign w:val="bottom"/>
            <w:tcBorders>
              <w:top w:val="single" w:sz="8" w:color="CCEECC"/>
              <w:bottom w:val="single" w:sz="8" w:color="CCEECC"/>
            </w:tcBorders>
            <w:shd w:val="clear" w:color="auto" w:fill="CCEECC"/>
          </w:tcPr>
          <w:p>
            <w:pPr>
              <w:spacing w:after="0"/>
              <w:rPr>
                <w:sz w:val="13"/>
                <w:szCs w:val="13"/>
                <w:color w:val="auto"/>
              </w:rPr>
            </w:pPr>
          </w:p>
        </w:tc>
        <w:tc>
          <w:tcPr>
            <w:tcW w:w="240" w:type="dxa"/>
            <w:vAlign w:val="bottom"/>
            <w:tcBorders>
              <w:top w:val="single" w:sz="8" w:color="CCEECC"/>
              <w:bottom w:val="single" w:sz="8" w:color="CCEECC"/>
            </w:tcBorders>
            <w:shd w:val="clear" w:color="auto" w:fill="CCEECC"/>
          </w:tcPr>
          <w:p>
            <w:pPr>
              <w:spacing w:after="0"/>
              <w:rPr>
                <w:sz w:val="13"/>
                <w:szCs w:val="13"/>
                <w:color w:val="auto"/>
              </w:rPr>
            </w:pPr>
          </w:p>
        </w:tc>
        <w:tc>
          <w:tcPr>
            <w:tcW w:w="920" w:type="dxa"/>
            <w:vAlign w:val="bottom"/>
            <w:tcBorders>
              <w:top w:val="single" w:sz="8" w:color="CCEECC"/>
              <w:bottom w:val="single" w:sz="8" w:color="CCEECC"/>
            </w:tcBorders>
            <w:shd w:val="clear" w:color="auto" w:fill="CCEECC"/>
          </w:tcPr>
          <w:p>
            <w:pPr>
              <w:spacing w:after="0"/>
              <w:rPr>
                <w:sz w:val="13"/>
                <w:szCs w:val="13"/>
                <w:color w:val="auto"/>
              </w:rPr>
            </w:pPr>
          </w:p>
        </w:tc>
        <w:tc>
          <w:tcPr>
            <w:tcW w:w="180" w:type="dxa"/>
            <w:vAlign w:val="bottom"/>
            <w:tcBorders>
              <w:top w:val="single" w:sz="8" w:color="CCEECC"/>
              <w:bottom w:val="single" w:sz="8" w:color="CCEECC"/>
            </w:tcBorders>
            <w:shd w:val="clear" w:color="auto" w:fill="CCEECC"/>
          </w:tcPr>
          <w:p>
            <w:pPr>
              <w:spacing w:after="0"/>
              <w:rPr>
                <w:sz w:val="13"/>
                <w:szCs w:val="13"/>
                <w:color w:val="auto"/>
              </w:rPr>
            </w:pPr>
          </w:p>
        </w:tc>
        <w:tc>
          <w:tcPr>
            <w:tcW w:w="20" w:type="dxa"/>
            <w:vAlign w:val="bottom"/>
            <w:tcBorders>
              <w:top w:val="single" w:sz="8" w:color="CCEECC"/>
              <w:bottom w:val="single" w:sz="8" w:color="CCEECC"/>
            </w:tcBorders>
            <w:shd w:val="clear" w:color="auto" w:fill="CCEECC"/>
          </w:tcPr>
          <w:p>
            <w:pPr>
              <w:spacing w:after="0"/>
              <w:rPr>
                <w:sz w:val="13"/>
                <w:szCs w:val="13"/>
                <w:color w:val="auto"/>
              </w:rPr>
            </w:pPr>
          </w:p>
        </w:tc>
        <w:tc>
          <w:tcPr>
            <w:tcW w:w="8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724,342</w:t>
            </w:r>
          </w:p>
        </w:tc>
        <w:tc>
          <w:tcPr>
            <w:tcW w:w="180" w:type="dxa"/>
            <w:vAlign w:val="bottom"/>
            <w:tcBorders>
              <w:top w:val="single" w:sz="8" w:color="CCEECC"/>
              <w:bottom w:val="single" w:sz="8" w:color="CCEECC"/>
            </w:tcBorders>
            <w:shd w:val="clear" w:color="auto" w:fill="CCEECC"/>
          </w:tcPr>
          <w:p>
            <w:pPr>
              <w:spacing w:after="0"/>
              <w:rPr>
                <w:sz w:val="13"/>
                <w:szCs w:val="13"/>
                <w:color w:val="auto"/>
              </w:rPr>
            </w:pPr>
          </w:p>
        </w:tc>
        <w:tc>
          <w:tcPr>
            <w:tcW w:w="160" w:type="dxa"/>
            <w:vAlign w:val="bottom"/>
            <w:tcBorders>
              <w:top w:val="single" w:sz="8" w:color="CCEECC"/>
              <w:bottom w:val="single" w:sz="8" w:color="CCEECC"/>
            </w:tcBorders>
            <w:shd w:val="clear" w:color="auto" w:fill="CCEECC"/>
          </w:tcPr>
          <w:p>
            <w:pPr>
              <w:spacing w:after="0"/>
              <w:rPr>
                <w:sz w:val="13"/>
                <w:szCs w:val="13"/>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2,172,078</w:t>
            </w:r>
          </w:p>
        </w:tc>
        <w:tc>
          <w:tcPr>
            <w:tcW w:w="180" w:type="dxa"/>
            <w:vAlign w:val="bottom"/>
            <w:tcBorders>
              <w:top w:val="single" w:sz="8" w:color="CCEECC"/>
              <w:bottom w:val="single" w:sz="8" w:color="CCEECC"/>
            </w:tcBorders>
            <w:shd w:val="clear" w:color="auto" w:fill="CCEECC"/>
          </w:tcPr>
          <w:p>
            <w:pPr>
              <w:spacing w:after="0"/>
              <w:rPr>
                <w:sz w:val="13"/>
                <w:szCs w:val="13"/>
                <w:color w:val="auto"/>
              </w:rPr>
            </w:pPr>
          </w:p>
        </w:tc>
        <w:tc>
          <w:tcPr>
            <w:tcW w:w="140" w:type="dxa"/>
            <w:vAlign w:val="bottom"/>
            <w:tcBorders>
              <w:top w:val="single" w:sz="8" w:color="CCEECC"/>
              <w:bottom w:val="single" w:sz="8" w:color="CCEECC"/>
            </w:tcBorders>
            <w:shd w:val="clear" w:color="auto" w:fill="CCEECC"/>
          </w:tcPr>
          <w:p>
            <w:pPr>
              <w:spacing w:after="0"/>
              <w:rPr>
                <w:sz w:val="13"/>
                <w:szCs w:val="13"/>
                <w:color w:val="auto"/>
              </w:rPr>
            </w:pPr>
          </w:p>
        </w:tc>
        <w:tc>
          <w:tcPr>
            <w:tcW w:w="180" w:type="dxa"/>
            <w:vAlign w:val="bottom"/>
            <w:tcBorders>
              <w:top w:val="single" w:sz="8" w:color="auto"/>
              <w:bottom w:val="single" w:sz="8" w:color="auto"/>
            </w:tcBorders>
            <w:shd w:val="clear" w:color="auto" w:fill="CCEEC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1,096,679</w:t>
            </w:r>
          </w:p>
        </w:tc>
        <w:tc>
          <w:tcPr>
            <w:tcW w:w="100" w:type="dxa"/>
            <w:vAlign w:val="bottom"/>
            <w:tcBorders>
              <w:top w:val="single" w:sz="8" w:color="CCEECC"/>
              <w:bottom w:val="single" w:sz="8" w:color="CCEECC"/>
            </w:tcBorders>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gridSpan w:val="2"/>
            <w:vMerge w:val="restart"/>
          </w:tcPr>
          <w:p>
            <w:pPr>
              <w:jc w:val="right"/>
              <w:ind w:right="1008"/>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1" w:name="page32"/>
    <w:bookmarkEnd w:id="31"/>
    <w:p>
      <w:pPr>
        <w:ind w:left="332" w:hanging="24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February 2013, we repaid this loan in full and wrote off the remaining discount as part of the loss on extinguishment.</w:t>
      </w:r>
    </w:p>
    <w:p>
      <w:pPr>
        <w:spacing w:after="0" w:line="184" w:lineRule="exact"/>
        <w:rPr>
          <w:rFonts w:ascii="Arial" w:cs="Arial" w:eastAsia="Arial" w:hAnsi="Arial"/>
          <w:sz w:val="18"/>
          <w:szCs w:val="18"/>
          <w:color w:val="auto"/>
        </w:rPr>
      </w:pPr>
    </w:p>
    <w:p>
      <w:pPr>
        <w:ind w:left="332" w:right="60" w:hanging="242"/>
        <w:spacing w:after="0" w:line="270" w:lineRule="auto"/>
        <w:tabs>
          <w:tab w:leader="none" w:pos="332"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 principal amount of the borrowings in consecutive quarterly installments of $3.3 million. In addition, we are required to use the net cash proceeds (as defined) from any asset sale (as defined) to repay loan principal. Generally, this provision applies to non-operating sales of assets, such as the HLSS Transactions, and generally, net cash proceeds represent the proceeds from the sale of the assets, net of the repayment of any debt secured by a lien on the assets sold.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1-Month LIBOR floor of 1.25%. To date we have elected option (b) to determine the interest rate.</w:t>
      </w:r>
    </w:p>
    <w:p>
      <w:pPr>
        <w:spacing w:after="0" w:line="150" w:lineRule="exact"/>
        <w:rPr>
          <w:rFonts w:ascii="Arial" w:cs="Arial" w:eastAsia="Arial" w:hAnsi="Arial"/>
          <w:sz w:val="17"/>
          <w:szCs w:val="17"/>
          <w:color w:val="auto"/>
        </w:rPr>
      </w:pPr>
    </w:p>
    <w:p>
      <w:pPr>
        <w:ind w:left="332" w:hanging="24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repaid this loan in full in February 2013.</w:t>
      </w:r>
    </w:p>
    <w:p>
      <w:pPr>
        <w:spacing w:after="0" w:line="184" w:lineRule="exact"/>
        <w:rPr>
          <w:rFonts w:ascii="Arial" w:cs="Arial" w:eastAsia="Arial" w:hAnsi="Arial"/>
          <w:sz w:val="18"/>
          <w:szCs w:val="18"/>
          <w:color w:val="auto"/>
        </w:rPr>
      </w:pPr>
    </w:p>
    <w:p>
      <w:pPr>
        <w:ind w:left="332" w:right="100" w:hanging="242"/>
        <w:spacing w:after="0" w:line="297"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part of the HLSS Transactions, we transfer certain Rights to MSRs to HLSS. Because we have not yet transferred legal title to the MSRs, we account for these transfers as financings with the proceeds from the sale of the Rights to MSRs recorded as a financing liability. The financing liability is amortized using the interest method with the servicing income that is remitted to HLSS representing payments of principal and interest. The liability has no contractual maturity but is amortized over the estimated life of the transferred Rights to MSRs. The balance of the liability is reduced each month based on the change in the estimated fair value of the transferred rights to MSRs. See Note 3 – Transfers of Financial Assets for additional information.</w:t>
      </w:r>
    </w:p>
    <w:p>
      <w:pPr>
        <w:spacing w:after="0" w:line="117" w:lineRule="exact"/>
        <w:rPr>
          <w:rFonts w:ascii="Arial" w:cs="Arial" w:eastAsia="Arial" w:hAnsi="Arial"/>
          <w:sz w:val="16"/>
          <w:szCs w:val="16"/>
          <w:color w:val="auto"/>
        </w:rPr>
      </w:pPr>
    </w:p>
    <w:p>
      <w:pPr>
        <w:ind w:left="332" w:right="180" w:hanging="242"/>
        <w:spacing w:after="0" w:line="297"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sold MSRs for certain loans to an unrelated third party in December 2012 and June 2013; however, we are required to repurchase the MSRs for any loans that cannot be refinanced by the purchaser under the federal government’s Home Affordable Refinance Program (HARP). As a result, the sale is being accounted for as a financing. The financing liability is being amortized using the interest method with the servicing income that is remitted to the purchaser representing payments of principal and interest. In June 2013, we derecognized a portion of the liability from the December 2012 sale related to loans that had been refinanced under HARP and recognized a $3.2 million gain on the retirement of the financing liability.</w:t>
      </w:r>
    </w:p>
    <w:p>
      <w:pPr>
        <w:spacing w:after="0" w:line="131" w:lineRule="exact"/>
        <w:rPr>
          <w:rFonts w:ascii="Arial" w:cs="Arial" w:eastAsia="Arial" w:hAnsi="Arial"/>
          <w:sz w:val="16"/>
          <w:szCs w:val="16"/>
          <w:color w:val="auto"/>
        </w:rPr>
      </w:pPr>
    </w:p>
    <w:p>
      <w:pPr>
        <w:ind w:left="332" w:hanging="24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Prepayments of the balance on this note may be required if the borrowing base, as defined, falls below the amount of the note outstanding.</w:t>
      </w:r>
    </w:p>
    <w:p>
      <w:pPr>
        <w:spacing w:after="0" w:line="184" w:lineRule="exact"/>
        <w:rPr>
          <w:rFonts w:ascii="Arial" w:cs="Arial" w:eastAsia="Arial" w:hAnsi="Arial"/>
          <w:sz w:val="18"/>
          <w:szCs w:val="18"/>
          <w:color w:val="auto"/>
        </w:rPr>
      </w:pPr>
    </w:p>
    <w:p>
      <w:pPr>
        <w:ind w:left="332" w:right="140" w:hanging="242"/>
        <w:spacing w:after="0" w:line="277"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19, 2013, the maturity date of the Master Repurchase Agreement was extended to March 18, 2014 and the maximum borrowing capacity was increased to $120.0 million to $300.0 million.</w:t>
      </w:r>
    </w:p>
    <w:p>
      <w:pPr>
        <w:spacing w:after="0" w:line="129" w:lineRule="exact"/>
        <w:rPr>
          <w:rFonts w:ascii="Arial" w:cs="Arial" w:eastAsia="Arial" w:hAnsi="Arial"/>
          <w:sz w:val="18"/>
          <w:szCs w:val="18"/>
          <w:color w:val="auto"/>
        </w:rPr>
      </w:pPr>
    </w:p>
    <w:p>
      <w:pPr>
        <w:ind w:left="332" w:right="120" w:hanging="242"/>
        <w:spacing w:after="0" w:line="257"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up to $100.0 million at the discretion of the lender. The participation agreement allows the lender to acquire a 100% beneficial interest in the underlying mortgage loans. However, the transaction does not qualify for sales accounting treatment and is, therefore, accounted for as a financing. The lender earns the stated interest rate of the underlying mortgage loans while the loans are financed under the participation agreement. In April 2013, we extended the participation agreement maturity date to May 31, 2014.</w:t>
      </w:r>
    </w:p>
    <w:p>
      <w:pPr>
        <w:spacing w:after="0" w:line="161" w:lineRule="exact"/>
        <w:rPr>
          <w:rFonts w:ascii="Arial" w:cs="Arial" w:eastAsia="Arial" w:hAnsi="Arial"/>
          <w:sz w:val="18"/>
          <w:szCs w:val="18"/>
          <w:color w:val="auto"/>
        </w:rPr>
      </w:pPr>
    </w:p>
    <w:p>
      <w:pPr>
        <w:ind w:left="332" w:hanging="24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June 12, 2013, the maturity date of the Master Repurchase Agreement was extended to August 2, 2013.</w:t>
      </w:r>
    </w:p>
    <w:p>
      <w:pPr>
        <w:spacing w:after="0" w:line="184" w:lineRule="exact"/>
        <w:rPr>
          <w:rFonts w:ascii="Arial" w:cs="Arial" w:eastAsia="Arial" w:hAnsi="Arial"/>
          <w:sz w:val="18"/>
          <w:szCs w:val="18"/>
          <w:color w:val="auto"/>
        </w:rPr>
      </w:pPr>
    </w:p>
    <w:p>
      <w:pPr>
        <w:jc w:val="both"/>
        <w:ind w:left="332" w:right="240" w:hanging="332"/>
        <w:spacing w:after="0" w:line="264"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represents amounts due to the holders of beneficial interests in Ginnie Mae guaranteed securitization that we include in our consolidated financial statements because the transfers of reverse mortgage loans to the trusts did not qualify for sales accounting treatment. There are no maturity dates; the borrowings mature as the related loans are repaid.</w:t>
      </w:r>
    </w:p>
    <w:p>
      <w:pPr>
        <w:spacing w:after="0" w:line="140" w:lineRule="exact"/>
        <w:rPr>
          <w:rFonts w:ascii="Arial" w:cs="Arial" w:eastAsia="Arial" w:hAnsi="Arial"/>
          <w:sz w:val="18"/>
          <w:szCs w:val="18"/>
          <w:color w:val="auto"/>
        </w:rPr>
      </w:pPr>
    </w:p>
    <w:p>
      <w:pPr>
        <w:jc w:val="center"/>
        <w:ind w:left="5612" w:hanging="5612"/>
        <w:spacing w:after="0" w:line="528"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has no stated credit limit and lending is determined for each transaction based on the acceptability of the securities presented as collateral.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6180" w:type="dxa"/>
            <w:vAlign w:val="bottom"/>
          </w:tcPr>
          <w:p>
            <w:pPr>
              <w:ind w:left="200"/>
              <w:spacing w:after="0"/>
              <w:rPr>
                <w:sz w:val="20"/>
                <w:szCs w:val="20"/>
                <w:color w:val="auto"/>
              </w:rPr>
            </w:pPr>
            <w:r>
              <w:rPr>
                <w:rFonts w:ascii="Arial" w:cs="Arial" w:eastAsia="Arial" w:hAnsi="Arial"/>
                <w:sz w:val="18"/>
                <w:szCs w:val="18"/>
                <w:b w:val="1"/>
                <w:bCs w:val="1"/>
                <w:color w:val="auto"/>
              </w:rPr>
              <w:t>OTHER LIABILITIES</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120" w:type="dxa"/>
            <w:vAlign w:val="bottom"/>
            <w:gridSpan w:val="2"/>
          </w:tcPr>
          <w:p>
            <w:pPr>
              <w:ind w:left="340"/>
              <w:spacing w:after="0"/>
              <w:rPr>
                <w:sz w:val="20"/>
                <w:szCs w:val="20"/>
                <w:color w:val="auto"/>
              </w:rPr>
            </w:pPr>
            <w:r>
              <w:rPr>
                <w:rFonts w:ascii="Arial" w:cs="Arial" w:eastAsia="Arial" w:hAnsi="Arial"/>
                <w:sz w:val="18"/>
                <w:szCs w:val="18"/>
                <w:color w:val="auto"/>
              </w:rPr>
              <w:t>Other liabilities are comprised of the following at the dates indicated:</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940" w:type="dxa"/>
            <w:vAlign w:val="bottom"/>
            <w:tcBorders>
              <w:bottom w:val="single" w:sz="8" w:color="CCEECC"/>
            </w:tcBorders>
          </w:tcPr>
          <w:p>
            <w:pPr>
              <w:spacing w:after="0"/>
              <w:rPr>
                <w:sz w:val="20"/>
                <w:szCs w:val="20"/>
                <w:color w:val="auto"/>
              </w:rPr>
            </w:pPr>
          </w:p>
        </w:tc>
        <w:tc>
          <w:tcPr>
            <w:tcW w:w="6180" w:type="dxa"/>
            <w:vAlign w:val="bottom"/>
            <w:tcBorders>
              <w:bottom w:val="single" w:sz="8" w:color="CCEECC"/>
            </w:tcBorders>
          </w:tcPr>
          <w:p>
            <w:pPr>
              <w:spacing w:after="0"/>
              <w:rPr>
                <w:sz w:val="20"/>
                <w:szCs w:val="20"/>
                <w:color w:val="auto"/>
              </w:rPr>
            </w:pPr>
          </w:p>
        </w:tc>
        <w:tc>
          <w:tcPr>
            <w:tcW w:w="180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7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Liability for indemnification obligations (1)</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220,041</w:t>
            </w: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38,140</w:t>
            </w:r>
          </w:p>
        </w:tc>
        <w:tc>
          <w:tcPr>
            <w:tcW w:w="100" w:type="dxa"/>
            <w:vAlign w:val="bottom"/>
            <w:shd w:val="clear" w:color="auto" w:fill="CCEECC"/>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103,742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70,831</w:t>
            </w:r>
          </w:p>
        </w:tc>
      </w:tr>
      <w:tr>
        <w:trPr>
          <w:trHeight w:val="216"/>
        </w:trPr>
        <w:tc>
          <w:tcPr>
            <w:tcW w:w="7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Amount due seller for purchase price adjustments – ResCap Acquisition</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69,696</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Liability for certain foreclosure matters (2)</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66,431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13,602</w:t>
            </w:r>
          </w:p>
        </w:tc>
      </w:tr>
      <w:tr>
        <w:trPr>
          <w:trHeight w:val="216"/>
        </w:trPr>
        <w:tc>
          <w:tcPr>
            <w:tcW w:w="7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25,448</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33,225</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Payable to servicing and subservicing investors (3)</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23,545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9,973</w:t>
            </w:r>
          </w:p>
        </w:tc>
      </w:tr>
      <w:tr>
        <w:trPr>
          <w:trHeight w:val="216"/>
        </w:trPr>
        <w:tc>
          <w:tcPr>
            <w:tcW w:w="7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Liability for selected tax items</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22,338</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22,702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Due to related parties (4)</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45,034</w:t>
            </w:r>
          </w:p>
        </w:tc>
      </w:tr>
      <w:tr>
        <w:trPr>
          <w:trHeight w:val="216"/>
        </w:trPr>
        <w:tc>
          <w:tcPr>
            <w:tcW w:w="7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Servicing liabilities (5)</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11,704</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9,830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8,874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5,410</w:t>
            </w:r>
          </w:p>
        </w:tc>
      </w:tr>
      <w:tr>
        <w:trPr>
          <w:trHeight w:val="216"/>
        </w:trPr>
        <w:tc>
          <w:tcPr>
            <w:tcW w:w="7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Derivatives, at fair value (6)</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7,064</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18,658</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Other</w:t>
            </w:r>
          </w:p>
        </w:tc>
        <w:tc>
          <w:tcPr>
            <w:tcW w:w="6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58,613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23,861</w:t>
            </w:r>
          </w:p>
        </w:tc>
      </w:tr>
      <w:tr>
        <w:trPr>
          <w:trHeight w:val="223"/>
        </w:trPr>
        <w:tc>
          <w:tcPr>
            <w:tcW w:w="940" w:type="dxa"/>
            <w:vAlign w:val="bottom"/>
            <w:tcBorders>
              <w:top w:val="single" w:sz="8" w:color="CCEECC"/>
              <w:bottom w:val="single" w:sz="8" w:color="CCEECC"/>
            </w:tcBorders>
            <w:shd w:val="clear" w:color="auto" w:fill="CCEECC"/>
          </w:tcPr>
          <w:p>
            <w:pPr>
              <w:spacing w:after="0"/>
              <w:rPr>
                <w:sz w:val="19"/>
                <w:szCs w:val="19"/>
                <w:color w:val="auto"/>
              </w:rPr>
            </w:pPr>
          </w:p>
        </w:tc>
        <w:tc>
          <w:tcPr>
            <w:tcW w:w="6180" w:type="dxa"/>
            <w:vAlign w:val="bottom"/>
            <w:tcBorders>
              <w:top w:val="single" w:sz="8" w:color="CCEECC"/>
              <w:bottom w:val="single" w:sz="8" w:color="CCEECC"/>
            </w:tcBorders>
            <w:shd w:val="clear" w:color="auto" w:fill="CCEECC"/>
          </w:tcPr>
          <w:p>
            <w:pPr>
              <w:spacing w:after="0"/>
              <w:rPr>
                <w:sz w:val="19"/>
                <w:szCs w:val="19"/>
                <w:color w:val="auto"/>
              </w:rPr>
            </w:pPr>
          </w:p>
        </w:tc>
        <w:tc>
          <w:tcPr>
            <w:tcW w:w="18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636,628</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291,266</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3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balance includes origination representation and warranty obligations and compensatory fees for foreclosures that may ultimately exceed investor timelines. These obligations were primarily assumed in connection with the Ally MSR Transaction, the ResCap Acquisition and the Homeward Acquisition. See Note 4 – Business Acquisitions and Note 9 – Mortgage Servicing for additional information.</w:t>
      </w:r>
    </w:p>
    <w:p>
      <w:pPr>
        <w:spacing w:after="0" w:line="125" w:lineRule="exact"/>
        <w:rPr>
          <w:rFonts w:ascii="Arial" w:cs="Arial" w:eastAsia="Arial" w:hAnsi="Arial"/>
          <w:sz w:val="17"/>
          <w:szCs w:val="17"/>
          <w:color w:val="auto"/>
        </w:rPr>
      </w:pPr>
    </w:p>
    <w:p>
      <w:pPr>
        <w:ind w:left="340" w:right="20" w:hanging="332"/>
        <w:spacing w:after="0" w:line="25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balance represents a liability established in connection with our ongoing discussions with the Multi-State Mortgage Committee of the Conferences of State Bank Supervisors (MMC), Consumer Finance Protection Bureau (CFPB) and state Attorneys General in connection with certain foreclosure related matters. We recognized $52.8 million of expense in Professional services in the second quarter of 2013 in establishing the liability. We recognized the remaining $13.6 million of the liability as an adjustment to the initial purchase price allocation related to the Homeward Acquisition. We applied this measurement period adjustment retrospectively to our Consolidated Balance Sheet at December 31, 2012 with an offsetting increase in goodwill. See Note 24 – Commitments and Contingencies for additional information.</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22 – Related Party Transactions for additional information.</w:t>
      </w:r>
    </w:p>
    <w:p>
      <w:pPr>
        <w:spacing w:after="0" w:line="184"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six months ended June 30, 2013 and 2012, amortization of servicing liabilities exceeded the amount of charges we recognized to increase our servicing liability obligations by $0.3 million and $0.9 million, respectively. Amortization of mortgage servicing rights is reported net of this amount in the unaudited Consolidated Statement of Operations.</w:t>
      </w:r>
    </w:p>
    <w:p>
      <w:pPr>
        <w:spacing w:after="0" w:line="154"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18 – Derivative Financial Instruments and Hedging Activities for additional information.</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MEZZANINE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December 27, 2012, we issued 162,000 shares of Series A Perpetual Convertible Preferred Stock (the Preferred Shares) having a par value of $0.01 per share and paying dividends at a rate of 3.75% on the liquidation preference of $1,000 per share as part of the consideration for the Homeward Acquisition. The dividends are payable quarterly at the end of each calendar quarter.</w:t>
      </w:r>
    </w:p>
    <w:p>
      <w:pPr>
        <w:spacing w:after="0" w:line="141"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Preferred Shares are accounted for as equity and are classified as “mezzanine” equity in the unaudited Consolidated Balance Sheets. The conversion option of the Preferred Shares represents a Beneficial Conversion Feature (BCF) with an intrinsic value of $8.7 million which we accounted for as a discount on the Preferred Shares with an offsetting increase in additional paid in capital upon issuance. The BCF will be amortizing through the second anniversary of the issue date, the first date at which we can redeem the Preferred Shares.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amortize the BCF discount on the Preferred Shares as a deemed dividend with an offsetting reduction in retained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Arial" w:cs="Arial" w:eastAsia="Arial" w:hAnsi="Arial"/>
                <w:sz w:val="18"/>
                <w:szCs w:val="18"/>
                <w:color w:val="auto"/>
              </w:rPr>
              <w:t>The carrying value of our Preferred Shares reflects the following:</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Initial issuance price on December 27, 2012</w:t>
            </w: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Discount for beneficial conversion feature</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Accretion of BCF discount (Deemed dividend)</w:t>
            </w:r>
          </w:p>
        </w:tc>
        <w:tc>
          <w:tcPr>
            <w:tcW w:w="2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Carrying value at December 31, 2012</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Accretion of discount (Deemed dividend)</w:t>
            </w:r>
          </w:p>
        </w:tc>
        <w:tc>
          <w:tcPr>
            <w:tcW w:w="2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Carrying value at June 30, 2013</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18</w:t>
            </w:r>
          </w:p>
        </w:tc>
        <w:tc>
          <w:tcPr>
            <w:tcW w:w="93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DERIVATIVE FINANCIAL INSTRUMENTS AND HEDGING ACTIVITIES</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2"/>
            <w:vMerge w:val="continue"/>
          </w:tcPr>
          <w:p>
            <w:pPr>
              <w:spacing w:after="0"/>
              <w:rPr>
                <w:sz w:val="24"/>
                <w:szCs w:val="24"/>
                <w:color w:val="auto"/>
              </w:rPr>
            </w:pPr>
          </w:p>
        </w:tc>
        <w:tc>
          <w:tcPr>
            <w:tcW w:w="9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 of our holdings of derivatives during the six months ended June 30, 2013: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Forward</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Interest Rate</w:t>
            </w:r>
          </w:p>
        </w:tc>
        <w:tc>
          <w:tcPr>
            <w:tcW w:w="1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IRLCs</w:t>
            </w:r>
          </w:p>
        </w:tc>
        <w:tc>
          <w:tcPr>
            <w:tcW w:w="14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Futures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MBS Trades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Swaps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1,112,519</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109,000</w:t>
            </w: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1,638,979</w:t>
            </w:r>
          </w:p>
        </w:tc>
        <w:tc>
          <w:tcPr>
            <w:tcW w:w="180" w:type="dxa"/>
            <w:vAlign w:val="bottom"/>
            <w:shd w:val="clear" w:color="auto" w:fill="CCEECC"/>
          </w:tcPr>
          <w:p>
            <w:pPr>
              <w:spacing w:after="0"/>
              <w:rPr>
                <w:sz w:val="18"/>
                <w:szCs w:val="18"/>
                <w:color w:val="auto"/>
              </w:rPr>
            </w:pPr>
          </w:p>
        </w:tc>
        <w:tc>
          <w:tcPr>
            <w:tcW w:w="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1,025,000</w:t>
            </w:r>
          </w:p>
        </w:tc>
        <w:tc>
          <w:tcPr>
            <w:tcW w:w="30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1,495,955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2,803,364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6,443,459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(228,319)</w:t>
            </w:r>
          </w:p>
        </w:tc>
        <w:tc>
          <w:tcPr>
            <w:tcW w:w="14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(33,372)</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(2,826,503)</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(3,094,020)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(295,604)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Terminations</w:t>
            </w:r>
          </w:p>
        </w:tc>
        <w:tc>
          <w:tcPr>
            <w:tcW w:w="16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(207,842)</w:t>
            </w:r>
          </w:p>
        </w:tc>
        <w:tc>
          <w:tcPr>
            <w:tcW w:w="14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(194,000)</w:t>
            </w:r>
          </w:p>
        </w:tc>
        <w:tc>
          <w:tcPr>
            <w:tcW w:w="14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(4,100,120)</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(126,000)</w:t>
            </w:r>
          </w:p>
        </w:tc>
        <w:tc>
          <w:tcPr>
            <w:tcW w:w="1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7"/>
              </w:rPr>
              <w:t>(2,480,351)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653,219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CC"/>
          </w:tcPr>
          <w:p>
            <w:pPr>
              <w:spacing w:after="0"/>
              <w:rPr>
                <w:sz w:val="20"/>
                <w:szCs w:val="20"/>
                <w:color w:val="auto"/>
              </w:rPr>
            </w:pPr>
            <w:r>
              <w:rPr>
                <w:rFonts w:ascii="Arial" w:cs="Arial" w:eastAsia="Arial" w:hAnsi="Arial"/>
                <w:sz w:val="18"/>
                <w:szCs w:val="18"/>
                <w:color w:val="auto"/>
              </w:rPr>
              <w:t>Fair value of net derivative assets (liabilities) at:</w:t>
            </w: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June 30, 2013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(7,064)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18,681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December 31, 2012</w:t>
            </w:r>
          </w:p>
        </w:tc>
        <w:tc>
          <w:tcPr>
            <w:tcW w:w="160" w:type="dxa"/>
            <w:vAlign w:val="bottom"/>
            <w:tcBorders>
              <w:top w:val="single" w:sz="8" w:color="auto"/>
              <w:bottom w:val="single" w:sz="8" w:color="auto"/>
            </w:tcBorders>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5,781</w:t>
            </w:r>
          </w:p>
        </w:tc>
        <w:tc>
          <w:tcPr>
            <w:tcW w:w="34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(1,258</w:t>
            </w:r>
          </w:p>
        </w:tc>
        <w:tc>
          <w:tcPr>
            <w:tcW w:w="360" w:type="dxa"/>
            <w:vAlign w:val="bottom"/>
            <w:tcBorders>
              <w:top w:val="single" w:sz="8" w:color="CCEECC"/>
              <w:bottom w:val="single" w:sz="8" w:color="CCEECC"/>
            </w:tcBorders>
            <w:shd w:val="clear" w:color="auto" w:fill="CCEECC"/>
          </w:tcPr>
          <w:p>
            <w:pPr>
              <w:jc w:val="right"/>
              <w:ind w:right="2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(1,719</w:t>
            </w:r>
          </w:p>
        </w:tc>
        <w:tc>
          <w:tcPr>
            <w:tcW w:w="180" w:type="dxa"/>
            <w:vAlign w:val="bottom"/>
            <w:tcBorders>
              <w:top w:val="single" w:sz="8" w:color="CCEECC"/>
              <w:bottom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168</w:t>
            </w:r>
          </w:p>
        </w:tc>
        <w:tc>
          <w:tcPr>
            <w:tcW w:w="18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CCEECC"/>
              <w:bottom w:val="single" w:sz="8" w:color="CCEECC"/>
            </w:tcBorders>
            <w:shd w:val="clear" w:color="auto" w:fill="CCEECC"/>
          </w:tcPr>
          <w:p>
            <w:pPr>
              <w:spacing w:after="0"/>
              <w:rPr>
                <w:sz w:val="17"/>
                <w:szCs w:val="17"/>
                <w:color w:val="auto"/>
              </w:rPr>
            </w:pPr>
          </w:p>
        </w:tc>
        <w:tc>
          <w:tcPr>
            <w:tcW w:w="16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(10,836</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2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6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Jul. 2013 –</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Jul. 2013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Aug. 2015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Oct. 2013</w:t>
            </w: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Sep. 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May 2016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8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previously entered into interest rate swaps in order to hedge against the effects of changes in interest rates on our borrowings under our advance funding facilities. These interest rate swap agreements required us to pay a fixed rate and receive a variable interest rate based on one-month LIBOR. At the time that we entered into the agreements, these swaps were designated as hedges for accounting purposes. As disclosed in Note 5 – Fair Value of Financial Instruments, we terminated these interest rate swaps on May 31, 2013 primarily because the custodial account float balances, which earn a variable rate of interest, are well in excess of variable rate borrowings under advance facilities and therefore reduce our exposure to changes in interest rates. We also purchased interest rate caps to minimize future interest rate exposure from increases in one-month LIBOR interest rates, as required by the certain of our advance financing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8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Forward trades are primarily used to fix the forward sales price that will be realized upon the sale of mortgage loans into the secondary market.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8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applicant, whereby the interest rate is set prior to funding. The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derivatives, including forward contracts. We enter into forward contracts with respect to fixed rate loan commitments.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MSRs which we measure at fair value are subject to interest rate risk as the mortgage loans underlying the MSRs permit the borrowers to prepay the loans. Therefore, the fair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 Effective April 1, 2013, we terminated our hedging program for fair value MSRs.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9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March 2013, we entered into an interest rate swap to hedge the impact on cash flows of changes in the purchase price to be paid for MSRs acquired in the Ally MSR Transaction. This purchase was forecasted to occur in stages with the purchase price subject to adjustment based on changes in the 10-year swap rate between the date of the MSR purchase agreement and the date of each closing. We entered into an interest rate swap with a notional amount sufficient to yield changes in the fair value of the interest rate swap in response to changes in the swap rate that were essentially equal to and offsetting to changes in the purchase price of the MSRs. We designated the swap as a hedge for accounting purposes. We completed the transaction in April 2013 and terminated the swap agreement at the same time. See Note 9 – Mortgage Servicing for additional information regarding the Ally MSR Transaction.</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summarizes our use of derivatives at June 30, 2013 and the gains (losses) on those derivatives for the six months then ended. None of these derivatives was designated as a hedge for accounting purposes at 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95"/>
              </w:rPr>
              <w:t>Statement of</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Notional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Gains /</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4820" w:type="dxa"/>
            <w:vAlign w:val="bottom"/>
            <w:gridSpan w:val="2"/>
          </w:tcPr>
          <w:p>
            <w:pPr>
              <w:ind w:left="1980"/>
              <w:spacing w:after="0"/>
              <w:rPr>
                <w:sz w:val="20"/>
                <w:szCs w:val="20"/>
                <w:color w:val="auto"/>
              </w:rPr>
            </w:pPr>
            <w:r>
              <w:rPr>
                <w:rFonts w:ascii="Arial" w:cs="Arial" w:eastAsia="Arial" w:hAnsi="Arial"/>
                <w:sz w:val="18"/>
                <w:szCs w:val="18"/>
                <w:b w:val="1"/>
                <w:bCs w:val="1"/>
                <w:color w:val="auto"/>
              </w:rPr>
              <w:t>Purpose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6"/>
              </w:rPr>
              <w:t>(Losses)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10"/>
        </w:trPr>
        <w:tc>
          <w:tcPr>
            <w:tcW w:w="45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i w:val="1"/>
                <w:iCs w:val="1"/>
                <w:color w:val="auto"/>
              </w:rPr>
              <w:t>Interest rate risk of borrowings</w:t>
            </w:r>
          </w:p>
        </w:tc>
        <w:tc>
          <w:tcPr>
            <w:tcW w:w="24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auto"/>
            </w:tcBorders>
            <w:shd w:val="clear" w:color="auto" w:fill="CCEECC"/>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4820" w:type="dxa"/>
            <w:vAlign w:val="bottom"/>
            <w:gridSpan w:val="2"/>
            <w:shd w:val="clear" w:color="auto" w:fill="CCEECC"/>
          </w:tcPr>
          <w:p>
            <w:pPr>
              <w:spacing w:after="0" w:line="201" w:lineRule="exact"/>
              <w:rPr>
                <w:sz w:val="20"/>
                <w:szCs w:val="20"/>
                <w:color w:val="auto"/>
              </w:rPr>
            </w:pPr>
            <w:r>
              <w:rPr>
                <w:rFonts w:ascii="Arial" w:cs="Arial" w:eastAsia="Arial" w:hAnsi="Arial"/>
                <w:sz w:val="18"/>
                <w:szCs w:val="18"/>
                <w:color w:val="auto"/>
              </w:rPr>
              <w:t>Hedge the effects of changes in 1ML on advance funding</w:t>
            </w:r>
          </w:p>
        </w:tc>
        <w:tc>
          <w:tcPr>
            <w:tcW w:w="11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r>
      <w:tr>
        <w:trPr>
          <w:trHeight w:val="230"/>
        </w:trPr>
        <w:tc>
          <w:tcPr>
            <w:tcW w:w="482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facilities</w:t>
            </w: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2015-2016</w:t>
            </w:r>
          </w:p>
        </w:tc>
        <w:tc>
          <w:tcPr>
            <w:tcW w:w="3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875,000</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Other, net</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Interest rate risk of mortgage loans held for sale and IRLCs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2"/>
        </w:trPr>
        <w:tc>
          <w:tcPr>
            <w:tcW w:w="45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14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w w:val="91"/>
              </w:rPr>
              <w:t>Loss on loans</w:t>
            </w:r>
          </w:p>
        </w:tc>
      </w:tr>
      <w:tr>
        <w:trPr>
          <w:trHeight w:val="216"/>
        </w:trPr>
        <w:tc>
          <w:tcPr>
            <w:tcW w:w="45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w w:val="98"/>
              </w:rPr>
              <w:t>held for sale,</w:t>
            </w:r>
          </w:p>
        </w:tc>
      </w:tr>
      <w:tr>
        <w:trPr>
          <w:trHeight w:val="216"/>
        </w:trPr>
        <w:tc>
          <w:tcPr>
            <w:tcW w:w="45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w w:val="88"/>
              </w:rPr>
              <w:t>net and Other,</w:t>
            </w:r>
          </w:p>
        </w:tc>
      </w:tr>
      <w:tr>
        <w:trPr>
          <w:trHeight w:val="230"/>
        </w:trPr>
        <w:tc>
          <w:tcPr>
            <w:tcW w:w="48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Forward MBS trades</w:t>
            </w:r>
          </w:p>
        </w:tc>
        <w:tc>
          <w:tcPr>
            <w:tcW w:w="1140" w:type="dxa"/>
            <w:vAlign w:val="bottom"/>
            <w:shd w:val="clear" w:color="auto" w:fill="CCEECC"/>
          </w:tcPr>
          <w:p>
            <w:pPr>
              <w:jc w:val="center"/>
              <w:ind w:left="10"/>
              <w:spacing w:after="0"/>
              <w:rPr>
                <w:sz w:val="20"/>
                <w:szCs w:val="20"/>
                <w:color w:val="auto"/>
              </w:rPr>
            </w:pPr>
            <w:r>
              <w:rPr>
                <w:rFonts w:ascii="Arial" w:cs="Arial" w:eastAsia="Arial" w:hAnsi="Arial"/>
                <w:sz w:val="18"/>
                <w:szCs w:val="18"/>
                <w:color w:val="auto"/>
                <w:w w:val="89"/>
              </w:rPr>
              <w:t>2013</w:t>
            </w:r>
          </w:p>
        </w:tc>
        <w:tc>
          <w:tcPr>
            <w:tcW w:w="24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854,926</w:t>
            </w:r>
          </w:p>
        </w:tc>
        <w:tc>
          <w:tcPr>
            <w:tcW w:w="18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18,681</w:t>
            </w:r>
          </w:p>
        </w:tc>
        <w:tc>
          <w:tcPr>
            <w:tcW w:w="16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40,293</w:t>
            </w:r>
          </w:p>
        </w:tc>
        <w:tc>
          <w:tcPr>
            <w:tcW w:w="11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w:t>
            </w:r>
          </w:p>
        </w:tc>
      </w:tr>
      <w:tr>
        <w:trPr>
          <w:trHeight w:val="418"/>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Loss on loans</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w w:val="98"/>
              </w:rPr>
              <w:t>held for sale,</w:t>
            </w:r>
          </w:p>
        </w:tc>
      </w:tr>
      <w:tr>
        <w:trPr>
          <w:trHeight w:val="244"/>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IRLCs</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2013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653,219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(7,064)</w:t>
            </w:r>
          </w:p>
        </w:tc>
        <w:tc>
          <w:tcPr>
            <w:tcW w:w="16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(12,994)</w:t>
            </w:r>
          </w:p>
        </w:tc>
        <w:tc>
          <w:tcPr>
            <w:tcW w:w="1140" w:type="dxa"/>
            <w:vAlign w:val="bottom"/>
          </w:tcPr>
          <w:p>
            <w:pPr>
              <w:ind w:left="100"/>
              <w:spacing w:after="0"/>
              <w:rPr>
                <w:sz w:val="20"/>
                <w:szCs w:val="20"/>
                <w:color w:val="auto"/>
              </w:rPr>
            </w:pPr>
            <w:r>
              <w:rPr>
                <w:rFonts w:ascii="Arial" w:cs="Arial" w:eastAsia="Arial" w:hAnsi="Arial"/>
                <w:sz w:val="18"/>
                <w:szCs w:val="18"/>
                <w:color w:val="auto"/>
              </w:rPr>
              <w:t>net</w:t>
            </w:r>
          </w:p>
        </w:tc>
      </w:tr>
      <w:tr>
        <w:trPr>
          <w:trHeight w:val="223"/>
        </w:trPr>
        <w:tc>
          <w:tcPr>
            <w:tcW w:w="4820" w:type="dxa"/>
            <w:vAlign w:val="bottom"/>
            <w:tcBorders>
              <w:top w:val="single" w:sz="8" w:color="CCEECC"/>
              <w:bottom w:val="single" w:sz="8" w:color="CCEECC"/>
            </w:tcBorders>
            <w:gridSpan w:val="2"/>
            <w:shd w:val="clear" w:color="auto" w:fill="CCEECC"/>
          </w:tcPr>
          <w:p>
            <w:pPr>
              <w:ind w:left="32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90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11,793</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27,308</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14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20" w:right="1380" w:hanging="5612"/>
        <w:spacing w:after="0" w:line="52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 on our unaudited Consolidated Balance Sheets.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right="100" w:firstLine="259"/>
        <w:spacing w:after="0" w:line="264" w:lineRule="auto"/>
        <w:rPr>
          <w:sz w:val="20"/>
          <w:szCs w:val="20"/>
          <w:color w:val="auto"/>
        </w:rPr>
      </w:pPr>
      <w:r>
        <w:rPr>
          <w:rFonts w:ascii="Arial" w:cs="Arial" w:eastAsia="Arial" w:hAnsi="Arial"/>
          <w:sz w:val="18"/>
          <w:szCs w:val="18"/>
          <w:color w:val="auto"/>
        </w:rPr>
        <w:t>Included in AOCL at June 30, 2013 and December 31, 2012, respectively, were $19.9 million and $9.9 million of deferred unrealized losses, before taxes of $7.6 million and $3.6 million, respectively, on interest rate swaps that we designated as cash flow hedges. Changes in the losses on cash flow hedges included in AOCL during the six months ended June 30, 2013 were as follows:</w:t>
      </w:r>
    </w:p>
    <w:p>
      <w:pPr>
        <w:sectPr>
          <w:pgSz w:w="11900" w:h="16838" w:orient="portrait"/>
          <w:cols w:equalWidth="0" w:num="1">
            <w:col w:w="11420"/>
          </w:cols>
          <w:pgMar w:left="240" w:top="66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Accumulated losses on cash flow hedges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Additional net losses on cash flow hedges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Ineffectiveness of cash flow hedges reclassified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Losses on terminated hedging relationships amortized to earnings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Accumulated losses on cash flow hedges at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614" w:hanging="614"/>
        <w:spacing w:after="0"/>
        <w:tabs>
          <w:tab w:leader="none" w:pos="6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9,878</w:t>
      </w:r>
    </w:p>
    <w:p>
      <w:pPr>
        <w:spacing w:after="0" w:line="23" w:lineRule="exact"/>
        <w:rPr>
          <w:rFonts w:ascii="Arial" w:cs="Arial" w:eastAsia="Arial" w:hAnsi="Arial"/>
          <w:sz w:val="18"/>
          <w:szCs w:val="18"/>
          <w:color w:val="auto"/>
        </w:rPr>
      </w:pPr>
    </w:p>
    <w:p>
      <w:pPr>
        <w:ind w:left="534"/>
        <w:spacing w:after="0"/>
        <w:rPr>
          <w:rFonts w:ascii="Arial" w:cs="Arial" w:eastAsia="Arial" w:hAnsi="Arial"/>
          <w:sz w:val="18"/>
          <w:szCs w:val="18"/>
          <w:color w:val="auto"/>
        </w:rPr>
      </w:pPr>
      <w:r>
        <w:rPr>
          <w:rFonts w:ascii="Arial" w:cs="Arial" w:eastAsia="Arial" w:hAnsi="Arial"/>
          <w:sz w:val="18"/>
          <w:szCs w:val="18"/>
          <w:color w:val="auto"/>
        </w:rPr>
        <w:t>12,363</w:t>
      </w:r>
    </w:p>
    <w:p>
      <w:pPr>
        <w:spacing w:after="0" w:line="9" w:lineRule="exact"/>
        <w:rPr>
          <w:rFonts w:ascii="Arial" w:cs="Arial" w:eastAsia="Arial" w:hAnsi="Arial"/>
          <w:sz w:val="18"/>
          <w:szCs w:val="18"/>
          <w:color w:val="auto"/>
        </w:rPr>
      </w:pPr>
    </w:p>
    <w:p>
      <w:pPr>
        <w:ind w:left="694"/>
        <w:spacing w:after="0"/>
        <w:rPr>
          <w:rFonts w:ascii="Arial" w:cs="Arial" w:eastAsia="Arial" w:hAnsi="Arial"/>
          <w:sz w:val="18"/>
          <w:szCs w:val="18"/>
          <w:color w:val="auto"/>
        </w:rPr>
      </w:pPr>
      <w:r>
        <w:rPr>
          <w:rFonts w:ascii="Arial" w:cs="Arial" w:eastAsia="Arial" w:hAnsi="Arial"/>
          <w:sz w:val="17"/>
          <w:szCs w:val="17"/>
          <w:color w:val="auto"/>
        </w:rPr>
        <w:t>(657)</w:t>
      </w:r>
    </w:p>
    <w:p>
      <w:pPr>
        <w:spacing w:after="0" w:line="20" w:lineRule="exact"/>
        <w:rPr>
          <w:rFonts w:ascii="Arial" w:cs="Arial" w:eastAsia="Arial" w:hAnsi="Arial"/>
          <w:sz w:val="18"/>
          <w:szCs w:val="18"/>
          <w:color w:val="auto"/>
        </w:rPr>
      </w:pPr>
    </w:p>
    <w:p>
      <w:pPr>
        <w:ind w:left="554"/>
        <w:spacing w:after="0"/>
        <w:rPr>
          <w:rFonts w:ascii="Arial" w:cs="Arial" w:eastAsia="Arial" w:hAnsi="Arial"/>
          <w:sz w:val="18"/>
          <w:szCs w:val="18"/>
          <w:color w:val="auto"/>
        </w:rPr>
      </w:pPr>
      <w:r>
        <w:rPr>
          <w:rFonts w:ascii="Arial" w:cs="Arial" w:eastAsia="Arial" w:hAnsi="Arial"/>
          <w:sz w:val="17"/>
          <w:szCs w:val="17"/>
          <w:color w:val="auto"/>
        </w:rPr>
        <w:t>(1,654)</w:t>
      </w:r>
    </w:p>
    <w:p>
      <w:pPr>
        <w:spacing w:after="0" w:line="47" w:lineRule="exact"/>
        <w:rPr>
          <w:sz w:val="20"/>
          <w:szCs w:val="20"/>
          <w:color w:val="auto"/>
        </w:rPr>
      </w:pPr>
    </w:p>
    <w:p>
      <w:pPr>
        <w:ind w:left="534" w:hanging="534"/>
        <w:spacing w:after="0"/>
        <w:tabs>
          <w:tab w:leader="none" w:pos="5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515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6" w:space="720"/>
            <w:col w:w="1134"/>
          </w:cols>
          <w:pgMar w:left="240" w:top="665" w:right="239" w:bottom="1440" w:gutter="0" w:footer="0" w:header="0"/>
          <w:type w:val="continuous"/>
        </w:sectPr>
      </w:pPr>
    </w:p>
    <w:p>
      <w:pPr>
        <w:spacing w:after="0" w:line="25" w:lineRule="exact"/>
        <w:rPr>
          <w:sz w:val="20"/>
          <w:szCs w:val="20"/>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Where the hedging relationship has been terminated but the hedged transaction is still forecast to occur, losses on the hedging relationship that are included in AOCL are amortized to earnings in the periods in which earnings are affected by the hedged transaction.</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statements of operations include the following related to derivative financial instruments for the periods ended June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CCEE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EECC"/>
            </w:tcBorders>
          </w:tcPr>
          <w:p>
            <w:pPr>
              <w:spacing w:after="0"/>
              <w:rPr>
                <w:sz w:val="19"/>
                <w:szCs w:val="19"/>
                <w:color w:val="auto"/>
              </w:rPr>
            </w:pPr>
          </w:p>
        </w:tc>
        <w:tc>
          <w:tcPr>
            <w:tcW w:w="14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CCEECC"/>
            </w:tcBorders>
          </w:tcPr>
          <w:p>
            <w:pPr>
              <w:spacing w:after="0"/>
              <w:rPr>
                <w:sz w:val="19"/>
                <w:szCs w:val="19"/>
                <w:color w:val="auto"/>
              </w:rPr>
            </w:pPr>
          </w:p>
        </w:tc>
        <w:tc>
          <w:tcPr>
            <w:tcW w:w="20" w:type="dxa"/>
            <w:vAlign w:val="bottom"/>
            <w:tcBorders>
              <w:top w:val="single" w:sz="8" w:color="auto"/>
              <w:bottom w:val="single" w:sz="8" w:color="CCEE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Servicing and origination expense</w:t>
            </w: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Gains on economic hedges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Loss on loans held for resale, net</w:t>
            </w: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Gains (losses) on economic hedges</w:t>
            </w:r>
          </w:p>
        </w:tc>
        <w:tc>
          <w:tcPr>
            <w:tcW w:w="2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17,056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26,009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Gains (losses) on economic hedges (1)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Ineffectiveness of cash flow hedges</w:t>
            </w:r>
          </w:p>
        </w:tc>
        <w:tc>
          <w:tcPr>
            <w:tcW w:w="2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Write-off of losses in AOCL for a discontinued hedge relationship</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2"/>
        </w:trPr>
        <w:tc>
          <w:tcPr>
            <w:tcW w:w="618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w w:val="96"/>
              </w:rPr>
              <w:t>Write-off of losses in AOCL for hedge of a financing facility assumed by HLSS</w:t>
            </w:r>
          </w:p>
        </w:tc>
        <w:tc>
          <w:tcPr>
            <w:tcW w:w="2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820" w:type="dxa"/>
            <w:vAlign w:val="bottom"/>
            <w:gridSpan w:val="3"/>
            <w:vMerge w:val="restart"/>
            <w:shd w:val="clear" w:color="auto" w:fill="CCEECC"/>
          </w:tcPr>
          <w:p>
            <w:pPr>
              <w:jc w:val="right"/>
              <w:ind w:right="4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30"/>
        </w:trPr>
        <w:tc>
          <w:tcPr>
            <w:tcW w:w="6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(See Note 3 – Transfers of Financial Assets)</w:t>
            </w:r>
          </w:p>
        </w:tc>
        <w:tc>
          <w:tcPr>
            <w:tcW w:w="22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820" w:type="dxa"/>
            <w:vAlign w:val="bottom"/>
            <w:gridSpan w:val="3"/>
            <w:vMerge w:val="continue"/>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18,161</w:t>
            </w:r>
          </w:p>
        </w:tc>
        <w:tc>
          <w:tcPr>
            <w:tcW w:w="36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(1)  Includes a gain of $3.4 million recognized during the three months ended March 31, 2012 from the termination of foreign exchange forward contracts.</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INTEREST EXPENSE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periods ended June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8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CCEE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CCEEC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25,078</w:t>
            </w: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35,920</w:t>
            </w: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55,429</w:t>
            </w:r>
          </w:p>
        </w:tc>
        <w:tc>
          <w:tcPr>
            <w:tcW w:w="3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67,035</w:t>
            </w:r>
          </w:p>
        </w:tc>
        <w:tc>
          <w:tcPr>
            <w:tcW w:w="100" w:type="dxa"/>
            <w:vAlign w:val="bottom"/>
            <w:shd w:val="clear" w:color="auto" w:fill="CCEEC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borrowings (1)</w:t>
            </w:r>
          </w:p>
        </w:tc>
        <w:tc>
          <w:tcPr>
            <w:tcW w:w="2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72,180</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21,060</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132,703</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35,283</w:t>
            </w:r>
          </w:p>
        </w:tc>
      </w:tr>
      <w:tr>
        <w:trPr>
          <w:trHeight w:val="216"/>
        </w:trPr>
        <w:tc>
          <w:tcPr>
            <w:tcW w:w="6180" w:type="dxa"/>
            <w:vAlign w:val="bottom"/>
            <w:shd w:val="clear" w:color="auto" w:fill="CCEECC"/>
          </w:tcPr>
          <w:p>
            <w:pPr>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3.25% Convertible Notes</w:t>
            </w:r>
          </w:p>
        </w:tc>
        <w:tc>
          <w:tcPr>
            <w:tcW w:w="2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6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10.875% Capital Trust Securities</w:t>
            </w:r>
          </w:p>
        </w:tc>
        <w:tc>
          <w:tcPr>
            <w:tcW w:w="2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1,420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5,152</w:t>
            </w: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r>
      <w:tr>
        <w:trPr>
          <w:trHeight w:val="223"/>
        </w:trPr>
        <w:tc>
          <w:tcPr>
            <w:tcW w:w="61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99,868</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58,319</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193,284</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105,243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400" w:hanging="332"/>
        <w:spacing w:after="0" w:line="28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interest expense of $49.9 million and $10.6 million for the three months ended June 30, 2013 and 2012, respectively, and $94.4 million and $13.5 million for the six months ended June 30, 2013 and 2012, respectively, related to financing liabilities recorded in connection with the HLSS Transactions. See Note 3 – Transfers of Financial Assets and Note 15 – Other Borrowings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36" w:name="page37"/>
    <w:bookmarkEnd w:id="36"/>
    <w:p>
      <w:pPr>
        <w:spacing w:after="0"/>
        <w:tabs>
          <w:tab w:leader="none" w:pos="112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BASIC AND DILUTED EARNINGS PER SHARE (EPS)</w:t>
      </w:r>
    </w:p>
    <w:p>
      <w:pPr>
        <w:spacing w:after="0" w:line="189"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and interest expense net of income tax on the Convertible Notes, by the weighted average number of common shares outstanding including the potential dilutive common shares related to outstanding stock options, restricted stock awards, the Preferred Shares and the Convertible Notes. The following is a reconciliation of the calculation of basic EPS to diluted EPS for the periods ended June 30: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CCEECC"/>
            </w:tcBorders>
          </w:tcPr>
          <w:p>
            <w:pPr>
              <w:spacing w:after="0"/>
              <w:rPr>
                <w:sz w:val="19"/>
                <w:szCs w:val="19"/>
                <w:color w:val="auto"/>
              </w:rPr>
            </w:pPr>
          </w:p>
        </w:tc>
        <w:tc>
          <w:tcPr>
            <w:tcW w:w="140" w:type="dxa"/>
            <w:vAlign w:val="bottom"/>
            <w:tcBorders>
              <w:bottom w:val="single" w:sz="8" w:color="CCEECC"/>
            </w:tcBorders>
          </w:tcPr>
          <w:p>
            <w:pPr>
              <w:spacing w:after="0"/>
              <w:rPr>
                <w:sz w:val="19"/>
                <w:szCs w:val="19"/>
                <w:color w:val="auto"/>
              </w:rPr>
            </w:pPr>
          </w:p>
        </w:tc>
        <w:tc>
          <w:tcPr>
            <w:tcW w:w="3720" w:type="dxa"/>
            <w:vAlign w:val="bottom"/>
            <w:tcBorders>
              <w:bottom w:val="single" w:sz="8" w:color="CCEECC"/>
            </w:tcBorders>
          </w:tcPr>
          <w:p>
            <w:pPr>
              <w:spacing w:after="0"/>
              <w:rPr>
                <w:sz w:val="19"/>
                <w:szCs w:val="19"/>
                <w:color w:val="auto"/>
              </w:rPr>
            </w:pPr>
          </w:p>
        </w:tc>
        <w:tc>
          <w:tcPr>
            <w:tcW w:w="2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19"/>
                <w:szCs w:val="19"/>
                <w:color w:val="auto"/>
              </w:rPr>
            </w:pPr>
          </w:p>
        </w:tc>
        <w:tc>
          <w:tcPr>
            <w:tcW w:w="2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bottom w:val="single" w:sz="8" w:color="auto"/>
            </w:tcBorders>
            <w:shd w:val="clear" w:color="auto" w:fill="CCEECC"/>
          </w:tcPr>
          <w:p>
            <w:pPr>
              <w:spacing w:after="0" w:line="170" w:lineRule="exact"/>
              <w:rPr>
                <w:sz w:val="20"/>
                <w:szCs w:val="20"/>
                <w:color w:val="auto"/>
              </w:rPr>
            </w:pPr>
            <w:r>
              <w:rPr>
                <w:rFonts w:ascii="Arial" w:cs="Arial" w:eastAsia="Arial" w:hAnsi="Arial"/>
                <w:sz w:val="18"/>
                <w:szCs w:val="18"/>
                <w:color w:val="auto"/>
                <w:w w:val="86"/>
              </w:rPr>
              <w:t>Basic EPS:</w:t>
            </w:r>
          </w:p>
        </w:tc>
        <w:tc>
          <w:tcPr>
            <w:tcW w:w="3860" w:type="dxa"/>
            <w:vAlign w:val="bottom"/>
            <w:tcBorders>
              <w:bottom w:val="single" w:sz="8" w:color="CCEECC"/>
            </w:tcBorders>
            <w:gridSpan w:val="2"/>
            <w:shd w:val="clear" w:color="auto" w:fill="CCEECC"/>
          </w:tcPr>
          <w:p>
            <w:pPr>
              <w:spacing w:after="0"/>
              <w:rPr>
                <w:sz w:val="16"/>
                <w:szCs w:val="16"/>
                <w:color w:val="auto"/>
              </w:rPr>
            </w:pPr>
          </w:p>
        </w:tc>
        <w:tc>
          <w:tcPr>
            <w:tcW w:w="26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1040" w:type="dxa"/>
            <w:vAlign w:val="bottom"/>
            <w:tcBorders>
              <w:bottom w:val="single" w:sz="8" w:color="CCEECC"/>
            </w:tcBorders>
            <w:shd w:val="clear" w:color="auto" w:fill="CCEECC"/>
          </w:tcPr>
          <w:p>
            <w:pPr>
              <w:spacing w:after="0"/>
              <w:rPr>
                <w:sz w:val="16"/>
                <w:szCs w:val="16"/>
                <w:color w:val="auto"/>
              </w:rPr>
            </w:pPr>
          </w:p>
        </w:tc>
        <w:tc>
          <w:tcPr>
            <w:tcW w:w="240" w:type="dxa"/>
            <w:vAlign w:val="bottom"/>
            <w:tcBorders>
              <w:bottom w:val="single" w:sz="8" w:color="CCEECC"/>
            </w:tcBorders>
            <w:shd w:val="clear" w:color="auto" w:fill="CCEECC"/>
          </w:tcPr>
          <w:p>
            <w:pPr>
              <w:spacing w:after="0"/>
              <w:rPr>
                <w:sz w:val="16"/>
                <w:szCs w:val="16"/>
                <w:color w:val="auto"/>
              </w:rPr>
            </w:pPr>
          </w:p>
        </w:tc>
        <w:tc>
          <w:tcPr>
            <w:tcW w:w="240" w:type="dxa"/>
            <w:vAlign w:val="bottom"/>
            <w:tcBorders>
              <w:bottom w:val="single" w:sz="8" w:color="CCEECC"/>
            </w:tcBorders>
            <w:shd w:val="clear" w:color="auto" w:fill="CCEECC"/>
          </w:tcPr>
          <w:p>
            <w:pPr>
              <w:spacing w:after="0"/>
              <w:rPr>
                <w:sz w:val="16"/>
                <w:szCs w:val="16"/>
                <w:color w:val="auto"/>
              </w:rPr>
            </w:pPr>
          </w:p>
        </w:tc>
        <w:tc>
          <w:tcPr>
            <w:tcW w:w="320" w:type="dxa"/>
            <w:vAlign w:val="bottom"/>
            <w:tcBorders>
              <w:bottom w:val="single" w:sz="8" w:color="CCEECC"/>
            </w:tcBorders>
            <w:shd w:val="clear" w:color="auto" w:fill="CCEECC"/>
          </w:tcPr>
          <w:p>
            <w:pPr>
              <w:spacing w:after="0"/>
              <w:rPr>
                <w:sz w:val="16"/>
                <w:szCs w:val="16"/>
                <w:color w:val="auto"/>
              </w:rPr>
            </w:pPr>
          </w:p>
        </w:tc>
        <w:tc>
          <w:tcPr>
            <w:tcW w:w="94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10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280" w:type="dxa"/>
            <w:vAlign w:val="bottom"/>
            <w:tcBorders>
              <w:bottom w:val="single" w:sz="8" w:color="CCEECC"/>
            </w:tcBorders>
            <w:shd w:val="clear" w:color="auto" w:fill="CCEECC"/>
          </w:tcPr>
          <w:p>
            <w:pPr>
              <w:spacing w:after="0"/>
              <w:rPr>
                <w:sz w:val="16"/>
                <w:szCs w:val="16"/>
                <w:color w:val="auto"/>
              </w:rPr>
            </w:pPr>
          </w:p>
        </w:tc>
        <w:tc>
          <w:tcPr>
            <w:tcW w:w="980" w:type="dxa"/>
            <w:vAlign w:val="bottom"/>
            <w:tcBorders>
              <w:bottom w:val="single" w:sz="8" w:color="CCEECC"/>
            </w:tcBorders>
            <w:shd w:val="clear" w:color="auto" w:fill="CCEECC"/>
          </w:tcPr>
          <w:p>
            <w:pPr>
              <w:spacing w:after="0"/>
              <w:rPr>
                <w:sz w:val="16"/>
                <w:szCs w:val="16"/>
                <w:color w:val="auto"/>
              </w:rPr>
            </w:pPr>
          </w:p>
        </w:tc>
        <w:tc>
          <w:tcPr>
            <w:tcW w:w="100" w:type="dxa"/>
            <w:vAlign w:val="bottom"/>
            <w:tcBorders>
              <w:bottom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74,116</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44,833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116,692</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Weighted average shares of common stock</w:t>
            </w:r>
          </w:p>
        </w:tc>
        <w:tc>
          <w:tcPr>
            <w:tcW w:w="26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2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135,690,264</w:t>
            </w:r>
          </w:p>
        </w:tc>
        <w:tc>
          <w:tcPr>
            <w:tcW w:w="240" w:type="dxa"/>
            <w:vAlign w:val="bottom"/>
            <w:shd w:val="clear" w:color="auto" w:fill="CCEECC"/>
          </w:tcPr>
          <w:p>
            <w:pPr>
              <w:spacing w:after="0"/>
              <w:rPr>
                <w:sz w:val="21"/>
                <w:szCs w:val="21"/>
                <w:color w:val="auto"/>
              </w:rPr>
            </w:pPr>
          </w:p>
        </w:tc>
        <w:tc>
          <w:tcPr>
            <w:tcW w:w="320" w:type="dxa"/>
            <w:vAlign w:val="bottom"/>
            <w:shd w:val="clear" w:color="auto" w:fill="CCEECC"/>
          </w:tcPr>
          <w:p>
            <w:pPr>
              <w:spacing w:after="0"/>
              <w:rPr>
                <w:sz w:val="21"/>
                <w:szCs w:val="21"/>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1"/>
              </w:rPr>
              <w:t>134,856,101</w:t>
            </w:r>
          </w:p>
        </w:tc>
        <w:tc>
          <w:tcPr>
            <w:tcW w:w="22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2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9"/>
              </w:rPr>
              <w:t>135,664,242</w:t>
            </w:r>
          </w:p>
        </w:tc>
        <w:tc>
          <w:tcPr>
            <w:tcW w:w="220" w:type="dxa"/>
            <w:vAlign w:val="bottom"/>
            <w:shd w:val="clear" w:color="auto" w:fill="CCEECC"/>
          </w:tcPr>
          <w:p>
            <w:pPr>
              <w:spacing w:after="0"/>
              <w:rPr>
                <w:sz w:val="21"/>
                <w:szCs w:val="21"/>
                <w:color w:val="auto"/>
              </w:rPr>
            </w:pPr>
          </w:p>
        </w:tc>
        <w:tc>
          <w:tcPr>
            <w:tcW w:w="28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5"/>
              </w:rPr>
              <w:t>132,752,848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CC"/>
          </w:tcPr>
          <w:p>
            <w:pPr>
              <w:spacing w:after="0" w:line="20" w:lineRule="exact"/>
              <w:rPr>
                <w:sz w:val="1"/>
                <w:szCs w:val="1"/>
                <w:color w:val="auto"/>
              </w:rPr>
            </w:pPr>
          </w:p>
        </w:tc>
        <w:tc>
          <w:tcPr>
            <w:tcW w:w="140" w:type="dxa"/>
            <w:vAlign w:val="bottom"/>
            <w:shd w:val="clear" w:color="auto" w:fill="CCEECC"/>
          </w:tcPr>
          <w:p>
            <w:pPr>
              <w:spacing w:after="0" w:line="20" w:lineRule="exact"/>
              <w:rPr>
                <w:sz w:val="1"/>
                <w:szCs w:val="1"/>
                <w:color w:val="auto"/>
              </w:rPr>
            </w:pPr>
          </w:p>
        </w:tc>
        <w:tc>
          <w:tcPr>
            <w:tcW w:w="3720" w:type="dxa"/>
            <w:vAlign w:val="bottom"/>
            <w:shd w:val="clear" w:color="auto" w:fill="CCEECC"/>
          </w:tcPr>
          <w:p>
            <w:pPr>
              <w:spacing w:after="0" w:line="20" w:lineRule="exact"/>
              <w:rPr>
                <w:sz w:val="1"/>
                <w:szCs w:val="1"/>
                <w:color w:val="auto"/>
              </w:rPr>
            </w:pPr>
          </w:p>
        </w:tc>
        <w:tc>
          <w:tcPr>
            <w:tcW w:w="26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CC"/>
          </w:tcPr>
          <w:p>
            <w:pPr>
              <w:spacing w:after="0" w:line="20" w:lineRule="exact"/>
              <w:rPr>
                <w:sz w:val="1"/>
                <w:szCs w:val="1"/>
                <w:color w:val="auto"/>
              </w:rPr>
            </w:pPr>
          </w:p>
        </w:tc>
        <w:tc>
          <w:tcPr>
            <w:tcW w:w="24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Basic EPS</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gridSpan w:val="4"/>
            <w:vMerge w:val="continue"/>
          </w:tcPr>
          <w:p>
            <w:pPr>
              <w:spacing w:after="0"/>
              <w:rPr>
                <w:sz w:val="24"/>
                <w:szCs w:val="24"/>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0.86</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auto"/>
            </w:tcBorders>
            <w:gridSpan w:val="2"/>
            <w:shd w:val="clear" w:color="auto" w:fill="CCEECC"/>
          </w:tcPr>
          <w:p>
            <w:pPr>
              <w:spacing w:after="0" w:line="176" w:lineRule="exact"/>
              <w:rPr>
                <w:sz w:val="20"/>
                <w:szCs w:val="20"/>
                <w:color w:val="auto"/>
              </w:rPr>
            </w:pPr>
            <w:r>
              <w:rPr>
                <w:rFonts w:ascii="Arial" w:cs="Arial" w:eastAsia="Arial" w:hAnsi="Arial"/>
                <w:sz w:val="18"/>
                <w:szCs w:val="18"/>
                <w:color w:val="auto"/>
                <w:w w:val="90"/>
              </w:rPr>
              <w:t>Diluted EPS:</w:t>
            </w:r>
          </w:p>
        </w:tc>
        <w:tc>
          <w:tcPr>
            <w:tcW w:w="3720" w:type="dxa"/>
            <w:vAlign w:val="bottom"/>
            <w:tcBorders>
              <w:bottom w:val="single" w:sz="8" w:color="CCEECC"/>
            </w:tcBorders>
            <w:shd w:val="clear" w:color="auto" w:fill="CCEECC"/>
          </w:tcPr>
          <w:p>
            <w:pPr>
              <w:spacing w:after="0"/>
              <w:rPr>
                <w:sz w:val="17"/>
                <w:szCs w:val="17"/>
                <w:color w:val="auto"/>
              </w:rPr>
            </w:pPr>
          </w:p>
        </w:tc>
        <w:tc>
          <w:tcPr>
            <w:tcW w:w="26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04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320" w:type="dxa"/>
            <w:vAlign w:val="bottom"/>
            <w:tcBorders>
              <w:bottom w:val="single" w:sz="8" w:color="CCEECC"/>
            </w:tcBorders>
            <w:shd w:val="clear" w:color="auto" w:fill="CCEECC"/>
          </w:tcPr>
          <w:p>
            <w:pPr>
              <w:spacing w:after="0"/>
              <w:rPr>
                <w:sz w:val="17"/>
                <w:szCs w:val="17"/>
                <w:color w:val="auto"/>
              </w:rPr>
            </w:pPr>
          </w:p>
        </w:tc>
        <w:tc>
          <w:tcPr>
            <w:tcW w:w="94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0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80" w:type="dxa"/>
            <w:vAlign w:val="bottom"/>
            <w:tcBorders>
              <w:bottom w:val="single" w:sz="8" w:color="CCEECC"/>
            </w:tcBorders>
            <w:shd w:val="clear" w:color="auto" w:fill="CCEECC"/>
          </w:tcPr>
          <w:p>
            <w:pPr>
              <w:spacing w:after="0"/>
              <w:rPr>
                <w:sz w:val="17"/>
                <w:szCs w:val="17"/>
                <w:color w:val="auto"/>
              </w:rPr>
            </w:pPr>
          </w:p>
        </w:tc>
        <w:tc>
          <w:tcPr>
            <w:tcW w:w="98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74,116</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44,833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116,692</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Preferred stock dividends (1)</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2,605</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w w:val="96"/>
              </w:rPr>
              <w:t>Interest expense on Convertible Notes, net of income tax (2)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CEECC"/>
              <w:bottom w:val="single" w:sz="8" w:color="CCEECC"/>
            </w:tcBorders>
            <w:gridSpan w:val="3"/>
            <w:shd w:val="clear" w:color="auto" w:fill="CCEECC"/>
          </w:tcPr>
          <w:p>
            <w:pPr>
              <w:spacing w:after="0"/>
              <w:rPr>
                <w:sz w:val="20"/>
                <w:szCs w:val="20"/>
                <w:color w:val="auto"/>
              </w:rPr>
            </w:pPr>
            <w:r>
              <w:rPr>
                <w:rFonts w:ascii="Arial" w:cs="Arial" w:eastAsia="Arial" w:hAnsi="Arial"/>
                <w:sz w:val="18"/>
                <w:szCs w:val="18"/>
                <w:color w:val="auto"/>
              </w:rPr>
              <w:t>Adjusted net income attributable to Ocwen</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76,721</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44,833</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116,692</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64,280</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4"/>
          </w:tcPr>
          <w:p>
            <w:pPr>
              <w:spacing w:after="0"/>
              <w:rPr>
                <w:sz w:val="20"/>
                <w:szCs w:val="20"/>
                <w:color w:val="auto"/>
              </w:rPr>
            </w:pPr>
            <w:r>
              <w:rPr>
                <w:rFonts w:ascii="Arial" w:cs="Arial" w:eastAsia="Arial" w:hAnsi="Arial"/>
                <w:sz w:val="18"/>
                <w:szCs w:val="18"/>
                <w:color w:val="auto"/>
              </w:rPr>
              <w:t>Weighted average shares of common stock</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135,690,264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134,856,101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135,664,242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132,752,848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Effect of dilutive elements:</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20"/>
              <w:spacing w:after="0"/>
              <w:rPr>
                <w:sz w:val="20"/>
                <w:szCs w:val="20"/>
                <w:color w:val="auto"/>
              </w:rPr>
            </w:pPr>
            <w:r>
              <w:rPr>
                <w:rFonts w:ascii="Arial" w:cs="Arial" w:eastAsia="Arial" w:hAnsi="Arial"/>
                <w:sz w:val="18"/>
                <w:szCs w:val="18"/>
                <w:color w:val="auto"/>
              </w:rPr>
              <w:t>Preferred Shares (1)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5,095,942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Convertible Notes (2)</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2,028,868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3,924,536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3,297,798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3,913,463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3,317,685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Common stock awards</w:t>
            </w:r>
          </w:p>
        </w:tc>
        <w:tc>
          <w:tcPr>
            <w:tcW w:w="2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10,305</w:t>
            </w:r>
          </w:p>
        </w:tc>
        <w:tc>
          <w:tcPr>
            <w:tcW w:w="24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14,253</w:t>
            </w:r>
          </w:p>
        </w:tc>
        <w:tc>
          <w:tcPr>
            <w:tcW w:w="2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3"/>
        </w:trPr>
        <w:tc>
          <w:tcPr>
            <w:tcW w:w="4680" w:type="dxa"/>
            <w:vAlign w:val="bottom"/>
            <w:gridSpan w:val="4"/>
          </w:tcPr>
          <w:p>
            <w:pPr>
              <w:spacing w:after="0"/>
              <w:rPr>
                <w:sz w:val="20"/>
                <w:szCs w:val="20"/>
                <w:color w:val="auto"/>
              </w:rPr>
            </w:pPr>
            <w:r>
              <w:rPr>
                <w:rFonts w:ascii="Arial" w:cs="Arial" w:eastAsia="Arial" w:hAnsi="Arial"/>
                <w:sz w:val="18"/>
                <w:szCs w:val="18"/>
                <w:color w:val="auto"/>
              </w:rPr>
              <w:t>Dilutive weighted average shares of common stock</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144,721,047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138,155,373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139,591,958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138,100,822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Diluted EPS</w:t>
            </w:r>
          </w:p>
        </w:tc>
        <w:tc>
          <w:tcPr>
            <w:tcW w:w="480" w:type="dxa"/>
            <w:vAlign w:val="bottom"/>
            <w:gridSpan w:val="2"/>
            <w:shd w:val="clear" w:color="auto" w:fill="CCEECC"/>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0.53</w:t>
            </w:r>
          </w:p>
        </w:tc>
        <w:tc>
          <w:tcPr>
            <w:tcW w:w="56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0.84</w:t>
            </w:r>
          </w:p>
        </w:tc>
        <w:tc>
          <w:tcPr>
            <w:tcW w:w="5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CC"/>
          </w:tcPr>
          <w:p>
            <w:pPr>
              <w:spacing w:after="0" w:line="20" w:lineRule="exact"/>
              <w:rPr>
                <w:sz w:val="1"/>
                <w:szCs w:val="1"/>
                <w:color w:val="auto"/>
              </w:rPr>
            </w:pPr>
          </w:p>
        </w:tc>
        <w:tc>
          <w:tcPr>
            <w:tcW w:w="140" w:type="dxa"/>
            <w:vAlign w:val="bottom"/>
            <w:shd w:val="clear" w:color="auto" w:fill="CCEECC"/>
          </w:tcPr>
          <w:p>
            <w:pPr>
              <w:spacing w:after="0" w:line="20" w:lineRule="exact"/>
              <w:rPr>
                <w:sz w:val="1"/>
                <w:szCs w:val="1"/>
                <w:color w:val="auto"/>
              </w:rPr>
            </w:pPr>
          </w:p>
        </w:tc>
        <w:tc>
          <w:tcPr>
            <w:tcW w:w="3720" w:type="dxa"/>
            <w:vAlign w:val="bottom"/>
            <w:shd w:val="clear" w:color="auto" w:fill="CCEECC"/>
          </w:tcPr>
          <w:p>
            <w:pPr>
              <w:spacing w:after="0" w:line="20" w:lineRule="exact"/>
              <w:rPr>
                <w:sz w:val="1"/>
                <w:szCs w:val="1"/>
                <w:color w:val="auto"/>
              </w:rPr>
            </w:pPr>
          </w:p>
        </w:tc>
        <w:tc>
          <w:tcPr>
            <w:tcW w:w="26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CC"/>
          </w:tcPr>
          <w:p>
            <w:pPr>
              <w:spacing w:after="0" w:line="20" w:lineRule="exact"/>
              <w:rPr>
                <w:sz w:val="1"/>
                <w:szCs w:val="1"/>
                <w:color w:val="auto"/>
              </w:rPr>
            </w:pPr>
          </w:p>
        </w:tc>
        <w:tc>
          <w:tcPr>
            <w:tcW w:w="24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w w:val="96"/>
              </w:rPr>
              <w:t>Stock options excluded from the computation of diluted EPS:</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Anti-dilutive (3)</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166,250</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158,750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1,530,000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558,750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558,750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right="20" w:hanging="332"/>
        <w:spacing w:after="0" w:line="31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effect of our Preferred Shares on diluted EPS is computed using the if-converted method. In the three months ended June 30, 2013, the effect of the Preferred Shares was dilutive, and we added back preferred stock dividends, including the deemed dividend related to the BCF of the Preferred Shares, to net income. We assumed no conversion to common shares for the six months ended June 30, 2013 because the effect was anti-dilutive.</w:t>
      </w:r>
    </w:p>
    <w:p>
      <w:pPr>
        <w:spacing w:after="0" w:line="106" w:lineRule="exact"/>
        <w:rPr>
          <w:rFonts w:ascii="Arial" w:cs="Arial" w:eastAsia="Arial" w:hAnsi="Arial"/>
          <w:sz w:val="16"/>
          <w:szCs w:val="16"/>
          <w:color w:val="auto"/>
        </w:rPr>
      </w:pPr>
    </w:p>
    <w:p>
      <w:pPr>
        <w:ind w:left="340" w:right="200" w:hanging="332"/>
        <w:spacing w:after="0" w:line="279"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the redemption of the 3.25% Convertible Notes in March 2012, we also computed their effect on diluted EPS using the if-converted method. Interest expense and related amortization costs applicable to the Convertible Notes, net of income tax, were added back to net income. We assumed the conversion of the Convertible Notes into shares of common stock for purposes of computing diluted EPS unless the effect was anti-dilutive. We issued 4,635,159 shares of common stock upon conversion of $56.4 million of the Convertible Notes.</w:t>
      </w:r>
    </w:p>
    <w:p>
      <w:pPr>
        <w:spacing w:after="0" w:line="144"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OCN’s stock price and an annualized rate of return to investors.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BUSINESS SEGMENT REPORTING</w:t>
      </w:r>
    </w:p>
    <w:p>
      <w:pPr>
        <w:spacing w:after="0" w:line="18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143"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both agency and non-agency loans. Non-agency loans include prime and subprime loans which represent residential loans that generally did not qualify under GSE guidelines or have subsequently become delinquent.</w:t>
      </w:r>
    </w:p>
    <w:p>
      <w:pPr>
        <w:spacing w:after="0" w:line="13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i w:val="1"/>
          <w:iCs w:val="1"/>
          <w:color w:val="auto"/>
        </w:rPr>
        <w:t xml:space="preserve">Lending. </w:t>
      </w:r>
      <w:r>
        <w:rPr>
          <w:rFonts w:ascii="Arial" w:cs="Arial" w:eastAsia="Arial" w:hAnsi="Arial"/>
          <w:sz w:val="17"/>
          <w:szCs w:val="17"/>
          <w:color w:val="auto"/>
        </w:rPr>
        <w:t>The Lending segment is focused on originating and purchasing agency-conforming residential forward and reverse mortgage loans mainly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correspondent lending arrangements. We also commenced a direct lending business to pursue refinancing opportunities from our existing portfolio, where permitted. The loans are typically sold shortly after origination into a liquid market on a servicing retained basis.</w:t>
      </w:r>
    </w:p>
    <w:p>
      <w:pPr>
        <w:spacing w:after="0" w:line="125"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Homeward and ResCap Acquisitions and subsequently sold to Altisource.</w:t>
      </w:r>
    </w:p>
    <w:p>
      <w:pPr>
        <w:spacing w:after="0" w:line="14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w w:val="96"/>
              </w:rPr>
              <w:t>Financial information for our segments is as follows: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Corporate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Servicing</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Lending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60" w:type="dxa"/>
            <w:vAlign w:val="bottom"/>
            <w:gridSpan w:val="3"/>
          </w:tcPr>
          <w:p>
            <w:pPr>
              <w:spacing w:after="0"/>
              <w:rPr>
                <w:sz w:val="20"/>
                <w:szCs w:val="20"/>
                <w:color w:val="auto"/>
              </w:rPr>
            </w:pPr>
            <w:r>
              <w:rPr>
                <w:rFonts w:ascii="Arial" w:cs="Arial" w:eastAsia="Arial" w:hAnsi="Arial"/>
                <w:sz w:val="18"/>
                <w:szCs w:val="18"/>
                <w:color w:val="auto"/>
              </w:rPr>
              <w:t>Three Months Ended June 30, 2013: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495,033</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33,735</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1,241</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(44)</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529,965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282,651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28,941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63,248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374,796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212,382</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4,794</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(62,007</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155,169</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3,485</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4,587</w:t>
            </w: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1,042</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(96,073)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17,923</w:t>
            </w:r>
          </w:p>
        </w:tc>
        <w:tc>
          <w:tcPr>
            <w:tcW w:w="3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4,741</w:t>
            </w:r>
          </w:p>
        </w:tc>
        <w:tc>
          <w:tcPr>
            <w:tcW w:w="2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(74,665</w:t>
            </w:r>
          </w:p>
        </w:tc>
        <w:tc>
          <w:tcPr>
            <w:tcW w:w="14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28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(67,659</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CC"/>
            </w:tcBorders>
            <w:gridSpan w:val="2"/>
            <w:shd w:val="clear" w:color="auto" w:fill="CCEECC"/>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137,717</w:t>
            </w:r>
          </w:p>
        </w:tc>
        <w:tc>
          <w:tcPr>
            <w:tcW w:w="140" w:type="dxa"/>
            <w:vAlign w:val="bottom"/>
            <w:tcBorders>
              <w:bottom w:val="single" w:sz="8" w:color="CCEECC"/>
            </w:tcBorders>
            <w:shd w:val="clear" w:color="auto" w:fill="CCEECC"/>
          </w:tcPr>
          <w:p>
            <w:pPr>
              <w:spacing w:after="0"/>
              <w:rPr>
                <w:sz w:val="19"/>
                <w:szCs w:val="19"/>
                <w:color w:val="auto"/>
              </w:rPr>
            </w:pPr>
          </w:p>
        </w:tc>
        <w:tc>
          <w:tcPr>
            <w:tcW w:w="32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10,121</w:t>
            </w:r>
          </w:p>
        </w:tc>
        <w:tc>
          <w:tcPr>
            <w:tcW w:w="2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(60,328</w:t>
            </w:r>
          </w:p>
        </w:tc>
        <w:tc>
          <w:tcPr>
            <w:tcW w:w="240" w:type="dxa"/>
            <w:vAlign w:val="bottom"/>
            <w:tcBorders>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87,510</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Three Months Ended June 30, 2012:</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210,407</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1,204</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(230)</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211,381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80,936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129,471</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(3,895</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125,477</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(58,139)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(57,069</w:t>
            </w:r>
          </w:p>
        </w:tc>
        <w:tc>
          <w:tcPr>
            <w:tcW w:w="14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(55,313</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CC"/>
            </w:tcBorders>
            <w:gridSpan w:val="2"/>
            <w:shd w:val="clear" w:color="auto" w:fill="CCEECC"/>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72,402</w:t>
            </w:r>
          </w:p>
        </w:tc>
        <w:tc>
          <w:tcPr>
            <w:tcW w:w="140" w:type="dxa"/>
            <w:vAlign w:val="bottom"/>
            <w:tcBorders>
              <w:bottom w:val="single" w:sz="8" w:color="CCEECC"/>
            </w:tcBorders>
            <w:shd w:val="clear" w:color="auto" w:fill="CCEECC"/>
          </w:tcPr>
          <w:p>
            <w:pPr>
              <w:spacing w:after="0"/>
              <w:rPr>
                <w:sz w:val="19"/>
                <w:szCs w:val="19"/>
                <w:color w:val="auto"/>
              </w:rPr>
            </w:pPr>
          </w:p>
        </w:tc>
        <w:tc>
          <w:tcPr>
            <w:tcW w:w="32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CC"/>
          </w:tcPr>
          <w:p>
            <w:pPr>
              <w:spacing w:after="0"/>
              <w:rPr>
                <w:sz w:val="19"/>
                <w:szCs w:val="19"/>
                <w:color w:val="auto"/>
              </w:rPr>
            </w:pPr>
          </w:p>
        </w:tc>
        <w:tc>
          <w:tcPr>
            <w:tcW w:w="2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(2,238</w:t>
            </w:r>
          </w:p>
        </w:tc>
        <w:tc>
          <w:tcPr>
            <w:tcW w:w="240" w:type="dxa"/>
            <w:vAlign w:val="bottom"/>
            <w:tcBorders>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70,164</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Servicing</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Lending</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CCEECC"/>
            </w:tcBorders>
            <w:gridSpan w:val="3"/>
            <w:shd w:val="clear" w:color="auto" w:fill="CCEECC"/>
          </w:tcPr>
          <w:p>
            <w:pPr>
              <w:spacing w:after="0" w:line="170" w:lineRule="exact"/>
              <w:rPr>
                <w:sz w:val="20"/>
                <w:szCs w:val="20"/>
                <w:color w:val="auto"/>
              </w:rPr>
            </w:pPr>
            <w:r>
              <w:rPr>
                <w:rFonts w:ascii="Arial" w:cs="Arial" w:eastAsia="Arial" w:hAnsi="Arial"/>
                <w:sz w:val="18"/>
                <w:szCs w:val="18"/>
                <w:color w:val="auto"/>
              </w:rPr>
              <w:t>Six Months Ended June 30, 2013:</w:t>
            </w:r>
          </w:p>
        </w:tc>
        <w:tc>
          <w:tcPr>
            <w:tcW w:w="12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140" w:type="dxa"/>
            <w:vAlign w:val="bottom"/>
            <w:tcBorders>
              <w:top w:val="single" w:sz="8" w:color="CCEECC"/>
            </w:tcBorders>
            <w:shd w:val="clear" w:color="auto" w:fill="CCEECC"/>
          </w:tcPr>
          <w:p>
            <w:pPr>
              <w:spacing w:after="0"/>
              <w:rPr>
                <w:sz w:val="16"/>
                <w:szCs w:val="16"/>
                <w:color w:val="auto"/>
              </w:rPr>
            </w:pPr>
          </w:p>
        </w:tc>
        <w:tc>
          <w:tcPr>
            <w:tcW w:w="3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26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920" w:type="dxa"/>
            <w:vAlign w:val="bottom"/>
            <w:tcBorders>
              <w:top w:val="single" w:sz="8" w:color="CCEECC"/>
            </w:tcBorders>
            <w:gridSpan w:val="2"/>
          </w:tcPr>
          <w:p>
            <w:pPr>
              <w:spacing w:after="0"/>
              <w:rPr>
                <w:sz w:val="18"/>
                <w:szCs w:val="18"/>
                <w:color w:val="auto"/>
              </w:rPr>
            </w:pPr>
          </w:p>
        </w:tc>
        <w:tc>
          <w:tcPr>
            <w:tcW w:w="120" w:type="dxa"/>
            <w:vAlign w:val="bottom"/>
            <w:tcBorders>
              <w:top w:val="single" w:sz="8" w:color="CCEECC"/>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rPr>
              <w:t>869,300</w:t>
            </w:r>
          </w:p>
        </w:tc>
        <w:tc>
          <w:tcPr>
            <w:tcW w:w="140" w:type="dxa"/>
            <w:vAlign w:val="bottom"/>
            <w:tcBorders>
              <w:top w:val="single" w:sz="8" w:color="CCEECC"/>
            </w:tcBorders>
          </w:tcPr>
          <w:p>
            <w:pPr>
              <w:spacing w:after="0"/>
              <w:rPr>
                <w:sz w:val="18"/>
                <w:szCs w:val="18"/>
                <w:color w:val="auto"/>
              </w:rPr>
            </w:pPr>
          </w:p>
        </w:tc>
        <w:tc>
          <w:tcPr>
            <w:tcW w:w="44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CC"/>
            </w:tcBorders>
            <w:gridSpan w:val="3"/>
          </w:tcPr>
          <w:p>
            <w:pPr>
              <w:jc w:val="right"/>
              <w:ind w:right="260"/>
              <w:spacing w:after="0"/>
              <w:rPr>
                <w:sz w:val="20"/>
                <w:szCs w:val="20"/>
                <w:color w:val="auto"/>
              </w:rPr>
            </w:pPr>
            <w:r>
              <w:rPr>
                <w:rFonts w:ascii="Arial" w:cs="Arial" w:eastAsia="Arial" w:hAnsi="Arial"/>
                <w:sz w:val="18"/>
                <w:szCs w:val="18"/>
                <w:color w:val="auto"/>
              </w:rPr>
              <w:t>47,643</w:t>
            </w:r>
          </w:p>
        </w:tc>
        <w:tc>
          <w:tcPr>
            <w:tcW w:w="32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17,954</w:t>
            </w:r>
          </w:p>
        </w:tc>
        <w:tc>
          <w:tcPr>
            <w:tcW w:w="30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CC"/>
            </w:tcBorders>
            <w:gridSpan w:val="2"/>
          </w:tcPr>
          <w:p>
            <w:pPr>
              <w:jc w:val="right"/>
              <w:ind w:right="100"/>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934,808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494,262</w:t>
            </w:r>
          </w:p>
        </w:tc>
        <w:tc>
          <w:tcPr>
            <w:tcW w:w="14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8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40,041</w:t>
            </w:r>
          </w:p>
        </w:tc>
        <w:tc>
          <w:tcPr>
            <w:tcW w:w="2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84,216</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618,430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375,038</w:t>
            </w:r>
          </w:p>
        </w:tc>
        <w:tc>
          <w:tcPr>
            <w:tcW w:w="140" w:type="dxa"/>
            <w:vAlign w:val="bottom"/>
            <w:tcBorders>
              <w:bottom w:val="single" w:sz="8" w:color="CCEECC"/>
            </w:tcBorders>
          </w:tcPr>
          <w:p>
            <w:pPr>
              <w:spacing w:after="0"/>
              <w:rPr>
                <w:sz w:val="18"/>
                <w:szCs w:val="18"/>
                <w:color w:val="auto"/>
              </w:rPr>
            </w:pPr>
          </w:p>
        </w:tc>
        <w:tc>
          <w:tcPr>
            <w:tcW w:w="3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7,602</w:t>
            </w:r>
          </w:p>
        </w:tc>
        <w:tc>
          <w:tcPr>
            <w:tcW w:w="26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(66,262</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316,378</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(186,533)</w:t>
            </w: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3"/>
            <w:shd w:val="clear" w:color="auto" w:fill="CCEECC"/>
          </w:tcPr>
          <w:p>
            <w:pPr>
              <w:jc w:val="right"/>
              <w:ind w:right="200"/>
              <w:spacing w:after="0"/>
              <w:rPr>
                <w:sz w:val="20"/>
                <w:szCs w:val="20"/>
                <w:color w:val="auto"/>
              </w:rPr>
            </w:pPr>
            <w:r>
              <w:rPr>
                <w:rFonts w:ascii="Arial" w:cs="Arial" w:eastAsia="Arial" w:hAnsi="Arial"/>
                <w:sz w:val="18"/>
                <w:szCs w:val="18"/>
                <w:color w:val="auto"/>
              </w:rPr>
              <w:t>(6,829)</w:t>
            </w: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(193,284)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3"/>
            <w:shd w:val="clear" w:color="auto" w:fill="CCEECC"/>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(189,900</w:t>
            </w:r>
          </w:p>
        </w:tc>
        <w:tc>
          <w:tcPr>
            <w:tcW w:w="14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CC"/>
          </w:tcPr>
          <w:p>
            <w:pPr>
              <w:jc w:val="right"/>
              <w:spacing w:after="0"/>
              <w:rPr>
                <w:sz w:val="20"/>
                <w:szCs w:val="20"/>
                <w:color w:val="auto"/>
              </w:rPr>
            </w:pPr>
            <w:r>
              <w:rPr>
                <w:rFonts w:ascii="Arial" w:cs="Arial" w:eastAsia="Arial" w:hAnsi="Arial"/>
                <w:sz w:val="18"/>
                <w:szCs w:val="18"/>
                <w:color w:val="auto"/>
              </w:rPr>
              <w:t>7,545</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4,822</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(177,533</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3"/>
            <w:shd w:val="clear" w:color="auto" w:fill="CCEECC"/>
          </w:tcPr>
          <w:p>
            <w:pPr>
              <w:spacing w:after="0" w:line="176" w:lineRule="exact"/>
              <w:rPr>
                <w:sz w:val="20"/>
                <w:szCs w:val="20"/>
                <w:color w:val="auto"/>
              </w:rPr>
            </w:pPr>
            <w:r>
              <w:rPr>
                <w:rFonts w:ascii="Arial" w:cs="Arial" w:eastAsia="Arial" w:hAnsi="Arial"/>
                <w:sz w:val="18"/>
                <w:szCs w:val="18"/>
                <w:color w:val="auto"/>
              </w:rPr>
              <w:t>Six Months Ended June 30, 2012:</w:t>
            </w: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920" w:type="dxa"/>
            <w:vAlign w:val="bottom"/>
            <w:tcBorders>
              <w:top w:val="single" w:sz="8" w:color="CCEECC"/>
            </w:tcBorders>
            <w:gridSpan w:val="2"/>
          </w:tcPr>
          <w:p>
            <w:pPr>
              <w:spacing w:after="0"/>
              <w:rPr>
                <w:sz w:val="18"/>
                <w:szCs w:val="18"/>
                <w:color w:val="auto"/>
              </w:rPr>
            </w:pPr>
          </w:p>
        </w:tc>
        <w:tc>
          <w:tcPr>
            <w:tcW w:w="120" w:type="dxa"/>
            <w:vAlign w:val="bottom"/>
            <w:tcBorders>
              <w:top w:val="single" w:sz="8" w:color="CCEECC"/>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rPr>
              <w:t>374,586</w:t>
            </w:r>
          </w:p>
        </w:tc>
        <w:tc>
          <w:tcPr>
            <w:tcW w:w="140" w:type="dxa"/>
            <w:vAlign w:val="bottom"/>
            <w:tcBorders>
              <w:top w:val="single" w:sz="8" w:color="CCEECC"/>
            </w:tcBorders>
          </w:tcPr>
          <w:p>
            <w:pPr>
              <w:spacing w:after="0"/>
              <w:rPr>
                <w:sz w:val="18"/>
                <w:szCs w:val="18"/>
                <w:color w:val="auto"/>
              </w:rPr>
            </w:pPr>
          </w:p>
        </w:tc>
        <w:tc>
          <w:tcPr>
            <w:tcW w:w="44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CC"/>
            </w:tcBorders>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1,862</w:t>
            </w:r>
          </w:p>
        </w:tc>
        <w:tc>
          <w:tcPr>
            <w:tcW w:w="30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CC"/>
            </w:tcBorders>
            <w:gridSpan w:val="2"/>
          </w:tcPr>
          <w:p>
            <w:pPr>
              <w:jc w:val="right"/>
              <w:ind w:right="100"/>
              <w:spacing w:after="0"/>
              <w:rPr>
                <w:sz w:val="20"/>
                <w:szCs w:val="20"/>
                <w:color w:val="auto"/>
              </w:rPr>
            </w:pPr>
            <w:r>
              <w:rPr>
                <w:rFonts w:ascii="Arial" w:cs="Arial" w:eastAsia="Arial" w:hAnsi="Arial"/>
                <w:sz w:val="18"/>
                <w:szCs w:val="18"/>
                <w:color w:val="auto"/>
              </w:rPr>
              <w:t>(535)</w:t>
            </w:r>
          </w:p>
        </w:tc>
        <w:tc>
          <w:tcPr>
            <w:tcW w:w="32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375,913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163,801</w:t>
            </w:r>
          </w:p>
        </w:tc>
        <w:tc>
          <w:tcPr>
            <w:tcW w:w="14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8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8,495</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172,017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210,785</w:t>
            </w:r>
          </w:p>
        </w:tc>
        <w:tc>
          <w:tcPr>
            <w:tcW w:w="140" w:type="dxa"/>
            <w:vAlign w:val="bottom"/>
            <w:tcBorders>
              <w:bottom w:val="single" w:sz="8" w:color="CCEECC"/>
            </w:tcBorders>
          </w:tcPr>
          <w:p>
            <w:pPr>
              <w:spacing w:after="0"/>
              <w:rPr>
                <w:sz w:val="18"/>
                <w:szCs w:val="18"/>
                <w:color w:val="auto"/>
              </w:rPr>
            </w:pPr>
          </w:p>
        </w:tc>
        <w:tc>
          <w:tcPr>
            <w:tcW w:w="3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203,896</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(104,665)</w:t>
            </w: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(105,243)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3"/>
            <w:shd w:val="clear" w:color="auto" w:fill="CCEECC"/>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(103,906</w:t>
            </w:r>
          </w:p>
        </w:tc>
        <w:tc>
          <w:tcPr>
            <w:tcW w:w="14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(103,613</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June 30,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5,791,710</w:t>
            </w: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599,870</w:t>
            </w: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690,700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7,082,280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4,474,457</w:t>
            </w:r>
          </w:p>
        </w:tc>
        <w:tc>
          <w:tcPr>
            <w:tcW w:w="140" w:type="dxa"/>
            <w:vAlign w:val="bottom"/>
            <w:shd w:val="clear" w:color="auto" w:fill="CCEECC"/>
          </w:tcPr>
          <w:p>
            <w:pPr>
              <w:spacing w:after="0"/>
              <w:rPr>
                <w:sz w:val="18"/>
                <w:szCs w:val="18"/>
                <w:color w:val="auto"/>
              </w:rPr>
            </w:pPr>
          </w:p>
        </w:tc>
        <w:tc>
          <w:tcPr>
            <w:tcW w:w="4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551,733</w:t>
            </w:r>
          </w:p>
        </w:tc>
        <w:tc>
          <w:tcPr>
            <w:tcW w:w="260" w:type="dxa"/>
            <w:vAlign w:val="bottom"/>
            <w:shd w:val="clear" w:color="auto" w:fill="CCEECC"/>
          </w:tcPr>
          <w:p>
            <w:pPr>
              <w:spacing w:after="0"/>
              <w:rPr>
                <w:sz w:val="18"/>
                <w:szCs w:val="18"/>
                <w:color w:val="auto"/>
              </w:rPr>
            </w:pPr>
          </w:p>
        </w:tc>
        <w:tc>
          <w:tcPr>
            <w:tcW w:w="3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659,294</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5,685,484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June 30, 2012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4,978,986</w:t>
            </w:r>
          </w:p>
        </w:tc>
        <w:tc>
          <w:tcPr>
            <w:tcW w:w="1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395,876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5,374,862</w:t>
            </w:r>
          </w:p>
        </w:tc>
        <w:tc>
          <w:tcPr>
            <w:tcW w:w="0" w:type="dxa"/>
            <w:vAlign w:val="bottom"/>
          </w:tcPr>
          <w:p>
            <w:pPr>
              <w:spacing w:after="0"/>
              <w:rPr>
                <w:sz w:val="1"/>
                <w:szCs w:val="1"/>
                <w:color w:val="auto"/>
              </w:rPr>
            </w:pPr>
          </w:p>
        </w:tc>
      </w:tr>
      <w:tr>
        <w:trPr>
          <w:trHeight w:val="377"/>
        </w:trPr>
        <w:tc>
          <w:tcPr>
            <w:tcW w:w="4360" w:type="dxa"/>
            <w:vAlign w:val="bottom"/>
            <w:gridSpan w:val="4"/>
          </w:tcPr>
          <w:p>
            <w:pPr>
              <w:spacing w:after="0"/>
              <w:rPr>
                <w:sz w:val="20"/>
                <w:szCs w:val="20"/>
                <w:color w:val="auto"/>
              </w:rPr>
            </w:pPr>
            <w:r>
              <w:rPr>
                <w:rFonts w:ascii="Arial" w:cs="Arial" w:eastAsia="Arial" w:hAnsi="Arial"/>
                <w:sz w:val="18"/>
                <w:szCs w:val="18"/>
                <w:color w:val="auto"/>
                <w:w w:val="93"/>
              </w:rPr>
              <w:t>(1)  Depreciation and amortization expense are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8"/>
              </w:rPr>
              <w:t>Servicing</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CCEECC"/>
            </w:tcBorders>
            <w:gridSpan w:val="3"/>
            <w:shd w:val="clear" w:color="auto" w:fill="CCEECC"/>
          </w:tcPr>
          <w:p>
            <w:pPr>
              <w:spacing w:after="0" w:line="170" w:lineRule="exact"/>
              <w:rPr>
                <w:sz w:val="20"/>
                <w:szCs w:val="20"/>
                <w:color w:val="auto"/>
              </w:rPr>
            </w:pPr>
            <w:r>
              <w:rPr>
                <w:rFonts w:ascii="Arial" w:cs="Arial" w:eastAsia="Arial" w:hAnsi="Arial"/>
                <w:sz w:val="18"/>
                <w:szCs w:val="18"/>
                <w:color w:val="auto"/>
              </w:rPr>
              <w:t>Three Months Ended June 30, 2013:</w:t>
            </w:r>
          </w:p>
        </w:tc>
        <w:tc>
          <w:tcPr>
            <w:tcW w:w="120" w:type="dxa"/>
            <w:vAlign w:val="bottom"/>
            <w:tcBorders>
              <w:top w:val="single" w:sz="8" w:color="CCEECC"/>
            </w:tcBorders>
            <w:shd w:val="clear" w:color="auto" w:fill="CCEECC"/>
          </w:tcPr>
          <w:p>
            <w:pPr>
              <w:spacing w:after="0"/>
              <w:rPr>
                <w:sz w:val="16"/>
                <w:szCs w:val="16"/>
                <w:color w:val="auto"/>
              </w:rPr>
            </w:pPr>
          </w:p>
        </w:tc>
        <w:tc>
          <w:tcPr>
            <w:tcW w:w="9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CCEECC"/>
            </w:tcBorders>
            <w:shd w:val="clear" w:color="auto" w:fill="CCEECC"/>
          </w:tcPr>
          <w:p>
            <w:pPr>
              <w:spacing w:after="0"/>
              <w:rPr>
                <w:sz w:val="16"/>
                <w:szCs w:val="16"/>
                <w:color w:val="auto"/>
              </w:rPr>
            </w:pPr>
          </w:p>
        </w:tc>
        <w:tc>
          <w:tcPr>
            <w:tcW w:w="3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26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Depreciation expense</w:t>
            </w:r>
          </w:p>
        </w:tc>
        <w:tc>
          <w:tcPr>
            <w:tcW w:w="174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44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rPr>
              <w:t>3,680</w:t>
            </w:r>
          </w:p>
        </w:tc>
        <w:tc>
          <w:tcPr>
            <w:tcW w:w="20" w:type="dxa"/>
            <w:vAlign w:val="bottom"/>
            <w:tcBorders>
              <w:top w:val="single" w:sz="8" w:color="CCEECC"/>
            </w:tcBorders>
          </w:tcPr>
          <w:p>
            <w:pPr>
              <w:spacing w:after="0"/>
              <w:rPr>
                <w:sz w:val="18"/>
                <w:szCs w:val="18"/>
                <w:color w:val="auto"/>
              </w:rPr>
            </w:pPr>
          </w:p>
        </w:tc>
        <w:tc>
          <w:tcPr>
            <w:tcW w:w="26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CC"/>
            </w:tcBorders>
            <w:gridSpan w:val="2"/>
          </w:tcPr>
          <w:p>
            <w:pPr>
              <w:jc w:val="right"/>
              <w:ind w:right="100"/>
              <w:spacing w:after="0"/>
              <w:rPr>
                <w:sz w:val="20"/>
                <w:szCs w:val="20"/>
                <w:color w:val="auto"/>
              </w:rPr>
            </w:pPr>
            <w:r>
              <w:rPr>
                <w:rFonts w:ascii="Arial" w:cs="Arial" w:eastAsia="Arial" w:hAnsi="Arial"/>
                <w:sz w:val="18"/>
                <w:szCs w:val="18"/>
                <w:color w:val="auto"/>
              </w:rPr>
              <w:t>(160)</w:t>
            </w:r>
          </w:p>
        </w:tc>
        <w:tc>
          <w:tcPr>
            <w:tcW w:w="30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2,422</w:t>
            </w:r>
          </w:p>
        </w:tc>
        <w:tc>
          <w:tcPr>
            <w:tcW w:w="32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70,369</w:t>
            </w: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1,192</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392"/>
        </w:trPr>
        <w:tc>
          <w:tcPr>
            <w:tcW w:w="4360" w:type="dxa"/>
            <w:vAlign w:val="bottom"/>
            <w:gridSpan w:val="4"/>
          </w:tcPr>
          <w:p>
            <w:pPr>
              <w:spacing w:after="0"/>
              <w:rPr>
                <w:sz w:val="20"/>
                <w:szCs w:val="20"/>
                <w:color w:val="auto"/>
              </w:rPr>
            </w:pPr>
            <w:r>
              <w:rPr>
                <w:rFonts w:ascii="Arial" w:cs="Arial" w:eastAsia="Arial" w:hAnsi="Arial"/>
                <w:sz w:val="18"/>
                <w:szCs w:val="18"/>
                <w:color w:val="auto"/>
              </w:rPr>
              <w:t>Three Months Ended June 30, 2012: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4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CC"/>
          </w:tcPr>
          <w:p>
            <w:pPr>
              <w:spacing w:after="0"/>
              <w:rPr>
                <w:sz w:val="18"/>
                <w:szCs w:val="18"/>
                <w:color w:val="auto"/>
              </w:rPr>
            </w:pPr>
          </w:p>
        </w:tc>
        <w:tc>
          <w:tcPr>
            <w:tcW w:w="3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686</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3"/>
            <w:shd w:val="clear" w:color="auto" w:fill="CCEECC"/>
          </w:tcPr>
          <w:p>
            <w:pPr>
              <w:spacing w:after="0" w:line="176" w:lineRule="exact"/>
              <w:rPr>
                <w:sz w:val="20"/>
                <w:szCs w:val="20"/>
                <w:color w:val="auto"/>
              </w:rPr>
            </w:pPr>
            <w:r>
              <w:rPr>
                <w:rFonts w:ascii="Arial" w:cs="Arial" w:eastAsia="Arial" w:hAnsi="Arial"/>
                <w:sz w:val="18"/>
                <w:szCs w:val="18"/>
                <w:color w:val="auto"/>
              </w:rPr>
              <w:t>Six Months Ended June 30, 2013:</w:t>
            </w: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1920" w:type="dxa"/>
            <w:vAlign w:val="bottom"/>
            <w:tcBorders>
              <w:top w:val="single" w:sz="8" w:color="CCEECC"/>
            </w:tcBorders>
            <w:gridSpan w:val="2"/>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44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rPr>
              <w:t>6,378</w:t>
            </w:r>
          </w:p>
        </w:tc>
        <w:tc>
          <w:tcPr>
            <w:tcW w:w="20" w:type="dxa"/>
            <w:vAlign w:val="bottom"/>
            <w:tcBorders>
              <w:top w:val="single" w:sz="8" w:color="CCEECC"/>
            </w:tcBorders>
          </w:tcPr>
          <w:p>
            <w:pPr>
              <w:spacing w:after="0"/>
              <w:rPr>
                <w:sz w:val="18"/>
                <w:szCs w:val="18"/>
                <w:color w:val="auto"/>
              </w:rPr>
            </w:pPr>
          </w:p>
        </w:tc>
        <w:tc>
          <w:tcPr>
            <w:tcW w:w="26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74</w:t>
            </w:r>
          </w:p>
        </w:tc>
        <w:tc>
          <w:tcPr>
            <w:tcW w:w="30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4,003</w:t>
            </w:r>
          </w:p>
        </w:tc>
        <w:tc>
          <w:tcPr>
            <w:tcW w:w="32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118,252</w:t>
            </w: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118,252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2,086</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392"/>
        </w:trPr>
        <w:tc>
          <w:tcPr>
            <w:tcW w:w="4360" w:type="dxa"/>
            <w:vAlign w:val="bottom"/>
            <w:gridSpan w:val="4"/>
          </w:tcPr>
          <w:p>
            <w:pPr>
              <w:spacing w:after="0"/>
              <w:rPr>
                <w:sz w:val="20"/>
                <w:szCs w:val="20"/>
                <w:color w:val="auto"/>
              </w:rPr>
            </w:pPr>
            <w:r>
              <w:rPr>
                <w:rFonts w:ascii="Arial" w:cs="Arial" w:eastAsia="Arial" w:hAnsi="Arial"/>
                <w:sz w:val="18"/>
                <w:szCs w:val="18"/>
                <w:color w:val="auto"/>
              </w:rPr>
              <w:t>Six Months Ended June 30, 2012: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4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CC"/>
          </w:tcPr>
          <w:p>
            <w:pPr>
              <w:spacing w:after="0"/>
              <w:rPr>
                <w:sz w:val="18"/>
                <w:szCs w:val="18"/>
                <w:color w:val="auto"/>
              </w:rPr>
            </w:pPr>
          </w:p>
        </w:tc>
        <w:tc>
          <w:tcPr>
            <w:tcW w:w="3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1,263</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1,480</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9" w:name="page40"/>
    <w:bookmarkEnd w:id="39"/>
    <w:p>
      <w:pPr>
        <w:spacing w:after="0"/>
        <w:tabs>
          <w:tab w:leader="none" w:pos="112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202" w:lineRule="exact"/>
        <w:rPr>
          <w:sz w:val="20"/>
          <w:szCs w:val="20"/>
          <w:color w:val="auto"/>
        </w:rPr>
      </w:pPr>
    </w:p>
    <w:p>
      <w:pPr>
        <w:jc w:val="both"/>
        <w:ind w:right="580" w:firstLine="324"/>
        <w:spacing w:after="0" w:line="257" w:lineRule="auto"/>
        <w:rPr>
          <w:sz w:val="20"/>
          <w:szCs w:val="20"/>
          <w:color w:val="auto"/>
        </w:rPr>
      </w:pPr>
      <w:r>
        <w:rPr>
          <w:rFonts w:ascii="Arial" w:cs="Arial" w:eastAsia="Arial" w:hAnsi="Arial"/>
          <w:sz w:val="18"/>
          <w:szCs w:val="18"/>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June 30, 2013, Mr. Erbey owned or controlled approximately 13% of the common stock of Ocwen, approximately 23% of the common stock of Altisource, approximately 1% of the common stock of HLSS, approximately 9% of the common stock of Residential and approximately 25% of the common stock of AAMC.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8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Under the Services Agreement, Altisource provides various business process outsourcing services, such as valuation services and property preservation and inspection services, among other things. Altisource also provides certain technology products and support services to Ocwen under the Technology Products Services Agreement and the Data Center and Disaster Recovery Services Agreement. In addition, under the Data Access and Services Agreement, Ocwen has agreed to make available to Altisource certain data from Ocwen’s servicing portfolio in exchange for a per asset fee. Under the Support Services Agreement, Ocwen and Altisource provide to each other services in such areas as human resources, vendor management, corporate services, accounting, tax matters, risk management, law and consumer psychology.</w:t>
      </w:r>
    </w:p>
    <w:p>
      <w:pPr>
        <w:spacing w:after="0" w:line="15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connection with the March 29, 2013 sale to Altisource of the diversified fee-based business acquired in connection with the Homeward Acquisition, Ocwen agreed to extend to August 31, 2025 the terms of the Services Agreement, the Technology Products Services Agreement, the Data Center and Disaster Recovery Services Agreement and the Intellectual Property Agreement with Altisource. In addition, Ocwen agreed to expand the terms of the Services Agreement to apply to the services as they relate to the Homeward servicing platform and further to establish Altisource as the exclusive provider of such services as they relate to the Homeward servicing platform. In addition, Ocwen agreed not to establish similar fee-based businesses (or establish relationships with other companies engaged in the line of similar fee-based businesses) that would directly or indirectly compete with diversified fee-based businesses as they relate to the Homeward servicing platform acquired by Altisource.</w:t>
      </w:r>
    </w:p>
    <w:p>
      <w:pPr>
        <w:spacing w:after="0" w:line="13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14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business is currently dependent on many of the services and products provided under these long-term contracts which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disclosed in Note 4 – Business Acquisitions, on April 12, 2013 in connection with the sale to Altisource of the diversified fee-based business acquired in connection with the ResCap Acquisition, we agreed to establish additional terms related to existing servicing arrangements between Altisource and Ocwen for mortgage servicing assets acquired from ResCap.</w:t>
      </w:r>
    </w:p>
    <w:p>
      <w:pPr>
        <w:spacing w:after="0" w:line="141"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The agreement provides that during the term of the existing servicing arrangements between Altisource and Ocwen (i) Altisource will be the exclusive provider, except as prohibited by applicable law, to Ocwen and all of its subsidiaries and affiliates, of certain services related to the ResCap business;</w:t>
      </w:r>
    </w:p>
    <w:p>
      <w:pPr>
        <w:ind w:right="200" w:firstLine="8"/>
        <w:spacing w:after="0" w:line="295"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Ocwen will not establish similar fee-based businesses that would directly or indirectly compete with Altisource services as they relate to the ResCap business; and (iii) Ocwen and all of its subsidiaries and affiliates will market and promote the utilization of Altisource’s services to their various third-party relationships. Additionally, the parties agreed to use commercially reasonable best efforts to ensure that the loans associated with the ResCap business are boarded onto Altisource’s mortgage servicing platform. The cash consideration paid by Altisource to Ocwen under the Agreement totaled $128.8 million.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Also as disclosed in Note 4 – Business Acquisitions, on March 31, 2013 we acquired from Altisource its 49% equity interest in Correspondent One.</w:t>
      </w:r>
    </w:p>
    <w:p>
      <w:pPr>
        <w:spacing w:after="0" w:line="21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On December 27, 2012, we entered into a senior unsecured term loan facility agreement with Altisource and borrowed $75.0 million. The proceeds of this loan were used to fund a portion of the Homeward Acquisition. Borrowings under the Unsecured Loan Agreement bear interest at a rate equal to the one-month Eurodollar Rate (1-Month LIBOR) plus 675 basis points with a Eurodollar Rate floor of 150 basis points. In February 2013, we repaid this loan in full.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Relationship with HLSS</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15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As disclosed in Note 3 – Transfers of Financial Assets, Ocwen has sold to HLSS certain Rights to MSRs and related servicing advances. OLS also entered into a subservicing agreement with HLSS on February 10, 2012, which was amended on October 1, 2012, under which it will subservice the MSRs after legal ownership of the MSRs has been transferred to HLSS.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OMS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February 14, 2013, OLS sold a pool of non-performing residential mortgage loans to Altisource Residential, L.P. pursuant to a Master Mortgage Loan Sale Agreement. The aggregate purchase price for the pool of loans was $64.4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18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w:t>
      </w:r>
    </w:p>
    <w:p>
      <w:pPr>
        <w:spacing w:after="0" w:line="9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consideration for the Homeward Acquisition, Ocwen paid an aggregate purchase price of $766.0 million, of which $604.0 million was paid in cash and $162.0 million was paid in 162,000 Preferred Shares issued to certain private equity firms ultimately controlled by WL Ross &amp; Co. LLC (the Funds), that pay a dividend of 3.75% per annum on a quarterly basis. Each Preferred Share, together with any accrued and unpaid dividends, may be converted at the option of the holder into shares of Ocwen common stock at a conversion price equal to $31.79. Mr. Ross is the Chairman and Chief Executive Officer of WL Ross &amp; Co. LLC and Invesco Private Capital, Inc. and the managing member of El Vedado, LLC, each of which directly or indirectly controls the Funds. Mr. Ross became a director of Ocwen in March 2013.</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summarizes our revenues and expenses related to the various service agreements with Altisource and its subsidiaries and HLSS for the periods June 30, and amounts receivable from or payable to at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Six Months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Borders>
              <w:bottom w:val="single" w:sz="8" w:color="CCEECC"/>
            </w:tcBorders>
          </w:tcPr>
          <w:p>
            <w:pPr>
              <w:spacing w:after="0"/>
              <w:rPr>
                <w:sz w:val="19"/>
                <w:szCs w:val="19"/>
                <w:color w:val="auto"/>
              </w:rPr>
            </w:pPr>
          </w:p>
        </w:tc>
        <w:tc>
          <w:tcPr>
            <w:tcW w:w="20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19"/>
                <w:szCs w:val="19"/>
                <w:color w:val="auto"/>
              </w:rPr>
            </w:pPr>
          </w:p>
        </w:tc>
        <w:tc>
          <w:tcPr>
            <w:tcW w:w="2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37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Revenues and Expenses:</w:t>
            </w:r>
          </w:p>
        </w:tc>
        <w:tc>
          <w:tcPr>
            <w:tcW w:w="20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Altisource: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Revenues</w:t>
            </w:r>
          </w:p>
        </w:tc>
        <w:tc>
          <w:tcPr>
            <w:tcW w:w="2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5,971</w:t>
            </w:r>
          </w:p>
        </w:tc>
        <w:tc>
          <w:tcPr>
            <w:tcW w:w="240" w:type="dxa"/>
            <w:vAlign w:val="bottom"/>
            <w:shd w:val="clear" w:color="auto" w:fill="CCEECC"/>
          </w:tcPr>
          <w:p>
            <w:pPr>
              <w:spacing w:after="0"/>
              <w:rPr>
                <w:sz w:val="18"/>
                <w:szCs w:val="18"/>
                <w:color w:val="auto"/>
              </w:rPr>
            </w:pPr>
          </w:p>
        </w:tc>
        <w:tc>
          <w:tcPr>
            <w:tcW w:w="5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4,461</w:t>
            </w:r>
          </w:p>
        </w:tc>
        <w:tc>
          <w:tcPr>
            <w:tcW w:w="4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10,205</w:t>
            </w:r>
          </w:p>
        </w:tc>
        <w:tc>
          <w:tcPr>
            <w:tcW w:w="4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8,073</w:t>
            </w:r>
          </w:p>
        </w:tc>
      </w:tr>
      <w:tr>
        <w:trPr>
          <w:trHeight w:val="216"/>
        </w:trPr>
        <w:tc>
          <w:tcPr>
            <w:tcW w:w="3760" w:type="dxa"/>
            <w:vAlign w:val="bottom"/>
          </w:tcPr>
          <w:p>
            <w:pPr>
              <w:ind w:left="320"/>
              <w:spacing w:after="0"/>
              <w:rPr>
                <w:sz w:val="20"/>
                <w:szCs w:val="20"/>
                <w:color w:val="auto"/>
              </w:rPr>
            </w:pPr>
            <w:r>
              <w:rPr>
                <w:rFonts w:ascii="Arial" w:cs="Arial" w:eastAsia="Arial" w:hAnsi="Arial"/>
                <w:sz w:val="18"/>
                <w:szCs w:val="18"/>
                <w:color w:val="auto"/>
              </w:rPr>
              <w:t>Expenses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23,497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13,711</w:t>
            </w:r>
          </w:p>
        </w:tc>
      </w:tr>
      <w:tr>
        <w:trPr>
          <w:trHeight w:val="216"/>
        </w:trPr>
        <w:tc>
          <w:tcPr>
            <w:tcW w:w="3760" w:type="dxa"/>
            <w:vAlign w:val="bottom"/>
            <w:shd w:val="clear" w:color="auto" w:fill="CCEECC"/>
          </w:tcPr>
          <w:p>
            <w:pPr>
              <w:ind w:left="160"/>
              <w:spacing w:after="0"/>
              <w:rPr>
                <w:sz w:val="20"/>
                <w:szCs w:val="20"/>
                <w:color w:val="auto"/>
              </w:rPr>
            </w:pPr>
            <w:r>
              <w:rPr>
                <w:rFonts w:ascii="Arial" w:cs="Arial" w:eastAsia="Arial" w:hAnsi="Arial"/>
                <w:sz w:val="18"/>
                <w:szCs w:val="18"/>
                <w:b w:val="1"/>
                <w:bCs w:val="1"/>
                <w:color w:val="auto"/>
              </w:rPr>
              <w:t>HLSS:</w:t>
            </w:r>
          </w:p>
        </w:tc>
        <w:tc>
          <w:tcPr>
            <w:tcW w:w="20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3760" w:type="dxa"/>
            <w:vAlign w:val="bottom"/>
          </w:tcPr>
          <w:p>
            <w:pPr>
              <w:ind w:left="320"/>
              <w:spacing w:after="0"/>
              <w:rPr>
                <w:sz w:val="20"/>
                <w:szCs w:val="20"/>
                <w:color w:val="auto"/>
              </w:rPr>
            </w:pPr>
            <w:r>
              <w:rPr>
                <w:rFonts w:ascii="Arial" w:cs="Arial" w:eastAsia="Arial" w:hAnsi="Arial"/>
                <w:sz w:val="18"/>
                <w:szCs w:val="18"/>
                <w:color w:val="auto"/>
              </w:rPr>
              <w:t>Revenues</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37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Expenses</w:t>
            </w:r>
          </w:p>
        </w:tc>
        <w:tc>
          <w:tcPr>
            <w:tcW w:w="20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993</w:t>
            </w:r>
          </w:p>
        </w:tc>
      </w:tr>
      <w:tr>
        <w:trPr>
          <w:trHeight w:val="453"/>
        </w:trPr>
        <w:tc>
          <w:tcPr>
            <w:tcW w:w="3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June 30,</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040" w:type="dxa"/>
            <w:vAlign w:val="bottom"/>
            <w:tcBorders>
              <w:bottom w:val="single" w:sz="8" w:color="CCEECC"/>
            </w:tcBorders>
          </w:tcPr>
          <w:p>
            <w:pPr>
              <w:spacing w:after="0"/>
              <w:rPr>
                <w:sz w:val="20"/>
                <w:szCs w:val="20"/>
                <w:color w:val="auto"/>
              </w:rPr>
            </w:pPr>
          </w:p>
        </w:tc>
        <w:tc>
          <w:tcPr>
            <w:tcW w:w="778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10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w w:val="99"/>
              </w:rPr>
              <w:t>Net Payable</w:t>
            </w:r>
          </w:p>
        </w:tc>
        <w:tc>
          <w:tcPr>
            <w:tcW w:w="77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1040" w:type="dxa"/>
            <w:vAlign w:val="bottom"/>
          </w:tcPr>
          <w:p>
            <w:pPr>
              <w:ind w:left="160"/>
              <w:spacing w:after="0"/>
              <w:rPr>
                <w:sz w:val="20"/>
                <w:szCs w:val="20"/>
                <w:color w:val="auto"/>
              </w:rPr>
            </w:pPr>
            <w:r>
              <w:rPr>
                <w:rFonts w:ascii="Arial" w:cs="Arial" w:eastAsia="Arial" w:hAnsi="Arial"/>
                <w:sz w:val="18"/>
                <w:szCs w:val="18"/>
                <w:color w:val="auto"/>
              </w:rPr>
              <w:t>Altisource</w:t>
            </w:r>
          </w:p>
        </w:tc>
        <w:tc>
          <w:tcPr>
            <w:tcW w:w="7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(6,110)</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(5,971)</w:t>
            </w:r>
          </w:p>
        </w:tc>
      </w:tr>
      <w:tr>
        <w:trPr>
          <w:trHeight w:val="230"/>
        </w:trPr>
        <w:tc>
          <w:tcPr>
            <w:tcW w:w="10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HLSS</w:t>
            </w:r>
          </w:p>
        </w:tc>
        <w:tc>
          <w:tcPr>
            <w:tcW w:w="778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(3,654)</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(25,524)</w:t>
            </w:r>
          </w:p>
        </w:tc>
      </w:tr>
      <w:tr>
        <w:trPr>
          <w:trHeight w:val="223"/>
        </w:trPr>
        <w:tc>
          <w:tcPr>
            <w:tcW w:w="10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NOTE 23</w:t>
            </w:r>
          </w:p>
        </w:tc>
        <w:tc>
          <w:tcPr>
            <w:tcW w:w="7920" w:type="dxa"/>
            <w:vAlign w:val="bottom"/>
            <w:gridSpan w:val="2"/>
          </w:tcPr>
          <w:p>
            <w:pPr>
              <w:jc w:val="right"/>
              <w:ind w:right="4945"/>
              <w:spacing w:after="0"/>
              <w:rPr>
                <w:sz w:val="20"/>
                <w:szCs w:val="20"/>
                <w:color w:val="auto"/>
              </w:rPr>
            </w:pPr>
            <w:r>
              <w:rPr>
                <w:rFonts w:ascii="Arial" w:cs="Arial" w:eastAsia="Arial" w:hAnsi="Arial"/>
                <w:sz w:val="18"/>
                <w:szCs w:val="18"/>
                <w:b w:val="1"/>
                <w:bCs w:val="1"/>
                <w:color w:val="auto"/>
              </w:rPr>
              <w:t>REGULATORY REQUIREMENTS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the Federal Trade Commission (FTC), the SEC and various state agencies that license, audit and conduct examinations of our mortgage originations, servicing and collection activities in a number of states. The CFPB asserts supervisory authority (including the authority to conduct examinations) over Ocwen and its affiliates, including Homeward. From time to time, we also receive requests from federal, state and local agencies for records, documents and information relating to our policies, procedures and practices regarding our loan origination, loan servicing and debt collection business activities. We incur significant ongoing costs to comply with new and existing laws and governmental regulation of our business.</w:t>
      </w:r>
    </w:p>
    <w:p>
      <w:pPr>
        <w:spacing w:after="0" w:line="153"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mortgage origination, mortgage servicing and foreclosure laws. These laws apply to loan origination, loan servicing,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27"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subject to various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20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a number of pending federal and state regulatory investigations, examinations, inquiries, requests for information and/or other actions. 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 On November 24, 2010, OLS received a Civil Investigative Demand (CID) from the FTC requesting documents and information regarding various servicing activities. On June 6, 2012, the FTC notified OLS that it had referred this CID to the CFPB. On November 7, 2011, OLS received a CID from the Attorney General’s Office of the Commonwealth of Massachusetts requesting documents and information regarding certain foreclosures executed in Massachusetts.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an independent Monitor to oversee our compliance with the Agreement on Servicing Practices. NY DFS selected the firms that will act as the Monitor, and their formal engagement commenced effective July 1, 2013. The engagement will last until July 1, 2015, and we intend to continue to cooperate with the NY DFS and the Monitor.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right="20" w:firstLine="324"/>
        <w:spacing w:after="0" w:line="268" w:lineRule="auto"/>
        <w:rPr>
          <w:sz w:val="20"/>
          <w:szCs w:val="20"/>
          <w:color w:val="auto"/>
        </w:rPr>
      </w:pPr>
      <w:r>
        <w:rPr>
          <w:rFonts w:ascii="Arial" w:cs="Arial" w:eastAsia="Arial" w:hAnsi="Arial"/>
          <w:sz w:val="17"/>
          <w:szCs w:val="17"/>
          <w:color w:val="auto"/>
        </w:rPr>
        <w:t>As previously reported, on August 13, 2012, OLS received a request from the MMC to provide information and data relating to our loan servicing portfolio, including loan count and volume data, loan modifications, fees assessed, delinquencies, short sales, loan-to-value data and rating agency reports. The MMC, along with the CFPB, certain state Attorneys General and other agencies who were involved in the National Mortgage Settlement executed on February 9, 2012 by the five large banks (collectively, the Regulators), also requested that we indicate our position on behalf of OLS and Litton on the servicing standards and consumer relief provisions contained in that Settlement. In response, we indicated our willingness to adopt the servicing standards set out in the National Mortgage Settlement with certain caveats and to undertake various consumer assistance commitments in the form of loan modifications and other foreclosure avoidance alternatives. On February 26, 2013, the Regulators requested that, in addition to committing to the servicing standards and loan modifications, we also consider a proposal to contribute to a consumer relief fund that would provide cash payments to certain borrowers foreclosed upon by OLS and various entities we have acquired. In subsequent discussions, it was clarified that the Regulators sought our agreement on servicing standards, loan modifications and the proposed consumer relief fund to settle and release various potential legal claims against Ocwen, Litton and Homeward arising out of MMC examinations and potential follow on federal and/or state enforcement actions (the Proposed Regulators’ Settlement). In light of the substantial progress the parties have made toward an agreement in principle regarding the Proposed Regulators’ Settlement, we believe such a settlement is probable. Consummation of a final settlement would be subject to completion of definitive settlement documents acceptable to all parties, the participation of all relevant regulatory agencies, and execution of certain contractual undertakings by the sellers of Litton and Homeward. In the event a final settlement is not concluded, we will defend any ensuing legal proceedings vigorously. As disclosed in Note 16 – Other Liabilities, we have established a liability of $66.4 million for the Proposed Regulators’ Settlement.</w:t>
      </w:r>
    </w:p>
    <w:p>
      <w:pPr>
        <w:spacing w:after="0" w:line="14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As part of the ResCap Acquisition, OLS is required to service the ResCap loans in accordance with the requirements of the National Mortgage Settlement, although OLS is not responsible for any payment, penalty or financial obligation, including but not limited to providing Ally’s share of financial relief to borrowers under that settlement. The Office of Mortgage Settlement Oversight (OMSO) which is responsible for monitoring compliance with obligations under the National Mortgage Settlement, issued a report on February 14, 2013 confirming that Ally/ResCap have completed its minimum consumer relief obligations. On June 19, 2013, OMSO issued a report entitled “Summary of Compliance: A Report from the Monitor of the National Mortgage Settlement” wherein the Monitor certified that the ResCap loans now serviced by OLS did not fail any metric.</w:t>
      </w:r>
    </w:p>
    <w:p>
      <w:pPr>
        <w:spacing w:after="0" w:line="15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One or more of the foregoing regulatory actions or similar actions in the future against Ocwen, OLS, Litton or Homeward could cause us to incur fines, penalties, settlement costs, damages, legal fees or other charges in material amounts, or undertake remedial actions pursuant to administrative orders or court-issued injunctions, any of which could adversely affect our financial results or incur additional significant costs related to our loan servicing operations.</w:t>
      </w:r>
    </w:p>
    <w:p>
      <w:pPr>
        <w:spacing w:after="0" w:line="10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state and federal agencies as part of those agencies’ oversight of the mortgage servicing sector. Such ongoing inquiries, including those into servicer foreclosure processes, could result in additional actions by state or federal governmental bodies, regulators or the courts that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20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themselves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In connection with these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Agreement to Acquire MSRs from OneWest Bank</w:t>
      </w:r>
    </w:p>
    <w:p>
      <w:pPr>
        <w:spacing w:after="0" w:line="18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June 13, 2013, OLS entered into a mortgage servicing rights purchase and sale agreement (the Purchase Agreement) with OneWest Bank, FSB, a federal savings bank (the “Seller”), pursuant to which OLS agreed to purchase approximately $78 billion in UPB of MSRs and related servicing advance receivables, in each case, measured as of April 30, 2013 (the OneWest MSR Transaction). No operations or other assets are being purchased in the transaction. The aggregate purchase price will be approximately $2.5 billion, with $446 million of the aggregate purchase price paid in respect of the MSRs and approximately $2.1 billion to be paid in respect of the servicing advances, in each case, subject to adjustment for changes in the UPB of the related assets as of the date of closing and other customary post-closing adjustments. Contemporaneously with the execution of the Purchase Agreement, Ocwen executed a guarantee pursuant to which it agreed to guarantee the obligations and performance of OLS under the Purchase Agreement.</w:t>
      </w:r>
    </w:p>
    <w:p>
      <w:pPr>
        <w:spacing w:after="0" w:line="14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Consummation of the OneWest MSR Transaction is subject to, among other things, (i) certain investor and third party consents and (ii) certain customary closing conditions and termination rights, including in respect of any transfer not completed by January 31, 2014. A termination fee equal to $50 million may be payable by either party in certain circumstances. As part of the OneWest MSR Transaction, the Seller and OLS have agreed to indemnification provisions for the benefit of the other party. The OneWest MSR Transaction is expected to close in stages during the second half of 2013, and Ocwen expects that the majority of loans will be boarded onto its primary servicing platform at each respective closing date.</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July 1, 2013, OLS completed a sale to HLSS Holdings, LLC and Home Loan Servicing Solutions, Ltd. of Rights to MSRs and related servicing advances for a servicing portfolio of subprime and Alt-A residential mortgage loans.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transaction resulted in the sale of Rights to MSRs with approximately $83.6 billion in UPB of mortgage loans as of June 30, 2013. The purchase price was approximately $2.7 billion, including $2.4 billion for servicing advances and $241 million for the associated Rights to MSRs. Within 90 days of the closing, the purchase price may be adjusted to reflect any adjustments in the calculation of the UPB of the underlying mortgage loans or servicing advance balances acquired in the transaction. Of the $2.4 billion of proceeds received from the sale of servicing advances, $1.8 billion was used to repay match funded liabilities. As a result of the early repayment and termination of the match funded facilities, we wrote off to interest expense prepaid lender fees of $5.7 million.</w:t>
      </w:r>
    </w:p>
    <w:p>
      <w:pPr>
        <w:spacing w:after="0" w:line="13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mortgage servicing assets were sold to HLSS pursuant to a Sale Supplement to the Master Servicing Rights Purchase Agreement previously entered into by OLS and HLSS Holdings, LLC. In addition to the sale of OLS’ right, title and interest to the Rights to MSRs and the associated servicing advances, HLSS Holdings, LLC also committed to purchase servicing advances that arise under the related pooling and servicing agreements after the closing date. In return, OLS continues to subservice the related mortgage loans, receives a monthly base fee equal to 12% of the servicing fees collected in any given month and retains any ancillary income payable to the servicer (excluding investment income earned on any custodial accounts) pursuant to the related pooling and servicing agreements. OLS also earns a monthly performance based incentive fee based on the servicing fees collected. If the targeted advance ratio in any month exceeds the predetermined level for that month set forth in the Sale Supplement and the Subservicing Supplement for the transaction, any performance based incentive fee payable for such month will be reduced by an amount equal to 3.00% per annum of the amount of any such excess servicing advances. The Subservicing Supplement for the transaction is governed by the Master Subservicing Agreement previously entered into by OLS and HLSS Holdings, LLC.</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4" w:name="page45"/>
    <w:bookmarkEnd w:id="44"/>
    <w:p>
      <w:pPr>
        <w:ind w:left="1140" w:right="9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or If Otherwise Indicated)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unaudited Consolidated Financial Statements and the related notes, all included elsewhere in this report on Form 10-Q and with our Annual Report on Form 10-K for the year ended December 31,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 Update</w:t>
      </w:r>
    </w:p>
    <w:p>
      <w:pPr>
        <w:spacing w:after="0" w:line="20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We continue to execute our strategy to grow and maintain our loan servicing business through acquisitions and through our loan origination business whereby we retain the MSRs associated with sold loans. During the first six months of 2013, we retained MSRs of $46.9 million on sales of residential mortgage loans with a UPB of $4.1 billion.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Consistent with this strategy, we executed the following acquisitions in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ind w:left="1300"/>
              <w:spacing w:after="0"/>
              <w:rPr>
                <w:sz w:val="20"/>
                <w:szCs w:val="20"/>
                <w:color w:val="auto"/>
              </w:rPr>
            </w:pPr>
            <w:r>
              <w:rPr>
                <w:rFonts w:ascii="Arial" w:cs="Arial" w:eastAsia="Arial" w:hAnsi="Arial"/>
                <w:sz w:val="18"/>
                <w:szCs w:val="18"/>
                <w:b w:val="1"/>
                <w:bCs w:val="1"/>
                <w:color w:val="auto"/>
              </w:rPr>
              <w:t>Transaction</w:t>
            </w:r>
          </w:p>
        </w:tc>
        <w:tc>
          <w:tcPr>
            <w:tcW w:w="300" w:type="dxa"/>
            <w:vAlign w:val="bottom"/>
          </w:tcPr>
          <w:p>
            <w:pPr>
              <w:spacing w:after="0"/>
              <w:rPr>
                <w:sz w:val="20"/>
                <w:szCs w:val="20"/>
                <w:color w:val="auto"/>
              </w:rPr>
            </w:pPr>
          </w:p>
        </w:tc>
        <w:tc>
          <w:tcPr>
            <w:tcW w:w="1540" w:type="dxa"/>
            <w:vAlign w:val="bottom"/>
          </w:tcPr>
          <w:p>
            <w:pPr>
              <w:ind w:left="580"/>
              <w:spacing w:after="0"/>
              <w:rPr>
                <w:sz w:val="20"/>
                <w:szCs w:val="20"/>
                <w:color w:val="auto"/>
              </w:rPr>
            </w:pPr>
            <w:r>
              <w:rPr>
                <w:rFonts w:ascii="Arial" w:cs="Arial" w:eastAsia="Arial" w:hAnsi="Arial"/>
                <w:sz w:val="18"/>
                <w:szCs w:val="18"/>
                <w:b w:val="1"/>
                <w:bCs w:val="1"/>
                <w:color w:val="auto"/>
              </w:rPr>
              <w:t>Type</w:t>
            </w:r>
          </w:p>
        </w:tc>
        <w:tc>
          <w:tcPr>
            <w:tcW w:w="300" w:type="dxa"/>
            <w:vAlign w:val="bottom"/>
          </w:tcPr>
          <w:p>
            <w:pPr>
              <w:spacing w:after="0"/>
              <w:rPr>
                <w:sz w:val="20"/>
                <w:szCs w:val="20"/>
                <w:color w:val="auto"/>
              </w:rPr>
            </w:pPr>
          </w:p>
        </w:tc>
        <w:tc>
          <w:tcPr>
            <w:tcW w:w="1660" w:type="dxa"/>
            <w:vAlign w:val="bottom"/>
          </w:tcPr>
          <w:p>
            <w:pPr>
              <w:ind w:left="180"/>
              <w:spacing w:after="0"/>
              <w:rPr>
                <w:sz w:val="20"/>
                <w:szCs w:val="20"/>
                <w:color w:val="auto"/>
              </w:rPr>
            </w:pPr>
            <w:r>
              <w:rPr>
                <w:rFonts w:ascii="Arial" w:cs="Arial" w:eastAsia="Arial" w:hAnsi="Arial"/>
                <w:sz w:val="18"/>
                <w:szCs w:val="18"/>
                <w:b w:val="1"/>
                <w:bCs w:val="1"/>
                <w:color w:val="auto"/>
              </w:rPr>
              <w:t>Completion Date</w:t>
            </w:r>
          </w:p>
        </w:tc>
        <w:tc>
          <w:tcPr>
            <w:tcW w:w="4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87"/>
              </w:rPr>
              <w:t>Purchase Price</w:t>
            </w:r>
          </w:p>
        </w:tc>
        <w:tc>
          <w:tcPr>
            <w:tcW w:w="58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Acquired MSR UPB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C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CC"/>
          </w:tcPr>
          <w:p>
            <w:pPr>
              <w:spacing w:after="0"/>
              <w:rPr>
                <w:sz w:val="20"/>
                <w:szCs w:val="20"/>
                <w:color w:val="auto"/>
              </w:rPr>
            </w:pPr>
            <w:r>
              <w:rPr>
                <w:rFonts w:ascii="Arial" w:cs="Arial" w:eastAsia="Arial" w:hAnsi="Arial"/>
                <w:sz w:val="18"/>
                <w:szCs w:val="18"/>
                <w:color w:val="auto"/>
              </w:rPr>
              <w:t>ResCap Acquisition</w:t>
            </w:r>
          </w:p>
        </w:tc>
        <w:tc>
          <w:tcPr>
            <w:tcW w:w="300" w:type="dxa"/>
            <w:vAlign w:val="bottom"/>
            <w:vMerge w:val="continue"/>
            <w:shd w:val="clear" w:color="auto" w:fill="CCEECC"/>
          </w:tcPr>
          <w:p>
            <w:pPr>
              <w:spacing w:after="0"/>
              <w:rPr>
                <w:sz w:val="18"/>
                <w:szCs w:val="18"/>
                <w:color w:val="auto"/>
              </w:rPr>
            </w:pPr>
          </w:p>
        </w:tc>
        <w:tc>
          <w:tcPr>
            <w:tcW w:w="1540" w:type="dxa"/>
            <w:vAlign w:val="bottom"/>
            <w:shd w:val="clear" w:color="auto" w:fill="CCEECC"/>
          </w:tcPr>
          <w:p>
            <w:pPr>
              <w:spacing w:after="0"/>
              <w:rPr>
                <w:sz w:val="20"/>
                <w:szCs w:val="20"/>
                <w:color w:val="auto"/>
              </w:rPr>
            </w:pPr>
            <w:r>
              <w:rPr>
                <w:rFonts w:ascii="Arial" w:cs="Arial" w:eastAsia="Arial" w:hAnsi="Arial"/>
                <w:sz w:val="18"/>
                <w:szCs w:val="18"/>
                <w:color w:val="auto"/>
              </w:rPr>
              <w:t>Business (2)</w:t>
            </w:r>
          </w:p>
        </w:tc>
        <w:tc>
          <w:tcPr>
            <w:tcW w:w="300" w:type="dxa"/>
            <w:vAlign w:val="bottom"/>
            <w:vMerge w:val="continue"/>
            <w:shd w:val="clear" w:color="auto" w:fill="CCEECC"/>
          </w:tcPr>
          <w:p>
            <w:pPr>
              <w:spacing w:after="0"/>
              <w:rPr>
                <w:sz w:val="18"/>
                <w:szCs w:val="18"/>
                <w:color w:val="auto"/>
              </w:rPr>
            </w:pPr>
          </w:p>
        </w:tc>
        <w:tc>
          <w:tcPr>
            <w:tcW w:w="1660" w:type="dxa"/>
            <w:vAlign w:val="bottom"/>
            <w:shd w:val="clear" w:color="auto" w:fill="CCEECC"/>
          </w:tcPr>
          <w:p>
            <w:pPr>
              <w:spacing w:after="0"/>
              <w:rPr>
                <w:sz w:val="20"/>
                <w:szCs w:val="20"/>
                <w:color w:val="auto"/>
              </w:rPr>
            </w:pPr>
            <w:r>
              <w:rPr>
                <w:rFonts w:ascii="Arial" w:cs="Arial" w:eastAsia="Arial" w:hAnsi="Arial"/>
                <w:sz w:val="18"/>
                <w:szCs w:val="18"/>
                <w:color w:val="auto"/>
              </w:rPr>
              <w:t>February 2013</w:t>
            </w:r>
          </w:p>
        </w:tc>
        <w:tc>
          <w:tcPr>
            <w:tcW w:w="420" w:type="dxa"/>
            <w:vAlign w:val="bottom"/>
            <w:vMerge w:val="continue"/>
            <w:shd w:val="clear" w:color="auto" w:fill="CCEECC"/>
          </w:tcPr>
          <w:p>
            <w:pPr>
              <w:spacing w:after="0"/>
              <w:rPr>
                <w:sz w:val="18"/>
                <w:szCs w:val="18"/>
                <w:color w:val="auto"/>
              </w:rPr>
            </w:pPr>
          </w:p>
        </w:tc>
        <w:tc>
          <w:tcPr>
            <w:tcW w:w="1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2.2 billion(3)</w:t>
            </w:r>
          </w:p>
        </w:tc>
        <w:tc>
          <w:tcPr>
            <w:tcW w:w="3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170.8 billion(4)</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Ally Bank</w:t>
            </w:r>
          </w:p>
        </w:tc>
        <w:tc>
          <w:tcPr>
            <w:tcW w:w="1840" w:type="dxa"/>
            <w:vAlign w:val="bottom"/>
            <w:gridSpan w:val="2"/>
          </w:tcPr>
          <w:p>
            <w:pPr>
              <w:ind w:left="300"/>
              <w:spacing w:after="0"/>
              <w:rPr>
                <w:sz w:val="20"/>
                <w:szCs w:val="20"/>
                <w:color w:val="auto"/>
              </w:rPr>
            </w:pPr>
            <w:r>
              <w:rPr>
                <w:rFonts w:ascii="Arial" w:cs="Arial" w:eastAsia="Arial" w:hAnsi="Arial"/>
                <w:sz w:val="18"/>
                <w:szCs w:val="18"/>
                <w:color w:val="auto"/>
                <w:w w:val="90"/>
              </w:rPr>
              <w:t>Contract Assumption</w:t>
            </w:r>
          </w:p>
        </w:tc>
        <w:tc>
          <w:tcPr>
            <w:tcW w:w="2380" w:type="dxa"/>
            <w:vAlign w:val="bottom"/>
            <w:gridSpan w:val="3"/>
          </w:tcPr>
          <w:p>
            <w:pPr>
              <w:ind w:left="300"/>
              <w:spacing w:after="0"/>
              <w:rPr>
                <w:sz w:val="20"/>
                <w:szCs w:val="20"/>
                <w:color w:val="auto"/>
              </w:rPr>
            </w:pPr>
            <w:r>
              <w:rPr>
                <w:rFonts w:ascii="Arial" w:cs="Arial" w:eastAsia="Arial" w:hAnsi="Arial"/>
                <w:sz w:val="18"/>
                <w:szCs w:val="18"/>
                <w:color w:val="auto"/>
              </w:rPr>
              <w:t>February 2013</w:t>
            </w:r>
          </w:p>
        </w:tc>
        <w:tc>
          <w:tcPr>
            <w:tcW w:w="140" w:type="dxa"/>
            <w:vAlign w:val="bottom"/>
          </w:tcPr>
          <w:p>
            <w:pPr>
              <w:spacing w:after="0"/>
              <w:rPr>
                <w:sz w:val="24"/>
                <w:szCs w:val="2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130.0 billion(5)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CC"/>
          </w:tcPr>
          <w:p>
            <w:pPr>
              <w:spacing w:after="0"/>
              <w:rPr>
                <w:sz w:val="20"/>
                <w:szCs w:val="20"/>
                <w:color w:val="auto"/>
              </w:rPr>
            </w:pPr>
            <w:r>
              <w:rPr>
                <w:rFonts w:ascii="Arial" w:cs="Arial" w:eastAsia="Arial" w:hAnsi="Arial"/>
                <w:sz w:val="18"/>
                <w:szCs w:val="18"/>
                <w:color w:val="auto"/>
              </w:rPr>
              <w:t>Ally MSR Transaction</w:t>
            </w:r>
          </w:p>
        </w:tc>
        <w:tc>
          <w:tcPr>
            <w:tcW w:w="1840" w:type="dxa"/>
            <w:vAlign w:val="bottom"/>
            <w:gridSpan w:val="2"/>
            <w:shd w:val="clear" w:color="auto" w:fill="CCEECC"/>
          </w:tcPr>
          <w:p>
            <w:pPr>
              <w:ind w:left="300"/>
              <w:spacing w:after="0"/>
              <w:rPr>
                <w:sz w:val="20"/>
                <w:szCs w:val="20"/>
                <w:color w:val="auto"/>
              </w:rPr>
            </w:pPr>
            <w:r>
              <w:rPr>
                <w:rFonts w:ascii="Arial" w:cs="Arial" w:eastAsia="Arial" w:hAnsi="Arial"/>
                <w:sz w:val="18"/>
                <w:szCs w:val="18"/>
                <w:color w:val="auto"/>
              </w:rPr>
              <w:t>Asset</w:t>
            </w:r>
          </w:p>
        </w:tc>
        <w:tc>
          <w:tcPr>
            <w:tcW w:w="2380" w:type="dxa"/>
            <w:vAlign w:val="bottom"/>
            <w:gridSpan w:val="3"/>
            <w:shd w:val="clear" w:color="auto" w:fill="CCEECC"/>
          </w:tcPr>
          <w:p>
            <w:pPr>
              <w:ind w:left="300"/>
              <w:spacing w:after="0"/>
              <w:rPr>
                <w:sz w:val="20"/>
                <w:szCs w:val="20"/>
                <w:color w:val="auto"/>
              </w:rPr>
            </w:pPr>
            <w:r>
              <w:rPr>
                <w:rFonts w:ascii="Arial" w:cs="Arial" w:eastAsia="Arial" w:hAnsi="Arial"/>
                <w:sz w:val="18"/>
                <w:szCs w:val="18"/>
                <w:color w:val="auto"/>
              </w:rPr>
              <w:t>April 2013</w:t>
            </w:r>
          </w:p>
        </w:tc>
        <w:tc>
          <w:tcPr>
            <w:tcW w:w="1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w w:val="99"/>
              </w:rPr>
              <w:t>603.5 million(6)</w:t>
            </w:r>
          </w:p>
        </w:tc>
        <w:tc>
          <w:tcPr>
            <w:tcW w:w="3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87.0 billion(7)</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Liberty Acquisition</w:t>
            </w:r>
          </w:p>
        </w:tc>
        <w:tc>
          <w:tcPr>
            <w:tcW w:w="1840" w:type="dxa"/>
            <w:vAlign w:val="bottom"/>
            <w:gridSpan w:val="2"/>
          </w:tcPr>
          <w:p>
            <w:pPr>
              <w:ind w:left="300"/>
              <w:spacing w:after="0"/>
              <w:rPr>
                <w:sz w:val="20"/>
                <w:szCs w:val="20"/>
                <w:color w:val="auto"/>
              </w:rPr>
            </w:pPr>
            <w:r>
              <w:rPr>
                <w:rFonts w:ascii="Arial" w:cs="Arial" w:eastAsia="Arial" w:hAnsi="Arial"/>
                <w:sz w:val="18"/>
                <w:szCs w:val="18"/>
                <w:color w:val="auto"/>
              </w:rPr>
              <w:t>Business (8)</w:t>
            </w:r>
          </w:p>
        </w:tc>
        <w:tc>
          <w:tcPr>
            <w:tcW w:w="2380" w:type="dxa"/>
            <w:vAlign w:val="bottom"/>
            <w:gridSpan w:val="3"/>
          </w:tcPr>
          <w:p>
            <w:pPr>
              <w:ind w:left="300"/>
              <w:spacing w:after="0"/>
              <w:rPr>
                <w:sz w:val="20"/>
                <w:szCs w:val="20"/>
                <w:color w:val="auto"/>
              </w:rPr>
            </w:pPr>
            <w:r>
              <w:rPr>
                <w:rFonts w:ascii="Arial" w:cs="Arial" w:eastAsia="Arial" w:hAnsi="Arial"/>
                <w:sz w:val="18"/>
                <w:szCs w:val="18"/>
                <w:color w:val="auto"/>
              </w:rPr>
              <w:t>April 2013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22.0 million</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652.6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CC"/>
          </w:tcPr>
          <w:p>
            <w:pPr>
              <w:spacing w:after="0"/>
              <w:rPr>
                <w:sz w:val="20"/>
                <w:szCs w:val="20"/>
                <w:color w:val="auto"/>
              </w:rPr>
            </w:pPr>
            <w:r>
              <w:rPr>
                <w:rFonts w:ascii="Arial" w:cs="Arial" w:eastAsia="Arial" w:hAnsi="Arial"/>
                <w:sz w:val="18"/>
                <w:szCs w:val="18"/>
                <w:color w:val="auto"/>
              </w:rPr>
              <w:t>OneWest MSR Transaction (1)</w:t>
            </w:r>
          </w:p>
        </w:tc>
        <w:tc>
          <w:tcPr>
            <w:tcW w:w="1840" w:type="dxa"/>
            <w:vAlign w:val="bottom"/>
            <w:gridSpan w:val="2"/>
            <w:shd w:val="clear" w:color="auto" w:fill="CCEECC"/>
          </w:tcPr>
          <w:p>
            <w:pPr>
              <w:ind w:left="300"/>
              <w:spacing w:after="0"/>
              <w:rPr>
                <w:sz w:val="20"/>
                <w:szCs w:val="20"/>
                <w:color w:val="auto"/>
              </w:rPr>
            </w:pPr>
            <w:r>
              <w:rPr>
                <w:rFonts w:ascii="Arial" w:cs="Arial" w:eastAsia="Arial" w:hAnsi="Arial"/>
                <w:sz w:val="18"/>
                <w:szCs w:val="18"/>
                <w:color w:val="auto"/>
              </w:rPr>
              <w:t>Asset</w:t>
            </w:r>
          </w:p>
        </w:tc>
        <w:tc>
          <w:tcPr>
            <w:tcW w:w="2380" w:type="dxa"/>
            <w:vAlign w:val="bottom"/>
            <w:gridSpan w:val="3"/>
            <w:shd w:val="clear" w:color="auto" w:fill="CCEECC"/>
          </w:tcPr>
          <w:p>
            <w:pPr>
              <w:ind w:left="300"/>
              <w:spacing w:after="0"/>
              <w:rPr>
                <w:sz w:val="20"/>
                <w:szCs w:val="20"/>
                <w:color w:val="auto"/>
              </w:rPr>
            </w:pPr>
            <w:r>
              <w:rPr>
                <w:rFonts w:ascii="Arial" w:cs="Arial" w:eastAsia="Arial" w:hAnsi="Arial"/>
                <w:sz w:val="18"/>
                <w:szCs w:val="18"/>
                <w:color w:val="auto"/>
              </w:rPr>
              <w:t>Third quarter 2013</w:t>
            </w:r>
          </w:p>
        </w:tc>
        <w:tc>
          <w:tcPr>
            <w:tcW w:w="1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2.5 billion(9)</w:t>
            </w:r>
          </w:p>
        </w:tc>
        <w:tc>
          <w:tcPr>
            <w:tcW w:w="3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78.0 billion(10)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24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 price and MSR UPB are preliminary. Final purchase amounts could be different.</w:t>
      </w:r>
    </w:p>
    <w:p>
      <w:pPr>
        <w:spacing w:after="0" w:line="184" w:lineRule="exact"/>
        <w:rPr>
          <w:rFonts w:ascii="Arial" w:cs="Arial" w:eastAsia="Arial" w:hAnsi="Arial"/>
          <w:sz w:val="18"/>
          <w:szCs w:val="18"/>
          <w:color w:val="auto"/>
        </w:rPr>
      </w:pPr>
    </w:p>
    <w:p>
      <w:pPr>
        <w:ind w:left="340" w:hanging="242"/>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Acquired ResCap servicing platform, related assets and assumed liabilities and added approximately 2,450 of primarily U.S. based employees.</w:t>
      </w:r>
    </w:p>
    <w:p>
      <w:pPr>
        <w:spacing w:after="0" w:line="196" w:lineRule="exact"/>
        <w:rPr>
          <w:rFonts w:ascii="Arial" w:cs="Arial" w:eastAsia="Arial" w:hAnsi="Arial"/>
          <w:sz w:val="17"/>
          <w:szCs w:val="17"/>
          <w:color w:val="auto"/>
        </w:rPr>
      </w:pPr>
    </w:p>
    <w:p>
      <w:pPr>
        <w:ind w:left="340" w:right="60" w:hanging="24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purchase price consisting primarily of $393.9 million of MSRs and $1.6 billion of servicing advances, net of assumed liabilities of $74.7 million consisting primarily of accruals for compensatory fees for foreclosures that may ultimately exceed investor timelines. We recognized goodwill of $210.0 million in connection with the acquisition.</w:t>
      </w:r>
    </w:p>
    <w:p>
      <w:pPr>
        <w:spacing w:after="0" w:line="154" w:lineRule="exact"/>
        <w:rPr>
          <w:rFonts w:ascii="Arial" w:cs="Arial" w:eastAsia="Arial" w:hAnsi="Arial"/>
          <w:sz w:val="18"/>
          <w:szCs w:val="18"/>
          <w:color w:val="auto"/>
        </w:rPr>
      </w:pPr>
    </w:p>
    <w:p>
      <w:pPr>
        <w:ind w:left="340" w:right="120" w:hanging="24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UPB consists of $55.6 billion Agency, $48.2 billion non-Agency, $40.7 billion master servicing and $26.3 billion subservicing. Included in subservicing UPB is $9.0 billion of non-Agency UPB subserviced on behalf of ResCap until such time as ResCap obtains the necessary consents and court approvals to sell or transfer the related MSRs. We acquire newly originated MSRs from ResCap at contractually agreed multiples of the applicable service fee which approximates market value.</w:t>
      </w:r>
    </w:p>
    <w:p>
      <w:pPr>
        <w:spacing w:after="0" w:line="146" w:lineRule="exact"/>
        <w:rPr>
          <w:rFonts w:ascii="Arial" w:cs="Arial" w:eastAsia="Arial" w:hAnsi="Arial"/>
          <w:sz w:val="18"/>
          <w:szCs w:val="18"/>
          <w:color w:val="auto"/>
        </w:rPr>
      </w:pPr>
    </w:p>
    <w:p>
      <w:pPr>
        <w:ind w:left="340" w:right="520" w:hanging="24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acquired the MSRs related to $87.0 billion in UPB from Ally Bank in the Ally MSR Transaction and terminated the subservicing contract with respect to the acquired MSRs.</w:t>
      </w:r>
    </w:p>
    <w:p>
      <w:pPr>
        <w:spacing w:after="0" w:line="129" w:lineRule="exact"/>
        <w:rPr>
          <w:rFonts w:ascii="Arial" w:cs="Arial" w:eastAsia="Arial" w:hAnsi="Arial"/>
          <w:sz w:val="18"/>
          <w:szCs w:val="18"/>
          <w:color w:val="auto"/>
        </w:rPr>
      </w:pPr>
    </w:p>
    <w:p>
      <w:pPr>
        <w:ind w:left="340" w:right="140" w:hanging="24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purchase price consisting of $680.0 million of MSRs and $73.5 million of servicing advance receivables, net of assumed origination representation and warranty obligations in connection with the majority of the acquired MSRs. The estimated fair value of this obligation on the closing date was $136.4 million.</w:t>
      </w:r>
    </w:p>
    <w:p>
      <w:pPr>
        <w:spacing w:after="0" w:line="154" w:lineRule="exact"/>
        <w:rPr>
          <w:rFonts w:ascii="Arial" w:cs="Arial" w:eastAsia="Arial" w:hAnsi="Arial"/>
          <w:sz w:val="18"/>
          <w:szCs w:val="18"/>
          <w:color w:val="auto"/>
        </w:rPr>
      </w:pPr>
    </w:p>
    <w:p>
      <w:pPr>
        <w:jc w:val="both"/>
        <w:ind w:left="340" w:right="120" w:hanging="24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UPB consists of $87.0 billion Agency MSRs. Prior to the acquisition, we subserviced these loans on behalf of Ally Bank under a contract assumption in connection with the ResCap Acquisition. We acquire newly originated Agency MSRs from Ally Bank at a contractually agree multiple of the applicable service fee which approximates market value.</w:t>
      </w:r>
    </w:p>
    <w:p>
      <w:pPr>
        <w:spacing w:after="0" w:line="140" w:lineRule="exact"/>
        <w:rPr>
          <w:rFonts w:ascii="Arial" w:cs="Arial" w:eastAsia="Arial" w:hAnsi="Arial"/>
          <w:sz w:val="18"/>
          <w:szCs w:val="18"/>
          <w:color w:val="auto"/>
        </w:rPr>
      </w:pPr>
    </w:p>
    <w:p>
      <w:pPr>
        <w:ind w:left="340" w:right="280" w:hanging="242"/>
        <w:spacing w:after="0" w:line="31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Liberty is the leading reverse mortgage originator based on industry data for June 2013 with strong positions in both retail and wholesale originations. There is sizable untapped potential in the reverse mortgage market that could sustain future growth. Based on Consumer Finance Protection Bureau (CFPB) data, we estimate the total potential size of the reverse mortgage market at $1.9 trillion, of which only about 10% has been penetrated to date.</w:t>
      </w:r>
    </w:p>
    <w:p>
      <w:pPr>
        <w:spacing w:after="0" w:line="106" w:lineRule="exact"/>
        <w:rPr>
          <w:rFonts w:ascii="Arial" w:cs="Arial" w:eastAsia="Arial" w:hAnsi="Arial"/>
          <w:sz w:val="16"/>
          <w:szCs w:val="16"/>
          <w:color w:val="auto"/>
        </w:rPr>
      </w:pPr>
    </w:p>
    <w:p>
      <w:pPr>
        <w:ind w:left="340" w:right="100" w:hanging="242"/>
        <w:spacing w:after="0" w:line="31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Estimated aggregate purchase price consisting of $446.0 million of MSRs and $2.1 billion of servicing advances. No operations or other assets are being purchased in the OneWest MSR Transaction. The OneWest MSR Transaction is expected to close in stages during the third quarter of 2013. We plan to finance the OneWest MSR Transaction with a combination of cash on-hand, cash generated through operations and available credit.</w:t>
      </w:r>
    </w:p>
    <w:p>
      <w:pPr>
        <w:spacing w:after="0" w:line="119"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UPB consists of $32.5 billion Agency and $45.5 billion non-Agency.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ind w:right="40" w:firstLine="324"/>
        <w:spacing w:after="0" w:line="297" w:lineRule="auto"/>
        <w:rPr>
          <w:sz w:val="20"/>
          <w:szCs w:val="20"/>
          <w:color w:val="auto"/>
        </w:rPr>
      </w:pPr>
      <w:r>
        <w:rPr>
          <w:rFonts w:ascii="Arial" w:cs="Arial" w:eastAsia="Arial" w:hAnsi="Arial"/>
          <w:sz w:val="16"/>
          <w:szCs w:val="16"/>
          <w:color w:val="auto"/>
        </w:rPr>
        <w:t>We are also continuing to execute on our strategy to reduce the amount of capital that we require through our relationship with HLSS. Until such time as we receive the third party consents required in connection with these sales, we account for the transactions as financings. As a result, the MSRs remain on our consolidated balance sheet and continue to be amortized. The excess of the proceeds received over our carrying value for the MSRs is deferred and amortized over time as the MSRs amortize. We recognize a financing liability and corresponding interest expense. See Note 3 – Transfers of Financial Assets and Note 25 – Subsequent Events to the unaudited Consolidated Financial Statements for additional information regarding the HLSS Transactions.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HLSS Transactions completed to date for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Aggregate</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Unpaid Principal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Match Funded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Match Funded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Completion Date</w:t>
            </w:r>
          </w:p>
        </w:tc>
        <w:tc>
          <w:tcPr>
            <w:tcW w:w="220" w:type="dxa"/>
            <w:vAlign w:val="bottom"/>
          </w:tcPr>
          <w:p>
            <w:pPr>
              <w:spacing w:after="0"/>
              <w:rPr>
                <w:sz w:val="20"/>
                <w:szCs w:val="20"/>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3"/>
              </w:rPr>
              <w:t>Proceeds</w:t>
            </w: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Balance MSRs (1)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Advances</w:t>
            </w:r>
          </w:p>
        </w:tc>
        <w:tc>
          <w:tcPr>
            <w:tcW w:w="12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Deferred Gain</w:t>
            </w:r>
          </w:p>
        </w:tc>
        <w:tc>
          <w:tcPr>
            <w:tcW w:w="16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Liabilities Repaid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March 2013</w:t>
            </w: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803.9 million</w:t>
            </w: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CC"/>
          </w:tcPr>
          <w:p>
            <w:pPr>
              <w:ind w:left="300"/>
              <w:spacing w:after="0"/>
              <w:rPr>
                <w:sz w:val="20"/>
                <w:szCs w:val="20"/>
                <w:color w:val="auto"/>
              </w:rPr>
            </w:pPr>
            <w:r>
              <w:rPr>
                <w:rFonts w:ascii="Arial" w:cs="Arial" w:eastAsia="Arial" w:hAnsi="Arial"/>
                <w:sz w:val="18"/>
                <w:szCs w:val="18"/>
                <w:color w:val="auto"/>
              </w:rPr>
              <w:t>15.9 billion</w:t>
            </w:r>
          </w:p>
        </w:tc>
        <w:tc>
          <w:tcPr>
            <w:tcW w:w="2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703.2 million</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3.7 million</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625.8 million</w:t>
            </w: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May 2013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424.5 million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10.6 billion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376.6 million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18.9 million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311.5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July 2013 (2)</w:t>
            </w: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2.7 billion</w:t>
            </w: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CC"/>
          </w:tcPr>
          <w:p>
            <w:pPr>
              <w:ind w:left="300"/>
              <w:spacing w:after="0"/>
              <w:rPr>
                <w:sz w:val="20"/>
                <w:szCs w:val="20"/>
                <w:color w:val="auto"/>
              </w:rPr>
            </w:pPr>
            <w:r>
              <w:rPr>
                <w:rFonts w:ascii="Arial" w:cs="Arial" w:eastAsia="Arial" w:hAnsi="Arial"/>
                <w:sz w:val="18"/>
                <w:szCs w:val="18"/>
                <w:color w:val="auto"/>
              </w:rPr>
              <w:t>83.6 billion</w:t>
            </w:r>
          </w:p>
        </w:tc>
        <w:tc>
          <w:tcPr>
            <w:tcW w:w="2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2.4 billion</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16.0 million</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 billion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non-Agency non-prime MSRs, including all such MSRs acquired in the Homeward and ResCap Acquisitions.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Estimates based upon initial transaction settlement. Amounts are subject to change based upon final reconciliations between the 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Outlook</w:t>
      </w:r>
    </w:p>
    <w:p>
      <w:pPr>
        <w:spacing w:after="0" w:line="18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expect that other non-prime and prime servicing platforms and servicing portfolios will come to market in the next several months. We are currently aware of potential MSR acquisition opportunities with an aggregate UPB of approximately $400.0 billion. We believe that servicing and subservicing opportunities with an aggregate UPB of over $1.0 trillion could come to market in the next 2 to 3 years. To the extent that we find these opportunities to be attractive, we believe that we are positioned to effectively compete for such opportunities in light of our low cost, high-quality servicing platform. Our technology also provides us the ability to quickly scale our servicing operations to handle acquired loan portfolios.</w:t>
      </w:r>
    </w:p>
    <w:p>
      <w:pPr>
        <w:spacing w:after="0" w:line="13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While we may experience periods of higher prepayments due to refinancing activity in a rising rate environment, primarily in our performing Agency servicing portfolio, the balance of our non-prime portfolio has not historically experienced significant voluntary prepayments. As such, rising and higher interest rates are expected to positively impact our servicing portfolio. Combined with an improving economy and housing market, which should reduce delinquencies, we anticipate a favorable environment for our servicing portfolio.</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8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recent business acquisitions (Homeward Acquisition in December 2012 and ResCap Acquisition in February 2013) and MSR asset acquisitions (Ally MSR Transaction in April 2013) have significantly affected our consolidated operating results. The operating results of the acquired businesses are included in our operating results from their respective acquisition 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six months ended June 30, 2013 and 2012. We have provided a more complete discussion of operating results by line of business in the Segment Results and Financial Condition section.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Three Months</w:t>
            </w: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w w:val="91"/>
              </w:rPr>
              <w:t>$ Change</w:t>
            </w: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w w:val="89"/>
              </w:rPr>
              <w:t>Change</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3"/>
                <w:szCs w:val="13"/>
                <w:color w:val="auto"/>
              </w:rPr>
            </w:pPr>
          </w:p>
        </w:tc>
      </w:tr>
      <w:tr>
        <w:trPr>
          <w:trHeight w:val="142"/>
        </w:trPr>
        <w:tc>
          <w:tcPr>
            <w:tcW w:w="3340" w:type="dxa"/>
            <w:vAlign w:val="bottom"/>
            <w:tcBorders>
              <w:top w:val="single" w:sz="8" w:color="CCEECC"/>
            </w:tcBorders>
            <w:shd w:val="clear" w:color="auto" w:fill="CCEECC"/>
          </w:tcPr>
          <w:p>
            <w:pPr>
              <w:spacing w:after="0" w:line="142" w:lineRule="exact"/>
              <w:rPr>
                <w:sz w:val="20"/>
                <w:szCs w:val="20"/>
                <w:color w:val="auto"/>
              </w:rPr>
            </w:pPr>
            <w:r>
              <w:rPr>
                <w:rFonts w:ascii="Arial" w:cs="Arial" w:eastAsia="Arial" w:hAnsi="Arial"/>
                <w:sz w:val="14"/>
                <w:szCs w:val="14"/>
                <w:color w:val="auto"/>
              </w:rPr>
              <w:t>Consolidated:</w:t>
            </w:r>
          </w:p>
        </w:tc>
        <w:tc>
          <w:tcPr>
            <w:tcW w:w="160" w:type="dxa"/>
            <w:vAlign w:val="bottom"/>
            <w:tcBorders>
              <w:top w:val="single" w:sz="8" w:color="auto"/>
            </w:tcBorders>
            <w:shd w:val="clear" w:color="auto" w:fill="CCEECC"/>
          </w:tcPr>
          <w:p>
            <w:pPr>
              <w:spacing w:after="0"/>
              <w:rPr>
                <w:sz w:val="12"/>
                <w:szCs w:val="12"/>
                <w:color w:val="auto"/>
              </w:rPr>
            </w:pPr>
          </w:p>
        </w:tc>
        <w:tc>
          <w:tcPr>
            <w:tcW w:w="640" w:type="dxa"/>
            <w:vAlign w:val="bottom"/>
            <w:tcBorders>
              <w:top w:val="single" w:sz="8" w:color="auto"/>
            </w:tcBorders>
            <w:shd w:val="clear" w:color="auto" w:fill="CCEECC"/>
          </w:tcPr>
          <w:p>
            <w:pPr>
              <w:spacing w:after="0"/>
              <w:rPr>
                <w:sz w:val="12"/>
                <w:szCs w:val="12"/>
                <w:color w:val="auto"/>
              </w:rPr>
            </w:pPr>
          </w:p>
        </w:tc>
        <w:tc>
          <w:tcPr>
            <w:tcW w:w="140" w:type="dxa"/>
            <w:vAlign w:val="bottom"/>
            <w:tcBorders>
              <w:top w:val="single" w:sz="8" w:color="CCEECC"/>
            </w:tcBorders>
            <w:shd w:val="clear" w:color="auto" w:fill="CCEECC"/>
          </w:tcPr>
          <w:p>
            <w:pPr>
              <w:spacing w:after="0"/>
              <w:rPr>
                <w:sz w:val="12"/>
                <w:szCs w:val="12"/>
                <w:color w:val="auto"/>
              </w:rPr>
            </w:pPr>
          </w:p>
        </w:tc>
        <w:tc>
          <w:tcPr>
            <w:tcW w:w="10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640" w:type="dxa"/>
            <w:vAlign w:val="bottom"/>
            <w:tcBorders>
              <w:top w:val="single" w:sz="8" w:color="auto"/>
            </w:tcBorders>
            <w:shd w:val="clear" w:color="auto" w:fill="CCEECC"/>
          </w:tcPr>
          <w:p>
            <w:pPr>
              <w:spacing w:after="0"/>
              <w:rPr>
                <w:sz w:val="12"/>
                <w:szCs w:val="12"/>
                <w:color w:val="auto"/>
              </w:rPr>
            </w:pPr>
          </w:p>
        </w:tc>
        <w:tc>
          <w:tcPr>
            <w:tcW w:w="240" w:type="dxa"/>
            <w:vAlign w:val="bottom"/>
            <w:tcBorders>
              <w:top w:val="single" w:sz="8" w:color="CCEECC"/>
            </w:tcBorders>
            <w:shd w:val="clear" w:color="auto" w:fill="CCEECC"/>
          </w:tcPr>
          <w:p>
            <w:pPr>
              <w:spacing w:after="0"/>
              <w:rPr>
                <w:sz w:val="12"/>
                <w:szCs w:val="12"/>
                <w:color w:val="auto"/>
              </w:rPr>
            </w:pPr>
          </w:p>
        </w:tc>
        <w:tc>
          <w:tcPr>
            <w:tcW w:w="80" w:type="dxa"/>
            <w:vAlign w:val="bottom"/>
            <w:tcBorders>
              <w:top w:val="single" w:sz="8" w:color="auto"/>
            </w:tcBorders>
            <w:shd w:val="clear" w:color="auto" w:fill="CCEECC"/>
          </w:tcPr>
          <w:p>
            <w:pPr>
              <w:spacing w:after="0"/>
              <w:rPr>
                <w:sz w:val="12"/>
                <w:szCs w:val="12"/>
                <w:color w:val="auto"/>
              </w:rPr>
            </w:pPr>
          </w:p>
        </w:tc>
        <w:tc>
          <w:tcPr>
            <w:tcW w:w="720" w:type="dxa"/>
            <w:vAlign w:val="bottom"/>
            <w:tcBorders>
              <w:top w:val="single" w:sz="8" w:color="auto"/>
            </w:tcBorders>
            <w:shd w:val="clear" w:color="auto" w:fill="CCEECC"/>
          </w:tcPr>
          <w:p>
            <w:pPr>
              <w:spacing w:after="0"/>
              <w:rPr>
                <w:sz w:val="12"/>
                <w:szCs w:val="12"/>
                <w:color w:val="auto"/>
              </w:rPr>
            </w:pPr>
          </w:p>
        </w:tc>
        <w:tc>
          <w:tcPr>
            <w:tcW w:w="240" w:type="dxa"/>
            <w:vAlign w:val="bottom"/>
            <w:tcBorders>
              <w:top w:val="single" w:sz="8" w:color="CCEECC"/>
            </w:tcBorders>
            <w:shd w:val="clear" w:color="auto" w:fill="CCEECC"/>
          </w:tcPr>
          <w:p>
            <w:pPr>
              <w:spacing w:after="0"/>
              <w:rPr>
                <w:sz w:val="12"/>
                <w:szCs w:val="12"/>
                <w:color w:val="auto"/>
              </w:rPr>
            </w:pPr>
          </w:p>
        </w:tc>
        <w:tc>
          <w:tcPr>
            <w:tcW w:w="800" w:type="dxa"/>
            <w:vAlign w:val="bottom"/>
            <w:tcBorders>
              <w:top w:val="single" w:sz="8" w:color="auto"/>
            </w:tcBorders>
            <w:shd w:val="clear" w:color="auto" w:fill="CCEECC"/>
          </w:tcPr>
          <w:p>
            <w:pPr>
              <w:spacing w:after="0"/>
              <w:rPr>
                <w:sz w:val="12"/>
                <w:szCs w:val="12"/>
                <w:color w:val="auto"/>
              </w:rPr>
            </w:pPr>
          </w:p>
        </w:tc>
        <w:tc>
          <w:tcPr>
            <w:tcW w:w="36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620" w:type="dxa"/>
            <w:vAlign w:val="bottom"/>
            <w:tcBorders>
              <w:top w:val="single" w:sz="8" w:color="auto"/>
            </w:tcBorders>
            <w:shd w:val="clear" w:color="auto" w:fill="CCEECC"/>
          </w:tcPr>
          <w:p>
            <w:pPr>
              <w:spacing w:after="0"/>
              <w:rPr>
                <w:sz w:val="12"/>
                <w:szCs w:val="12"/>
                <w:color w:val="auto"/>
              </w:rPr>
            </w:pPr>
          </w:p>
        </w:tc>
        <w:tc>
          <w:tcPr>
            <w:tcW w:w="22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620" w:type="dxa"/>
            <w:vAlign w:val="bottom"/>
            <w:tcBorders>
              <w:top w:val="single" w:sz="8" w:color="auto"/>
            </w:tcBorders>
            <w:shd w:val="clear" w:color="auto" w:fill="CCEECC"/>
          </w:tcPr>
          <w:p>
            <w:pPr>
              <w:spacing w:after="0"/>
              <w:rPr>
                <w:sz w:val="12"/>
                <w:szCs w:val="12"/>
                <w:color w:val="auto"/>
              </w:rPr>
            </w:pPr>
          </w:p>
        </w:tc>
        <w:tc>
          <w:tcPr>
            <w:tcW w:w="220" w:type="dxa"/>
            <w:vAlign w:val="bottom"/>
            <w:tcBorders>
              <w:top w:val="single" w:sz="8" w:color="CCEECC"/>
            </w:tcBorders>
            <w:shd w:val="clear" w:color="auto" w:fill="CCEECC"/>
          </w:tcPr>
          <w:p>
            <w:pPr>
              <w:spacing w:after="0"/>
              <w:rPr>
                <w:sz w:val="12"/>
                <w:szCs w:val="12"/>
                <w:color w:val="auto"/>
              </w:rPr>
            </w:pPr>
          </w:p>
        </w:tc>
        <w:tc>
          <w:tcPr>
            <w:tcW w:w="200" w:type="dxa"/>
            <w:vAlign w:val="bottom"/>
            <w:tcBorders>
              <w:top w:val="single" w:sz="8" w:color="auto"/>
            </w:tcBorders>
            <w:shd w:val="clear" w:color="auto" w:fill="CCEECC"/>
          </w:tcPr>
          <w:p>
            <w:pPr>
              <w:spacing w:after="0"/>
              <w:rPr>
                <w:sz w:val="12"/>
                <w:szCs w:val="12"/>
                <w:color w:val="auto"/>
              </w:rPr>
            </w:pPr>
          </w:p>
        </w:tc>
        <w:tc>
          <w:tcPr>
            <w:tcW w:w="580" w:type="dxa"/>
            <w:vAlign w:val="bottom"/>
            <w:tcBorders>
              <w:top w:val="single" w:sz="8" w:color="auto"/>
            </w:tcBorders>
            <w:shd w:val="clear" w:color="auto" w:fill="CCEECC"/>
          </w:tcPr>
          <w:p>
            <w:pPr>
              <w:spacing w:after="0"/>
              <w:rPr>
                <w:sz w:val="12"/>
                <w:szCs w:val="12"/>
                <w:color w:val="auto"/>
              </w:rPr>
            </w:pPr>
          </w:p>
        </w:tc>
        <w:tc>
          <w:tcPr>
            <w:tcW w:w="220" w:type="dxa"/>
            <w:vAlign w:val="bottom"/>
            <w:tcBorders>
              <w:top w:val="single" w:sz="8" w:color="CCEECC"/>
            </w:tcBorders>
            <w:shd w:val="clear" w:color="auto" w:fill="CCEECC"/>
          </w:tcPr>
          <w:p>
            <w:pPr>
              <w:spacing w:after="0"/>
              <w:rPr>
                <w:sz w:val="12"/>
                <w:szCs w:val="12"/>
                <w:color w:val="auto"/>
              </w:rPr>
            </w:pPr>
          </w:p>
        </w:tc>
        <w:tc>
          <w:tcPr>
            <w:tcW w:w="680" w:type="dxa"/>
            <w:vAlign w:val="bottom"/>
            <w:tcBorders>
              <w:top w:val="single" w:sz="8" w:color="auto"/>
            </w:tcBorders>
            <w:shd w:val="clear" w:color="auto" w:fill="CCEECC"/>
          </w:tcPr>
          <w:p>
            <w:pPr>
              <w:spacing w:after="0"/>
              <w:rPr>
                <w:sz w:val="12"/>
                <w:szCs w:val="12"/>
                <w:color w:val="auto"/>
              </w:rPr>
            </w:pPr>
          </w:p>
        </w:tc>
        <w:tc>
          <w:tcPr>
            <w:tcW w:w="120" w:type="dxa"/>
            <w:vAlign w:val="bottom"/>
            <w:tcBorders>
              <w:top w:val="single" w:sz="8" w:color="CCEECC"/>
            </w:tcBorders>
            <w:shd w:val="clear" w:color="auto" w:fill="CCEECC"/>
          </w:tcPr>
          <w:p>
            <w:pPr>
              <w:spacing w:after="0"/>
              <w:rPr>
                <w:sz w:val="12"/>
                <w:szCs w:val="12"/>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340" w:type="dxa"/>
            <w:vAlign w:val="bottom"/>
            <w:shd w:val="clear" w:color="auto" w:fill="CCEECC"/>
          </w:tcPr>
          <w:p>
            <w:pPr>
              <w:ind w:left="320"/>
              <w:spacing w:after="0" w:line="149" w:lineRule="exact"/>
              <w:rPr>
                <w:sz w:val="20"/>
                <w:szCs w:val="20"/>
                <w:color w:val="auto"/>
              </w:rPr>
            </w:pPr>
            <w:r>
              <w:rPr>
                <w:rFonts w:ascii="Arial" w:cs="Arial" w:eastAsia="Arial" w:hAnsi="Arial"/>
                <w:sz w:val="14"/>
                <w:szCs w:val="14"/>
                <w:color w:val="auto"/>
              </w:rPr>
              <w:t>Servicing and subservicing fees</w:t>
            </w:r>
          </w:p>
        </w:tc>
        <w:tc>
          <w:tcPr>
            <w:tcW w:w="160" w:type="dxa"/>
            <w:vAlign w:val="bottom"/>
            <w:shd w:val="clear" w:color="auto" w:fill="CCEECC"/>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CC"/>
          </w:tcPr>
          <w:p>
            <w:pPr>
              <w:jc w:val="right"/>
              <w:ind w:right="99"/>
              <w:spacing w:after="0" w:line="149" w:lineRule="exact"/>
              <w:rPr>
                <w:sz w:val="20"/>
                <w:szCs w:val="20"/>
                <w:color w:val="auto"/>
              </w:rPr>
            </w:pPr>
            <w:r>
              <w:rPr>
                <w:rFonts w:ascii="Arial" w:cs="Arial" w:eastAsia="Arial" w:hAnsi="Arial"/>
                <w:sz w:val="14"/>
                <w:szCs w:val="14"/>
                <w:color w:val="auto"/>
              </w:rPr>
              <w:t>482,632</w:t>
            </w:r>
          </w:p>
        </w:tc>
        <w:tc>
          <w:tcPr>
            <w:tcW w:w="260" w:type="dxa"/>
            <w:vAlign w:val="bottom"/>
            <w:gridSpan w:val="2"/>
            <w:shd w:val="clear" w:color="auto" w:fill="CCEECC"/>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CC"/>
          </w:tcPr>
          <w:p>
            <w:pPr>
              <w:jc w:val="right"/>
              <w:ind w:right="199"/>
              <w:spacing w:after="0" w:line="149" w:lineRule="exact"/>
              <w:rPr>
                <w:sz w:val="20"/>
                <w:szCs w:val="20"/>
                <w:color w:val="auto"/>
              </w:rPr>
            </w:pPr>
            <w:r>
              <w:rPr>
                <w:rFonts w:ascii="Arial" w:cs="Arial" w:eastAsia="Arial" w:hAnsi="Arial"/>
                <w:sz w:val="14"/>
                <w:szCs w:val="14"/>
                <w:color w:val="auto"/>
              </w:rPr>
              <w:t>200,335</w:t>
            </w:r>
          </w:p>
        </w:tc>
        <w:tc>
          <w:tcPr>
            <w:tcW w:w="80" w:type="dxa"/>
            <w:vAlign w:val="bottom"/>
            <w:shd w:val="clear" w:color="auto" w:fill="CCEEC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CC"/>
          </w:tcPr>
          <w:p>
            <w:pPr>
              <w:jc w:val="right"/>
              <w:ind w:right="199"/>
              <w:spacing w:after="0" w:line="149" w:lineRule="exact"/>
              <w:rPr>
                <w:sz w:val="20"/>
                <w:szCs w:val="20"/>
                <w:color w:val="auto"/>
              </w:rPr>
            </w:pPr>
            <w:r>
              <w:rPr>
                <w:rFonts w:ascii="Arial" w:cs="Arial" w:eastAsia="Arial" w:hAnsi="Arial"/>
                <w:sz w:val="14"/>
                <w:szCs w:val="14"/>
                <w:color w:val="auto"/>
              </w:rPr>
              <w:t>282,297</w:t>
            </w:r>
          </w:p>
        </w:tc>
        <w:tc>
          <w:tcPr>
            <w:tcW w:w="1160" w:type="dxa"/>
            <w:vAlign w:val="bottom"/>
            <w:gridSpan w:val="2"/>
            <w:shd w:val="clear" w:color="auto" w:fill="CCEECC"/>
          </w:tcPr>
          <w:p>
            <w:pPr>
              <w:jc w:val="right"/>
              <w:ind w:right="240"/>
              <w:spacing w:after="0" w:line="149" w:lineRule="exact"/>
              <w:rPr>
                <w:sz w:val="20"/>
                <w:szCs w:val="20"/>
                <w:color w:val="auto"/>
              </w:rPr>
            </w:pPr>
            <w:r>
              <w:rPr>
                <w:rFonts w:ascii="Arial" w:cs="Arial" w:eastAsia="Arial" w:hAnsi="Arial"/>
                <w:sz w:val="14"/>
                <w:szCs w:val="14"/>
                <w:color w:val="auto"/>
              </w:rPr>
              <w:t>141%</w:t>
            </w:r>
          </w:p>
        </w:tc>
        <w:tc>
          <w:tcPr>
            <w:tcW w:w="160" w:type="dxa"/>
            <w:vAlign w:val="bottom"/>
            <w:shd w:val="clear" w:color="auto" w:fill="CCEE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CC"/>
          </w:tcPr>
          <w:p>
            <w:pPr>
              <w:jc w:val="right"/>
              <w:ind w:right="220"/>
              <w:spacing w:after="0" w:line="149" w:lineRule="exact"/>
              <w:rPr>
                <w:sz w:val="20"/>
                <w:szCs w:val="20"/>
                <w:color w:val="auto"/>
              </w:rPr>
            </w:pPr>
            <w:r>
              <w:rPr>
                <w:rFonts w:ascii="Arial" w:cs="Arial" w:eastAsia="Arial" w:hAnsi="Arial"/>
                <w:sz w:val="14"/>
                <w:szCs w:val="14"/>
                <w:color w:val="auto"/>
              </w:rPr>
              <w:t>850,125</w:t>
            </w:r>
          </w:p>
        </w:tc>
        <w:tc>
          <w:tcPr>
            <w:tcW w:w="160" w:type="dxa"/>
            <w:vAlign w:val="bottom"/>
            <w:shd w:val="clear" w:color="auto" w:fill="CCEE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CC"/>
          </w:tcPr>
          <w:p>
            <w:pPr>
              <w:jc w:val="right"/>
              <w:ind w:right="148"/>
              <w:spacing w:after="0" w:line="149" w:lineRule="exact"/>
              <w:rPr>
                <w:sz w:val="20"/>
                <w:szCs w:val="20"/>
                <w:color w:val="auto"/>
              </w:rPr>
            </w:pPr>
            <w:r>
              <w:rPr>
                <w:rFonts w:ascii="Arial" w:cs="Arial" w:eastAsia="Arial" w:hAnsi="Arial"/>
                <w:sz w:val="14"/>
                <w:szCs w:val="14"/>
                <w:color w:val="auto"/>
              </w:rPr>
              <w:t>355,424</w:t>
            </w:r>
          </w:p>
        </w:tc>
        <w:tc>
          <w:tcPr>
            <w:tcW w:w="200" w:type="dxa"/>
            <w:vAlign w:val="bottom"/>
            <w:shd w:val="clear" w:color="auto" w:fill="CCEECC"/>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CC"/>
          </w:tcPr>
          <w:p>
            <w:pPr>
              <w:jc w:val="right"/>
              <w:ind w:right="148"/>
              <w:spacing w:after="0" w:line="149" w:lineRule="exact"/>
              <w:rPr>
                <w:sz w:val="20"/>
                <w:szCs w:val="20"/>
                <w:color w:val="auto"/>
              </w:rPr>
            </w:pPr>
            <w:r>
              <w:rPr>
                <w:rFonts w:ascii="Arial" w:cs="Arial" w:eastAsia="Arial" w:hAnsi="Arial"/>
                <w:sz w:val="14"/>
                <w:szCs w:val="14"/>
                <w:color w:val="auto"/>
              </w:rPr>
              <w:t>494,701</w:t>
            </w:r>
          </w:p>
        </w:tc>
        <w:tc>
          <w:tcPr>
            <w:tcW w:w="800" w:type="dxa"/>
            <w:vAlign w:val="bottom"/>
            <w:gridSpan w:val="2"/>
            <w:shd w:val="clear" w:color="auto" w:fill="CCEECC"/>
          </w:tcPr>
          <w:p>
            <w:pPr>
              <w:jc w:val="right"/>
              <w:spacing w:after="0" w:line="149" w:lineRule="exact"/>
              <w:rPr>
                <w:sz w:val="20"/>
                <w:szCs w:val="20"/>
                <w:color w:val="auto"/>
              </w:rPr>
            </w:pPr>
            <w:r>
              <w:rPr>
                <w:rFonts w:ascii="Arial" w:cs="Arial" w:eastAsia="Arial" w:hAnsi="Arial"/>
                <w:sz w:val="14"/>
                <w:szCs w:val="14"/>
                <w:color w:val="auto"/>
              </w:rPr>
              <w:t>139%</w:t>
            </w:r>
          </w:p>
        </w:tc>
      </w:tr>
      <w:tr>
        <w:trPr>
          <w:trHeight w:val="149"/>
        </w:trPr>
        <w:tc>
          <w:tcPr>
            <w:tcW w:w="3340" w:type="dxa"/>
            <w:vAlign w:val="bottom"/>
          </w:tcPr>
          <w:p>
            <w:pPr>
              <w:ind w:left="320"/>
              <w:spacing w:after="0" w:line="149" w:lineRule="exact"/>
              <w:rPr>
                <w:sz w:val="20"/>
                <w:szCs w:val="20"/>
                <w:color w:val="auto"/>
              </w:rPr>
            </w:pPr>
            <w:r>
              <w:rPr>
                <w:rFonts w:ascii="Arial" w:cs="Arial" w:eastAsia="Arial" w:hAnsi="Arial"/>
                <w:sz w:val="14"/>
                <w:szCs w:val="14"/>
                <w:color w:val="auto"/>
              </w:rPr>
              <w:t>Gain on loans held for sale, net</w:t>
            </w:r>
          </w:p>
        </w:tc>
        <w:tc>
          <w:tcPr>
            <w:tcW w:w="160" w:type="dxa"/>
            <w:vAlign w:val="bottom"/>
          </w:tcPr>
          <w:p>
            <w:pPr>
              <w:spacing w:after="0"/>
              <w:rPr>
                <w:sz w:val="12"/>
                <w:szCs w:val="12"/>
                <w:color w:val="auto"/>
              </w:rPr>
            </w:pPr>
          </w:p>
        </w:tc>
        <w:tc>
          <w:tcPr>
            <w:tcW w:w="78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21,631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21,631</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28,380</w:t>
            </w:r>
          </w:p>
        </w:tc>
        <w:tc>
          <w:tcPr>
            <w:tcW w:w="16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28,380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62"/>
        </w:trPr>
        <w:tc>
          <w:tcPr>
            <w:tcW w:w="3340" w:type="dxa"/>
            <w:vAlign w:val="bottom"/>
            <w:shd w:val="clear" w:color="auto" w:fill="CCEECC"/>
          </w:tcPr>
          <w:p>
            <w:pPr>
              <w:ind w:left="3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CC"/>
          </w:tcPr>
          <w:p>
            <w:pPr>
              <w:spacing w:after="0"/>
              <w:rPr>
                <w:sz w:val="14"/>
                <w:szCs w:val="14"/>
                <w:color w:val="auto"/>
              </w:rPr>
            </w:pPr>
          </w:p>
        </w:tc>
        <w:tc>
          <w:tcPr>
            <w:tcW w:w="780" w:type="dxa"/>
            <w:vAlign w:val="bottom"/>
            <w:gridSpan w:val="2"/>
            <w:shd w:val="clear" w:color="auto" w:fill="CCEECC"/>
          </w:tcPr>
          <w:p>
            <w:pPr>
              <w:jc w:val="right"/>
              <w:ind w:right="99"/>
              <w:spacing w:after="0"/>
              <w:rPr>
                <w:sz w:val="20"/>
                <w:szCs w:val="20"/>
                <w:color w:val="auto"/>
              </w:rPr>
            </w:pPr>
            <w:r>
              <w:rPr>
                <w:rFonts w:ascii="Arial" w:cs="Arial" w:eastAsia="Arial" w:hAnsi="Arial"/>
                <w:sz w:val="14"/>
                <w:szCs w:val="14"/>
                <w:color w:val="auto"/>
              </w:rPr>
              <w:t>25,702</w:t>
            </w:r>
          </w:p>
        </w:tc>
        <w:tc>
          <w:tcPr>
            <w:tcW w:w="100" w:type="dxa"/>
            <w:vAlign w:val="bottom"/>
            <w:shd w:val="clear" w:color="auto" w:fill="CCEECC"/>
          </w:tcPr>
          <w:p>
            <w:pPr>
              <w:spacing w:after="0"/>
              <w:rPr>
                <w:sz w:val="14"/>
                <w:szCs w:val="14"/>
                <w:color w:val="auto"/>
              </w:rPr>
            </w:pPr>
          </w:p>
        </w:tc>
        <w:tc>
          <w:tcPr>
            <w:tcW w:w="160" w:type="dxa"/>
            <w:vAlign w:val="bottom"/>
            <w:shd w:val="clear" w:color="auto" w:fill="CCEECC"/>
          </w:tcPr>
          <w:p>
            <w:pPr>
              <w:spacing w:after="0"/>
              <w:rPr>
                <w:sz w:val="14"/>
                <w:szCs w:val="14"/>
                <w:color w:val="auto"/>
              </w:rPr>
            </w:pPr>
          </w:p>
        </w:tc>
        <w:tc>
          <w:tcPr>
            <w:tcW w:w="88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11,046</w:t>
            </w:r>
          </w:p>
        </w:tc>
        <w:tc>
          <w:tcPr>
            <w:tcW w:w="80" w:type="dxa"/>
            <w:vAlign w:val="bottom"/>
            <w:shd w:val="clear" w:color="auto" w:fill="CCEECC"/>
          </w:tcPr>
          <w:p>
            <w:pPr>
              <w:spacing w:after="0"/>
              <w:rPr>
                <w:sz w:val="14"/>
                <w:szCs w:val="14"/>
                <w:color w:val="auto"/>
              </w:rPr>
            </w:pPr>
          </w:p>
        </w:tc>
        <w:tc>
          <w:tcPr>
            <w:tcW w:w="96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14,656</w:t>
            </w:r>
          </w:p>
        </w:tc>
        <w:tc>
          <w:tcPr>
            <w:tcW w:w="1160" w:type="dxa"/>
            <w:vAlign w:val="bottom"/>
            <w:gridSpan w:val="2"/>
            <w:shd w:val="clear" w:color="auto" w:fill="CCEECC"/>
          </w:tcPr>
          <w:p>
            <w:pPr>
              <w:jc w:val="right"/>
              <w:ind w:right="360"/>
              <w:spacing w:after="0"/>
              <w:rPr>
                <w:sz w:val="20"/>
                <w:szCs w:val="20"/>
                <w:color w:val="auto"/>
              </w:rPr>
            </w:pPr>
            <w:r>
              <w:rPr>
                <w:rFonts w:ascii="Arial" w:cs="Arial" w:eastAsia="Arial" w:hAnsi="Arial"/>
                <w:sz w:val="14"/>
                <w:szCs w:val="14"/>
                <w:color w:val="auto"/>
              </w:rPr>
              <w:t>133</w:t>
            </w:r>
          </w:p>
        </w:tc>
        <w:tc>
          <w:tcPr>
            <w:tcW w:w="160" w:type="dxa"/>
            <w:vAlign w:val="bottom"/>
            <w:shd w:val="clear" w:color="auto" w:fill="CCEECC"/>
          </w:tcPr>
          <w:p>
            <w:pPr>
              <w:spacing w:after="0"/>
              <w:rPr>
                <w:sz w:val="14"/>
                <w:szCs w:val="14"/>
                <w:color w:val="auto"/>
              </w:rPr>
            </w:pPr>
          </w:p>
        </w:tc>
        <w:tc>
          <w:tcPr>
            <w:tcW w:w="840" w:type="dxa"/>
            <w:vAlign w:val="bottom"/>
            <w:gridSpan w:val="2"/>
            <w:shd w:val="clear" w:color="auto" w:fill="CCEECC"/>
          </w:tcPr>
          <w:p>
            <w:pPr>
              <w:jc w:val="right"/>
              <w:ind w:right="220"/>
              <w:spacing w:after="0"/>
              <w:rPr>
                <w:sz w:val="20"/>
                <w:szCs w:val="20"/>
                <w:color w:val="auto"/>
              </w:rPr>
            </w:pPr>
            <w:r>
              <w:rPr>
                <w:rFonts w:ascii="Arial" w:cs="Arial" w:eastAsia="Arial" w:hAnsi="Arial"/>
                <w:sz w:val="14"/>
                <w:szCs w:val="14"/>
                <w:color w:val="auto"/>
              </w:rPr>
              <w:t>56,303</w:t>
            </w:r>
          </w:p>
        </w:tc>
        <w:tc>
          <w:tcPr>
            <w:tcW w:w="160" w:type="dxa"/>
            <w:vAlign w:val="bottom"/>
            <w:shd w:val="clear" w:color="auto" w:fill="CCEECC"/>
          </w:tcPr>
          <w:p>
            <w:pPr>
              <w:spacing w:after="0"/>
              <w:rPr>
                <w:sz w:val="14"/>
                <w:szCs w:val="14"/>
                <w:color w:val="auto"/>
              </w:rPr>
            </w:pPr>
          </w:p>
        </w:tc>
        <w:tc>
          <w:tcPr>
            <w:tcW w:w="84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20,489</w:t>
            </w:r>
          </w:p>
        </w:tc>
        <w:tc>
          <w:tcPr>
            <w:tcW w:w="200" w:type="dxa"/>
            <w:vAlign w:val="bottom"/>
            <w:shd w:val="clear" w:color="auto" w:fill="CCEECC"/>
          </w:tcPr>
          <w:p>
            <w:pPr>
              <w:spacing w:after="0"/>
              <w:rPr>
                <w:sz w:val="14"/>
                <w:szCs w:val="14"/>
                <w:color w:val="auto"/>
              </w:rPr>
            </w:pPr>
          </w:p>
        </w:tc>
        <w:tc>
          <w:tcPr>
            <w:tcW w:w="80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35,814</w:t>
            </w:r>
          </w:p>
        </w:tc>
        <w:tc>
          <w:tcPr>
            <w:tcW w:w="680" w:type="dxa"/>
            <w:vAlign w:val="bottom"/>
            <w:shd w:val="clear" w:color="auto" w:fill="CCEECC"/>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CC"/>
          </w:tcPr>
          <w:p>
            <w:pPr>
              <w:spacing w:after="0"/>
              <w:rPr>
                <w:sz w:val="14"/>
                <w:szCs w:val="14"/>
                <w:color w:val="auto"/>
              </w:rPr>
            </w:pPr>
          </w:p>
        </w:tc>
      </w:tr>
      <w:tr>
        <w:trPr>
          <w:trHeight w:val="142"/>
        </w:trPr>
        <w:tc>
          <w:tcPr>
            <w:tcW w:w="3340" w:type="dxa"/>
            <w:vAlign w:val="bottom"/>
          </w:tcPr>
          <w:p>
            <w:pPr>
              <w:ind w:left="480"/>
              <w:spacing w:after="0" w:line="142"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529,965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211,381</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318,584</w:t>
            </w:r>
          </w:p>
        </w:tc>
        <w:tc>
          <w:tcPr>
            <w:tcW w:w="240" w:type="dxa"/>
            <w:vAlign w:val="bottom"/>
          </w:tcPr>
          <w:p>
            <w:pPr>
              <w:spacing w:after="0"/>
              <w:rPr>
                <w:sz w:val="12"/>
                <w:szCs w:val="12"/>
                <w:color w:val="auto"/>
              </w:rPr>
            </w:pPr>
          </w:p>
        </w:tc>
        <w:tc>
          <w:tcPr>
            <w:tcW w:w="116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151</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934,808</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375,913</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558,895</w:t>
            </w: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149</w:t>
            </w:r>
          </w:p>
        </w:tc>
        <w:tc>
          <w:tcPr>
            <w:tcW w:w="120" w:type="dxa"/>
            <w:vAlign w:val="bottom"/>
          </w:tcPr>
          <w:p>
            <w:pPr>
              <w:spacing w:after="0"/>
              <w:rPr>
                <w:sz w:val="12"/>
                <w:szCs w:val="12"/>
                <w:color w:val="auto"/>
              </w:rPr>
            </w:pPr>
          </w:p>
        </w:tc>
      </w:tr>
      <w:tr>
        <w:trPr>
          <w:trHeight w:val="162"/>
        </w:trPr>
        <w:tc>
          <w:tcPr>
            <w:tcW w:w="3340" w:type="dxa"/>
            <w:vAlign w:val="bottom"/>
            <w:shd w:val="clear" w:color="auto" w:fill="CCEECC"/>
          </w:tcPr>
          <w:p>
            <w:pPr>
              <w:ind w:left="16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CC"/>
          </w:tcPr>
          <w:p>
            <w:pPr>
              <w:spacing w:after="0"/>
              <w:rPr>
                <w:sz w:val="14"/>
                <w:szCs w:val="14"/>
                <w:color w:val="auto"/>
              </w:rPr>
            </w:pPr>
          </w:p>
        </w:tc>
        <w:tc>
          <w:tcPr>
            <w:tcW w:w="780" w:type="dxa"/>
            <w:vAlign w:val="bottom"/>
            <w:gridSpan w:val="2"/>
            <w:shd w:val="clear" w:color="auto" w:fill="CCEECC"/>
          </w:tcPr>
          <w:p>
            <w:pPr>
              <w:jc w:val="right"/>
              <w:ind w:right="99"/>
              <w:spacing w:after="0"/>
              <w:rPr>
                <w:sz w:val="20"/>
                <w:szCs w:val="20"/>
                <w:color w:val="auto"/>
              </w:rPr>
            </w:pPr>
            <w:r>
              <w:rPr>
                <w:rFonts w:ascii="Arial" w:cs="Arial" w:eastAsia="Arial" w:hAnsi="Arial"/>
                <w:sz w:val="14"/>
                <w:szCs w:val="14"/>
                <w:color w:val="auto"/>
              </w:rPr>
              <w:t>374,796</w:t>
            </w:r>
          </w:p>
        </w:tc>
        <w:tc>
          <w:tcPr>
            <w:tcW w:w="100" w:type="dxa"/>
            <w:vAlign w:val="bottom"/>
            <w:shd w:val="clear" w:color="auto" w:fill="CCEECC"/>
          </w:tcPr>
          <w:p>
            <w:pPr>
              <w:spacing w:after="0"/>
              <w:rPr>
                <w:sz w:val="14"/>
                <w:szCs w:val="14"/>
                <w:color w:val="auto"/>
              </w:rPr>
            </w:pPr>
          </w:p>
        </w:tc>
        <w:tc>
          <w:tcPr>
            <w:tcW w:w="160" w:type="dxa"/>
            <w:vAlign w:val="bottom"/>
            <w:shd w:val="clear" w:color="auto" w:fill="CCEECC"/>
          </w:tcPr>
          <w:p>
            <w:pPr>
              <w:spacing w:after="0"/>
              <w:rPr>
                <w:sz w:val="14"/>
                <w:szCs w:val="14"/>
                <w:color w:val="auto"/>
              </w:rPr>
            </w:pPr>
          </w:p>
        </w:tc>
        <w:tc>
          <w:tcPr>
            <w:tcW w:w="88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85,904</w:t>
            </w:r>
          </w:p>
        </w:tc>
        <w:tc>
          <w:tcPr>
            <w:tcW w:w="80" w:type="dxa"/>
            <w:vAlign w:val="bottom"/>
            <w:shd w:val="clear" w:color="auto" w:fill="CCEECC"/>
          </w:tcPr>
          <w:p>
            <w:pPr>
              <w:spacing w:after="0"/>
              <w:rPr>
                <w:sz w:val="14"/>
                <w:szCs w:val="14"/>
                <w:color w:val="auto"/>
              </w:rPr>
            </w:pPr>
          </w:p>
        </w:tc>
        <w:tc>
          <w:tcPr>
            <w:tcW w:w="96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288,892</w:t>
            </w:r>
          </w:p>
        </w:tc>
        <w:tc>
          <w:tcPr>
            <w:tcW w:w="1160" w:type="dxa"/>
            <w:vAlign w:val="bottom"/>
            <w:gridSpan w:val="2"/>
            <w:shd w:val="clear" w:color="auto" w:fill="CCEECC"/>
          </w:tcPr>
          <w:p>
            <w:pPr>
              <w:jc w:val="right"/>
              <w:ind w:right="360"/>
              <w:spacing w:after="0"/>
              <w:rPr>
                <w:sz w:val="20"/>
                <w:szCs w:val="20"/>
                <w:color w:val="auto"/>
              </w:rPr>
            </w:pPr>
            <w:r>
              <w:rPr>
                <w:rFonts w:ascii="Arial" w:cs="Arial" w:eastAsia="Arial" w:hAnsi="Arial"/>
                <w:sz w:val="14"/>
                <w:szCs w:val="14"/>
                <w:color w:val="auto"/>
              </w:rPr>
              <w:t>336</w:t>
            </w:r>
          </w:p>
        </w:tc>
        <w:tc>
          <w:tcPr>
            <w:tcW w:w="160" w:type="dxa"/>
            <w:vAlign w:val="bottom"/>
            <w:shd w:val="clear" w:color="auto" w:fill="CCEECC"/>
          </w:tcPr>
          <w:p>
            <w:pPr>
              <w:spacing w:after="0"/>
              <w:rPr>
                <w:sz w:val="14"/>
                <w:szCs w:val="14"/>
                <w:color w:val="auto"/>
              </w:rPr>
            </w:pPr>
          </w:p>
        </w:tc>
        <w:tc>
          <w:tcPr>
            <w:tcW w:w="840" w:type="dxa"/>
            <w:vAlign w:val="bottom"/>
            <w:gridSpan w:val="2"/>
            <w:shd w:val="clear" w:color="auto" w:fill="CCEECC"/>
          </w:tcPr>
          <w:p>
            <w:pPr>
              <w:jc w:val="right"/>
              <w:ind w:right="220"/>
              <w:spacing w:after="0"/>
              <w:rPr>
                <w:sz w:val="20"/>
                <w:szCs w:val="20"/>
                <w:color w:val="auto"/>
              </w:rPr>
            </w:pPr>
            <w:r>
              <w:rPr>
                <w:rFonts w:ascii="Arial" w:cs="Arial" w:eastAsia="Arial" w:hAnsi="Arial"/>
                <w:sz w:val="14"/>
                <w:szCs w:val="14"/>
                <w:color w:val="auto"/>
              </w:rPr>
              <w:t>618,430</w:t>
            </w:r>
          </w:p>
        </w:tc>
        <w:tc>
          <w:tcPr>
            <w:tcW w:w="160" w:type="dxa"/>
            <w:vAlign w:val="bottom"/>
            <w:shd w:val="clear" w:color="auto" w:fill="CCEECC"/>
          </w:tcPr>
          <w:p>
            <w:pPr>
              <w:spacing w:after="0"/>
              <w:rPr>
                <w:sz w:val="14"/>
                <w:szCs w:val="14"/>
                <w:color w:val="auto"/>
              </w:rPr>
            </w:pPr>
          </w:p>
        </w:tc>
        <w:tc>
          <w:tcPr>
            <w:tcW w:w="84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172,017</w:t>
            </w:r>
          </w:p>
        </w:tc>
        <w:tc>
          <w:tcPr>
            <w:tcW w:w="200" w:type="dxa"/>
            <w:vAlign w:val="bottom"/>
            <w:shd w:val="clear" w:color="auto" w:fill="CCEECC"/>
          </w:tcPr>
          <w:p>
            <w:pPr>
              <w:spacing w:after="0"/>
              <w:rPr>
                <w:sz w:val="14"/>
                <w:szCs w:val="14"/>
                <w:color w:val="auto"/>
              </w:rPr>
            </w:pPr>
          </w:p>
        </w:tc>
        <w:tc>
          <w:tcPr>
            <w:tcW w:w="80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446,413</w:t>
            </w:r>
          </w:p>
        </w:tc>
        <w:tc>
          <w:tcPr>
            <w:tcW w:w="680" w:type="dxa"/>
            <w:vAlign w:val="bottom"/>
            <w:shd w:val="clear" w:color="auto" w:fill="CCEECC"/>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CC"/>
          </w:tcPr>
          <w:p>
            <w:pPr>
              <w:spacing w:after="0"/>
              <w:rPr>
                <w:sz w:val="14"/>
                <w:szCs w:val="14"/>
                <w:color w:val="auto"/>
              </w:rPr>
            </w:pPr>
          </w:p>
        </w:tc>
      </w:tr>
      <w:tr>
        <w:trPr>
          <w:trHeight w:val="142"/>
        </w:trPr>
        <w:tc>
          <w:tcPr>
            <w:tcW w:w="3340" w:type="dxa"/>
            <w:vAlign w:val="bottom"/>
            <w:tcBorders>
              <w:bottom w:val="single" w:sz="8" w:color="CCEECC"/>
            </w:tcBorders>
          </w:tcPr>
          <w:p>
            <w:pPr>
              <w:ind w:left="160"/>
              <w:spacing w:after="0" w:line="142" w:lineRule="exact"/>
              <w:rPr>
                <w:sz w:val="20"/>
                <w:szCs w:val="20"/>
                <w:color w:val="auto"/>
              </w:rPr>
            </w:pPr>
            <w:r>
              <w:rPr>
                <w:rFonts w:ascii="Arial" w:cs="Arial" w:eastAsia="Arial" w:hAnsi="Arial"/>
                <w:sz w:val="14"/>
                <w:szCs w:val="14"/>
                <w:color w:val="auto"/>
              </w:rPr>
              <w:t>Income from operations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155,169</w:t>
            </w:r>
          </w:p>
        </w:tc>
        <w:tc>
          <w:tcPr>
            <w:tcW w:w="140" w:type="dxa"/>
            <w:vAlign w:val="bottom"/>
            <w:tcBorders>
              <w:bottom w:val="single" w:sz="8" w:color="CCEECC"/>
            </w:tcBorders>
          </w:tcPr>
          <w:p>
            <w:pPr>
              <w:spacing w:after="0"/>
              <w:rPr>
                <w:sz w:val="12"/>
                <w:szCs w:val="12"/>
                <w:color w:val="auto"/>
              </w:rPr>
            </w:pPr>
          </w:p>
        </w:tc>
        <w:tc>
          <w:tcPr>
            <w:tcW w:w="100" w:type="dxa"/>
            <w:vAlign w:val="bottom"/>
            <w:tcBorders>
              <w:bottom w:val="single" w:sz="8" w:color="CCEE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125,477</w:t>
            </w:r>
          </w:p>
        </w:tc>
        <w:tc>
          <w:tcPr>
            <w:tcW w:w="240" w:type="dxa"/>
            <w:vAlign w:val="bottom"/>
            <w:tcBorders>
              <w:bottom w:val="single" w:sz="8" w:color="CCEEC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29,692</w:t>
            </w:r>
          </w:p>
        </w:tc>
        <w:tc>
          <w:tcPr>
            <w:tcW w:w="240" w:type="dxa"/>
            <w:vAlign w:val="bottom"/>
            <w:tcBorders>
              <w:bottom w:val="single" w:sz="8" w:color="CCEECC"/>
            </w:tcBorders>
          </w:tcPr>
          <w:p>
            <w:pPr>
              <w:spacing w:after="0"/>
              <w:rPr>
                <w:sz w:val="12"/>
                <w:szCs w:val="12"/>
                <w:color w:val="auto"/>
              </w:rPr>
            </w:pPr>
          </w:p>
        </w:tc>
        <w:tc>
          <w:tcPr>
            <w:tcW w:w="1160" w:type="dxa"/>
            <w:vAlign w:val="bottom"/>
            <w:tcBorders>
              <w:bottom w:val="single" w:sz="8" w:color="CCEECC"/>
            </w:tcBorders>
            <w:gridSpan w:val="2"/>
          </w:tcPr>
          <w:p>
            <w:pPr>
              <w:jc w:val="right"/>
              <w:ind w:right="360"/>
              <w:spacing w:after="0" w:line="142" w:lineRule="exact"/>
              <w:rPr>
                <w:sz w:val="20"/>
                <w:szCs w:val="20"/>
                <w:color w:val="auto"/>
              </w:rPr>
            </w:pPr>
            <w:r>
              <w:rPr>
                <w:rFonts w:ascii="Arial" w:cs="Arial" w:eastAsia="Arial" w:hAnsi="Arial"/>
                <w:sz w:val="14"/>
                <w:szCs w:val="14"/>
                <w:color w:val="auto"/>
              </w:rPr>
              <w:t>24</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316,378</w:t>
            </w:r>
          </w:p>
        </w:tc>
        <w:tc>
          <w:tcPr>
            <w:tcW w:w="220" w:type="dxa"/>
            <w:vAlign w:val="bottom"/>
            <w:tcBorders>
              <w:bottom w:val="single" w:sz="8" w:color="CCEE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203,896</w:t>
            </w:r>
          </w:p>
        </w:tc>
        <w:tc>
          <w:tcPr>
            <w:tcW w:w="220" w:type="dxa"/>
            <w:vAlign w:val="bottom"/>
            <w:tcBorders>
              <w:bottom w:val="single" w:sz="8" w:color="CCEE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112,482</w:t>
            </w:r>
          </w:p>
        </w:tc>
        <w:tc>
          <w:tcPr>
            <w:tcW w:w="220" w:type="dxa"/>
            <w:vAlign w:val="bottom"/>
            <w:tcBorders>
              <w:bottom w:val="single" w:sz="8" w:color="CCEECC"/>
            </w:tcBorders>
          </w:tcPr>
          <w:p>
            <w:pPr>
              <w:spacing w:after="0"/>
              <w:rPr>
                <w:sz w:val="12"/>
                <w:szCs w:val="12"/>
                <w:color w:val="auto"/>
              </w:rPr>
            </w:pPr>
          </w:p>
        </w:tc>
        <w:tc>
          <w:tcPr>
            <w:tcW w:w="680" w:type="dxa"/>
            <w:vAlign w:val="bottom"/>
            <w:tcBorders>
              <w:bottom w:val="single" w:sz="8" w:color="CCEECC"/>
            </w:tcBorders>
          </w:tcPr>
          <w:p>
            <w:pPr>
              <w:jc w:val="right"/>
              <w:spacing w:after="0" w:line="142" w:lineRule="exact"/>
              <w:rPr>
                <w:sz w:val="20"/>
                <w:szCs w:val="20"/>
                <w:color w:val="auto"/>
              </w:rPr>
            </w:pPr>
            <w:r>
              <w:rPr>
                <w:rFonts w:ascii="Arial" w:cs="Arial" w:eastAsia="Arial" w:hAnsi="Arial"/>
                <w:sz w:val="14"/>
                <w:szCs w:val="14"/>
                <w:color w:val="auto"/>
              </w:rPr>
              <w:t>55</w:t>
            </w:r>
          </w:p>
        </w:tc>
        <w:tc>
          <w:tcPr>
            <w:tcW w:w="120" w:type="dxa"/>
            <w:vAlign w:val="bottom"/>
            <w:tcBorders>
              <w:bottom w:val="single" w:sz="8" w:color="CCEECC"/>
            </w:tcBorders>
          </w:tcPr>
          <w:p>
            <w:pPr>
              <w:spacing w:after="0"/>
              <w:rPr>
                <w:sz w:val="12"/>
                <w:szCs w:val="12"/>
                <w:color w:val="auto"/>
              </w:rPr>
            </w:pPr>
          </w:p>
        </w:tc>
      </w:tr>
      <w:tr>
        <w:trPr>
          <w:trHeight w:val="142"/>
        </w:trPr>
        <w:tc>
          <w:tcPr>
            <w:tcW w:w="3340" w:type="dxa"/>
            <w:vAlign w:val="bottom"/>
            <w:shd w:val="clear" w:color="auto" w:fill="CCEECC"/>
          </w:tcPr>
          <w:p>
            <w:pPr>
              <w:spacing w:after="0" w:line="142" w:lineRule="exact"/>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CC"/>
          </w:tcPr>
          <w:p>
            <w:pPr>
              <w:spacing w:after="0"/>
              <w:rPr>
                <w:sz w:val="12"/>
                <w:szCs w:val="12"/>
                <w:color w:val="auto"/>
              </w:rPr>
            </w:pPr>
          </w:p>
        </w:tc>
        <w:tc>
          <w:tcPr>
            <w:tcW w:w="640" w:type="dxa"/>
            <w:vAlign w:val="bottom"/>
            <w:shd w:val="clear" w:color="auto" w:fill="CCEECC"/>
          </w:tcPr>
          <w:p>
            <w:pPr>
              <w:spacing w:after="0"/>
              <w:rPr>
                <w:sz w:val="12"/>
                <w:szCs w:val="12"/>
                <w:color w:val="auto"/>
              </w:rPr>
            </w:pPr>
          </w:p>
        </w:tc>
        <w:tc>
          <w:tcPr>
            <w:tcW w:w="14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640" w:type="dxa"/>
            <w:vAlign w:val="bottom"/>
            <w:shd w:val="clear" w:color="auto" w:fill="CCEECC"/>
          </w:tcPr>
          <w:p>
            <w:pPr>
              <w:spacing w:after="0"/>
              <w:rPr>
                <w:sz w:val="12"/>
                <w:szCs w:val="12"/>
                <w:color w:val="auto"/>
              </w:rPr>
            </w:pPr>
          </w:p>
        </w:tc>
        <w:tc>
          <w:tcPr>
            <w:tcW w:w="24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720" w:type="dxa"/>
            <w:vAlign w:val="bottom"/>
            <w:shd w:val="clear" w:color="auto" w:fill="CCEECC"/>
          </w:tcPr>
          <w:p>
            <w:pPr>
              <w:spacing w:after="0"/>
              <w:rPr>
                <w:sz w:val="12"/>
                <w:szCs w:val="12"/>
                <w:color w:val="auto"/>
              </w:rPr>
            </w:pPr>
          </w:p>
        </w:tc>
        <w:tc>
          <w:tcPr>
            <w:tcW w:w="240" w:type="dxa"/>
            <w:vAlign w:val="bottom"/>
            <w:shd w:val="clear" w:color="auto" w:fill="CCEECC"/>
          </w:tcPr>
          <w:p>
            <w:pPr>
              <w:spacing w:after="0"/>
              <w:rPr>
                <w:sz w:val="12"/>
                <w:szCs w:val="12"/>
                <w:color w:val="auto"/>
              </w:rPr>
            </w:pPr>
          </w:p>
        </w:tc>
        <w:tc>
          <w:tcPr>
            <w:tcW w:w="800" w:type="dxa"/>
            <w:vAlign w:val="bottom"/>
            <w:shd w:val="clear" w:color="auto" w:fill="CCEECC"/>
          </w:tcPr>
          <w:p>
            <w:pPr>
              <w:spacing w:after="0"/>
              <w:rPr>
                <w:sz w:val="12"/>
                <w:szCs w:val="12"/>
                <w:color w:val="auto"/>
              </w:rPr>
            </w:pPr>
          </w:p>
        </w:tc>
        <w:tc>
          <w:tcPr>
            <w:tcW w:w="36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6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6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200" w:type="dxa"/>
            <w:vAlign w:val="bottom"/>
            <w:shd w:val="clear" w:color="auto" w:fill="CCEECC"/>
          </w:tcPr>
          <w:p>
            <w:pPr>
              <w:spacing w:after="0"/>
              <w:rPr>
                <w:sz w:val="12"/>
                <w:szCs w:val="12"/>
                <w:color w:val="auto"/>
              </w:rPr>
            </w:pPr>
          </w:p>
        </w:tc>
        <w:tc>
          <w:tcPr>
            <w:tcW w:w="58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68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r>
      <w:tr>
        <w:trPr>
          <w:trHeight w:val="149"/>
        </w:trPr>
        <w:tc>
          <w:tcPr>
            <w:tcW w:w="3340" w:type="dxa"/>
            <w:vAlign w:val="bottom"/>
          </w:tcPr>
          <w:p>
            <w:pPr>
              <w:ind w:left="3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(99,868)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(58,319)</w:t>
            </w:r>
          </w:p>
        </w:tc>
        <w:tc>
          <w:tcPr>
            <w:tcW w:w="8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(41,549)</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(193,284)</w:t>
            </w:r>
          </w:p>
        </w:tc>
        <w:tc>
          <w:tcPr>
            <w:tcW w:w="16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(105,243)</w:t>
            </w:r>
          </w:p>
        </w:tc>
        <w:tc>
          <w:tcPr>
            <w:tcW w:w="20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(88,041)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r>
      <w:tr>
        <w:trPr>
          <w:trHeight w:val="162"/>
        </w:trPr>
        <w:tc>
          <w:tcPr>
            <w:tcW w:w="3340" w:type="dxa"/>
            <w:vAlign w:val="bottom"/>
            <w:shd w:val="clear" w:color="auto" w:fill="CCEECC"/>
          </w:tcPr>
          <w:p>
            <w:pPr>
              <w:ind w:left="3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CC"/>
          </w:tcPr>
          <w:p>
            <w:pPr>
              <w:spacing w:after="0"/>
              <w:rPr>
                <w:sz w:val="14"/>
                <w:szCs w:val="14"/>
                <w:color w:val="auto"/>
              </w:rPr>
            </w:pPr>
          </w:p>
        </w:tc>
        <w:tc>
          <w:tcPr>
            <w:tcW w:w="780" w:type="dxa"/>
            <w:vAlign w:val="bottom"/>
            <w:gridSpan w:val="2"/>
            <w:shd w:val="clear" w:color="auto" w:fill="CCEECC"/>
          </w:tcPr>
          <w:p>
            <w:pPr>
              <w:jc w:val="right"/>
              <w:ind w:right="99"/>
              <w:spacing w:after="0"/>
              <w:rPr>
                <w:sz w:val="20"/>
                <w:szCs w:val="20"/>
                <w:color w:val="auto"/>
              </w:rPr>
            </w:pPr>
            <w:r>
              <w:rPr>
                <w:rFonts w:ascii="Arial" w:cs="Arial" w:eastAsia="Arial" w:hAnsi="Arial"/>
                <w:sz w:val="14"/>
                <w:szCs w:val="14"/>
                <w:color w:val="auto"/>
              </w:rPr>
              <w:t>32,209</w:t>
            </w:r>
          </w:p>
        </w:tc>
        <w:tc>
          <w:tcPr>
            <w:tcW w:w="100" w:type="dxa"/>
            <w:vAlign w:val="bottom"/>
            <w:shd w:val="clear" w:color="auto" w:fill="CCEECC"/>
          </w:tcPr>
          <w:p>
            <w:pPr>
              <w:spacing w:after="0"/>
              <w:rPr>
                <w:sz w:val="14"/>
                <w:szCs w:val="14"/>
                <w:color w:val="auto"/>
              </w:rPr>
            </w:pPr>
          </w:p>
        </w:tc>
        <w:tc>
          <w:tcPr>
            <w:tcW w:w="160" w:type="dxa"/>
            <w:vAlign w:val="bottom"/>
            <w:shd w:val="clear" w:color="auto" w:fill="CCEECC"/>
          </w:tcPr>
          <w:p>
            <w:pPr>
              <w:spacing w:after="0"/>
              <w:rPr>
                <w:sz w:val="14"/>
                <w:szCs w:val="14"/>
                <w:color w:val="auto"/>
              </w:rPr>
            </w:pPr>
          </w:p>
        </w:tc>
        <w:tc>
          <w:tcPr>
            <w:tcW w:w="88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3,006</w:t>
            </w:r>
          </w:p>
        </w:tc>
        <w:tc>
          <w:tcPr>
            <w:tcW w:w="80" w:type="dxa"/>
            <w:vAlign w:val="bottom"/>
            <w:shd w:val="clear" w:color="auto" w:fill="CCEECC"/>
          </w:tcPr>
          <w:p>
            <w:pPr>
              <w:spacing w:after="0"/>
              <w:rPr>
                <w:sz w:val="14"/>
                <w:szCs w:val="14"/>
                <w:color w:val="auto"/>
              </w:rPr>
            </w:pPr>
          </w:p>
        </w:tc>
        <w:tc>
          <w:tcPr>
            <w:tcW w:w="96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29,203</w:t>
            </w:r>
          </w:p>
        </w:tc>
        <w:tc>
          <w:tcPr>
            <w:tcW w:w="1160" w:type="dxa"/>
            <w:vAlign w:val="bottom"/>
            <w:gridSpan w:val="2"/>
            <w:shd w:val="clear" w:color="auto" w:fill="CCEECC"/>
          </w:tcPr>
          <w:p>
            <w:pPr>
              <w:jc w:val="right"/>
              <w:ind w:right="360"/>
              <w:spacing w:after="0"/>
              <w:rPr>
                <w:sz w:val="20"/>
                <w:szCs w:val="20"/>
                <w:color w:val="auto"/>
              </w:rPr>
            </w:pPr>
            <w:r>
              <w:rPr>
                <w:rFonts w:ascii="Arial" w:cs="Arial" w:eastAsia="Arial" w:hAnsi="Arial"/>
                <w:sz w:val="14"/>
                <w:szCs w:val="14"/>
                <w:color w:val="auto"/>
              </w:rPr>
              <w:t>971</w:t>
            </w:r>
          </w:p>
        </w:tc>
        <w:tc>
          <w:tcPr>
            <w:tcW w:w="160" w:type="dxa"/>
            <w:vAlign w:val="bottom"/>
            <w:shd w:val="clear" w:color="auto" w:fill="CCEECC"/>
          </w:tcPr>
          <w:p>
            <w:pPr>
              <w:spacing w:after="0"/>
              <w:rPr>
                <w:sz w:val="14"/>
                <w:szCs w:val="14"/>
                <w:color w:val="auto"/>
              </w:rPr>
            </w:pPr>
          </w:p>
        </w:tc>
        <w:tc>
          <w:tcPr>
            <w:tcW w:w="840" w:type="dxa"/>
            <w:vAlign w:val="bottom"/>
            <w:gridSpan w:val="2"/>
            <w:shd w:val="clear" w:color="auto" w:fill="CCEECC"/>
          </w:tcPr>
          <w:p>
            <w:pPr>
              <w:jc w:val="right"/>
              <w:ind w:right="220"/>
              <w:spacing w:after="0"/>
              <w:rPr>
                <w:sz w:val="20"/>
                <w:szCs w:val="20"/>
                <w:color w:val="auto"/>
              </w:rPr>
            </w:pPr>
            <w:r>
              <w:rPr>
                <w:rFonts w:ascii="Arial" w:cs="Arial" w:eastAsia="Arial" w:hAnsi="Arial"/>
                <w:sz w:val="14"/>
                <w:szCs w:val="14"/>
                <w:color w:val="auto"/>
              </w:rPr>
              <w:t>15,751</w:t>
            </w:r>
          </w:p>
        </w:tc>
        <w:tc>
          <w:tcPr>
            <w:tcW w:w="160" w:type="dxa"/>
            <w:vAlign w:val="bottom"/>
            <w:shd w:val="clear" w:color="auto" w:fill="CCEECC"/>
          </w:tcPr>
          <w:p>
            <w:pPr>
              <w:spacing w:after="0"/>
              <w:rPr>
                <w:sz w:val="14"/>
                <w:szCs w:val="14"/>
                <w:color w:val="auto"/>
              </w:rPr>
            </w:pPr>
          </w:p>
        </w:tc>
        <w:tc>
          <w:tcPr>
            <w:tcW w:w="84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1,630</w:t>
            </w:r>
          </w:p>
        </w:tc>
        <w:tc>
          <w:tcPr>
            <w:tcW w:w="200" w:type="dxa"/>
            <w:vAlign w:val="bottom"/>
            <w:shd w:val="clear" w:color="auto" w:fill="CCEECC"/>
          </w:tcPr>
          <w:p>
            <w:pPr>
              <w:spacing w:after="0"/>
              <w:rPr>
                <w:sz w:val="14"/>
                <w:szCs w:val="14"/>
                <w:color w:val="auto"/>
              </w:rPr>
            </w:pPr>
          </w:p>
        </w:tc>
        <w:tc>
          <w:tcPr>
            <w:tcW w:w="80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14,121</w:t>
            </w:r>
          </w:p>
        </w:tc>
        <w:tc>
          <w:tcPr>
            <w:tcW w:w="680" w:type="dxa"/>
            <w:vAlign w:val="bottom"/>
            <w:shd w:val="clear" w:color="auto" w:fill="CCEECC"/>
          </w:tcPr>
          <w:p>
            <w:pPr>
              <w:jc w:val="right"/>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CC"/>
          </w:tcPr>
          <w:p>
            <w:pPr>
              <w:spacing w:after="0"/>
              <w:rPr>
                <w:sz w:val="14"/>
                <w:szCs w:val="14"/>
                <w:color w:val="auto"/>
              </w:rPr>
            </w:pPr>
          </w:p>
        </w:tc>
      </w:tr>
      <w:tr>
        <w:trPr>
          <w:trHeight w:val="156"/>
        </w:trPr>
        <w:tc>
          <w:tcPr>
            <w:tcW w:w="3340" w:type="dxa"/>
            <w:vAlign w:val="bottom"/>
            <w:tcBorders>
              <w:bottom w:val="single" w:sz="8" w:color="CCEECC"/>
            </w:tcBorders>
          </w:tcPr>
          <w:p>
            <w:pPr>
              <w:ind w:left="480"/>
              <w:spacing w:after="0" w:line="155" w:lineRule="exact"/>
              <w:rPr>
                <w:sz w:val="20"/>
                <w:szCs w:val="20"/>
                <w:color w:val="auto"/>
              </w:rPr>
            </w:pPr>
            <w:r>
              <w:rPr>
                <w:rFonts w:ascii="Arial" w:cs="Arial" w:eastAsia="Arial" w:hAnsi="Arial"/>
                <w:sz w:val="14"/>
                <w:szCs w:val="14"/>
                <w:color w:val="auto"/>
              </w:rPr>
              <w:t>Other expense, net</w:t>
            </w: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(67,659</w:t>
            </w:r>
          </w:p>
        </w:tc>
        <w:tc>
          <w:tcPr>
            <w:tcW w:w="140" w:type="dxa"/>
            <w:vAlign w:val="bottom"/>
            <w:tcBorders>
              <w:bottom w:val="single" w:sz="8" w:color="CCEECC"/>
            </w:tcBorders>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C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(55,313</w:t>
            </w:r>
          </w:p>
        </w:tc>
        <w:tc>
          <w:tcPr>
            <w:tcW w:w="240" w:type="dxa"/>
            <w:vAlign w:val="bottom"/>
            <w:tcBorders>
              <w:bottom w:val="single" w:sz="8" w:color="CCEECC"/>
            </w:tcBorders>
          </w:tcPr>
          <w:p>
            <w:pPr>
              <w:jc w:val="right"/>
              <w:ind w:right="1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(12,346</w:t>
            </w:r>
          </w:p>
        </w:tc>
        <w:tc>
          <w:tcPr>
            <w:tcW w:w="240" w:type="dxa"/>
            <w:vAlign w:val="bottom"/>
            <w:tcBorders>
              <w:bottom w:val="single" w:sz="8" w:color="CCEECC"/>
            </w:tcBorders>
          </w:tcPr>
          <w:p>
            <w:pPr>
              <w:jc w:val="right"/>
              <w:ind w:right="159"/>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CCEECC"/>
            </w:tcBorders>
            <w:gridSpan w:val="2"/>
          </w:tcPr>
          <w:p>
            <w:pPr>
              <w:jc w:val="right"/>
              <w:ind w:right="360"/>
              <w:spacing w:after="0" w:line="155" w:lineRule="exact"/>
              <w:rPr>
                <w:sz w:val="20"/>
                <w:szCs w:val="20"/>
                <w:color w:val="auto"/>
              </w:rPr>
            </w:pPr>
            <w:r>
              <w:rPr>
                <w:rFonts w:ascii="Arial" w:cs="Arial" w:eastAsia="Arial" w:hAnsi="Arial"/>
                <w:sz w:val="14"/>
                <w:szCs w:val="14"/>
                <w:color w:val="auto"/>
              </w:rPr>
              <w:t>22</w:t>
            </w:r>
          </w:p>
        </w:tc>
        <w:tc>
          <w:tcPr>
            <w:tcW w:w="160" w:type="dxa"/>
            <w:vAlign w:val="bottom"/>
            <w:tcBorders>
              <w:top w:val="single" w:sz="8" w:color="auto"/>
              <w:bottom w:val="single" w:sz="8" w:color="CCEECC"/>
            </w:tcBorders>
          </w:tcPr>
          <w:p>
            <w:pPr>
              <w:spacing w:after="0"/>
              <w:rPr>
                <w:sz w:val="13"/>
                <w:szCs w:val="13"/>
                <w:color w:val="auto"/>
              </w:rPr>
            </w:pPr>
          </w:p>
        </w:tc>
        <w:tc>
          <w:tcPr>
            <w:tcW w:w="620" w:type="dxa"/>
            <w:vAlign w:val="bottom"/>
            <w:tcBorders>
              <w:top w:val="single" w:sz="8" w:color="auto"/>
              <w:bottom w:val="single" w:sz="8" w:color="CCEECC"/>
            </w:tcBorders>
          </w:tcPr>
          <w:p>
            <w:pPr>
              <w:jc w:val="right"/>
              <w:spacing w:after="0" w:line="155" w:lineRule="exact"/>
              <w:rPr>
                <w:sz w:val="20"/>
                <w:szCs w:val="20"/>
                <w:color w:val="auto"/>
              </w:rPr>
            </w:pPr>
            <w:r>
              <w:rPr>
                <w:rFonts w:ascii="Arial" w:cs="Arial" w:eastAsia="Arial" w:hAnsi="Arial"/>
                <w:sz w:val="14"/>
                <w:szCs w:val="14"/>
                <w:color w:val="auto"/>
              </w:rPr>
              <w:t>(177,533)</w:t>
            </w:r>
          </w:p>
        </w:tc>
        <w:tc>
          <w:tcPr>
            <w:tcW w:w="220" w:type="dxa"/>
            <w:vAlign w:val="bottom"/>
            <w:tcBorders>
              <w:bottom w:val="single" w:sz="8" w:color="CCEEC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(103,613</w:t>
            </w:r>
          </w:p>
        </w:tc>
        <w:tc>
          <w:tcPr>
            <w:tcW w:w="220" w:type="dxa"/>
            <w:vAlign w:val="bottom"/>
            <w:tcBorders>
              <w:bottom w:val="single" w:sz="8" w:color="CCEECC"/>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(73,920</w:t>
            </w:r>
          </w:p>
        </w:tc>
        <w:tc>
          <w:tcPr>
            <w:tcW w:w="220" w:type="dxa"/>
            <w:vAlign w:val="bottom"/>
            <w:tcBorders>
              <w:bottom w:val="single" w:sz="8" w:color="CCEECC"/>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680" w:type="dxa"/>
            <w:vAlign w:val="bottom"/>
            <w:tcBorders>
              <w:bottom w:val="single" w:sz="8" w:color="CCEECC"/>
            </w:tcBorders>
          </w:tcPr>
          <w:p>
            <w:pPr>
              <w:jc w:val="right"/>
              <w:spacing w:after="0" w:line="155" w:lineRule="exact"/>
              <w:rPr>
                <w:sz w:val="20"/>
                <w:szCs w:val="20"/>
                <w:color w:val="auto"/>
              </w:rPr>
            </w:pPr>
            <w:r>
              <w:rPr>
                <w:rFonts w:ascii="Arial" w:cs="Arial" w:eastAsia="Arial" w:hAnsi="Arial"/>
                <w:sz w:val="14"/>
                <w:szCs w:val="14"/>
                <w:color w:val="auto"/>
              </w:rPr>
              <w:t>71</w:t>
            </w:r>
          </w:p>
        </w:tc>
        <w:tc>
          <w:tcPr>
            <w:tcW w:w="120" w:type="dxa"/>
            <w:vAlign w:val="bottom"/>
            <w:tcBorders>
              <w:bottom w:val="single" w:sz="8" w:color="CCEECC"/>
            </w:tcBorders>
          </w:tcPr>
          <w:p>
            <w:pPr>
              <w:spacing w:after="0"/>
              <w:rPr>
                <w:sz w:val="13"/>
                <w:szCs w:val="13"/>
                <w:color w:val="auto"/>
              </w:rPr>
            </w:pPr>
          </w:p>
        </w:tc>
      </w:tr>
      <w:tr>
        <w:trPr>
          <w:trHeight w:val="142"/>
        </w:trPr>
        <w:tc>
          <w:tcPr>
            <w:tcW w:w="3340" w:type="dxa"/>
            <w:vAlign w:val="bottom"/>
            <w:shd w:val="clear" w:color="auto" w:fill="CCEECC"/>
          </w:tcPr>
          <w:p>
            <w:pPr>
              <w:ind w:left="160"/>
              <w:spacing w:after="0" w:line="142" w:lineRule="exact"/>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CC"/>
          </w:tcPr>
          <w:p>
            <w:pPr>
              <w:spacing w:after="0"/>
              <w:rPr>
                <w:sz w:val="12"/>
                <w:szCs w:val="12"/>
                <w:color w:val="auto"/>
              </w:rPr>
            </w:pPr>
          </w:p>
        </w:tc>
        <w:tc>
          <w:tcPr>
            <w:tcW w:w="64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87,510</w:t>
            </w:r>
          </w:p>
        </w:tc>
        <w:tc>
          <w:tcPr>
            <w:tcW w:w="14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64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70,164</w:t>
            </w:r>
          </w:p>
        </w:tc>
        <w:tc>
          <w:tcPr>
            <w:tcW w:w="24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72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17,346</w:t>
            </w:r>
          </w:p>
        </w:tc>
        <w:tc>
          <w:tcPr>
            <w:tcW w:w="240" w:type="dxa"/>
            <w:vAlign w:val="bottom"/>
            <w:shd w:val="clear" w:color="auto" w:fill="CCEECC"/>
          </w:tcPr>
          <w:p>
            <w:pPr>
              <w:spacing w:after="0"/>
              <w:rPr>
                <w:sz w:val="12"/>
                <w:szCs w:val="12"/>
                <w:color w:val="auto"/>
              </w:rPr>
            </w:pPr>
          </w:p>
        </w:tc>
        <w:tc>
          <w:tcPr>
            <w:tcW w:w="1160" w:type="dxa"/>
            <w:vAlign w:val="bottom"/>
            <w:gridSpan w:val="2"/>
            <w:shd w:val="clear" w:color="auto" w:fill="CCEECC"/>
          </w:tcPr>
          <w:p>
            <w:pPr>
              <w:jc w:val="right"/>
              <w:ind w:right="360"/>
              <w:spacing w:after="0" w:line="142"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CC"/>
          </w:tcPr>
          <w:p>
            <w:pPr>
              <w:spacing w:after="0"/>
              <w:rPr>
                <w:sz w:val="12"/>
                <w:szCs w:val="12"/>
                <w:color w:val="auto"/>
              </w:rPr>
            </w:pPr>
          </w:p>
        </w:tc>
        <w:tc>
          <w:tcPr>
            <w:tcW w:w="840" w:type="dxa"/>
            <w:vAlign w:val="bottom"/>
            <w:gridSpan w:val="2"/>
            <w:shd w:val="clear" w:color="auto" w:fill="CCEECC"/>
          </w:tcPr>
          <w:p>
            <w:pPr>
              <w:jc w:val="right"/>
              <w:ind w:right="220"/>
              <w:spacing w:after="0" w:line="142" w:lineRule="exact"/>
              <w:rPr>
                <w:sz w:val="20"/>
                <w:szCs w:val="20"/>
                <w:color w:val="auto"/>
              </w:rPr>
            </w:pPr>
            <w:r>
              <w:rPr>
                <w:rFonts w:ascii="Arial" w:cs="Arial" w:eastAsia="Arial" w:hAnsi="Arial"/>
                <w:sz w:val="14"/>
                <w:szCs w:val="14"/>
                <w:color w:val="auto"/>
              </w:rPr>
              <w:t>138,845</w:t>
            </w:r>
          </w:p>
        </w:tc>
        <w:tc>
          <w:tcPr>
            <w:tcW w:w="160" w:type="dxa"/>
            <w:vAlign w:val="bottom"/>
            <w:shd w:val="clear" w:color="auto" w:fill="CCEECC"/>
          </w:tcPr>
          <w:p>
            <w:pPr>
              <w:spacing w:after="0"/>
              <w:rPr>
                <w:sz w:val="12"/>
                <w:szCs w:val="12"/>
                <w:color w:val="auto"/>
              </w:rPr>
            </w:pPr>
          </w:p>
        </w:tc>
        <w:tc>
          <w:tcPr>
            <w:tcW w:w="62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100,283</w:t>
            </w:r>
          </w:p>
        </w:tc>
        <w:tc>
          <w:tcPr>
            <w:tcW w:w="220" w:type="dxa"/>
            <w:vAlign w:val="bottom"/>
            <w:shd w:val="clear" w:color="auto" w:fill="CCEECC"/>
          </w:tcPr>
          <w:p>
            <w:pPr>
              <w:spacing w:after="0"/>
              <w:rPr>
                <w:sz w:val="12"/>
                <w:szCs w:val="12"/>
                <w:color w:val="auto"/>
              </w:rPr>
            </w:pPr>
          </w:p>
        </w:tc>
        <w:tc>
          <w:tcPr>
            <w:tcW w:w="200" w:type="dxa"/>
            <w:vAlign w:val="bottom"/>
            <w:shd w:val="clear" w:color="auto" w:fill="CCEECC"/>
          </w:tcPr>
          <w:p>
            <w:pPr>
              <w:spacing w:after="0"/>
              <w:rPr>
                <w:sz w:val="12"/>
                <w:szCs w:val="12"/>
                <w:color w:val="auto"/>
              </w:rPr>
            </w:pPr>
          </w:p>
        </w:tc>
        <w:tc>
          <w:tcPr>
            <w:tcW w:w="58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38,562</w:t>
            </w:r>
          </w:p>
        </w:tc>
        <w:tc>
          <w:tcPr>
            <w:tcW w:w="220" w:type="dxa"/>
            <w:vAlign w:val="bottom"/>
            <w:shd w:val="clear" w:color="auto" w:fill="CCEECC"/>
          </w:tcPr>
          <w:p>
            <w:pPr>
              <w:spacing w:after="0"/>
              <w:rPr>
                <w:sz w:val="12"/>
                <w:szCs w:val="12"/>
                <w:color w:val="auto"/>
              </w:rPr>
            </w:pPr>
          </w:p>
        </w:tc>
        <w:tc>
          <w:tcPr>
            <w:tcW w:w="68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CC"/>
          </w:tcPr>
          <w:p>
            <w:pPr>
              <w:spacing w:after="0"/>
              <w:rPr>
                <w:sz w:val="12"/>
                <w:szCs w:val="12"/>
                <w:color w:val="auto"/>
              </w:rPr>
            </w:pPr>
          </w:p>
        </w:tc>
      </w:tr>
      <w:tr>
        <w:trPr>
          <w:trHeight w:val="162"/>
        </w:trPr>
        <w:tc>
          <w:tcPr>
            <w:tcW w:w="3340" w:type="dxa"/>
            <w:vAlign w:val="bottom"/>
          </w:tcPr>
          <w:p>
            <w:pPr>
              <w:ind w:left="160"/>
              <w:spacing w:after="0"/>
              <w:rPr>
                <w:sz w:val="20"/>
                <w:szCs w:val="20"/>
                <w:color w:val="auto"/>
              </w:rPr>
            </w:pPr>
            <w:r>
              <w:rPr>
                <w:rFonts w:ascii="Arial" w:cs="Arial" w:eastAsia="Arial" w:hAnsi="Arial"/>
                <w:sz w:val="14"/>
                <w:szCs w:val="14"/>
                <w:color w:val="auto"/>
              </w:rPr>
              <w:t>Income tax expense</w:t>
            </w:r>
          </w:p>
        </w:tc>
        <w:tc>
          <w:tcPr>
            <w:tcW w:w="160" w:type="dxa"/>
            <w:vAlign w:val="bottom"/>
          </w:tcPr>
          <w:p>
            <w:pPr>
              <w:spacing w:after="0"/>
              <w:rPr>
                <w:sz w:val="14"/>
                <w:szCs w:val="14"/>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10,789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25,331</w:t>
            </w:r>
          </w:p>
        </w:tc>
        <w:tc>
          <w:tcPr>
            <w:tcW w:w="8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Arial" w:cs="Arial" w:eastAsia="Arial" w:hAnsi="Arial"/>
                <w:sz w:val="14"/>
                <w:szCs w:val="14"/>
                <w:color w:val="auto"/>
              </w:rPr>
              <w:t>(14,542)</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16,977</w:t>
            </w:r>
          </w:p>
        </w:tc>
        <w:tc>
          <w:tcPr>
            <w:tcW w:w="16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36,101</w:t>
            </w:r>
          </w:p>
        </w:tc>
        <w:tc>
          <w:tcPr>
            <w:tcW w:w="200" w:type="dxa"/>
            <w:vAlign w:val="bottom"/>
          </w:tcPr>
          <w:p>
            <w:pPr>
              <w:spacing w:after="0"/>
              <w:rPr>
                <w:sz w:val="14"/>
                <w:szCs w:val="14"/>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(19,124)</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(53)</w:t>
            </w:r>
          </w:p>
        </w:tc>
      </w:tr>
      <w:tr>
        <w:trPr>
          <w:trHeight w:val="142"/>
        </w:trPr>
        <w:tc>
          <w:tcPr>
            <w:tcW w:w="3340" w:type="dxa"/>
            <w:vAlign w:val="bottom"/>
            <w:tcBorders>
              <w:top w:val="single" w:sz="8" w:color="CCEECC"/>
            </w:tcBorders>
            <w:shd w:val="clear" w:color="auto" w:fill="CCEECC"/>
          </w:tcPr>
          <w:p>
            <w:pPr>
              <w:ind w:left="160"/>
              <w:spacing w:after="0" w:line="142" w:lineRule="exact"/>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tcBorders>
            <w:shd w:val="clear" w:color="auto" w:fill="CCEECC"/>
          </w:tcPr>
          <w:p>
            <w:pPr>
              <w:spacing w:after="0"/>
              <w:rPr>
                <w:sz w:val="12"/>
                <w:szCs w:val="12"/>
                <w:color w:val="auto"/>
              </w:rPr>
            </w:pPr>
          </w:p>
        </w:tc>
        <w:tc>
          <w:tcPr>
            <w:tcW w:w="64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76,721</w:t>
            </w:r>
          </w:p>
        </w:tc>
        <w:tc>
          <w:tcPr>
            <w:tcW w:w="140" w:type="dxa"/>
            <w:vAlign w:val="bottom"/>
            <w:tcBorders>
              <w:top w:val="single" w:sz="8" w:color="CCEECC"/>
            </w:tcBorders>
            <w:shd w:val="clear" w:color="auto" w:fill="CCEECC"/>
          </w:tcPr>
          <w:p>
            <w:pPr>
              <w:spacing w:after="0"/>
              <w:rPr>
                <w:sz w:val="12"/>
                <w:szCs w:val="12"/>
                <w:color w:val="auto"/>
              </w:rPr>
            </w:pPr>
          </w:p>
        </w:tc>
        <w:tc>
          <w:tcPr>
            <w:tcW w:w="10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64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44,833</w:t>
            </w:r>
          </w:p>
        </w:tc>
        <w:tc>
          <w:tcPr>
            <w:tcW w:w="240" w:type="dxa"/>
            <w:vAlign w:val="bottom"/>
            <w:tcBorders>
              <w:top w:val="single" w:sz="8" w:color="CCEECC"/>
            </w:tcBorders>
            <w:shd w:val="clear" w:color="auto" w:fill="CCEECC"/>
          </w:tcPr>
          <w:p>
            <w:pPr>
              <w:spacing w:after="0"/>
              <w:rPr>
                <w:sz w:val="12"/>
                <w:szCs w:val="12"/>
                <w:color w:val="auto"/>
              </w:rPr>
            </w:pPr>
          </w:p>
        </w:tc>
        <w:tc>
          <w:tcPr>
            <w:tcW w:w="80" w:type="dxa"/>
            <w:vAlign w:val="bottom"/>
            <w:tcBorders>
              <w:top w:val="single" w:sz="8" w:color="auto"/>
            </w:tcBorders>
            <w:shd w:val="clear" w:color="auto" w:fill="CCEECC"/>
          </w:tcPr>
          <w:p>
            <w:pPr>
              <w:spacing w:after="0"/>
              <w:rPr>
                <w:sz w:val="12"/>
                <w:szCs w:val="12"/>
                <w:color w:val="auto"/>
              </w:rPr>
            </w:pPr>
          </w:p>
        </w:tc>
        <w:tc>
          <w:tcPr>
            <w:tcW w:w="72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31,888</w:t>
            </w:r>
          </w:p>
        </w:tc>
        <w:tc>
          <w:tcPr>
            <w:tcW w:w="240" w:type="dxa"/>
            <w:vAlign w:val="bottom"/>
            <w:tcBorders>
              <w:top w:val="single" w:sz="8" w:color="CCEECC"/>
            </w:tcBorders>
            <w:shd w:val="clear" w:color="auto" w:fill="CCEECC"/>
          </w:tcPr>
          <w:p>
            <w:pPr>
              <w:spacing w:after="0"/>
              <w:rPr>
                <w:sz w:val="12"/>
                <w:szCs w:val="12"/>
                <w:color w:val="auto"/>
              </w:rPr>
            </w:pPr>
          </w:p>
        </w:tc>
        <w:tc>
          <w:tcPr>
            <w:tcW w:w="1160" w:type="dxa"/>
            <w:vAlign w:val="bottom"/>
            <w:tcBorders>
              <w:top w:val="single" w:sz="8" w:color="CCEECC"/>
            </w:tcBorders>
            <w:gridSpan w:val="2"/>
            <w:shd w:val="clear" w:color="auto" w:fill="CCEECC"/>
          </w:tcPr>
          <w:p>
            <w:pPr>
              <w:jc w:val="right"/>
              <w:ind w:right="360"/>
              <w:spacing w:after="0" w:line="142" w:lineRule="exact"/>
              <w:rPr>
                <w:sz w:val="20"/>
                <w:szCs w:val="20"/>
                <w:color w:val="auto"/>
              </w:rPr>
            </w:pPr>
            <w:r>
              <w:rPr>
                <w:rFonts w:ascii="Arial" w:cs="Arial" w:eastAsia="Arial" w:hAnsi="Arial"/>
                <w:sz w:val="14"/>
                <w:szCs w:val="14"/>
                <w:color w:val="auto"/>
              </w:rPr>
              <w:t>71</w:t>
            </w:r>
          </w:p>
        </w:tc>
        <w:tc>
          <w:tcPr>
            <w:tcW w:w="160" w:type="dxa"/>
            <w:vAlign w:val="bottom"/>
            <w:tcBorders>
              <w:top w:val="single" w:sz="8" w:color="auto"/>
            </w:tcBorders>
            <w:shd w:val="clear" w:color="auto" w:fill="CCEECC"/>
          </w:tcPr>
          <w:p>
            <w:pPr>
              <w:spacing w:after="0"/>
              <w:rPr>
                <w:sz w:val="12"/>
                <w:szCs w:val="12"/>
                <w:color w:val="auto"/>
              </w:rPr>
            </w:pPr>
          </w:p>
        </w:tc>
        <w:tc>
          <w:tcPr>
            <w:tcW w:w="62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121,868</w:t>
            </w:r>
          </w:p>
        </w:tc>
        <w:tc>
          <w:tcPr>
            <w:tcW w:w="220" w:type="dxa"/>
            <w:vAlign w:val="bottom"/>
            <w:tcBorders>
              <w:top w:val="single" w:sz="8" w:color="CCEECC"/>
            </w:tcBorders>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62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64,182</w:t>
            </w:r>
          </w:p>
        </w:tc>
        <w:tc>
          <w:tcPr>
            <w:tcW w:w="220" w:type="dxa"/>
            <w:vAlign w:val="bottom"/>
            <w:tcBorders>
              <w:top w:val="single" w:sz="8" w:color="CCEECC"/>
            </w:tcBorders>
            <w:shd w:val="clear" w:color="auto" w:fill="CCEECC"/>
          </w:tcPr>
          <w:p>
            <w:pPr>
              <w:spacing w:after="0"/>
              <w:rPr>
                <w:sz w:val="12"/>
                <w:szCs w:val="12"/>
                <w:color w:val="auto"/>
              </w:rPr>
            </w:pPr>
          </w:p>
        </w:tc>
        <w:tc>
          <w:tcPr>
            <w:tcW w:w="200" w:type="dxa"/>
            <w:vAlign w:val="bottom"/>
            <w:tcBorders>
              <w:top w:val="single" w:sz="8" w:color="auto"/>
            </w:tcBorders>
            <w:shd w:val="clear" w:color="auto" w:fill="CCEECC"/>
          </w:tcPr>
          <w:p>
            <w:pPr>
              <w:spacing w:after="0"/>
              <w:rPr>
                <w:sz w:val="12"/>
                <w:szCs w:val="12"/>
                <w:color w:val="auto"/>
              </w:rPr>
            </w:pPr>
          </w:p>
        </w:tc>
        <w:tc>
          <w:tcPr>
            <w:tcW w:w="580" w:type="dxa"/>
            <w:vAlign w:val="bottom"/>
            <w:tcBorders>
              <w:top w:val="single" w:sz="8" w:color="auto"/>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57,686</w:t>
            </w:r>
          </w:p>
        </w:tc>
        <w:tc>
          <w:tcPr>
            <w:tcW w:w="220" w:type="dxa"/>
            <w:vAlign w:val="bottom"/>
            <w:tcBorders>
              <w:top w:val="single" w:sz="8" w:color="CCEECC"/>
            </w:tcBorders>
            <w:shd w:val="clear" w:color="auto" w:fill="CCEECC"/>
          </w:tcPr>
          <w:p>
            <w:pPr>
              <w:spacing w:after="0"/>
              <w:rPr>
                <w:sz w:val="12"/>
                <w:szCs w:val="12"/>
                <w:color w:val="auto"/>
              </w:rPr>
            </w:pPr>
          </w:p>
        </w:tc>
        <w:tc>
          <w:tcPr>
            <w:tcW w:w="680" w:type="dxa"/>
            <w:vAlign w:val="bottom"/>
            <w:tcBorders>
              <w:top w:val="single" w:sz="8" w:color="CCEECC"/>
            </w:tcBorders>
            <w:shd w:val="clear" w:color="auto" w:fill="CCEECC"/>
          </w:tcPr>
          <w:p>
            <w:pPr>
              <w:jc w:val="right"/>
              <w:spacing w:after="0" w:line="142" w:lineRule="exact"/>
              <w:rPr>
                <w:sz w:val="20"/>
                <w:szCs w:val="20"/>
                <w:color w:val="auto"/>
              </w:rPr>
            </w:pPr>
            <w:r>
              <w:rPr>
                <w:rFonts w:ascii="Arial" w:cs="Arial" w:eastAsia="Arial" w:hAnsi="Arial"/>
                <w:sz w:val="14"/>
                <w:szCs w:val="14"/>
                <w:color w:val="auto"/>
              </w:rPr>
              <w:t>90</w:t>
            </w:r>
          </w:p>
        </w:tc>
        <w:tc>
          <w:tcPr>
            <w:tcW w:w="120" w:type="dxa"/>
            <w:vAlign w:val="bottom"/>
            <w:tcBorders>
              <w:top w:val="single" w:sz="8" w:color="CCEECC"/>
            </w:tcBorders>
            <w:shd w:val="clear" w:color="auto" w:fill="CCEECC"/>
          </w:tcPr>
          <w:p>
            <w:pPr>
              <w:spacing w:after="0"/>
              <w:rPr>
                <w:sz w:val="12"/>
                <w:szCs w:val="12"/>
                <w:color w:val="auto"/>
              </w:rPr>
            </w:pPr>
          </w:p>
        </w:tc>
      </w:tr>
      <w:tr>
        <w:trPr>
          <w:trHeight w:val="149"/>
        </w:trPr>
        <w:tc>
          <w:tcPr>
            <w:tcW w:w="3340" w:type="dxa"/>
            <w:vAlign w:val="bottom"/>
          </w:tcPr>
          <w:p>
            <w:pPr>
              <w:ind w:left="480"/>
              <w:spacing w:after="0" w:line="149" w:lineRule="exact"/>
              <w:rPr>
                <w:sz w:val="20"/>
                <w:szCs w:val="20"/>
                <w:color w:val="auto"/>
              </w:rPr>
            </w:pPr>
            <w:r>
              <w:rPr>
                <w:rFonts w:ascii="Arial" w:cs="Arial" w:eastAsia="Arial" w:hAnsi="Arial"/>
                <w:sz w:val="14"/>
                <w:szCs w:val="14"/>
                <w:color w:val="auto"/>
              </w:rPr>
              <w:t>Preferred stock dividends</w:t>
            </w:r>
          </w:p>
        </w:tc>
        <w:tc>
          <w:tcPr>
            <w:tcW w:w="16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(1,519)</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(3,004)</w:t>
            </w:r>
          </w:p>
        </w:tc>
        <w:tc>
          <w:tcPr>
            <w:tcW w:w="16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(3,004)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0"/>
        </w:trPr>
        <w:tc>
          <w:tcPr>
            <w:tcW w:w="3340" w:type="dxa"/>
            <w:vAlign w:val="bottom"/>
            <w:shd w:val="clear" w:color="auto" w:fill="CCEECC"/>
          </w:tcPr>
          <w:p>
            <w:pPr>
              <w:ind w:left="480"/>
              <w:spacing w:after="0" w:line="130" w:lineRule="exact"/>
              <w:rPr>
                <w:sz w:val="20"/>
                <w:szCs w:val="20"/>
                <w:color w:val="auto"/>
              </w:rPr>
            </w:pPr>
            <w:r>
              <w:rPr>
                <w:rFonts w:ascii="Arial" w:cs="Arial" w:eastAsia="Arial" w:hAnsi="Arial"/>
                <w:sz w:val="14"/>
                <w:szCs w:val="14"/>
                <w:color w:val="auto"/>
              </w:rPr>
              <w:t>Deemed dividend related to beneficial</w:t>
            </w:r>
          </w:p>
        </w:tc>
        <w:tc>
          <w:tcPr>
            <w:tcW w:w="160" w:type="dxa"/>
            <w:vAlign w:val="bottom"/>
            <w:shd w:val="clear" w:color="auto" w:fill="CCEECC"/>
          </w:tcPr>
          <w:p>
            <w:pPr>
              <w:spacing w:after="0"/>
              <w:rPr>
                <w:sz w:val="11"/>
                <w:szCs w:val="11"/>
                <w:color w:val="auto"/>
              </w:rPr>
            </w:pPr>
          </w:p>
        </w:tc>
        <w:tc>
          <w:tcPr>
            <w:tcW w:w="64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64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80" w:type="dxa"/>
            <w:vAlign w:val="bottom"/>
            <w:shd w:val="clear" w:color="auto" w:fill="CCEECC"/>
          </w:tcPr>
          <w:p>
            <w:pPr>
              <w:spacing w:after="0"/>
              <w:rPr>
                <w:sz w:val="11"/>
                <w:szCs w:val="11"/>
                <w:color w:val="auto"/>
              </w:rPr>
            </w:pPr>
          </w:p>
        </w:tc>
        <w:tc>
          <w:tcPr>
            <w:tcW w:w="72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800" w:type="dxa"/>
            <w:vAlign w:val="bottom"/>
            <w:shd w:val="clear" w:color="auto" w:fill="CCEECC"/>
          </w:tcPr>
          <w:p>
            <w:pPr>
              <w:spacing w:after="0"/>
              <w:rPr>
                <w:sz w:val="11"/>
                <w:szCs w:val="11"/>
                <w:color w:val="auto"/>
              </w:rPr>
            </w:pPr>
          </w:p>
        </w:tc>
        <w:tc>
          <w:tcPr>
            <w:tcW w:w="36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62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62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200" w:type="dxa"/>
            <w:vAlign w:val="bottom"/>
            <w:shd w:val="clear" w:color="auto" w:fill="CCEECC"/>
          </w:tcPr>
          <w:p>
            <w:pPr>
              <w:spacing w:after="0"/>
              <w:rPr>
                <w:sz w:val="11"/>
                <w:szCs w:val="11"/>
                <w:color w:val="auto"/>
              </w:rPr>
            </w:pPr>
          </w:p>
        </w:tc>
        <w:tc>
          <w:tcPr>
            <w:tcW w:w="58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68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r>
      <w:tr>
        <w:trPr>
          <w:trHeight w:val="181"/>
        </w:trPr>
        <w:tc>
          <w:tcPr>
            <w:tcW w:w="3340" w:type="dxa"/>
            <w:vAlign w:val="bottom"/>
            <w:shd w:val="clear" w:color="auto" w:fill="CCEECC"/>
          </w:tcPr>
          <w:p>
            <w:pPr>
              <w:ind w:left="640"/>
              <w:spacing w:after="0"/>
              <w:rPr>
                <w:sz w:val="20"/>
                <w:szCs w:val="20"/>
                <w:color w:val="auto"/>
              </w:rPr>
            </w:pPr>
            <w:r>
              <w:rPr>
                <w:rFonts w:ascii="Arial" w:cs="Arial" w:eastAsia="Arial" w:hAnsi="Arial"/>
                <w:sz w:val="14"/>
                <w:szCs w:val="14"/>
                <w:color w:val="auto"/>
              </w:rPr>
              <w:t>conversion feature of preferred stock</w:t>
            </w:r>
          </w:p>
        </w:tc>
        <w:tc>
          <w:tcPr>
            <w:tcW w:w="160" w:type="dxa"/>
            <w:vAlign w:val="bottom"/>
            <w:shd w:val="clear" w:color="auto" w:fill="CCEECC"/>
          </w:tcPr>
          <w:p>
            <w:pPr>
              <w:spacing w:after="0"/>
              <w:rPr>
                <w:sz w:val="15"/>
                <w:szCs w:val="15"/>
                <w:color w:val="auto"/>
              </w:rPr>
            </w:pPr>
          </w:p>
        </w:tc>
        <w:tc>
          <w:tcPr>
            <w:tcW w:w="780" w:type="dxa"/>
            <w:vAlign w:val="bottom"/>
            <w:gridSpan w:val="2"/>
            <w:shd w:val="clear" w:color="auto" w:fill="CCEECC"/>
          </w:tcPr>
          <w:p>
            <w:pPr>
              <w:jc w:val="right"/>
              <w:ind w:right="59"/>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880" w:type="dxa"/>
            <w:vAlign w:val="bottom"/>
            <w:gridSpan w:val="2"/>
            <w:shd w:val="clear" w:color="auto" w:fill="CCEECC"/>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CC"/>
          </w:tcPr>
          <w:p>
            <w:pPr>
              <w:spacing w:after="0"/>
              <w:rPr>
                <w:sz w:val="15"/>
                <w:szCs w:val="15"/>
                <w:color w:val="auto"/>
              </w:rPr>
            </w:pPr>
          </w:p>
        </w:tc>
        <w:tc>
          <w:tcPr>
            <w:tcW w:w="960" w:type="dxa"/>
            <w:vAlign w:val="bottom"/>
            <w:gridSpan w:val="2"/>
            <w:shd w:val="clear" w:color="auto" w:fill="CCEECC"/>
          </w:tcPr>
          <w:p>
            <w:pPr>
              <w:jc w:val="right"/>
              <w:ind w:right="159"/>
              <w:spacing w:after="0"/>
              <w:rPr>
                <w:sz w:val="20"/>
                <w:szCs w:val="20"/>
                <w:color w:val="auto"/>
              </w:rPr>
            </w:pPr>
            <w:r>
              <w:rPr>
                <w:rFonts w:ascii="Arial" w:cs="Arial" w:eastAsia="Arial" w:hAnsi="Arial"/>
                <w:sz w:val="14"/>
                <w:szCs w:val="14"/>
                <w:color w:val="auto"/>
              </w:rPr>
              <w:t>(1,086)</w:t>
            </w:r>
          </w:p>
        </w:tc>
        <w:tc>
          <w:tcPr>
            <w:tcW w:w="1160" w:type="dxa"/>
            <w:vAlign w:val="bottom"/>
            <w:gridSpan w:val="2"/>
            <w:shd w:val="clear" w:color="auto" w:fill="CCEECC"/>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5"/>
                <w:szCs w:val="15"/>
                <w:color w:val="auto"/>
              </w:rPr>
            </w:pPr>
          </w:p>
        </w:tc>
        <w:tc>
          <w:tcPr>
            <w:tcW w:w="840" w:type="dxa"/>
            <w:vAlign w:val="bottom"/>
            <w:gridSpan w:val="2"/>
            <w:shd w:val="clear" w:color="auto" w:fill="CCEECC"/>
          </w:tcPr>
          <w:p>
            <w:pPr>
              <w:jc w:val="right"/>
              <w:ind w:right="160"/>
              <w:spacing w:after="0"/>
              <w:rPr>
                <w:sz w:val="20"/>
                <w:szCs w:val="20"/>
                <w:color w:val="auto"/>
              </w:rPr>
            </w:pPr>
            <w:r>
              <w:rPr>
                <w:rFonts w:ascii="Arial" w:cs="Arial" w:eastAsia="Arial" w:hAnsi="Arial"/>
                <w:sz w:val="14"/>
                <w:szCs w:val="14"/>
                <w:color w:val="auto"/>
              </w:rPr>
              <w:t>(2,172)</w:t>
            </w:r>
          </w:p>
        </w:tc>
        <w:tc>
          <w:tcPr>
            <w:tcW w:w="160" w:type="dxa"/>
            <w:vAlign w:val="bottom"/>
            <w:shd w:val="clear" w:color="auto" w:fill="CCEECC"/>
          </w:tcPr>
          <w:p>
            <w:pPr>
              <w:spacing w:after="0"/>
              <w:rPr>
                <w:sz w:val="15"/>
                <w:szCs w:val="15"/>
                <w:color w:val="auto"/>
              </w:rPr>
            </w:pPr>
          </w:p>
        </w:tc>
        <w:tc>
          <w:tcPr>
            <w:tcW w:w="840" w:type="dxa"/>
            <w:vAlign w:val="bottom"/>
            <w:gridSpan w:val="2"/>
            <w:shd w:val="clear" w:color="auto" w:fill="CCEECC"/>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CC"/>
          </w:tcPr>
          <w:p>
            <w:pPr>
              <w:spacing w:after="0"/>
              <w:rPr>
                <w:sz w:val="15"/>
                <w:szCs w:val="15"/>
                <w:color w:val="auto"/>
              </w:rPr>
            </w:pPr>
          </w:p>
        </w:tc>
        <w:tc>
          <w:tcPr>
            <w:tcW w:w="800" w:type="dxa"/>
            <w:vAlign w:val="bottom"/>
            <w:gridSpan w:val="2"/>
            <w:shd w:val="clear" w:color="auto" w:fill="CCEECC"/>
          </w:tcPr>
          <w:p>
            <w:pPr>
              <w:jc w:val="right"/>
              <w:ind w:right="88"/>
              <w:spacing w:after="0"/>
              <w:rPr>
                <w:sz w:val="20"/>
                <w:szCs w:val="20"/>
                <w:color w:val="auto"/>
              </w:rPr>
            </w:pPr>
            <w:r>
              <w:rPr>
                <w:rFonts w:ascii="Arial" w:cs="Arial" w:eastAsia="Arial" w:hAnsi="Arial"/>
                <w:sz w:val="14"/>
                <w:szCs w:val="14"/>
                <w:color w:val="auto"/>
              </w:rPr>
              <w:t>(2,172)</w:t>
            </w:r>
          </w:p>
        </w:tc>
        <w:tc>
          <w:tcPr>
            <w:tcW w:w="800" w:type="dxa"/>
            <w:vAlign w:val="bottom"/>
            <w:gridSpan w:val="2"/>
            <w:shd w:val="clear" w:color="auto" w:fill="CCEECC"/>
          </w:tcPr>
          <w:p>
            <w:pPr>
              <w:jc w:val="right"/>
              <w:ind w:right="120"/>
              <w:spacing w:after="0"/>
              <w:rPr>
                <w:sz w:val="20"/>
                <w:szCs w:val="20"/>
                <w:color w:val="auto"/>
              </w:rPr>
            </w:pPr>
            <w:r>
              <w:rPr>
                <w:rFonts w:ascii="Arial" w:cs="Arial" w:eastAsia="Arial" w:hAnsi="Arial"/>
                <w:sz w:val="14"/>
                <w:szCs w:val="14"/>
                <w:color w:val="auto"/>
              </w:rPr>
              <w:t>—</w:t>
            </w:r>
          </w:p>
        </w:tc>
      </w:tr>
      <w:tr>
        <w:trPr>
          <w:trHeight w:val="110"/>
        </w:trPr>
        <w:tc>
          <w:tcPr>
            <w:tcW w:w="3340" w:type="dxa"/>
            <w:vAlign w:val="bottom"/>
          </w:tcPr>
          <w:p>
            <w:pPr>
              <w:ind w:left="160"/>
              <w:spacing w:after="0" w:line="110" w:lineRule="exact"/>
              <w:rPr>
                <w:sz w:val="20"/>
                <w:szCs w:val="20"/>
                <w:color w:val="auto"/>
              </w:rPr>
            </w:pPr>
            <w:r>
              <w:rPr>
                <w:rFonts w:ascii="Arial" w:cs="Arial" w:eastAsia="Arial" w:hAnsi="Arial"/>
                <w:sz w:val="12"/>
                <w:szCs w:val="12"/>
                <w:color w:val="auto"/>
              </w:rPr>
              <w:t>Net income attributable to Ocwen common</w:t>
            </w: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34"/>
        </w:trPr>
        <w:tc>
          <w:tcPr>
            <w:tcW w:w="3340" w:type="dxa"/>
            <w:vAlign w:val="bottom"/>
          </w:tcPr>
          <w:p>
            <w:pPr>
              <w:ind w:left="320"/>
              <w:spacing w:after="0"/>
              <w:rPr>
                <w:sz w:val="20"/>
                <w:szCs w:val="20"/>
                <w:color w:val="auto"/>
              </w:rPr>
            </w:pPr>
            <w:r>
              <w:rPr>
                <w:rFonts w:ascii="Arial" w:cs="Arial" w:eastAsia="Arial" w:hAnsi="Arial"/>
                <w:sz w:val="14"/>
                <w:szCs w:val="14"/>
                <w:color w:val="auto"/>
              </w:rPr>
              <w:t>stockholders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74,116</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44,833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99"/>
              <w:spacing w:after="0"/>
              <w:rPr>
                <w:sz w:val="20"/>
                <w:szCs w:val="20"/>
                <w:color w:val="auto"/>
              </w:rPr>
            </w:pPr>
            <w:r>
              <w:rPr>
                <w:rFonts w:ascii="Arial" w:cs="Arial" w:eastAsia="Arial" w:hAnsi="Arial"/>
                <w:sz w:val="14"/>
                <w:szCs w:val="14"/>
                <w:color w:val="auto"/>
              </w:rPr>
              <w:t>29,283</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65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116,692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64,182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52,510</w:t>
            </w:r>
          </w:p>
        </w:tc>
        <w:tc>
          <w:tcPr>
            <w:tcW w:w="6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0"/>
                <w:szCs w:val="20"/>
                <w:color w:val="auto"/>
              </w:rPr>
            </w:pPr>
          </w:p>
        </w:tc>
      </w:tr>
      <w:tr>
        <w:trPr>
          <w:trHeight w:val="129"/>
        </w:trPr>
        <w:tc>
          <w:tcPr>
            <w:tcW w:w="3340" w:type="dxa"/>
            <w:vAlign w:val="bottom"/>
            <w:tcBorders>
              <w:top w:val="single" w:sz="8" w:color="CCEECC"/>
            </w:tcBorders>
            <w:shd w:val="clear" w:color="auto" w:fill="CCEECC"/>
          </w:tcPr>
          <w:p>
            <w:pPr>
              <w:spacing w:after="0" w:line="129" w:lineRule="exact"/>
              <w:rPr>
                <w:sz w:val="20"/>
                <w:szCs w:val="20"/>
                <w:color w:val="auto"/>
              </w:rPr>
            </w:pPr>
            <w:r>
              <w:rPr>
                <w:rFonts w:ascii="Arial" w:cs="Arial" w:eastAsia="Arial" w:hAnsi="Arial"/>
                <w:sz w:val="14"/>
                <w:szCs w:val="14"/>
                <w:color w:val="auto"/>
              </w:rPr>
              <w:t>Segment income (loss) before income taxes:</w:t>
            </w:r>
          </w:p>
        </w:tc>
        <w:tc>
          <w:tcPr>
            <w:tcW w:w="160" w:type="dxa"/>
            <w:vAlign w:val="bottom"/>
            <w:tcBorders>
              <w:top w:val="single" w:sz="8" w:color="auto"/>
            </w:tcBorders>
            <w:shd w:val="clear" w:color="auto" w:fill="CCEECC"/>
          </w:tcPr>
          <w:p>
            <w:pPr>
              <w:spacing w:after="0"/>
              <w:rPr>
                <w:sz w:val="11"/>
                <w:szCs w:val="11"/>
                <w:color w:val="auto"/>
              </w:rPr>
            </w:pPr>
          </w:p>
        </w:tc>
        <w:tc>
          <w:tcPr>
            <w:tcW w:w="640" w:type="dxa"/>
            <w:vAlign w:val="bottom"/>
            <w:tcBorders>
              <w:top w:val="single" w:sz="8" w:color="auto"/>
            </w:tcBorders>
            <w:shd w:val="clear" w:color="auto" w:fill="CCEECC"/>
          </w:tcPr>
          <w:p>
            <w:pPr>
              <w:spacing w:after="0"/>
              <w:rPr>
                <w:sz w:val="11"/>
                <w:szCs w:val="11"/>
                <w:color w:val="auto"/>
              </w:rPr>
            </w:pPr>
          </w:p>
        </w:tc>
        <w:tc>
          <w:tcPr>
            <w:tcW w:w="140" w:type="dxa"/>
            <w:vAlign w:val="bottom"/>
            <w:tcBorders>
              <w:top w:val="single" w:sz="8" w:color="CCEECC"/>
            </w:tcBorders>
            <w:shd w:val="clear" w:color="auto" w:fill="CCEECC"/>
          </w:tcPr>
          <w:p>
            <w:pPr>
              <w:spacing w:after="0"/>
              <w:rPr>
                <w:sz w:val="11"/>
                <w:szCs w:val="11"/>
                <w:color w:val="auto"/>
              </w:rPr>
            </w:pPr>
          </w:p>
        </w:tc>
        <w:tc>
          <w:tcPr>
            <w:tcW w:w="100" w:type="dxa"/>
            <w:vAlign w:val="bottom"/>
            <w:tcBorders>
              <w:top w:val="single" w:sz="8" w:color="CCEECC"/>
            </w:tcBorders>
            <w:shd w:val="clear" w:color="auto" w:fill="CCEECC"/>
          </w:tcPr>
          <w:p>
            <w:pPr>
              <w:spacing w:after="0"/>
              <w:rPr>
                <w:sz w:val="11"/>
                <w:szCs w:val="11"/>
                <w:color w:val="auto"/>
              </w:rPr>
            </w:pPr>
          </w:p>
        </w:tc>
        <w:tc>
          <w:tcPr>
            <w:tcW w:w="160" w:type="dxa"/>
            <w:vAlign w:val="bottom"/>
            <w:tcBorders>
              <w:top w:val="single" w:sz="8" w:color="auto"/>
            </w:tcBorders>
            <w:shd w:val="clear" w:color="auto" w:fill="CCEECC"/>
          </w:tcPr>
          <w:p>
            <w:pPr>
              <w:spacing w:after="0"/>
              <w:rPr>
                <w:sz w:val="11"/>
                <w:szCs w:val="11"/>
                <w:color w:val="auto"/>
              </w:rPr>
            </w:pPr>
          </w:p>
        </w:tc>
        <w:tc>
          <w:tcPr>
            <w:tcW w:w="640" w:type="dxa"/>
            <w:vAlign w:val="bottom"/>
            <w:tcBorders>
              <w:top w:val="single" w:sz="8" w:color="auto"/>
            </w:tcBorders>
            <w:shd w:val="clear" w:color="auto" w:fill="CCEECC"/>
          </w:tcPr>
          <w:p>
            <w:pPr>
              <w:spacing w:after="0"/>
              <w:rPr>
                <w:sz w:val="11"/>
                <w:szCs w:val="11"/>
                <w:color w:val="auto"/>
              </w:rPr>
            </w:pPr>
          </w:p>
        </w:tc>
        <w:tc>
          <w:tcPr>
            <w:tcW w:w="240" w:type="dxa"/>
            <w:vAlign w:val="bottom"/>
            <w:tcBorders>
              <w:top w:val="single" w:sz="8" w:color="CCEECC"/>
            </w:tcBorders>
            <w:shd w:val="clear" w:color="auto" w:fill="CCEECC"/>
          </w:tcPr>
          <w:p>
            <w:pPr>
              <w:spacing w:after="0"/>
              <w:rPr>
                <w:sz w:val="11"/>
                <w:szCs w:val="11"/>
                <w:color w:val="auto"/>
              </w:rPr>
            </w:pPr>
          </w:p>
        </w:tc>
        <w:tc>
          <w:tcPr>
            <w:tcW w:w="80" w:type="dxa"/>
            <w:vAlign w:val="bottom"/>
            <w:tcBorders>
              <w:top w:val="single" w:sz="8" w:color="auto"/>
            </w:tcBorders>
            <w:shd w:val="clear" w:color="auto" w:fill="CCEECC"/>
          </w:tcPr>
          <w:p>
            <w:pPr>
              <w:spacing w:after="0"/>
              <w:rPr>
                <w:sz w:val="11"/>
                <w:szCs w:val="11"/>
                <w:color w:val="auto"/>
              </w:rPr>
            </w:pPr>
          </w:p>
        </w:tc>
        <w:tc>
          <w:tcPr>
            <w:tcW w:w="720" w:type="dxa"/>
            <w:vAlign w:val="bottom"/>
            <w:tcBorders>
              <w:top w:val="single" w:sz="8" w:color="auto"/>
            </w:tcBorders>
            <w:shd w:val="clear" w:color="auto" w:fill="CCEECC"/>
          </w:tcPr>
          <w:p>
            <w:pPr>
              <w:spacing w:after="0"/>
              <w:rPr>
                <w:sz w:val="11"/>
                <w:szCs w:val="11"/>
                <w:color w:val="auto"/>
              </w:rPr>
            </w:pPr>
          </w:p>
        </w:tc>
        <w:tc>
          <w:tcPr>
            <w:tcW w:w="240" w:type="dxa"/>
            <w:vAlign w:val="bottom"/>
            <w:tcBorders>
              <w:top w:val="single" w:sz="8" w:color="CCEECC"/>
            </w:tcBorders>
            <w:shd w:val="clear" w:color="auto" w:fill="CCEECC"/>
          </w:tcPr>
          <w:p>
            <w:pPr>
              <w:spacing w:after="0"/>
              <w:rPr>
                <w:sz w:val="11"/>
                <w:szCs w:val="11"/>
                <w:color w:val="auto"/>
              </w:rPr>
            </w:pPr>
          </w:p>
        </w:tc>
        <w:tc>
          <w:tcPr>
            <w:tcW w:w="800" w:type="dxa"/>
            <w:vAlign w:val="bottom"/>
            <w:tcBorders>
              <w:top w:val="single" w:sz="8" w:color="CCEECC"/>
            </w:tcBorders>
            <w:shd w:val="clear" w:color="auto" w:fill="CCEECC"/>
          </w:tcPr>
          <w:p>
            <w:pPr>
              <w:spacing w:after="0"/>
              <w:rPr>
                <w:sz w:val="11"/>
                <w:szCs w:val="11"/>
                <w:color w:val="auto"/>
              </w:rPr>
            </w:pPr>
          </w:p>
        </w:tc>
        <w:tc>
          <w:tcPr>
            <w:tcW w:w="360" w:type="dxa"/>
            <w:vAlign w:val="bottom"/>
            <w:tcBorders>
              <w:top w:val="single" w:sz="8" w:color="CCEECC"/>
            </w:tcBorders>
            <w:shd w:val="clear" w:color="auto" w:fill="CCEECC"/>
          </w:tcPr>
          <w:p>
            <w:pPr>
              <w:spacing w:after="0"/>
              <w:rPr>
                <w:sz w:val="11"/>
                <w:szCs w:val="11"/>
                <w:color w:val="auto"/>
              </w:rPr>
            </w:pPr>
          </w:p>
        </w:tc>
        <w:tc>
          <w:tcPr>
            <w:tcW w:w="160" w:type="dxa"/>
            <w:vAlign w:val="bottom"/>
            <w:tcBorders>
              <w:top w:val="single" w:sz="8" w:color="auto"/>
            </w:tcBorders>
            <w:shd w:val="clear" w:color="auto" w:fill="CCEECC"/>
          </w:tcPr>
          <w:p>
            <w:pPr>
              <w:spacing w:after="0"/>
              <w:rPr>
                <w:sz w:val="11"/>
                <w:szCs w:val="11"/>
                <w:color w:val="auto"/>
              </w:rPr>
            </w:pPr>
          </w:p>
        </w:tc>
        <w:tc>
          <w:tcPr>
            <w:tcW w:w="620" w:type="dxa"/>
            <w:vAlign w:val="bottom"/>
            <w:tcBorders>
              <w:top w:val="single" w:sz="8" w:color="auto"/>
            </w:tcBorders>
            <w:shd w:val="clear" w:color="auto" w:fill="CCEECC"/>
          </w:tcPr>
          <w:p>
            <w:pPr>
              <w:spacing w:after="0"/>
              <w:rPr>
                <w:sz w:val="11"/>
                <w:szCs w:val="11"/>
                <w:color w:val="auto"/>
              </w:rPr>
            </w:pPr>
          </w:p>
        </w:tc>
        <w:tc>
          <w:tcPr>
            <w:tcW w:w="220" w:type="dxa"/>
            <w:vAlign w:val="bottom"/>
            <w:tcBorders>
              <w:top w:val="single" w:sz="8" w:color="CCEECC"/>
            </w:tcBorders>
            <w:shd w:val="clear" w:color="auto" w:fill="CCEECC"/>
          </w:tcPr>
          <w:p>
            <w:pPr>
              <w:spacing w:after="0"/>
              <w:rPr>
                <w:sz w:val="11"/>
                <w:szCs w:val="11"/>
                <w:color w:val="auto"/>
              </w:rPr>
            </w:pPr>
          </w:p>
        </w:tc>
        <w:tc>
          <w:tcPr>
            <w:tcW w:w="160" w:type="dxa"/>
            <w:vAlign w:val="bottom"/>
            <w:tcBorders>
              <w:top w:val="single" w:sz="8" w:color="auto"/>
            </w:tcBorders>
            <w:shd w:val="clear" w:color="auto" w:fill="CCEECC"/>
          </w:tcPr>
          <w:p>
            <w:pPr>
              <w:spacing w:after="0"/>
              <w:rPr>
                <w:sz w:val="11"/>
                <w:szCs w:val="11"/>
                <w:color w:val="auto"/>
              </w:rPr>
            </w:pPr>
          </w:p>
        </w:tc>
        <w:tc>
          <w:tcPr>
            <w:tcW w:w="620" w:type="dxa"/>
            <w:vAlign w:val="bottom"/>
            <w:tcBorders>
              <w:top w:val="single" w:sz="8" w:color="auto"/>
            </w:tcBorders>
            <w:shd w:val="clear" w:color="auto" w:fill="CCEECC"/>
          </w:tcPr>
          <w:p>
            <w:pPr>
              <w:spacing w:after="0"/>
              <w:rPr>
                <w:sz w:val="11"/>
                <w:szCs w:val="11"/>
                <w:color w:val="auto"/>
              </w:rPr>
            </w:pPr>
          </w:p>
        </w:tc>
        <w:tc>
          <w:tcPr>
            <w:tcW w:w="220" w:type="dxa"/>
            <w:vAlign w:val="bottom"/>
            <w:tcBorders>
              <w:top w:val="single" w:sz="8" w:color="CCEECC"/>
            </w:tcBorders>
            <w:shd w:val="clear" w:color="auto" w:fill="CCEECC"/>
          </w:tcPr>
          <w:p>
            <w:pPr>
              <w:spacing w:after="0"/>
              <w:rPr>
                <w:sz w:val="11"/>
                <w:szCs w:val="11"/>
                <w:color w:val="auto"/>
              </w:rPr>
            </w:pPr>
          </w:p>
        </w:tc>
        <w:tc>
          <w:tcPr>
            <w:tcW w:w="200" w:type="dxa"/>
            <w:vAlign w:val="bottom"/>
            <w:tcBorders>
              <w:top w:val="single" w:sz="8" w:color="auto"/>
            </w:tcBorders>
            <w:shd w:val="clear" w:color="auto" w:fill="CCEECC"/>
          </w:tcPr>
          <w:p>
            <w:pPr>
              <w:spacing w:after="0"/>
              <w:rPr>
                <w:sz w:val="11"/>
                <w:szCs w:val="11"/>
                <w:color w:val="auto"/>
              </w:rPr>
            </w:pPr>
          </w:p>
        </w:tc>
        <w:tc>
          <w:tcPr>
            <w:tcW w:w="580" w:type="dxa"/>
            <w:vAlign w:val="bottom"/>
            <w:tcBorders>
              <w:top w:val="single" w:sz="8" w:color="auto"/>
            </w:tcBorders>
            <w:shd w:val="clear" w:color="auto" w:fill="CCEECC"/>
          </w:tcPr>
          <w:p>
            <w:pPr>
              <w:spacing w:after="0"/>
              <w:rPr>
                <w:sz w:val="11"/>
                <w:szCs w:val="11"/>
                <w:color w:val="auto"/>
              </w:rPr>
            </w:pPr>
          </w:p>
        </w:tc>
        <w:tc>
          <w:tcPr>
            <w:tcW w:w="220" w:type="dxa"/>
            <w:vAlign w:val="bottom"/>
            <w:tcBorders>
              <w:top w:val="single" w:sz="8" w:color="CCEECC"/>
            </w:tcBorders>
            <w:shd w:val="clear" w:color="auto" w:fill="CCEECC"/>
          </w:tcPr>
          <w:p>
            <w:pPr>
              <w:spacing w:after="0"/>
              <w:rPr>
                <w:sz w:val="11"/>
                <w:szCs w:val="11"/>
                <w:color w:val="auto"/>
              </w:rPr>
            </w:pPr>
          </w:p>
        </w:tc>
        <w:tc>
          <w:tcPr>
            <w:tcW w:w="680" w:type="dxa"/>
            <w:vAlign w:val="bottom"/>
            <w:tcBorders>
              <w:top w:val="single" w:sz="8" w:color="CCEECC"/>
            </w:tcBorders>
            <w:shd w:val="clear" w:color="auto" w:fill="CCEECC"/>
          </w:tcPr>
          <w:p>
            <w:pPr>
              <w:spacing w:after="0"/>
              <w:rPr>
                <w:sz w:val="11"/>
                <w:szCs w:val="11"/>
                <w:color w:val="auto"/>
              </w:rPr>
            </w:pPr>
          </w:p>
        </w:tc>
        <w:tc>
          <w:tcPr>
            <w:tcW w:w="120" w:type="dxa"/>
            <w:vAlign w:val="bottom"/>
            <w:tcBorders>
              <w:top w:val="single" w:sz="8" w:color="CCEECC"/>
            </w:tcBorders>
            <w:shd w:val="clear" w:color="auto" w:fill="CCEECC"/>
          </w:tcPr>
          <w:p>
            <w:pPr>
              <w:spacing w:after="0"/>
              <w:rPr>
                <w:sz w:val="11"/>
                <w:szCs w:val="11"/>
                <w:color w:val="auto"/>
              </w:rPr>
            </w:pPr>
          </w:p>
        </w:tc>
      </w:tr>
      <w:tr>
        <w:trPr>
          <w:trHeight w:val="149"/>
        </w:trPr>
        <w:tc>
          <w:tcPr>
            <w:tcW w:w="3340" w:type="dxa"/>
            <w:vAlign w:val="bottom"/>
          </w:tcPr>
          <w:p>
            <w:pPr>
              <w:ind w:left="480"/>
              <w:spacing w:after="0" w:line="149" w:lineRule="exact"/>
              <w:rPr>
                <w:sz w:val="20"/>
                <w:szCs w:val="20"/>
                <w:color w:val="auto"/>
              </w:rPr>
            </w:pPr>
            <w:r>
              <w:rPr>
                <w:rFonts w:ascii="Arial" w:cs="Arial" w:eastAsia="Arial" w:hAnsi="Arial"/>
                <w:sz w:val="14"/>
                <w:szCs w:val="14"/>
                <w:color w:val="auto"/>
              </w:rPr>
              <w:t>Servicing</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137,717</w:t>
            </w:r>
          </w:p>
        </w:tc>
        <w:tc>
          <w:tcPr>
            <w:tcW w:w="2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72,402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65,315</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185,138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106,879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78,259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r>
      <w:tr>
        <w:trPr>
          <w:trHeight w:val="149"/>
        </w:trPr>
        <w:tc>
          <w:tcPr>
            <w:tcW w:w="3340" w:type="dxa"/>
            <w:vAlign w:val="bottom"/>
            <w:shd w:val="clear" w:color="auto" w:fill="CCEECC"/>
          </w:tcPr>
          <w:p>
            <w:pPr>
              <w:ind w:left="480"/>
              <w:spacing w:after="0" w:line="149" w:lineRule="exact"/>
              <w:rPr>
                <w:sz w:val="20"/>
                <w:szCs w:val="20"/>
                <w:color w:val="auto"/>
              </w:rPr>
            </w:pPr>
            <w:r>
              <w:rPr>
                <w:rFonts w:ascii="Arial" w:cs="Arial" w:eastAsia="Arial" w:hAnsi="Arial"/>
                <w:sz w:val="14"/>
                <w:szCs w:val="14"/>
                <w:color w:val="auto"/>
              </w:rPr>
              <w:t>Lending</w:t>
            </w:r>
          </w:p>
        </w:tc>
        <w:tc>
          <w:tcPr>
            <w:tcW w:w="160" w:type="dxa"/>
            <w:vAlign w:val="bottom"/>
            <w:shd w:val="clear" w:color="auto" w:fill="CCEECC"/>
          </w:tcPr>
          <w:p>
            <w:pPr>
              <w:spacing w:after="0"/>
              <w:rPr>
                <w:sz w:val="12"/>
                <w:szCs w:val="12"/>
                <w:color w:val="auto"/>
              </w:rPr>
            </w:pPr>
          </w:p>
        </w:tc>
        <w:tc>
          <w:tcPr>
            <w:tcW w:w="780" w:type="dxa"/>
            <w:vAlign w:val="bottom"/>
            <w:gridSpan w:val="2"/>
            <w:shd w:val="clear" w:color="auto" w:fill="CCEECC"/>
          </w:tcPr>
          <w:p>
            <w:pPr>
              <w:jc w:val="right"/>
              <w:ind w:right="99"/>
              <w:spacing w:after="0" w:line="149" w:lineRule="exact"/>
              <w:rPr>
                <w:sz w:val="20"/>
                <w:szCs w:val="20"/>
                <w:color w:val="auto"/>
              </w:rPr>
            </w:pPr>
            <w:r>
              <w:rPr>
                <w:rFonts w:ascii="Arial" w:cs="Arial" w:eastAsia="Arial" w:hAnsi="Arial"/>
                <w:sz w:val="14"/>
                <w:szCs w:val="14"/>
                <w:color w:val="auto"/>
              </w:rPr>
              <w:t>10,121</w:t>
            </w:r>
          </w:p>
        </w:tc>
        <w:tc>
          <w:tcPr>
            <w:tcW w:w="10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880" w:type="dxa"/>
            <w:vAlign w:val="bottom"/>
            <w:gridSpan w:val="2"/>
            <w:shd w:val="clear" w:color="auto" w:fill="CCEECC"/>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CC"/>
          </w:tcPr>
          <w:p>
            <w:pPr>
              <w:spacing w:after="0"/>
              <w:rPr>
                <w:sz w:val="12"/>
                <w:szCs w:val="12"/>
                <w:color w:val="auto"/>
              </w:rPr>
            </w:pPr>
          </w:p>
        </w:tc>
        <w:tc>
          <w:tcPr>
            <w:tcW w:w="960" w:type="dxa"/>
            <w:vAlign w:val="bottom"/>
            <w:gridSpan w:val="2"/>
            <w:shd w:val="clear" w:color="auto" w:fill="CCEECC"/>
          </w:tcPr>
          <w:p>
            <w:pPr>
              <w:jc w:val="right"/>
              <w:ind w:right="199"/>
              <w:spacing w:after="0" w:line="149" w:lineRule="exact"/>
              <w:rPr>
                <w:sz w:val="20"/>
                <w:szCs w:val="20"/>
                <w:color w:val="auto"/>
              </w:rPr>
            </w:pPr>
            <w:r>
              <w:rPr>
                <w:rFonts w:ascii="Arial" w:cs="Arial" w:eastAsia="Arial" w:hAnsi="Arial"/>
                <w:sz w:val="14"/>
                <w:szCs w:val="14"/>
                <w:color w:val="auto"/>
              </w:rPr>
              <w:t>10,121</w:t>
            </w:r>
          </w:p>
        </w:tc>
        <w:tc>
          <w:tcPr>
            <w:tcW w:w="1160" w:type="dxa"/>
            <w:vAlign w:val="bottom"/>
            <w:gridSpan w:val="2"/>
            <w:shd w:val="clear" w:color="auto" w:fill="CCEECC"/>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2"/>
                <w:szCs w:val="12"/>
                <w:color w:val="auto"/>
              </w:rPr>
            </w:pPr>
          </w:p>
        </w:tc>
        <w:tc>
          <w:tcPr>
            <w:tcW w:w="840" w:type="dxa"/>
            <w:vAlign w:val="bottom"/>
            <w:gridSpan w:val="2"/>
            <w:shd w:val="clear" w:color="auto" w:fill="CCEECC"/>
          </w:tcPr>
          <w:p>
            <w:pPr>
              <w:jc w:val="right"/>
              <w:ind w:right="220"/>
              <w:spacing w:after="0" w:line="149" w:lineRule="exact"/>
              <w:rPr>
                <w:sz w:val="20"/>
                <w:szCs w:val="20"/>
                <w:color w:val="auto"/>
              </w:rPr>
            </w:pPr>
            <w:r>
              <w:rPr>
                <w:rFonts w:ascii="Arial" w:cs="Arial" w:eastAsia="Arial" w:hAnsi="Arial"/>
                <w:sz w:val="14"/>
                <w:szCs w:val="14"/>
                <w:color w:val="auto"/>
              </w:rPr>
              <w:t>15,147</w:t>
            </w:r>
          </w:p>
        </w:tc>
        <w:tc>
          <w:tcPr>
            <w:tcW w:w="160" w:type="dxa"/>
            <w:vAlign w:val="bottom"/>
            <w:shd w:val="clear" w:color="auto" w:fill="CCEECC"/>
          </w:tcPr>
          <w:p>
            <w:pPr>
              <w:spacing w:after="0"/>
              <w:rPr>
                <w:sz w:val="12"/>
                <w:szCs w:val="12"/>
                <w:color w:val="auto"/>
              </w:rPr>
            </w:pPr>
          </w:p>
        </w:tc>
        <w:tc>
          <w:tcPr>
            <w:tcW w:w="840" w:type="dxa"/>
            <w:vAlign w:val="bottom"/>
            <w:gridSpan w:val="2"/>
            <w:shd w:val="clear" w:color="auto" w:fill="CCEE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CC"/>
          </w:tcPr>
          <w:p>
            <w:pPr>
              <w:spacing w:after="0"/>
              <w:rPr>
                <w:sz w:val="12"/>
                <w:szCs w:val="12"/>
                <w:color w:val="auto"/>
              </w:rPr>
            </w:pPr>
          </w:p>
        </w:tc>
        <w:tc>
          <w:tcPr>
            <w:tcW w:w="800" w:type="dxa"/>
            <w:vAlign w:val="bottom"/>
            <w:gridSpan w:val="2"/>
            <w:shd w:val="clear" w:color="auto" w:fill="CCEECC"/>
          </w:tcPr>
          <w:p>
            <w:pPr>
              <w:jc w:val="right"/>
              <w:ind w:right="148"/>
              <w:spacing w:after="0" w:line="149" w:lineRule="exact"/>
              <w:rPr>
                <w:sz w:val="20"/>
                <w:szCs w:val="20"/>
                <w:color w:val="auto"/>
              </w:rPr>
            </w:pPr>
            <w:r>
              <w:rPr>
                <w:rFonts w:ascii="Arial" w:cs="Arial" w:eastAsia="Arial" w:hAnsi="Arial"/>
                <w:sz w:val="14"/>
                <w:szCs w:val="14"/>
                <w:color w:val="auto"/>
              </w:rPr>
              <w:t>15,147</w:t>
            </w:r>
          </w:p>
        </w:tc>
        <w:tc>
          <w:tcPr>
            <w:tcW w:w="800" w:type="dxa"/>
            <w:vAlign w:val="bottom"/>
            <w:gridSpan w:val="2"/>
            <w:shd w:val="clear" w:color="auto" w:fill="CCEECC"/>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62"/>
        </w:trPr>
        <w:tc>
          <w:tcPr>
            <w:tcW w:w="3340" w:type="dxa"/>
            <w:vAlign w:val="bottom"/>
          </w:tcPr>
          <w:p>
            <w:pPr>
              <w:ind w:left="480"/>
              <w:spacing w:after="0"/>
              <w:rPr>
                <w:sz w:val="20"/>
                <w:szCs w:val="20"/>
                <w:color w:val="auto"/>
              </w:rPr>
            </w:pPr>
            <w:r>
              <w:rPr>
                <w:rFonts w:ascii="Arial" w:cs="Arial" w:eastAsia="Arial" w:hAnsi="Arial"/>
                <w:sz w:val="14"/>
                <w:szCs w:val="14"/>
                <w:color w:val="auto"/>
              </w:rPr>
              <w:t>Corporate Items and Other</w:t>
            </w:r>
          </w:p>
        </w:tc>
        <w:tc>
          <w:tcPr>
            <w:tcW w:w="16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rPr>
              <w:t>(60,328)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4"/>
                <w:szCs w:val="14"/>
                <w:color w:val="auto"/>
              </w:rPr>
              <w:t>(2,238)</w:t>
            </w:r>
          </w:p>
        </w:tc>
        <w:tc>
          <w:tcPr>
            <w:tcW w:w="8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Arial" w:cs="Arial" w:eastAsia="Arial" w:hAnsi="Arial"/>
                <w:sz w:val="14"/>
                <w:szCs w:val="14"/>
                <w:color w:val="auto"/>
              </w:rPr>
              <w:t>(58,090)</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2,596</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(61,440)</w:t>
            </w:r>
          </w:p>
        </w:tc>
        <w:tc>
          <w:tcPr>
            <w:tcW w:w="16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(6,596)</w:t>
            </w:r>
          </w:p>
        </w:tc>
        <w:tc>
          <w:tcPr>
            <w:tcW w:w="200" w:type="dxa"/>
            <w:vAlign w:val="bottom"/>
          </w:tcPr>
          <w:p>
            <w:pPr>
              <w:spacing w:after="0"/>
              <w:rPr>
                <w:sz w:val="14"/>
                <w:szCs w:val="14"/>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(54,844)</w:t>
            </w:r>
          </w:p>
        </w:tc>
        <w:tc>
          <w:tcPr>
            <w:tcW w:w="680" w:type="dxa"/>
            <w:vAlign w:val="bottom"/>
          </w:tcPr>
          <w:p>
            <w:pPr>
              <w:jc w:val="right"/>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14"/>
                <w:szCs w:val="14"/>
                <w:color w:val="auto"/>
              </w:rPr>
            </w:pPr>
          </w:p>
        </w:tc>
      </w:tr>
      <w:tr>
        <w:trPr>
          <w:trHeight w:val="156"/>
        </w:trPr>
        <w:tc>
          <w:tcPr>
            <w:tcW w:w="3340" w:type="dxa"/>
            <w:vAlign w:val="bottom"/>
            <w:tcBorders>
              <w:top w:val="single" w:sz="8" w:color="CCEECC"/>
              <w:bottom w:val="single" w:sz="8" w:color="CCEECC"/>
            </w:tcBorders>
            <w:shd w:val="clear" w:color="auto" w:fill="CCEECC"/>
          </w:tcPr>
          <w:p>
            <w:pPr>
              <w:spacing w:after="0"/>
              <w:rPr>
                <w:sz w:val="13"/>
                <w:szCs w:val="13"/>
                <w:color w:val="auto"/>
              </w:rPr>
            </w:pPr>
          </w:p>
        </w:tc>
        <w:tc>
          <w:tcPr>
            <w:tcW w:w="160" w:type="dxa"/>
            <w:vAlign w:val="bottom"/>
            <w:tcBorders>
              <w:top w:val="single" w:sz="8" w:color="auto"/>
              <w:bottom w:val="single" w:sz="8" w:color="auto"/>
            </w:tcBorders>
            <w:shd w:val="clear" w:color="auto" w:fill="CCEECC"/>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87,510</w:t>
            </w:r>
          </w:p>
        </w:tc>
        <w:tc>
          <w:tcPr>
            <w:tcW w:w="140" w:type="dxa"/>
            <w:vAlign w:val="bottom"/>
            <w:tcBorders>
              <w:top w:val="single" w:sz="8" w:color="CCEECC"/>
              <w:bottom w:val="single" w:sz="8" w:color="CCEECC"/>
            </w:tcBorders>
            <w:shd w:val="clear" w:color="auto" w:fill="CCEECC"/>
          </w:tcPr>
          <w:p>
            <w:pPr>
              <w:spacing w:after="0"/>
              <w:rPr>
                <w:sz w:val="13"/>
                <w:szCs w:val="13"/>
                <w:color w:val="auto"/>
              </w:rPr>
            </w:pPr>
          </w:p>
        </w:tc>
        <w:tc>
          <w:tcPr>
            <w:tcW w:w="100" w:type="dxa"/>
            <w:vAlign w:val="bottom"/>
            <w:tcBorders>
              <w:top w:val="single" w:sz="8" w:color="CCEECC"/>
              <w:bottom w:val="single" w:sz="8" w:color="CCEECC"/>
            </w:tcBorders>
            <w:shd w:val="clear" w:color="auto" w:fill="CCEECC"/>
          </w:tcPr>
          <w:p>
            <w:pPr>
              <w:spacing w:after="0"/>
              <w:rPr>
                <w:sz w:val="13"/>
                <w:szCs w:val="13"/>
                <w:color w:val="auto"/>
              </w:rPr>
            </w:pPr>
          </w:p>
        </w:tc>
        <w:tc>
          <w:tcPr>
            <w:tcW w:w="160" w:type="dxa"/>
            <w:vAlign w:val="bottom"/>
            <w:tcBorders>
              <w:top w:val="single" w:sz="8" w:color="auto"/>
              <w:bottom w:val="single" w:sz="8" w:color="auto"/>
            </w:tcBorders>
            <w:shd w:val="clear" w:color="auto" w:fill="CCEECC"/>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70,164</w:t>
            </w:r>
          </w:p>
        </w:tc>
        <w:tc>
          <w:tcPr>
            <w:tcW w:w="240" w:type="dxa"/>
            <w:vAlign w:val="bottom"/>
            <w:tcBorders>
              <w:top w:val="single" w:sz="8" w:color="CCEECC"/>
              <w:bottom w:val="single" w:sz="8" w:color="CCEECC"/>
            </w:tcBorders>
            <w:shd w:val="clear" w:color="auto" w:fill="CCEECC"/>
          </w:tcPr>
          <w:p>
            <w:pPr>
              <w:spacing w:after="0"/>
              <w:rPr>
                <w:sz w:val="13"/>
                <w:szCs w:val="13"/>
                <w:color w:val="auto"/>
              </w:rPr>
            </w:pPr>
          </w:p>
        </w:tc>
        <w:tc>
          <w:tcPr>
            <w:tcW w:w="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17,346</w:t>
            </w:r>
          </w:p>
        </w:tc>
        <w:tc>
          <w:tcPr>
            <w:tcW w:w="240" w:type="dxa"/>
            <w:vAlign w:val="bottom"/>
            <w:tcBorders>
              <w:top w:val="single" w:sz="8" w:color="CCEECC"/>
              <w:bottom w:val="single" w:sz="8" w:color="CCEECC"/>
            </w:tcBorders>
            <w:shd w:val="clear" w:color="auto" w:fill="CCEECC"/>
          </w:tcPr>
          <w:p>
            <w:pPr>
              <w:spacing w:after="0"/>
              <w:rPr>
                <w:sz w:val="13"/>
                <w:szCs w:val="13"/>
                <w:color w:val="auto"/>
              </w:rPr>
            </w:pPr>
          </w:p>
        </w:tc>
        <w:tc>
          <w:tcPr>
            <w:tcW w:w="1160" w:type="dxa"/>
            <w:vAlign w:val="bottom"/>
            <w:tcBorders>
              <w:top w:val="single" w:sz="8" w:color="CCEECC"/>
              <w:bottom w:val="single" w:sz="8" w:color="CCEECC"/>
            </w:tcBorders>
            <w:gridSpan w:val="2"/>
            <w:shd w:val="clear" w:color="auto" w:fill="CCEECC"/>
          </w:tcPr>
          <w:p>
            <w:pPr>
              <w:jc w:val="right"/>
              <w:ind w:right="360"/>
              <w:spacing w:after="0" w:line="155" w:lineRule="exact"/>
              <w:rPr>
                <w:sz w:val="20"/>
                <w:szCs w:val="20"/>
                <w:color w:val="auto"/>
              </w:rPr>
            </w:pPr>
            <w:r>
              <w:rPr>
                <w:rFonts w:ascii="Arial" w:cs="Arial" w:eastAsia="Arial" w:hAnsi="Arial"/>
                <w:sz w:val="14"/>
                <w:szCs w:val="14"/>
                <w:color w:val="auto"/>
              </w:rPr>
              <w:t>25</w:t>
            </w:r>
          </w:p>
        </w:tc>
        <w:tc>
          <w:tcPr>
            <w:tcW w:w="160" w:type="dxa"/>
            <w:vAlign w:val="bottom"/>
            <w:tcBorders>
              <w:top w:val="single" w:sz="8" w:color="auto"/>
              <w:bottom w:val="single" w:sz="8" w:color="auto"/>
            </w:tcBorders>
            <w:shd w:val="clear" w:color="auto" w:fill="CCEEC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138,845</w:t>
            </w:r>
          </w:p>
        </w:tc>
        <w:tc>
          <w:tcPr>
            <w:tcW w:w="220" w:type="dxa"/>
            <w:vAlign w:val="bottom"/>
            <w:tcBorders>
              <w:top w:val="single" w:sz="8" w:color="CCEECC"/>
              <w:bottom w:val="single" w:sz="8" w:color="CCEECC"/>
            </w:tcBorders>
            <w:shd w:val="clear" w:color="auto" w:fill="CCEECC"/>
          </w:tcPr>
          <w:p>
            <w:pPr>
              <w:spacing w:after="0"/>
              <w:rPr>
                <w:sz w:val="13"/>
                <w:szCs w:val="13"/>
                <w:color w:val="auto"/>
              </w:rPr>
            </w:pPr>
          </w:p>
        </w:tc>
        <w:tc>
          <w:tcPr>
            <w:tcW w:w="160" w:type="dxa"/>
            <w:vAlign w:val="bottom"/>
            <w:tcBorders>
              <w:top w:val="single" w:sz="8" w:color="auto"/>
              <w:bottom w:val="single" w:sz="8" w:color="auto"/>
            </w:tcBorders>
            <w:shd w:val="clear" w:color="auto" w:fill="CCEEC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100,283</w:t>
            </w:r>
          </w:p>
        </w:tc>
        <w:tc>
          <w:tcPr>
            <w:tcW w:w="220" w:type="dxa"/>
            <w:vAlign w:val="bottom"/>
            <w:tcBorders>
              <w:top w:val="single" w:sz="8" w:color="CCEECC"/>
              <w:bottom w:val="single" w:sz="8" w:color="CCEECC"/>
            </w:tcBorders>
            <w:shd w:val="clear" w:color="auto" w:fill="CCEECC"/>
          </w:tcPr>
          <w:p>
            <w:pPr>
              <w:spacing w:after="0"/>
              <w:rPr>
                <w:sz w:val="13"/>
                <w:szCs w:val="13"/>
                <w:color w:val="auto"/>
              </w:rPr>
            </w:pPr>
          </w:p>
        </w:tc>
        <w:tc>
          <w:tcPr>
            <w:tcW w:w="200" w:type="dxa"/>
            <w:vAlign w:val="bottom"/>
            <w:tcBorders>
              <w:top w:val="single" w:sz="8" w:color="auto"/>
              <w:bottom w:val="single" w:sz="8" w:color="auto"/>
            </w:tcBorders>
            <w:shd w:val="clear" w:color="auto" w:fill="CCEEC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38,562</w:t>
            </w:r>
          </w:p>
        </w:tc>
        <w:tc>
          <w:tcPr>
            <w:tcW w:w="220" w:type="dxa"/>
            <w:vAlign w:val="bottom"/>
            <w:tcBorders>
              <w:top w:val="single" w:sz="8" w:color="CCEECC"/>
              <w:bottom w:val="single" w:sz="8" w:color="CCEECC"/>
            </w:tcBorders>
            <w:shd w:val="clear" w:color="auto" w:fill="CCEECC"/>
          </w:tcPr>
          <w:p>
            <w:pPr>
              <w:spacing w:after="0"/>
              <w:rPr>
                <w:sz w:val="13"/>
                <w:szCs w:val="13"/>
                <w:color w:val="auto"/>
              </w:rPr>
            </w:pPr>
          </w:p>
        </w:tc>
        <w:tc>
          <w:tcPr>
            <w:tcW w:w="680" w:type="dxa"/>
            <w:vAlign w:val="bottom"/>
            <w:tcBorders>
              <w:top w:val="single" w:sz="8" w:color="CCEECC"/>
              <w:bottom w:val="single" w:sz="8" w:color="CCEECC"/>
            </w:tcBorders>
            <w:shd w:val="clear" w:color="auto" w:fill="CCEECC"/>
          </w:tcPr>
          <w:p>
            <w:pPr>
              <w:jc w:val="right"/>
              <w:spacing w:after="0" w:line="155" w:lineRule="exact"/>
              <w:rPr>
                <w:sz w:val="20"/>
                <w:szCs w:val="20"/>
                <w:color w:val="auto"/>
              </w:rPr>
            </w:pPr>
            <w:r>
              <w:rPr>
                <w:rFonts w:ascii="Arial" w:cs="Arial" w:eastAsia="Arial" w:hAnsi="Arial"/>
                <w:sz w:val="14"/>
                <w:szCs w:val="14"/>
                <w:color w:val="auto"/>
              </w:rPr>
              <w:t>38</w:t>
            </w:r>
          </w:p>
        </w:tc>
        <w:tc>
          <w:tcPr>
            <w:tcW w:w="120" w:type="dxa"/>
            <w:vAlign w:val="bottom"/>
            <w:tcBorders>
              <w:top w:val="single" w:sz="8" w:color="CCEECC"/>
              <w:bottom w:val="single" w:sz="8" w:color="CCEECC"/>
            </w:tcBorders>
            <w:shd w:val="clear" w:color="auto" w:fill="CCEEC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Three Months Ended June 30, 2013 versus June 30, 2012. </w:t>
      </w:r>
      <w:r>
        <w:rPr>
          <w:rFonts w:ascii="Arial" w:cs="Arial" w:eastAsia="Arial" w:hAnsi="Arial"/>
          <w:sz w:val="18"/>
          <w:szCs w:val="18"/>
          <w:color w:val="auto"/>
        </w:rPr>
        <w:t>Servicing and subservicing fee revenues for the three months ended June 30, 2013 were</w:t>
      </w:r>
      <w:r>
        <w:rPr>
          <w:rFonts w:ascii="Arial" w:cs="Arial" w:eastAsia="Arial" w:hAnsi="Arial"/>
          <w:sz w:val="18"/>
          <w:szCs w:val="18"/>
          <w:b w:val="1"/>
          <w:bCs w:val="1"/>
          <w:color w:val="auto"/>
        </w:rPr>
        <w:t xml:space="preserve"> </w:t>
      </w:r>
      <w:r>
        <w:rPr>
          <w:rFonts w:ascii="Arial" w:cs="Arial" w:eastAsia="Arial" w:hAnsi="Arial"/>
          <w:sz w:val="18"/>
          <w:szCs w:val="18"/>
          <w:color w:val="auto"/>
        </w:rPr>
        <w:t>higher than the three months ended June 30, 2012 primarily as a result of a 296% increase in the average UPB of our residential servicing portfolio. The Homeward and ResCap Acquisitions and the Ally MSR Transaction contributed to the growth in the average size of the portfolio as compared to the second quarter of 2012. This revenue increase was offset in part by the effects of a decrease in the portfolio mix of servicing versus subservicing. We earn lower fees in connection with subservicing arrangements. Lower fees earned under subservicing contracts are offset by lower interest expense on advance financing. The combined servicing and subservicing fee revenues generated by the Homeward, ResCap and Ally portfolios during the second quarter of 2013 were $248.9 million.</w:t>
      </w:r>
    </w:p>
    <w:p>
      <w:pPr>
        <w:spacing w:after="0" w:line="15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Gain on sale of residential mortgage loans from our originations platforms, acquired as part of the Homeward and Liberty Acquisitions, reflected a strong pipeline coming into the quarter and higher conversion rates as borrowers reacted to rising mortgage rates. Margins on new originations were strong for most of the quarter. Gain on sale generated by the Homeward and Liberty platforms during the second quarter of 2013 were $8.3 million and $12.0 million, respectively. Liberty issued $65.9 million of Ginnie Mae reverse mortgage backed securities during the second quarter of 2013. Other revenues for the three months ended June 30, 2013 were higher than the three months ended June 30, 2012 primarily as a result of $13.1 million in loan origination revenues from our lending platforms.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20" w:firstLine="324"/>
        <w:spacing w:after="0" w:line="255" w:lineRule="auto"/>
        <w:rPr>
          <w:sz w:val="20"/>
          <w:szCs w:val="20"/>
          <w:color w:val="auto"/>
        </w:rPr>
      </w:pPr>
      <w:r>
        <w:rPr>
          <w:rFonts w:ascii="Arial" w:cs="Arial" w:eastAsia="Arial" w:hAnsi="Arial"/>
          <w:sz w:val="18"/>
          <w:szCs w:val="18"/>
          <w:color w:val="auto"/>
        </w:rPr>
        <w:t>Operating expenses for the three months ended June 30, 2013 increased as compared to the three months ended June 30, 2012 in part as a result of the Homeward, ResCap and Liberty Acquisitions which added $189.1 million of total operating expenses in the second quarter of 2013. In addition, we recorded a charge of $52.8 million during the second quarter of 2013 to increase our estimated liability established in connection with our ongoing discussions with the MMC, CFPB and state Attorneys General in connection with certain foreclosure related matters. Because these discussions are ongoing, the ultimate amount of our liability, if any, could be materially different. See the Regulatory Contingencies section of Note 24 – Commitments and Contingencies for additional information regarding this matter.</w:t>
      </w:r>
    </w:p>
    <w:p>
      <w:pPr>
        <w:spacing w:after="0" w:line="15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Other expense, net for the three months ended June 30, 2013 increased as compared to the three months ended June 30, 2012 primarily as a result of an increase in interest expense related to financing the Homeward and ResCap Acquisitions and the Ally MSR Transaction. These acquisitions were financed through a combination of available cash, term debt and match funded liabilities for servicing advances and proceeds from the HLSS Transactions. Consistent with our capital strategy, we ultimately expect to sell rights to acquired and originated MSRs and the related servicing advances to HLSS. We raised $424.5 million in connection with the HLSS Transaction completed in the second quarter of 2013 and reduced match funded liabilities by $311.5 million. Interest expense in connection with borrowings to fund servicing advances declined in the second quarter of 2013 as compared to the second quarter of 2012 as a result of sales of servicing advances to HLSS during the past year. Partially offsetting the increase in interest expense were gains of $14.8 million on the sale of modified FHA and VA loans during the second quarter of 2013. As servicer, we are obligated to repurchase loans from Ginnie Mae guaranteed securitizations in order to complete a modification. Once the modification is completed, we pool the loans into new Ginnie Mae guaranteed securitizations at the then prevailing market value. We recorded gains on the sale of the repurchased loans of $14.8 million during the quarter ended June 30, 2013.</w:t>
      </w:r>
    </w:p>
    <w:p>
      <w:pPr>
        <w:spacing w:after="0" w:line="138" w:lineRule="exact"/>
        <w:rPr>
          <w:sz w:val="20"/>
          <w:szCs w:val="20"/>
          <w:color w:val="auto"/>
        </w:rPr>
      </w:pPr>
    </w:p>
    <w:p>
      <w:pPr>
        <w:ind w:right="80" w:firstLine="324"/>
        <w:spacing w:after="0" w:line="274" w:lineRule="auto"/>
        <w:rPr>
          <w:sz w:val="20"/>
          <w:szCs w:val="20"/>
          <w:color w:val="auto"/>
        </w:rPr>
      </w:pPr>
      <w:r>
        <w:rPr>
          <w:rFonts w:ascii="Arial" w:cs="Arial" w:eastAsia="Arial" w:hAnsi="Arial"/>
          <w:sz w:val="17"/>
          <w:szCs w:val="17"/>
          <w:b w:val="1"/>
          <w:bCs w:val="1"/>
          <w:color w:val="auto"/>
        </w:rPr>
        <w:t xml:space="preserve">Six Months Ended June 30, 2013 versus June 30, 2012. </w:t>
      </w:r>
      <w:r>
        <w:rPr>
          <w:rFonts w:ascii="Arial" w:cs="Arial" w:eastAsia="Arial" w:hAnsi="Arial"/>
          <w:sz w:val="17"/>
          <w:szCs w:val="17"/>
          <w:color w:val="auto"/>
        </w:rPr>
        <w:t>Servicing and subservicing fee revenues for the six months ended June 30, 2013 were higher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for the six months ended June 30, 2012 primarily as a result of a 264% increase in the average UPB of our residential servicing portfolio. This increase was offset in part by a decrease in the portfolio mix of servicing versus subservicing. Gain on sale of residential mortgage loans and origination revenues from our lending operations were $25.1 million and $22.2 million, respectively, for the six months ended June 30, 2013. Operating expenses and Other expense, net increased similarly, primarily as a result of the Homeward, ResCap, Liberty and Ally transactions and the liability established during the second quarter of 2013 in connection with certain foreclosure related matters.</w:t>
      </w:r>
    </w:p>
    <w:p>
      <w:pPr>
        <w:spacing w:after="0" w:line="13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Although income before income taxes for the six months ended June 30, 2013 increased by $38.6 million as compared to the six months ended June 30, 2012, income tax expense declined by $19.1 million as our estimated effective tax rate for 2013 declined to 12.2% as compared to 36.0% for the comparable 2012 period. Income tax provisions for interim periods are based on estimated annual income taxes calculated separately from the effect of significant, infrequent or unusual items. Income tax expense on income before income taxes differs from amounts that would be computed by applying the U.S. Federal corporate income tax rate of 35% primarily because of the effect of foreign taxes and foreign tax rates, foreign income with an indefinite deferral from U.S. taxation, losses from consolidated VIEs, state taxes and changes in the liability for selected tax items. Our effective tax rate for 2013 is lower than the U.S. Federal corporate income tax rate of 35% primarily because of lower tax rates on our operations in the USVI. As part of an initiative to consolidate the ownership and management of all of our global servicing assets and operations under a single entity, Ocwen formed OMS in 2012 under the laws of the USVI where OMS has its principal place of business. OMS is located in a federally recognized economic development zone and effective October 1, 2012 became eligible for certain benefits which have a favorable impact on our effective tax rate. Our actual effective tax rate in the future will vary depending on the mix of U.S. and foreign assets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balance sheet has grown as a result of the ResCap Acquisition and the Ally MSR Transaction, partially offset by the HLSS Transactions completed during the period. The following table summarizes our consolidated balance sheet at the dates indicated. We provide a more complete discussion of our consolidated balance sheet in the Segments section.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9"/>
              </w:rPr>
              <w:t>June 30,</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December 31, 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6"/>
              </w:rPr>
              <w:t>$ Change</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shd w:val="clear" w:color="auto" w:fill="CCEECC"/>
          </w:tcPr>
          <w:p>
            <w:pPr>
              <w:spacing w:after="0"/>
              <w:rPr>
                <w:sz w:val="20"/>
                <w:szCs w:val="20"/>
                <w:color w:val="auto"/>
              </w:rPr>
            </w:pPr>
            <w:r>
              <w:rPr>
                <w:rFonts w:ascii="Arial" w:cs="Arial" w:eastAsia="Arial" w:hAnsi="Arial"/>
                <w:sz w:val="18"/>
                <w:szCs w:val="18"/>
                <w:color w:val="auto"/>
              </w:rPr>
              <w:t>Cash</w:t>
            </w:r>
          </w:p>
        </w:tc>
        <w:tc>
          <w:tcPr>
            <w:tcW w:w="240" w:type="dxa"/>
            <w:vAlign w:val="bottom"/>
            <w:vMerge w:val="restart"/>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CC"/>
          </w:tcPr>
          <w:p>
            <w:pPr>
              <w:spacing w:after="0" w:line="20" w:lineRule="exact"/>
              <w:rPr>
                <w:sz w:val="1"/>
                <w:szCs w:val="1"/>
                <w:color w:val="auto"/>
              </w:rPr>
            </w:pPr>
          </w:p>
        </w:tc>
        <w:tc>
          <w:tcPr>
            <w:tcW w:w="220" w:type="dxa"/>
            <w:vAlign w:val="bottom"/>
            <w:vMerge w:val="restart"/>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CEE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vMerge w:val="continue"/>
            <w:shd w:val="clear" w:color="auto" w:fill="CCEECC"/>
          </w:tcPr>
          <w:p>
            <w:pPr>
              <w:spacing w:after="0"/>
              <w:rPr>
                <w:sz w:val="18"/>
                <w:szCs w:val="18"/>
                <w:color w:val="auto"/>
              </w:rPr>
            </w:pPr>
          </w:p>
        </w:tc>
        <w:tc>
          <w:tcPr>
            <w:tcW w:w="240" w:type="dxa"/>
            <w:vAlign w:val="bottom"/>
            <w:vMerge w:val="continue"/>
            <w:shd w:val="clear" w:color="auto" w:fill="CCEECC"/>
          </w:tcPr>
          <w:p>
            <w:pPr>
              <w:spacing w:after="0"/>
              <w:rPr>
                <w:sz w:val="18"/>
                <w:szCs w:val="18"/>
                <w:color w:val="auto"/>
              </w:rPr>
            </w:pPr>
          </w:p>
        </w:tc>
        <w:tc>
          <w:tcPr>
            <w:tcW w:w="180" w:type="dxa"/>
            <w:vAlign w:val="bottom"/>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439,747</w:t>
            </w:r>
          </w:p>
        </w:tc>
        <w:tc>
          <w:tcPr>
            <w:tcW w:w="440" w:type="dxa"/>
            <w:vAlign w:val="bottom"/>
            <w:vMerge w:val="continue"/>
            <w:shd w:val="clear" w:color="auto" w:fill="CCEECC"/>
          </w:tcPr>
          <w:p>
            <w:pPr>
              <w:spacing w:after="0"/>
              <w:rPr>
                <w:sz w:val="18"/>
                <w:szCs w:val="18"/>
                <w:color w:val="auto"/>
              </w:rPr>
            </w:pPr>
          </w:p>
        </w:tc>
        <w:tc>
          <w:tcPr>
            <w:tcW w:w="4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220,130</w:t>
            </w:r>
          </w:p>
        </w:tc>
        <w:tc>
          <w:tcPr>
            <w:tcW w:w="220" w:type="dxa"/>
            <w:vAlign w:val="bottom"/>
            <w:vMerge w:val="continue"/>
            <w:shd w:val="clear" w:color="auto" w:fill="CCEECC"/>
          </w:tcPr>
          <w:p>
            <w:pPr>
              <w:spacing w:after="0"/>
              <w:rPr>
                <w:sz w:val="18"/>
                <w:szCs w:val="18"/>
                <w:color w:val="auto"/>
              </w:rPr>
            </w:pPr>
          </w:p>
        </w:tc>
        <w:tc>
          <w:tcPr>
            <w:tcW w:w="220" w:type="dxa"/>
            <w:vAlign w:val="bottom"/>
            <w:vMerge w:val="continue"/>
            <w:shd w:val="clear" w:color="auto" w:fill="CCEECC"/>
          </w:tcPr>
          <w:p>
            <w:pPr>
              <w:spacing w:after="0"/>
              <w:rPr>
                <w:sz w:val="18"/>
                <w:szCs w:val="18"/>
                <w:color w:val="auto"/>
              </w:rPr>
            </w:pP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219,617</w:t>
            </w:r>
          </w:p>
        </w:tc>
        <w:tc>
          <w:tcPr>
            <w:tcW w:w="46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Loans held for sale, at fair value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361,144</w:t>
            </w: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426,480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(65,336)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Advances and match funded advances</w:t>
            </w:r>
          </w:p>
        </w:tc>
        <w:tc>
          <w:tcPr>
            <w:tcW w:w="2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3,405,795</w:t>
            </w:r>
          </w:p>
        </w:tc>
        <w:tc>
          <w:tcPr>
            <w:tcW w:w="4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3,233,707</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172,088</w:t>
            </w:r>
          </w:p>
        </w:tc>
        <w:tc>
          <w:tcPr>
            <w:tcW w:w="46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1,688,038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678,937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1,009,101</w:t>
            </w:r>
          </w:p>
        </w:tc>
        <w:tc>
          <w:tcPr>
            <w:tcW w:w="4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at fair value</w:t>
            </w:r>
          </w:p>
        </w:tc>
        <w:tc>
          <w:tcPr>
            <w:tcW w:w="2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97,163</w:t>
            </w:r>
          </w:p>
        </w:tc>
        <w:tc>
          <w:tcPr>
            <w:tcW w:w="4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85,213</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11,950</w:t>
            </w:r>
          </w:p>
        </w:tc>
        <w:tc>
          <w:tcPr>
            <w:tcW w:w="460" w:type="dxa"/>
            <w:vAlign w:val="bottom"/>
            <w:shd w:val="clear" w:color="auto" w:fill="CCEECC"/>
          </w:tcPr>
          <w:p>
            <w:pPr>
              <w:spacing w:after="0"/>
              <w:rPr>
                <w:sz w:val="18"/>
                <w:szCs w:val="18"/>
                <w:color w:val="auto"/>
              </w:rPr>
            </w:pP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96,353</w:t>
            </w: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92,136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4,217</w:t>
            </w:r>
          </w:p>
        </w:tc>
        <w:tc>
          <w:tcPr>
            <w:tcW w:w="4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390,640</w:t>
            </w:r>
          </w:p>
        </w:tc>
        <w:tc>
          <w:tcPr>
            <w:tcW w:w="4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381,560</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9,080</w:t>
            </w:r>
          </w:p>
        </w:tc>
        <w:tc>
          <w:tcPr>
            <w:tcW w:w="46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Debt service accounts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84,248</w:t>
            </w: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88,748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(4,500)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4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519,152</w:t>
            </w:r>
          </w:p>
        </w:tc>
        <w:tc>
          <w:tcPr>
            <w:tcW w:w="42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478,573</w:t>
            </w:r>
          </w:p>
        </w:tc>
        <w:tc>
          <w:tcPr>
            <w:tcW w:w="2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50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40,579</w:t>
            </w:r>
          </w:p>
        </w:tc>
        <w:tc>
          <w:tcPr>
            <w:tcW w:w="1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7,082,280</w:t>
            </w:r>
          </w:p>
        </w:tc>
        <w:tc>
          <w:tcPr>
            <w:tcW w:w="4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5,685,484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1,396,796</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42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2,391,832</w:t>
            </w:r>
          </w:p>
        </w:tc>
        <w:tc>
          <w:tcPr>
            <w:tcW w:w="4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2,532,745</w:t>
            </w:r>
          </w:p>
        </w:tc>
        <w:tc>
          <w:tcPr>
            <w:tcW w:w="4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(140,913)</w:t>
            </w:r>
          </w:p>
        </w:tc>
        <w:tc>
          <w:tcPr>
            <w:tcW w:w="14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borrowings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2,172,078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1,096,679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1,075,399</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4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636,628</w:t>
            </w:r>
          </w:p>
        </w:tc>
        <w:tc>
          <w:tcPr>
            <w:tcW w:w="42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291,266</w:t>
            </w:r>
          </w:p>
        </w:tc>
        <w:tc>
          <w:tcPr>
            <w:tcW w:w="2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345,362</w:t>
            </w:r>
          </w:p>
        </w:tc>
        <w:tc>
          <w:tcPr>
            <w:tcW w:w="460" w:type="dxa"/>
            <w:vAlign w:val="bottom"/>
            <w:shd w:val="clear" w:color="auto" w:fill="CCEECC"/>
          </w:tcPr>
          <w:p>
            <w:pPr>
              <w:spacing w:after="0"/>
              <w:rPr>
                <w:sz w:val="19"/>
                <w:szCs w:val="19"/>
                <w:color w:val="auto"/>
              </w:rPr>
            </w:pPr>
          </w:p>
        </w:tc>
        <w:tc>
          <w:tcPr>
            <w:tcW w:w="1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5,200,538</w:t>
            </w:r>
          </w:p>
        </w:tc>
        <w:tc>
          <w:tcPr>
            <w:tcW w:w="4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3,920,690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1,279,848</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Mezzanine equity</w:t>
            </w:r>
          </w:p>
        </w:tc>
        <w:tc>
          <w:tcPr>
            <w:tcW w:w="2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155,544</w:t>
            </w:r>
          </w:p>
        </w:tc>
        <w:tc>
          <w:tcPr>
            <w:tcW w:w="4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153,372</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2,172</w:t>
            </w:r>
          </w:p>
        </w:tc>
        <w:tc>
          <w:tcPr>
            <w:tcW w:w="46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1,726,198</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1,611,422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114,776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w w:val="96"/>
              </w:rPr>
              <w:t>Total liabilities, mezzanine equity and stockholders’ equity</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7,082,280</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42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5,685,484</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1,396,796</w:t>
            </w:r>
          </w:p>
        </w:tc>
        <w:tc>
          <w:tcPr>
            <w:tcW w:w="460" w:type="dxa"/>
            <w:vAlign w:val="bottom"/>
            <w:tcBorders>
              <w:top w:val="single" w:sz="8" w:color="CCEECC"/>
              <w:bottom w:val="single" w:sz="8" w:color="CCEECC"/>
            </w:tcBorders>
            <w:shd w:val="clear" w:color="auto" w:fill="CCEECC"/>
          </w:tcPr>
          <w:p>
            <w:pPr>
              <w:spacing w:after="0"/>
              <w:rPr>
                <w:sz w:val="19"/>
                <w:szCs w:val="19"/>
                <w:color w:val="auto"/>
              </w:rPr>
            </w:pPr>
          </w:p>
        </w:tc>
        <w:tc>
          <w:tcPr>
            <w:tcW w:w="122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Loans held for sale, at fair value declined as sales more than offset new origination volume for the period and the loans acquired in the Liberty Acquisition. Advances and match funded advances acquired in connection with the ResCap Acquisition and the Ally MSR Transaction more than offset collections and the sale of advances to HLSS. MSRs increased as a result of the ResCap Acquisition, the Ally MSR Transaction and the MSRs generated from our lending activities during the period. The increase in goodwill is attributable to the ResCap Acquisition offset in part by the derecognition of goodwill attributable to the Homeward diversified fee-based business that we sold to Altisource during the period.</w:t>
      </w:r>
    </w:p>
    <w:p>
      <w:pPr>
        <w:spacing w:after="0" w:line="14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Match funded liabilities decreased as repayments from advance collections and reductions as a result of sales of advances to HLSS more than offset new borrowings to finance the advances acquired in the ResCap Acquisition and the Ally MSR Transaction. Other borrowings increased as a result of the new SSTL facility used to finance the ResCap Acquisition, partially offset by the repayment of the previous SSTL facility, the paydown of warehouse lines used to fund our lending business and the repayment of the $75.0 million unsecured loan from Altisource.</w:t>
      </w:r>
    </w:p>
    <w:p>
      <w:pPr>
        <w:spacing w:after="0" w:line="13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Other liabilities increased largely as a result of liabilities assumed in connection with the ResCap Acquisition and Ally MSR Transaction, the estimated post-closing true-up in connection with the ResCap Acquisition and the liability recorded in connection with certain foreclosure related matters. Assumed liabilities consisted primarily of origination representation and warranty obligations in connection with the Ally MSR Transaction and timeline and other penalties in connection with servicing performance against investor standards.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0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meet our financing requirements using a combination of debt and equity capital. Our short-term financing needs arise primarily from our holding of mortgage loans pending sale and our obligations to advance certain payments on behalf of delinquent mortgage borrowers. Our long-term financing needs arise primarily from our investments in MSRs and the financial instruments that we may acquire to manage the interest rate risk associated with those investments, and from investments that we make in technology and other capital expenditures. The structure and mix of our debt and equity capital are primarily driven by our strategic objectives but are also influenced by our credit ratings and market conditions. Such ratings and market conditions affect the type of financing we are able to obtain and the rate at which we are able to grow.</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rely primarily on secured borrowings as the key component of our financing strategy. Our financing arrangements allow us to fund a portion of our servicing advances until they are recovered and to fund our loan originations on a short-term basis until the loans are sold to secondary market investors. See Note 14 – Match Funded Liabilities and Note 15 – Other Borrowings to the unaudited Consolidated Financial Statements for additional information regarding the components of our debt.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6"/>
          <w:szCs w:val="16"/>
          <w:color w:val="auto"/>
        </w:rPr>
        <w:t>We define liquidity as unencumbered cash balances plus unused collateralized advance financing capacity. At June 30, 2013, our cash position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$439.7 million compared to $220.1 million at December 31, 2012. We had no unused advance financing capacity at June 30, 2013 and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Unused credit at June 30, 2013 was zero as we had borrowed the maximum amount, given the available collateral, primarily in preparation for closing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OneWest MSR Transaction. Any additional borrowing under these facilities is limited by the amount of collateral pledged. At December 31,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borrowed the maximum amount, principally in order to support the Homeward Acquisition. In connection with the ResCap Acquisition, we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two new advance financing facilities in the first quarter of 2013 that had total borrowing capacity of $1.4 billion and available borrowing capacity of $365.3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at June 30, 2013. In order to reduce fees charged by lenders (which we recognize as interest expense), we limit available borrowing capacity to a level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consider prudent relative to the current levels of advances and match funded advances and to our anticipated funding needs for reasonably foreseeable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changes in advances.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available borrowing capacity that is sufficient to meet the needs of the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18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executing our hedging strategy for the servicing business, we attempt to mitigate the effect of increases in interest rates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Due to the recent growth of our residential servicing business, float balances have increased significantly to levels in excess of our variable rate debt. In addition, we retain the rights to float earnings on sales to HLSS. In response, we terminated our remaining interest rate swaps effective May 31, 2013. We also purchased interest rate caps as economic hedges (not designated as a hedge for accounting purposes) to minimize future interest rate exposure from increases in one-month LIBOR interest rates, as required by certain of our advance financing facilities.</w:t>
      </w:r>
    </w:p>
    <w:p>
      <w:pPr>
        <w:spacing w:after="0" w:line="14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MSRs that are measured at fair value are subject to interest rate risk as the mortgage loans underlying the servicing rights permit the borrowers to prepay the loans. Therefore, the value of these MSRs generally tends to diminish in periods of declining interest rates (as prepayments increase) and increase in periods of rising interest rates (as prepayments decrease). Effective April 1, 2013, we modified our strategy for managing the risks of the underlying loan portfolio and terminated all economic hedges related to our fair value MSRs. We terminated the MSR hedges because we determined that they were ineffective for large movements in interest rates and only assured losses in substantial increasing-rate environments.</w:t>
      </w:r>
    </w:p>
    <w:p>
      <w:pPr>
        <w:spacing w:after="0" w:line="1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subject to interest rate and price risk on mortgage loans held for sale from the loan funding date until the date the loan is sold into the secondary market. To mitigate this risk, we enter into forward trades to provide an economic hedge against changes in fair value on mortgage loans held for sale. IRLCs, or loan commitments, bind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See Note 18 – Derivative Financial Instruments and Hedging Activities to the unaudited Consolidated Financial Statements for additional information regarding our use of derivatives.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44 through 47 of Management’s Discussion and Analysis of Results of Operations and Financial Condition and in Note 1 to our Consolidated Financial Statements for the year ended December 31, 2012 included in our Annual Report on Form 10-K filed March 1, 2013. Such policies have not changed during the first six months of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18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each of our segments, the following section provides a discussion of the changes in financial condition during the six months ended June 30, 2013 and a discussion of pre-tax results of operations for the three and six months ended June 30, 2013 and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Servicing</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typically earn contractual monthly servicing fees pursuant to servicing agreements (which are typically payable as a percentage of UPB) as well as other ancillary fees on mortgage loans for which we own the MSRs. We also earn fees under both sub-servicing and special servicing arrangements with banks and other institutions that own the MSRs. We typically earn these fees either as a percentage of UPB or on a per loan basis.</w:t>
      </w:r>
    </w:p>
    <w:p>
      <w:pPr>
        <w:spacing w:after="0" w:line="152"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Aggregate UPB is a key revenue driver for the Servicing business. Product mix (e.g. servicing versus subservicing and non-prime versus prime) also impacts revenue. Because servicing fees are generally expressed as a percentage of UPB, growth in the portfolio generally means growth in servicing fees. Additionally, a larger servicing portfolio generates increased ancillary fees and leads to larger custodial account balances (float balances) generating greater float earnings. In general, a larger servicing portfolio also increases expenses but at a less rapid pace than the growth in UPB. To the extent that we grow UPB, our amortization of MSRs will typically increase with the growth in the carrying value of our MSRs. We will also incur additional interest expense to finance servicing advances made in connection with those MSRs.</w:t>
      </w:r>
    </w:p>
    <w:p>
      <w:pPr>
        <w:spacing w:after="0" w:line="138"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Delinquencies have a significant impact on the results of operations and cash flows of the Servicing business. Delinquencies affect the timing of revenue recognition because we recognize servicing fees as earned which is generally upon collection of payments from the borrower. Delinquencies also reduce float balances and float earnings. Non-performing loans are more expensive to service than performing loans because the cost of servicing is higher and, although collectibility is generally not a concern, advances to the investors increase resulting in higher financing costs.</w:t>
      </w:r>
    </w:p>
    <w:p>
      <w:pPr>
        <w:spacing w:after="0" w:line="14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Prepayment speed, the rate at which the UPB for a pool or pools of loans declines, has a significant impact on the Servicing business. Items reducing UPB include normal principal payments, refinancing, loan modifications involving forgiveness of principal, voluntary property sales and involuntary property sales such as foreclosures. Prepayment speed impacts future servicing fees, amortization and valuation of MSRs, float earnings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1" w:name="page52"/>
    <w:bookmarkEnd w:id="51"/>
    <w:p>
      <w:pPr>
        <w:ind w:left="360"/>
        <w:spacing w:after="0"/>
        <w:rPr>
          <w:sz w:val="20"/>
          <w:szCs w:val="20"/>
          <w:color w:val="auto"/>
        </w:rPr>
      </w:pPr>
      <w:r>
        <w:rPr>
          <w:rFonts w:ascii="Arial" w:cs="Arial" w:eastAsia="Arial" w:hAnsi="Arial"/>
          <w:sz w:val="18"/>
          <w:szCs w:val="18"/>
          <w:color w:val="auto"/>
        </w:rPr>
        <w:t>The following table presents the results of operations of our Servicing segment for the periods ended June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CC"/>
            </w:tcBorders>
          </w:tcPr>
          <w:p>
            <w:pPr>
              <w:spacing w:after="0"/>
              <w:rPr>
                <w:sz w:val="19"/>
                <w:szCs w:val="19"/>
                <w:color w:val="auto"/>
              </w:rPr>
            </w:pPr>
          </w:p>
        </w:tc>
        <w:tc>
          <w:tcPr>
            <w:tcW w:w="112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2012</w:t>
            </w: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19"/>
                <w:szCs w:val="19"/>
                <w:color w:val="auto"/>
              </w:rPr>
            </w:pPr>
          </w:p>
        </w:tc>
        <w:tc>
          <w:tcPr>
            <w:tcW w:w="180" w:type="dxa"/>
            <w:vAlign w:val="bottom"/>
            <w:tcBorders>
              <w:bottom w:val="single" w:sz="8" w:color="CCEE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Servicing and subservicing fees: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Residential</w:t>
            </w:r>
          </w:p>
        </w:tc>
        <w:tc>
          <w:tcPr>
            <w:tcW w:w="13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477,904</w:t>
            </w:r>
          </w:p>
        </w:tc>
        <w:tc>
          <w:tcPr>
            <w:tcW w:w="58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197,951</w:t>
            </w:r>
          </w:p>
        </w:tc>
        <w:tc>
          <w:tcPr>
            <w:tcW w:w="240" w:type="dxa"/>
            <w:vAlign w:val="bottom"/>
            <w:shd w:val="clear" w:color="auto" w:fill="CCEECC"/>
          </w:tcPr>
          <w:p>
            <w:pPr>
              <w:spacing w:after="0"/>
              <w:rPr>
                <w:sz w:val="18"/>
                <w:szCs w:val="18"/>
                <w:color w:val="auto"/>
              </w:rPr>
            </w:pPr>
          </w:p>
        </w:tc>
        <w:tc>
          <w:tcPr>
            <w:tcW w:w="4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838,600</w:t>
            </w:r>
          </w:p>
        </w:tc>
        <w:tc>
          <w:tcPr>
            <w:tcW w:w="5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351,598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Commercial</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4,534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7,963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CC"/>
            </w:tcBorders>
            <w:shd w:val="clear" w:color="auto" w:fill="CCEECC"/>
          </w:tcPr>
          <w:p>
            <w:pPr>
              <w:spacing w:after="0"/>
              <w:rPr>
                <w:sz w:val="18"/>
                <w:szCs w:val="18"/>
                <w:color w:val="auto"/>
              </w:rPr>
            </w:pPr>
          </w:p>
        </w:tc>
        <w:tc>
          <w:tcPr>
            <w:tcW w:w="11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482,438</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200,521</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9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846,563</w:t>
            </w: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355,889</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Process management fees and other</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12,595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revenue</w:t>
            </w:r>
          </w:p>
        </w:tc>
        <w:tc>
          <w:tcPr>
            <w:tcW w:w="11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495,033</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210,407</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9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869,300</w:t>
            </w: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374,586</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Compensation and benefits</w:t>
            </w:r>
          </w:p>
        </w:tc>
        <w:tc>
          <w:tcPr>
            <w:tcW w:w="1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87,228</w:t>
            </w: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24,166</w:t>
            </w:r>
          </w:p>
        </w:tc>
        <w:tc>
          <w:tcPr>
            <w:tcW w:w="2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161,155</w:t>
            </w:r>
          </w:p>
        </w:tc>
        <w:tc>
          <w:tcPr>
            <w:tcW w:w="1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Amortization of servicing rights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70,369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118,252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Servicing and origination</w:t>
            </w:r>
          </w:p>
        </w:tc>
        <w:tc>
          <w:tcPr>
            <w:tcW w:w="1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8,204</w:t>
            </w: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5,818</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25,035</w:t>
            </w:r>
          </w:p>
        </w:tc>
        <w:tc>
          <w:tcPr>
            <w:tcW w:w="1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Technology and communications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29,741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54,080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Professional services</w:t>
            </w:r>
          </w:p>
        </w:tc>
        <w:tc>
          <w:tcPr>
            <w:tcW w:w="1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6,656</w:t>
            </w: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3,609</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15,368</w:t>
            </w:r>
          </w:p>
        </w:tc>
        <w:tc>
          <w:tcPr>
            <w:tcW w:w="1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Occupancy and equipment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21,252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36,267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Other operating expenses</w:t>
            </w:r>
          </w:p>
        </w:tc>
        <w:tc>
          <w:tcPr>
            <w:tcW w:w="11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59,201</w:t>
            </w:r>
          </w:p>
        </w:tc>
        <w:tc>
          <w:tcPr>
            <w:tcW w:w="200" w:type="dxa"/>
            <w:vAlign w:val="bottom"/>
            <w:shd w:val="clear" w:color="auto" w:fill="CCEECC"/>
          </w:tcPr>
          <w:p>
            <w:pPr>
              <w:spacing w:after="0"/>
              <w:rPr>
                <w:sz w:val="19"/>
                <w:szCs w:val="19"/>
                <w:color w:val="auto"/>
              </w:rPr>
            </w:pPr>
          </w:p>
        </w:tc>
        <w:tc>
          <w:tcPr>
            <w:tcW w:w="380" w:type="dxa"/>
            <w:vAlign w:val="bottom"/>
            <w:shd w:val="clear" w:color="auto" w:fill="CCEECC"/>
          </w:tcPr>
          <w:p>
            <w:pPr>
              <w:spacing w:after="0"/>
              <w:rPr>
                <w:sz w:val="19"/>
                <w:szCs w:val="19"/>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11,710</w:t>
            </w:r>
          </w:p>
        </w:tc>
        <w:tc>
          <w:tcPr>
            <w:tcW w:w="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84,105</w:t>
            </w:r>
          </w:p>
        </w:tc>
        <w:tc>
          <w:tcPr>
            <w:tcW w:w="18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24,374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11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212,382</w:t>
            </w:r>
          </w:p>
        </w:tc>
        <w:tc>
          <w:tcPr>
            <w:tcW w:w="200" w:type="dxa"/>
            <w:vAlign w:val="bottom"/>
            <w:shd w:val="clear" w:color="auto" w:fill="CCEECC"/>
          </w:tcPr>
          <w:p>
            <w:pPr>
              <w:spacing w:after="0"/>
              <w:rPr>
                <w:sz w:val="19"/>
                <w:szCs w:val="19"/>
                <w:color w:val="auto"/>
              </w:rPr>
            </w:pPr>
          </w:p>
        </w:tc>
        <w:tc>
          <w:tcPr>
            <w:tcW w:w="380" w:type="dxa"/>
            <w:vAlign w:val="bottom"/>
            <w:shd w:val="clear" w:color="auto" w:fill="CCEECC"/>
          </w:tcPr>
          <w:p>
            <w:pPr>
              <w:spacing w:after="0"/>
              <w:rPr>
                <w:sz w:val="19"/>
                <w:szCs w:val="19"/>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129,471</w:t>
            </w:r>
          </w:p>
        </w:tc>
        <w:tc>
          <w:tcPr>
            <w:tcW w:w="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375,038</w:t>
            </w:r>
          </w:p>
        </w:tc>
        <w:tc>
          <w:tcPr>
            <w:tcW w:w="18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210,785</w:t>
            </w:r>
          </w:p>
        </w:tc>
        <w:tc>
          <w:tcPr>
            <w:tcW w:w="0" w:type="dxa"/>
            <w:vAlign w:val="bottom"/>
          </w:tcPr>
          <w:p>
            <w:pPr>
              <w:spacing w:after="0"/>
              <w:rPr>
                <w:sz w:val="1"/>
                <w:szCs w:val="1"/>
                <w:color w:val="auto"/>
              </w:rPr>
            </w:pPr>
          </w:p>
        </w:tc>
      </w:tr>
      <w:tr>
        <w:trPr>
          <w:trHeight w:val="426"/>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3,485</w:t>
            </w: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4,795</w:t>
            </w:r>
          </w:p>
        </w:tc>
        <w:tc>
          <w:tcPr>
            <w:tcW w:w="1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(96,073)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(58,139)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(186,533)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Loss on debt redemption</w:t>
            </w:r>
          </w:p>
        </w:tc>
        <w:tc>
          <w:tcPr>
            <w:tcW w:w="1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(17,030)</w:t>
            </w:r>
          </w:p>
        </w:tc>
        <w:tc>
          <w:tcPr>
            <w:tcW w:w="1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17,923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8,868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other expense, net</w:t>
            </w:r>
          </w:p>
        </w:tc>
        <w:tc>
          <w:tcPr>
            <w:tcW w:w="11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(74,665</w:t>
            </w:r>
          </w:p>
        </w:tc>
        <w:tc>
          <w:tcPr>
            <w:tcW w:w="280" w:type="dxa"/>
            <w:vAlign w:val="bottom"/>
            <w:tcBorders>
              <w:top w:val="single" w:sz="8" w:color="CCEECC"/>
            </w:tcBorders>
            <w:shd w:val="clear" w:color="auto" w:fill="CCEECC"/>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(57,069</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9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(189,900</w:t>
            </w:r>
          </w:p>
        </w:tc>
        <w:tc>
          <w:tcPr>
            <w:tcW w:w="260" w:type="dxa"/>
            <w:vAlign w:val="bottom"/>
            <w:tcBorders>
              <w:top w:val="single" w:sz="8" w:color="CCEECC"/>
            </w:tcBorders>
            <w:shd w:val="clear" w:color="auto" w:fill="CCEECC"/>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(103,906</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5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137,717</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72,402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185,138</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provides selected Servicing operating statistics at June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72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Residential Assets Serviced</w:t>
            </w:r>
          </w:p>
        </w:tc>
        <w:tc>
          <w:tcPr>
            <w:tcW w:w="14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4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CCEECC"/>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UPB:</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Performing loans (1)</w:t>
            </w:r>
          </w:p>
        </w:tc>
        <w:tc>
          <w:tcPr>
            <w:tcW w:w="162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373,239,600</w:t>
            </w:r>
          </w:p>
        </w:tc>
        <w:tc>
          <w:tcPr>
            <w:tcW w:w="420" w:type="dxa"/>
            <w:vAlign w:val="bottom"/>
            <w:shd w:val="clear" w:color="auto" w:fill="CCEECC"/>
          </w:tcPr>
          <w:p>
            <w:pPr>
              <w:spacing w:after="0"/>
              <w:rPr>
                <w:sz w:val="18"/>
                <w:szCs w:val="18"/>
                <w:color w:val="auto"/>
              </w:rPr>
            </w:pPr>
          </w:p>
        </w:tc>
        <w:tc>
          <w:tcPr>
            <w:tcW w:w="5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94,334,156</w:t>
            </w:r>
          </w:p>
        </w:tc>
        <w:tc>
          <w:tcPr>
            <w:tcW w:w="14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56,372,087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27,602,105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Non-performing real estate</w:t>
            </w:r>
          </w:p>
        </w:tc>
        <w:tc>
          <w:tcPr>
            <w:tcW w:w="14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6,643,696</w:t>
            </w:r>
          </w:p>
        </w:tc>
        <w:tc>
          <w:tcPr>
            <w:tcW w:w="4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76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5,936,963</w:t>
            </w:r>
          </w:p>
        </w:tc>
        <w:tc>
          <w:tcPr>
            <w:tcW w:w="12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Total residential assets serviced (2)</w:t>
            </w:r>
          </w:p>
        </w:tc>
        <w:tc>
          <w:tcPr>
            <w:tcW w:w="1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436,255,383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127,873,224</w:t>
            </w:r>
          </w:p>
        </w:tc>
        <w:tc>
          <w:tcPr>
            <w:tcW w:w="7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Agency loans (3)</w:t>
            </w:r>
          </w:p>
        </w:tc>
        <w:tc>
          <w:tcPr>
            <w:tcW w:w="162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245,658,198</w:t>
            </w:r>
          </w:p>
        </w:tc>
        <w:tc>
          <w:tcPr>
            <w:tcW w:w="420" w:type="dxa"/>
            <w:vAlign w:val="bottom"/>
            <w:shd w:val="clear" w:color="auto" w:fill="CCEECC"/>
          </w:tcPr>
          <w:p>
            <w:pPr>
              <w:spacing w:after="0"/>
              <w:rPr>
                <w:sz w:val="18"/>
                <w:szCs w:val="18"/>
                <w:color w:val="auto"/>
              </w:rPr>
            </w:pPr>
          </w:p>
        </w:tc>
        <w:tc>
          <w:tcPr>
            <w:tcW w:w="5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19,765,146</w:t>
            </w:r>
          </w:p>
        </w:tc>
        <w:tc>
          <w:tcPr>
            <w:tcW w:w="14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Non Agency loans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190,597,185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108,108,078</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residential loans serviced</w:t>
            </w:r>
          </w:p>
        </w:tc>
        <w:tc>
          <w:tcPr>
            <w:tcW w:w="14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436,255,383</w:t>
            </w:r>
          </w:p>
        </w:tc>
        <w:tc>
          <w:tcPr>
            <w:tcW w:w="42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127,873,224</w:t>
            </w:r>
          </w:p>
        </w:tc>
        <w:tc>
          <w:tcPr>
            <w:tcW w:w="720" w:type="dxa"/>
            <w:vAlign w:val="bottom"/>
            <w:tcBorders>
              <w:top w:val="single" w:sz="8" w:color="CCEECC"/>
              <w:bottom w:val="single" w:sz="8" w:color="CCEECC"/>
            </w:tcBorders>
            <w:shd w:val="clear" w:color="auto" w:fill="CCEECC"/>
          </w:tcPr>
          <w:p>
            <w:pPr>
              <w:spacing w:after="0"/>
              <w:rPr>
                <w:sz w:val="19"/>
                <w:szCs w:val="19"/>
                <w:color w:val="auto"/>
              </w:rPr>
            </w:pPr>
          </w:p>
        </w:tc>
        <w:tc>
          <w:tcPr>
            <w:tcW w:w="146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Percent of total UPB:</w:t>
            </w: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Servicing portfolio</w:t>
            </w:r>
          </w:p>
        </w:tc>
        <w:tc>
          <w:tcPr>
            <w:tcW w:w="1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88.0%</w:t>
            </w:r>
          </w:p>
        </w:tc>
        <w:tc>
          <w:tcPr>
            <w:tcW w:w="14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Subservicing portfolio</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12.0</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Non-performing residential assets serviced</w:t>
            </w:r>
          </w:p>
        </w:tc>
        <w:tc>
          <w:tcPr>
            <w:tcW w:w="1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24.5%</w:t>
            </w:r>
          </w:p>
        </w:tc>
        <w:tc>
          <w:tcPr>
            <w:tcW w:w="14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Performing loans (1)</w:t>
            </w:r>
          </w:p>
        </w:tc>
        <w:tc>
          <w:tcPr>
            <w:tcW w:w="1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2,415,692</w:t>
            </w:r>
          </w:p>
        </w:tc>
        <w:tc>
          <w:tcPr>
            <w:tcW w:w="4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640,992</w:t>
            </w:r>
          </w:p>
        </w:tc>
        <w:tc>
          <w:tcPr>
            <w:tcW w:w="14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334,122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139,044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Non-performing real estate</w:t>
            </w:r>
          </w:p>
        </w:tc>
        <w:tc>
          <w:tcPr>
            <w:tcW w:w="14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46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36,111</w:t>
            </w:r>
          </w:p>
        </w:tc>
        <w:tc>
          <w:tcPr>
            <w:tcW w:w="2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76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30,858</w:t>
            </w:r>
          </w:p>
        </w:tc>
        <w:tc>
          <w:tcPr>
            <w:tcW w:w="12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Total number of residential assets serviced (2)</w:t>
            </w:r>
          </w:p>
        </w:tc>
        <w:tc>
          <w:tcPr>
            <w:tcW w:w="1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2,785,925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810,894</w:t>
            </w:r>
          </w:p>
        </w:tc>
        <w:tc>
          <w:tcPr>
            <w:tcW w:w="7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CC"/>
          </w:tcPr>
          <w:p>
            <w:pPr>
              <w:spacing w:after="0"/>
              <w:rPr>
                <w:sz w:val="20"/>
                <w:szCs w:val="20"/>
                <w:color w:val="auto"/>
              </w:rPr>
            </w:pPr>
            <w:r>
              <w:rPr>
                <w:rFonts w:ascii="Arial" w:cs="Arial" w:eastAsia="Arial" w:hAnsi="Arial"/>
                <w:sz w:val="18"/>
                <w:szCs w:val="18"/>
                <w:color w:val="auto"/>
              </w:rPr>
              <w:t>Agency loans (3)</w:t>
            </w:r>
          </w:p>
        </w:tc>
        <w:tc>
          <w:tcPr>
            <w:tcW w:w="1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1,347,645</w:t>
            </w:r>
          </w:p>
        </w:tc>
        <w:tc>
          <w:tcPr>
            <w:tcW w:w="4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102,998</w:t>
            </w:r>
          </w:p>
        </w:tc>
        <w:tc>
          <w:tcPr>
            <w:tcW w:w="14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 Agency loans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1,438,280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707,896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residential loans serviced</w:t>
            </w:r>
          </w:p>
        </w:tc>
        <w:tc>
          <w:tcPr>
            <w:tcW w:w="14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2,785,925</w:t>
            </w:r>
          </w:p>
        </w:tc>
        <w:tc>
          <w:tcPr>
            <w:tcW w:w="42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810,894</w:t>
            </w:r>
          </w:p>
        </w:tc>
        <w:tc>
          <w:tcPr>
            <w:tcW w:w="720" w:type="dxa"/>
            <w:vAlign w:val="bottom"/>
            <w:tcBorders>
              <w:top w:val="single" w:sz="8" w:color="CCEECC"/>
              <w:bottom w:val="single" w:sz="8" w:color="CCEECC"/>
            </w:tcBorders>
            <w:shd w:val="clear" w:color="auto" w:fill="CCEECC"/>
          </w:tcPr>
          <w:p>
            <w:pPr>
              <w:spacing w:after="0"/>
              <w:rPr>
                <w:sz w:val="19"/>
                <w:szCs w:val="19"/>
                <w:color w:val="auto"/>
              </w:rPr>
            </w:pPr>
          </w:p>
        </w:tc>
        <w:tc>
          <w:tcPr>
            <w:tcW w:w="146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Percent of total number:</w:t>
            </w: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spacing w:after="0"/>
              <w:rPr>
                <w:sz w:val="20"/>
                <w:szCs w:val="20"/>
                <w:color w:val="auto"/>
              </w:rPr>
            </w:pPr>
            <w:r>
              <w:rPr>
                <w:rFonts w:ascii="Arial" w:cs="Arial" w:eastAsia="Arial" w:hAnsi="Arial"/>
                <w:sz w:val="18"/>
                <w:szCs w:val="18"/>
                <w:color w:val="auto"/>
              </w:rPr>
              <w:t>Servicing portfolio</w:t>
            </w:r>
          </w:p>
        </w:tc>
        <w:tc>
          <w:tcPr>
            <w:tcW w:w="1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87.9%</w:t>
            </w:r>
          </w:p>
        </w:tc>
        <w:tc>
          <w:tcPr>
            <w:tcW w:w="14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Subservicing portfolio</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12.1</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CC"/>
          </w:tcPr>
          <w:p>
            <w:pPr>
              <w:spacing w:after="0"/>
              <w:rPr>
                <w:sz w:val="20"/>
                <w:szCs w:val="20"/>
                <w:color w:val="auto"/>
              </w:rPr>
            </w:pPr>
            <w:r>
              <w:rPr>
                <w:rFonts w:ascii="Arial" w:cs="Arial" w:eastAsia="Arial" w:hAnsi="Arial"/>
                <w:sz w:val="18"/>
                <w:szCs w:val="18"/>
                <w:color w:val="auto"/>
              </w:rPr>
              <w:t>Non-performing residential assets serviced</w:t>
            </w:r>
          </w:p>
        </w:tc>
        <w:tc>
          <w:tcPr>
            <w:tcW w:w="1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19.2%</w:t>
            </w:r>
          </w:p>
        </w:tc>
        <w:tc>
          <w:tcPr>
            <w:tcW w:w="14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The following table provides selected Servicing operating statistics for the three and six months ended June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9"/>
              </w:rPr>
              <w:t>Three Months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3"/>
              </w:rPr>
              <w:t>Six Months</w:t>
            </w: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90"/>
              </w:rPr>
              <w:t>%Change</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Residential Assets Serviced</w:t>
            </w: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Average UPB of residential assets serviced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453,574,218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114,554,496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396,075,653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108,791,099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w w:val="98"/>
              </w:rPr>
              <w:t>Prepayment speed (average Constant Prepayment</w:t>
            </w: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Rate or CPR)</w:t>
            </w:r>
          </w:p>
        </w:tc>
        <w:tc>
          <w:tcPr>
            <w:tcW w:w="100" w:type="dxa"/>
            <w:vAlign w:val="bottom"/>
            <w:shd w:val="clear" w:color="auto" w:fill="CCEECC"/>
          </w:tcPr>
          <w:p>
            <w:pPr>
              <w:spacing w:after="0"/>
              <w:rPr>
                <w:sz w:val="20"/>
                <w:szCs w:val="20"/>
                <w:color w:val="auto"/>
              </w:rPr>
            </w:pPr>
          </w:p>
        </w:tc>
        <w:tc>
          <w:tcPr>
            <w:tcW w:w="12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15.5%</w:t>
            </w: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14.9%</w:t>
            </w: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Average number of residential assets serviced</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2,849,271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745,192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2,472,258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711,496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Loan servicing and subservicing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360,723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148,325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626,209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260,210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HAMP fees</w:t>
            </w:r>
          </w:p>
        </w:tc>
        <w:tc>
          <w:tcPr>
            <w:tcW w:w="10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46,789</w:t>
            </w: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21,390</w:t>
            </w: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86,208</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34,074</w:t>
            </w:r>
          </w:p>
        </w:tc>
        <w:tc>
          <w:tcPr>
            <w:tcW w:w="1040" w:type="dxa"/>
            <w:vAlign w:val="bottom"/>
            <w:gridSpan w:val="3"/>
            <w:shd w:val="clear" w:color="auto" w:fill="CCEECC"/>
          </w:tcPr>
          <w:p>
            <w:pPr>
              <w:jc w:val="right"/>
              <w:ind w:right="2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Late charges</w:t>
            </w:r>
          </w:p>
        </w:tc>
        <w:tc>
          <w:tcPr>
            <w:tcW w:w="1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29,266</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17,438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36,283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 collection fees</w:t>
            </w:r>
          </w:p>
        </w:tc>
        <w:tc>
          <w:tcPr>
            <w:tcW w:w="10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7,736</w:t>
            </w: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3,822</w:t>
            </w: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14,102</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7,149</w:t>
            </w: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1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31,399</w:t>
            </w:r>
          </w:p>
        </w:tc>
        <w:tc>
          <w:tcPr>
            <w:tcW w:w="10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6,313</w:t>
            </w: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53,418</w:t>
            </w: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12,432</w:t>
            </w:r>
          </w:p>
        </w:tc>
        <w:tc>
          <w:tcPr>
            <w:tcW w:w="1040" w:type="dxa"/>
            <w:vAlign w:val="bottom"/>
            <w:gridSpan w:val="3"/>
            <w:shd w:val="clear" w:color="auto" w:fill="CCEECC"/>
          </w:tcPr>
          <w:p>
            <w:pPr>
              <w:jc w:val="right"/>
              <w:ind w:right="2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477,904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197,951</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351,598</w:t>
            </w:r>
          </w:p>
        </w:tc>
        <w:tc>
          <w:tcPr>
            <w:tcW w:w="22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Number of Completed Modifications</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HAMP</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4,488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7,955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Non-HAMP</w:t>
            </w:r>
          </w:p>
        </w:tc>
        <w:tc>
          <w:tcPr>
            <w:tcW w:w="10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17,136</w:t>
            </w:r>
          </w:p>
        </w:tc>
        <w:tc>
          <w:tcPr>
            <w:tcW w:w="10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17,455</w:t>
            </w: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33,150</w:t>
            </w: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37,479</w:t>
            </w:r>
          </w:p>
        </w:tc>
        <w:tc>
          <w:tcPr>
            <w:tcW w:w="104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21,943</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45,434</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Financing Costs</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140"/>
              <w:spacing w:after="0" w:line="201" w:lineRule="exact"/>
              <w:rPr>
                <w:sz w:val="20"/>
                <w:szCs w:val="20"/>
                <w:color w:val="auto"/>
              </w:rPr>
            </w:pPr>
            <w:r>
              <w:rPr>
                <w:rFonts w:ascii="Arial" w:cs="Arial" w:eastAsia="Arial" w:hAnsi="Arial"/>
                <w:sz w:val="18"/>
                <w:szCs w:val="18"/>
                <w:color w:val="auto"/>
              </w:rPr>
              <w:t>Average balance of advances and match funded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advances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3,680,117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4,346,136</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3,691,163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3,857,074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Average borrowings (4)</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3,441,329</w:t>
            </w:r>
          </w:p>
        </w:tc>
        <w:tc>
          <w:tcPr>
            <w:tcW w:w="2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3,635,798</w:t>
            </w:r>
          </w:p>
        </w:tc>
        <w:tc>
          <w:tcPr>
            <w:tcW w:w="2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3,609,504</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3,224,079</w:t>
            </w: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Interest expense on borrowings (4)</w:t>
            </w:r>
          </w:p>
        </w:tc>
        <w:tc>
          <w:tcPr>
            <w:tcW w:w="1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43,455</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46,340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86,893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88,677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Facility costs included in interest expense (4)</w:t>
            </w:r>
          </w:p>
        </w:tc>
        <w:tc>
          <w:tcPr>
            <w:tcW w:w="10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3,888</w:t>
            </w: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7,679</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8,049</w:t>
            </w:r>
          </w:p>
        </w:tc>
        <w:tc>
          <w:tcPr>
            <w:tcW w:w="104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Discount amortization included in interest expense</w:t>
            </w:r>
          </w:p>
        </w:tc>
        <w:tc>
          <w:tcPr>
            <w:tcW w:w="1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735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Effective average interest rate (4)</w:t>
            </w:r>
          </w:p>
        </w:tc>
        <w:tc>
          <w:tcPr>
            <w:tcW w:w="10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5.10%</w:t>
            </w: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5.50%</w:t>
            </w:r>
          </w:p>
        </w:tc>
        <w:tc>
          <w:tcPr>
            <w:tcW w:w="104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Average 1-month LIBOR</w:t>
            </w:r>
          </w:p>
        </w:tc>
        <w:tc>
          <w:tcPr>
            <w:tcW w:w="10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Average Employment</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India and other</w:t>
            </w:r>
          </w:p>
        </w:tc>
        <w:tc>
          <w:tcPr>
            <w:tcW w:w="1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4,391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4,460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United States (5)</w:t>
            </w:r>
          </w:p>
        </w:tc>
        <w:tc>
          <w:tcPr>
            <w:tcW w:w="10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674</w:t>
            </w: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428</w:t>
            </w:r>
          </w:p>
        </w:tc>
        <w:tc>
          <w:tcPr>
            <w:tcW w:w="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709</w:t>
            </w:r>
          </w:p>
        </w:tc>
        <w:tc>
          <w:tcPr>
            <w:tcW w:w="1040" w:type="dxa"/>
            <w:vAlign w:val="bottom"/>
            <w:gridSpan w:val="3"/>
            <w:shd w:val="clear" w:color="auto" w:fill="CCEECC"/>
          </w:tcPr>
          <w:p>
            <w:pPr>
              <w:jc w:val="right"/>
              <w:ind w:right="2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Collections on Loans Serviced for Others</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w w:val="99"/>
              </w:rPr>
              <w:t>30,054,015</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3,063,309</w:t>
            </w:r>
          </w:p>
        </w:tc>
        <w:tc>
          <w:tcPr>
            <w:tcW w:w="28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881%</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w w:val="99"/>
              </w:rPr>
              <w:t>44,499,928</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5,249,194</w:t>
            </w:r>
          </w:p>
        </w:tc>
        <w:tc>
          <w:tcPr>
            <w:tcW w:w="1040" w:type="dxa"/>
            <w:vAlign w:val="bottom"/>
            <w:gridSpan w:val="3"/>
            <w:shd w:val="clear" w:color="auto" w:fill="CCEECC"/>
          </w:tcPr>
          <w:p>
            <w:pPr>
              <w:jc w:val="right"/>
              <w:ind w:right="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CC"/>
            </w:tcBorders>
          </w:tcPr>
          <w:p>
            <w:pPr>
              <w:spacing w:after="0" w:line="20" w:lineRule="exact"/>
              <w:rPr>
                <w:sz w:val="1"/>
                <w:szCs w:val="1"/>
                <w:color w:val="auto"/>
              </w:rPr>
            </w:pPr>
          </w:p>
        </w:tc>
        <w:tc>
          <w:tcPr>
            <w:tcW w:w="760" w:type="dxa"/>
            <w:vAlign w:val="bottom"/>
            <w:tcBorders>
              <w:top w:val="single" w:sz="8" w:color="CCEECC"/>
            </w:tcBorders>
          </w:tcPr>
          <w:p>
            <w:pPr>
              <w:spacing w:after="0" w:line="20" w:lineRule="exact"/>
              <w:rPr>
                <w:sz w:val="1"/>
                <w:szCs w:val="1"/>
                <w:color w:val="auto"/>
              </w:rPr>
            </w:pPr>
          </w:p>
        </w:tc>
        <w:tc>
          <w:tcPr>
            <w:tcW w:w="2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76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2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43"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June 30, 2013, we serviced 889,248 subprime loans with a UPB of $128.7 billion. This compares to 747,908 subprime loans with a UPB of $113.4 billion at December 31, 2012 and 615,811 subprime loans with a UPB of $94.4 billion at June 30, 2012.</w:t>
      </w:r>
    </w:p>
    <w:p>
      <w:pPr>
        <w:spacing w:after="0" w:line="129"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Agency loans at June 30, 2013 include 121,306 prime loans with a UPB of $38.0 billion that we subservice and which consist primarily of jumbo loans which exceed conforming loan size limits set by Fannie Mae and Freddie Mac.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left="340" w:right="180" w:hanging="332"/>
        <w:spacing w:after="0" w:line="25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interest expense of $49.9million and $10.6 million for the three months ended June 30, 2013 and 2012, respectively, and interest expense of $94.4 million and $13.5 million for the six months ended June 30, 2013 and 2012, respectively, related to financing liabilities that we recognized in connection with the HLSS Transactions. Also excludes average borrowings of $410.9 million and $68.3 million, respectively, and $366.4 million and $44.2 million, respectively, during the same periods. See Note 3 – Transfers of Financial Assets to the unaudited Consolidated Financial Statements for additional information regarding the HLSS Transactions.</w:t>
      </w:r>
    </w:p>
    <w:p>
      <w:pPr>
        <w:spacing w:after="0" w:line="188"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ResCap and Homeward Acquisitions added an average of 2,284 and 1,574 employees, respectively, during the three months ended June 30, 2013 and an average of 1,933 and 1,841 employees, respectively, during the six months ended June 30, 2013. Excluding ResCap and Homeward employees, U.S average staffing was 728 and 674 for the three months ended June 30, 2013 and 2012, respectively, as compared to 740 and 709 for the six months ended June 30, 2013 and 2012, respectively.</w:t>
      </w:r>
    </w:p>
    <w:p>
      <w:pPr>
        <w:spacing w:after="0" w:line="14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Amount of UPB (1)</w:t>
            </w:r>
          </w:p>
        </w:tc>
        <w:tc>
          <w:tcPr>
            <w:tcW w:w="1640" w:type="dxa"/>
            <w:vAlign w:val="bottom"/>
            <w:gridSpan w:val="3"/>
          </w:tcPr>
          <w:p>
            <w:pPr>
              <w:ind w:left="1000"/>
              <w:spacing w:after="0"/>
              <w:rPr>
                <w:sz w:val="20"/>
                <w:szCs w:val="20"/>
                <w:color w:val="auto"/>
              </w:rPr>
            </w:pPr>
            <w:r>
              <w:rPr>
                <w:rFonts w:ascii="Arial" w:cs="Arial" w:eastAsia="Arial" w:hAnsi="Arial"/>
                <w:sz w:val="18"/>
                <w:szCs w:val="18"/>
                <w:b w:val="1"/>
                <w:bCs w:val="1"/>
                <w:color w:val="auto"/>
              </w:rPr>
              <w:t>Count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44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Servicing portfolio at beginning of the year</w:t>
            </w:r>
          </w:p>
        </w:tc>
        <w:tc>
          <w:tcPr>
            <w:tcW w:w="136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8"/>
              </w:rPr>
              <w:t>$ 203,665,716</w:t>
            </w: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8"/>
              </w:rPr>
              <w:t>$ 102,199,222</w:t>
            </w:r>
          </w:p>
        </w:tc>
        <w:tc>
          <w:tcPr>
            <w:tcW w:w="440" w:type="dxa"/>
            <w:vAlign w:val="bottom"/>
            <w:tcBorders>
              <w:top w:val="single" w:sz="8" w:color="CCEECC"/>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1,219,956</w:t>
            </w:r>
          </w:p>
        </w:tc>
        <w:tc>
          <w:tcPr>
            <w:tcW w:w="44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671,623</w:t>
            </w:r>
          </w:p>
        </w:tc>
        <w:tc>
          <w:tcPr>
            <w:tcW w:w="100" w:type="dxa"/>
            <w:vAlign w:val="bottom"/>
            <w:tcBorders>
              <w:top w:val="single" w:sz="8" w:color="CCEECC"/>
            </w:tcBorders>
            <w:shd w:val="clear" w:color="auto" w:fill="CCEECC"/>
          </w:tcPr>
          <w:p>
            <w:pPr>
              <w:spacing w:after="0"/>
              <w:rPr>
                <w:sz w:val="18"/>
                <w:szCs w:val="18"/>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276,366,219</w:t>
            </w:r>
          </w:p>
        </w:tc>
        <w:tc>
          <w:tcPr>
            <w:tcW w:w="260" w:type="dxa"/>
            <w:vAlign w:val="bottom"/>
          </w:tcPr>
          <w:p>
            <w:pPr>
              <w:spacing w:after="0"/>
              <w:rPr>
                <w:sz w:val="18"/>
                <w:szCs w:val="18"/>
                <w:color w:val="auto"/>
              </w:rPr>
            </w:pP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47,480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1,773,522</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30"/>
        </w:trPr>
        <w:tc>
          <w:tcPr>
            <w:tcW w:w="4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Runoff</w:t>
            </w:r>
          </w:p>
        </w:tc>
        <w:tc>
          <w:tcPr>
            <w:tcW w:w="2660" w:type="dxa"/>
            <w:vAlign w:val="bottom"/>
            <w:gridSpan w:val="3"/>
            <w:shd w:val="clear" w:color="auto" w:fill="CCEECC"/>
          </w:tcPr>
          <w:p>
            <w:pPr>
              <w:jc w:val="right"/>
              <w:ind w:right="200"/>
              <w:spacing w:after="0"/>
              <w:rPr>
                <w:sz w:val="20"/>
                <w:szCs w:val="20"/>
                <w:color w:val="auto"/>
              </w:rPr>
            </w:pPr>
            <w:r>
              <w:rPr>
                <w:rFonts w:ascii="Arial" w:cs="Arial" w:eastAsia="Arial" w:hAnsi="Arial"/>
                <w:sz w:val="18"/>
                <w:szCs w:val="18"/>
                <w:color w:val="auto"/>
              </w:rPr>
              <w:t>(12,960,274)</w:t>
            </w:r>
          </w:p>
        </w:tc>
        <w:tc>
          <w:tcPr>
            <w:tcW w:w="1700" w:type="dxa"/>
            <w:vAlign w:val="bottom"/>
            <w:gridSpan w:val="3"/>
            <w:shd w:val="clear" w:color="auto" w:fill="CCEECC"/>
          </w:tcPr>
          <w:p>
            <w:pPr>
              <w:jc w:val="right"/>
              <w:ind w:right="380"/>
              <w:spacing w:after="0"/>
              <w:rPr>
                <w:sz w:val="20"/>
                <w:szCs w:val="20"/>
                <w:color w:val="auto"/>
              </w:rPr>
            </w:pPr>
            <w:r>
              <w:rPr>
                <w:rFonts w:ascii="Arial" w:cs="Arial" w:eastAsia="Arial" w:hAnsi="Arial"/>
                <w:sz w:val="18"/>
                <w:szCs w:val="18"/>
                <w:color w:val="auto"/>
              </w:rPr>
              <w:t>(3,806,236)</w:t>
            </w:r>
          </w:p>
        </w:tc>
        <w:tc>
          <w:tcPr>
            <w:tcW w:w="14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(61,872)</w:t>
            </w:r>
          </w:p>
        </w:tc>
        <w:tc>
          <w:tcPr>
            <w:tcW w:w="18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(16,319)</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Servicing portfolio at March 31 (2)</w:t>
            </w:r>
          </w:p>
        </w:tc>
        <w:tc>
          <w:tcPr>
            <w:tcW w:w="1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467,071,661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98,440,466</w:t>
            </w:r>
          </w:p>
        </w:tc>
        <w:tc>
          <w:tcPr>
            <w:tcW w:w="4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2,931,606</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655,510</w:t>
            </w:r>
          </w:p>
        </w:tc>
        <w:tc>
          <w:tcPr>
            <w:tcW w:w="100" w:type="dxa"/>
            <w:vAlign w:val="bottom"/>
          </w:tcPr>
          <w:p>
            <w:pPr>
              <w:spacing w:after="0"/>
              <w:rPr>
                <w:sz w:val="18"/>
                <w:szCs w:val="18"/>
                <w:color w:val="auto"/>
              </w:rPr>
            </w:pPr>
          </w:p>
        </w:tc>
      </w:tr>
      <w:tr>
        <w:trPr>
          <w:trHeight w:val="216"/>
        </w:trPr>
        <w:tc>
          <w:tcPr>
            <w:tcW w:w="4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Additions</w:t>
            </w:r>
          </w:p>
        </w:tc>
        <w:tc>
          <w:tcPr>
            <w:tcW w:w="24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5,314,631</w:t>
            </w:r>
          </w:p>
        </w:tc>
        <w:tc>
          <w:tcPr>
            <w:tcW w:w="260" w:type="dxa"/>
            <w:vAlign w:val="bottom"/>
            <w:shd w:val="clear" w:color="auto" w:fill="CCEECC"/>
          </w:tcPr>
          <w:p>
            <w:pPr>
              <w:spacing w:after="0"/>
              <w:rPr>
                <w:sz w:val="18"/>
                <w:szCs w:val="18"/>
                <w:color w:val="auto"/>
              </w:rPr>
            </w:pPr>
          </w:p>
        </w:tc>
        <w:tc>
          <w:tcPr>
            <w:tcW w:w="1700" w:type="dxa"/>
            <w:vAlign w:val="bottom"/>
            <w:gridSpan w:val="3"/>
            <w:shd w:val="clear" w:color="auto" w:fill="CCEECC"/>
          </w:tcPr>
          <w:p>
            <w:pPr>
              <w:jc w:val="right"/>
              <w:ind w:right="440"/>
              <w:spacing w:after="0"/>
              <w:rPr>
                <w:sz w:val="20"/>
                <w:szCs w:val="20"/>
                <w:color w:val="auto"/>
              </w:rPr>
            </w:pPr>
            <w:r>
              <w:rPr>
                <w:rFonts w:ascii="Arial" w:cs="Arial" w:eastAsia="Arial" w:hAnsi="Arial"/>
                <w:sz w:val="18"/>
                <w:szCs w:val="18"/>
                <w:color w:val="auto"/>
              </w:rPr>
              <w:t>34,182,040</w:t>
            </w:r>
          </w:p>
        </w:tc>
        <w:tc>
          <w:tcPr>
            <w:tcW w:w="14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23,735</w:t>
            </w: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176,050</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Runoff</w:t>
            </w:r>
          </w:p>
        </w:tc>
        <w:tc>
          <w:tcPr>
            <w:tcW w:w="2660" w:type="dxa"/>
            <w:vAlign w:val="bottom"/>
            <w:gridSpan w:val="3"/>
          </w:tcPr>
          <w:p>
            <w:pPr>
              <w:jc w:val="right"/>
              <w:ind w:right="200"/>
              <w:spacing w:after="0"/>
              <w:rPr>
                <w:sz w:val="20"/>
                <w:szCs w:val="20"/>
                <w:color w:val="auto"/>
              </w:rPr>
            </w:pPr>
            <w:r>
              <w:rPr>
                <w:rFonts w:ascii="Arial" w:cs="Arial" w:eastAsia="Arial" w:hAnsi="Arial"/>
                <w:sz w:val="18"/>
                <w:szCs w:val="18"/>
                <w:color w:val="auto"/>
              </w:rPr>
              <w:t>(36,130,909)</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(4,749,282)</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(169,416)</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(20,666)</w:t>
            </w:r>
          </w:p>
        </w:tc>
      </w:tr>
      <w:tr>
        <w:trPr>
          <w:trHeight w:val="223"/>
        </w:trPr>
        <w:tc>
          <w:tcPr>
            <w:tcW w:w="44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Servicing portfolio at June 30</w:t>
            </w:r>
          </w:p>
        </w:tc>
        <w:tc>
          <w:tcPr>
            <w:tcW w:w="1360" w:type="dxa"/>
            <w:vAlign w:val="bottom"/>
            <w:tcBorders>
              <w:top w:val="single" w:sz="8" w:color="CCEECC"/>
              <w:bottom w:val="single" w:sz="8" w:color="CCEECC"/>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8"/>
              </w:rPr>
              <w:t>$ 436,255,383</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8"/>
              </w:rPr>
              <w:t>$ 127,873,224</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2,785,925</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spacing w:after="0"/>
              <w:rPr>
                <w:sz w:val="19"/>
                <w:szCs w:val="19"/>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810,894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80" w:right="60" w:hanging="318"/>
        <w:spacing w:after="0" w:line="264"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Principal modifications may include the legal separation and deferral of principal to the end of the loan (commonly referred to as principal forbearance). Principal forbearance does not accrue interest and may be collected upon final liquidation of the loan. We do not earn servicing fees on principal forbearance and therefore exclude it from our servicing portfolio UPB.</w:t>
      </w:r>
    </w:p>
    <w:p>
      <w:pPr>
        <w:spacing w:after="0" w:line="181" w:lineRule="exact"/>
        <w:rPr>
          <w:rFonts w:ascii="Arial" w:cs="Arial" w:eastAsia="Arial" w:hAnsi="Arial"/>
          <w:sz w:val="18"/>
          <w:szCs w:val="18"/>
          <w:color w:val="auto"/>
        </w:rPr>
      </w:pPr>
    </w:p>
    <w:p>
      <w:pPr>
        <w:ind w:left="380" w:right="300" w:hanging="318"/>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order to conform to the current presentation, we revised the previously reported servicing portfolio UPB at March 31, 2013 to exclude $2.4 billion related to principal forbearance.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420" w:firstLine="324"/>
        <w:spacing w:after="0" w:line="282" w:lineRule="auto"/>
        <w:rPr>
          <w:sz w:val="20"/>
          <w:szCs w:val="20"/>
          <w:color w:val="auto"/>
        </w:rPr>
      </w:pPr>
      <w:r>
        <w:rPr>
          <w:rFonts w:ascii="Arial" w:cs="Arial" w:eastAsia="Arial" w:hAnsi="Arial"/>
          <w:sz w:val="18"/>
          <w:szCs w:val="18"/>
          <w:b w:val="1"/>
          <w:bCs w:val="1"/>
          <w:color w:val="auto"/>
        </w:rPr>
        <w:t xml:space="preserve">Three months ended June 30, 2013 versus June 30, 2012. </w:t>
      </w:r>
      <w:r>
        <w:rPr>
          <w:rFonts w:ascii="Arial" w:cs="Arial" w:eastAsia="Arial" w:hAnsi="Arial"/>
          <w:sz w:val="18"/>
          <w:szCs w:val="18"/>
          <w:color w:val="auto"/>
        </w:rPr>
        <w:t>Residential servicing and subservicing fees for the second quarter of 2013 were $280.0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141% higher than the second quarter of 2012 primarily due to:</w:t>
      </w:r>
    </w:p>
    <w:p>
      <w:pPr>
        <w:spacing w:after="0" w:line="125" w:lineRule="exact"/>
        <w:rPr>
          <w:sz w:val="20"/>
          <w:szCs w:val="20"/>
          <w:color w:val="auto"/>
        </w:rPr>
      </w:pPr>
    </w:p>
    <w:p>
      <w:pPr>
        <w:ind w:left="660" w:right="4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296% increase in the average UPB of assets serviced driven primarily by the Homeward and ResCap Acquisitions, the Ally MSR Transaction and new MSR capitalization in connection with our lending activities. During the second quarter of 2013, the Homeward, ResCap and Ally portfolios added total servicing fees and subservicing fees of $248.9 million. These increases were offset in part by runoff of the portfolio as a result of principal repayments, modifications, real estate sales and servicing transfers;</w:t>
      </w:r>
    </w:p>
    <w:p>
      <w:pPr>
        <w:spacing w:after="0" w:line="159"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$85.0 billion in previously subserviced loans, added in connection with assumption of the Ally Bank subservicing agreement from ResCap in February 2013, became serviced loans upon completion of the Ally MSR Transaction in April 2013;</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28% increase in total completed modifications across all portfolios;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Offset in part by:</w:t>
      </w:r>
    </w:p>
    <w:p>
      <w:pPr>
        <w:spacing w:after="0" w:line="198" w:lineRule="exact"/>
        <w:rPr>
          <w:sz w:val="20"/>
          <w:szCs w:val="20"/>
          <w:color w:val="auto"/>
        </w:rPr>
      </w:pPr>
    </w:p>
    <w:p>
      <w:pPr>
        <w:ind w:left="980" w:right="260" w:hanging="324"/>
        <w:spacing w:after="0" w:line="259" w:lineRule="auto"/>
        <w:tabs>
          <w:tab w:leader="none" w:pos="980" w:val="left"/>
        </w:tabs>
        <w:numPr>
          <w:ilvl w:val="0"/>
          <w:numId w:val="42"/>
        </w:numPr>
        <w:rPr>
          <w:rFonts w:ascii="Courier New" w:cs="Courier New" w:eastAsia="Courier New" w:hAnsi="Courier New"/>
          <w:sz w:val="18"/>
          <w:szCs w:val="18"/>
          <w:color w:val="auto"/>
        </w:rPr>
      </w:pPr>
      <w:r>
        <w:rPr>
          <w:rFonts w:ascii="Arial" w:cs="Arial" w:eastAsia="Arial" w:hAnsi="Arial"/>
          <w:sz w:val="18"/>
          <w:szCs w:val="18"/>
          <w:color w:val="auto"/>
        </w:rPr>
        <w:t>A change in the portfolio mix, with a larger proportion of the portfolio growth attributable to performing loans, which leads to lower revenue potential for ancillary and default servicing; and,</w:t>
      </w:r>
    </w:p>
    <w:p>
      <w:pPr>
        <w:spacing w:after="0" w:line="143" w:lineRule="exact"/>
        <w:rPr>
          <w:rFonts w:ascii="Courier New" w:cs="Courier New" w:eastAsia="Courier New" w:hAnsi="Courier New"/>
          <w:sz w:val="18"/>
          <w:szCs w:val="18"/>
          <w:color w:val="auto"/>
        </w:rPr>
      </w:pPr>
    </w:p>
    <w:p>
      <w:pPr>
        <w:ind w:left="980" w:hanging="324"/>
        <w:spacing w:after="0"/>
        <w:tabs>
          <w:tab w:leader="none" w:pos="980" w:val="left"/>
        </w:tabs>
        <w:numPr>
          <w:ilvl w:val="0"/>
          <w:numId w:val="42"/>
        </w:numPr>
        <w:rPr>
          <w:rFonts w:ascii="Courier New" w:cs="Courier New" w:eastAsia="Courier New" w:hAnsi="Courier New"/>
          <w:sz w:val="18"/>
          <w:szCs w:val="18"/>
          <w:color w:val="auto"/>
        </w:rPr>
      </w:pPr>
      <w:r>
        <w:rPr>
          <w:rFonts w:ascii="Arial" w:cs="Arial" w:eastAsia="Arial" w:hAnsi="Arial"/>
          <w:sz w:val="18"/>
          <w:szCs w:val="18"/>
          <w:color w:val="auto"/>
        </w:rPr>
        <w:t>A change in the portfolio mix, with a larger proportion of the portfolio attributable to subservicing.</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increase in modifications typically results in higher revenue for the period because when we return a loan to performing status, we generally recognize any deferred servicing fees and late fees on the loan. For loans modified under HAMP, which is set to expire on December 31, 2015, we earn HAMP fees in place of late fees. As noted above, total completed modifications were up 28% with HAMP accounting for 39% of the total versus 20% in the second quarter of 2012. Of the total modifications completed during the second quarter of 2013, 52% included principal modifications. This compares to 68% in the second quarter of 2012. Our “Shared Appreciation Modification” (SAM) program accounted for 11% of the total modifications completed during the second quarter of 2013 as compared to 28% for the second quarter of 2012. We recognized servicing fee, late charge and HAMP fee revenue of $76.8 million and $49.8 million during the second quarter of 2013 and 2012, respectively, in connection with modifications.</w:t>
      </w:r>
    </w:p>
    <w:p>
      <w:pPr>
        <w:spacing w:after="0" w:line="15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change in mix of serviced loans versus subserviced loans was one of the factors that resulted in residential servicing and subservicing revenues growing more slowly than the loan portfolio as annualized revenues decreased to 0.42% of average UPB in the second quarter of 2013 as compared to 0.69% for the second quarter of 2012.</w:t>
      </w:r>
    </w:p>
    <w:p>
      <w:pPr>
        <w:spacing w:after="0" w:line="14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Overall, the non-performing delinquency rate based on UPB dropped from 24.5% at June 30, 2012 to 14.4% at June 30, 2013 largely due to the ResCap and Ally portfolios which had a combined non-performing rate of 7.0% at June 30, 2013. Excluding the effects of the ResCap Acquisition and Ally MSR Transaction, the non-performing rate was 19.5% at June 30, 2013. Improvements in our overall delinquency rates also continue to be driven by modifications and improvements in our early loss mitigation efforts.</w:t>
      </w:r>
    </w:p>
    <w:p>
      <w:pPr>
        <w:spacing w:after="0" w:line="14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estimate that the balance of deferred servicing fees related to delinquent borrower payments was $511.8 million at June 30, 2013 compared to $452.0 million at December 31, 2012. The increase is primarily due to the ResCap Acquisition and the Ally MSR Transaction.</w:t>
      </w:r>
    </w:p>
    <w:p>
      <w:pPr>
        <w:spacing w:after="0" w:line="14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Average prepayment speed increased to 20.8% for the second quarter of 2013 compared to 15.5% for the same period of 2012. For the second quarter of 2013, principal reduction modifications, regular principal payments and other voluntary payoffs accounted for approximately 85% of average CPR with real estate sales and other involuntary liquidations accounting for the remaining 15%. For the second quarter of 2012, total voluntary and involuntary reductions accounted for 47% and 53%, respectively, of average CPR. Principal reduction modifications accounted for 5% and 18% of our average prepayment speed for the 2013 and 2012 periods, respectively. As a result of the Homeward and ResCap Acquisitions and the Ally Bank MSR Transaction Agency, prime loans comprise 56% of the total UPB of our servicing portfolio at June 30, 2013 as compared to 15% at June 30, 2012. These Agency loans have higher voluntary prepayments as compared with our non-prime portfolios. Historically low interest rates and improving home values create the ideal environment for voluntary prepayments. The shift in the product mix of our portfolio is resulting in increased CPR. Loss mitigation activities in connection with newly acquired portfolios also increase CPR.</w:t>
      </w:r>
    </w:p>
    <w:p>
      <w:pPr>
        <w:spacing w:after="0" w:line="141" w:lineRule="exact"/>
        <w:rPr>
          <w:sz w:val="20"/>
          <w:szCs w:val="20"/>
          <w:color w:val="auto"/>
        </w:rPr>
      </w:pPr>
    </w:p>
    <w:p>
      <w:pPr>
        <w:ind w:right="100" w:firstLine="337"/>
        <w:spacing w:after="0" w:line="264" w:lineRule="auto"/>
        <w:rPr>
          <w:sz w:val="20"/>
          <w:szCs w:val="20"/>
          <w:color w:val="auto"/>
        </w:rPr>
      </w:pPr>
      <w:r>
        <w:rPr>
          <w:rFonts w:ascii="Arial" w:cs="Arial" w:eastAsia="Arial" w:hAnsi="Arial"/>
          <w:sz w:val="18"/>
          <w:szCs w:val="18"/>
          <w:color w:val="auto"/>
        </w:rPr>
        <w:t>Operating expenses increased by $201.7 million in the second quarter of 2013, or 249%, as compared to the second quarter of 2012 primarily as a result of the effects of the Homeward and ResCap Acquisitions, the Ally MSR Transaction and the MSR acquisitions that were completed in the second and third quarters of 2012.</w:t>
      </w:r>
    </w:p>
    <w:p>
      <w:pPr>
        <w:spacing w:after="0" w:line="141" w:lineRule="exact"/>
        <w:rPr>
          <w:sz w:val="20"/>
          <w:szCs w:val="20"/>
          <w:color w:val="auto"/>
        </w:rPr>
      </w:pPr>
    </w:p>
    <w:p>
      <w:pPr>
        <w:ind w:left="660" w:right="50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Compensation and benefits increased by $63.1 million, or 261%, largely as a result of an increase in headcount resulting from the ResCap and Homeward Acquisitions. At June 30, 2013, ResCap and Homeward employees totaled 2,285 and 1,479,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6" w:name="page57"/>
    <w:bookmarkEnd w:id="56"/>
    <w:p>
      <w:pPr>
        <w:ind w:left="66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Amortization of MSRs increased by $51.3 million in the second quarter of 2013 due principally to $43.7 million of additional amortization attributed to the Homeward, ResCap and Ally transactions offset in part by a decline in amortization on pre-existing MSRs because of portfolio runoff.</w:t>
      </w:r>
    </w:p>
    <w:p>
      <w:pPr>
        <w:spacing w:after="0" w:line="83" w:lineRule="exact"/>
        <w:rPr>
          <w:rFonts w:ascii="Arial" w:cs="Arial" w:eastAsia="Arial" w:hAnsi="Arial"/>
          <w:sz w:val="16"/>
          <w:szCs w:val="16"/>
          <w:color w:val="auto"/>
        </w:rPr>
      </w:pPr>
    </w:p>
    <w:p>
      <w:pPr>
        <w:ind w:left="660" w:right="94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Technology and communications and Occupancy and equipment costs increased by a combined $34.5 million as we added facilities and infrastructure, largely through the Homeward and ResCap Acquisitions, to support the residential servicing portfolio growth.</w:t>
      </w:r>
    </w:p>
    <w:p>
      <w:pPr>
        <w:spacing w:after="0" w:line="96"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operating expenses increased by $47.5 million primarily due to $23.5 million of losses recognized in connection with Ginnie Mae serviced loans. As servicer, we are obligated to purchase delinquent loans immediately prior to foreclosure at the UPB of the loans plus accrued and unpaid interest. Upon resolution of the loan, we file claims for reimbursement from the FHA or the VA in accordance with the contractual reimbursement levels. We may not be reimbursed fully for interest and principal losses and expenses to the extent that they exceed reimbursable rates. These costs are contemplated in the cash flow in connection with our Ginnie Mae MSRs. We also incurred additional outsourcing expenses primarily in connection with the acquired ResCap servicing platform. The ResCap servicing platform leverages third-party outsourcing for a variety of functions. We anticipate these costs will be absorbed and/or diminish as the ResCap assets transition to the REALServicing™ platform.</w:t>
      </w:r>
    </w:p>
    <w:p>
      <w:pPr>
        <w:spacing w:after="0" w:line="127"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Interest expense on total borrowings for the second quarter of 2013 increased by $36.3 million, or 64%, as compared to the second quarter of 2012. Interest related to financing liabilities that we recognized in connection with the HLSS Transactions increased by $39.3 million. Interest expense on the portion of the sales proceeds accounted for as a financing is greater than the interest on the match funded liabilities that were assumed by HLSS or repaid, principally because Ocwen is also compensating HLSS for the cost of capital used to fund the HLSS Transactions.</w:t>
      </w:r>
    </w:p>
    <w:p>
      <w:pPr>
        <w:spacing w:after="0" w:line="13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Average borrowings of the Servicing segment, excluding the financing liabilities that we recognized in connection with the HLSS Transactions, decreased by 5% during the second quarter of 2013 as compared to 2012 while average advances and match funded advances decreased by 15% during the same period. The decrease in average borrowings in the second quarter of 2013 results from repayments of match funded debt from advance collections and proceeds received on the HLSS Transactions offset in part by higher borrowings required to fund the Homeward and ResCap Acquisitions, the Ally MSR Transaction and higher advance rates on match funded advance facilities as compared to the second quarter of 2012.</w:t>
      </w:r>
    </w:p>
    <w:p>
      <w:pPr>
        <w:spacing w:after="0" w:line="13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Interest expense, excluding interest on the HLSS financing liabilities, decreased by 6% as compared to the 5% decrease in average borrowings. The average effective rate on our match funded debt increased slightly from 4.18% during the second quarter of 2012 to 4.39% during the second quarter of 2013 as the mix of facilities changed. The effect of this increase was more than offset by a decline in the effective rate on our SSTL debt from 8.61% to 5.72% as a result of decreases both in the margin applied to the interest rate index and in the floor placed on the interest rate index.</w:t>
      </w:r>
    </w:p>
    <w:p>
      <w:pPr>
        <w:spacing w:after="0" w:line="13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Other, net for the three months ended June 30, 2013 includes gains of $14.8 million on the sale of modified FHA and VA loans during the second quarter of 2013.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Six months ended June 30, 2013 versus June 30, 2012. </w:t>
      </w:r>
      <w:r>
        <w:rPr>
          <w:rFonts w:ascii="Arial" w:cs="Arial" w:eastAsia="Arial" w:hAnsi="Arial"/>
          <w:sz w:val="17"/>
          <w:szCs w:val="17"/>
          <w:color w:val="auto"/>
        </w:rPr>
        <w:t>Similar to the three months ended June 30, 2013, revenues and operating expenses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Servicing segment for the six months ended June 30, 2013 were significantly impacted by the Homeward, ResCap, Liberty and Ally transactions and the liability established during the second quarter of 2013 in connection with certain foreclosure related matters. Servicing and subservicing fee revenues for the six months ended June 30, 2013 were $487.0 million, or 139% higher than for the six months ended June 30, 2012 primarily as a result of a 264% increase in the average UPB of our residential servicing portfolio. This increase was offset in part by a decrease in the portfolio mix of servicing versus subservicing. The Homeward, ResCap and Ally portfolios added $407.1 million of servicing fees, subservicing fees and late charges during the six months ended June 30, 2013. Operating expenses increased by $330.5 million, or 202%, with the Homeward and ResCap Acquisitions accounting for approximately $280.8 million of the increase. Interest expense on total borrowings increased by $79.0 million, or 77%, related to financing the Homeward and ResCap Acquisitions and the Ally MSR Transaction. These acquisitions were financed through a combination of available cash, term debt and match funded liabilities for servicing advances and proceeds from the HLSS Transactions.</w:t>
      </w:r>
    </w:p>
    <w:p>
      <w:pPr>
        <w:spacing w:after="0" w:line="15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Average borrowings of the Servicing segment, excluding the financing liabilities that we recognized in connection with the HLSS Transactions, increased by 12% during the six months ended June 30, 2013 as compared to the same period of 2012 while average advances and match funded advances decreased by 4%. Interest expense, excluding interest on the HLSS financing liabilities, decreased by 2% despite the increase in average borrowings. The average effective rate on our match funded debt decreased from 4.50% during the six months ended June 30, 2012 to 4.08% during the same period of 2013. In addition, the effective rate on our SSTL debt declined from 8.55% to 5.78% as a result of decreases both in the margin applied to the interest rate index and in the floor placed on the interest rate index.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assets and liabilities of the Servicing segment at the dates indicated: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June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Borders>
              <w:bottom w:val="single" w:sz="8" w:color="CCEECC"/>
            </w:tcBorders>
          </w:tcPr>
          <w:p>
            <w:pPr>
              <w:spacing w:after="0"/>
              <w:rPr>
                <w:sz w:val="20"/>
                <w:szCs w:val="20"/>
                <w:color w:val="auto"/>
              </w:rPr>
            </w:pPr>
          </w:p>
        </w:tc>
        <w:tc>
          <w:tcPr>
            <w:tcW w:w="76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Advances</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433,108</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176,360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Match funded advances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2,960,324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3,049,244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at amortized cost</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1,685,506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678,937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Mortgage servicing rights, at fair value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97,163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Receivables, net</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143,843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83,223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270,134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183,091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Premises and equipment</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41,127</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18,220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Debt service accounts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81,466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Asset purchase price deposit – ResCap Acquisition</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57,000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Prepaid lender fees and debt issuance costs,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32,374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17,302</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Loans held for sale, at lower of cost or fair value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13,961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15,402</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33,349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5,791,710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9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2,391,832</w:t>
            </w:r>
          </w:p>
        </w:tc>
        <w:tc>
          <w:tcPr>
            <w:tcW w:w="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2,532,745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borrowings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1,744,346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705,771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Liability for indemnification obligations</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217,213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38,140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56,065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Amount due seller for purchase price adjustments – ResCap Acquisition</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69,696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Due to related parties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10,233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24,272</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29,558</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Payable to servicing and subservicing investors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23,545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Servicing liabilities</w:t>
            </w:r>
          </w:p>
        </w:tc>
        <w:tc>
          <w:tcPr>
            <w:tcW w:w="7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11,704</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9,830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8,825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37,953</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21,101</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12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4,595,684</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3,435,152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ResCap Acquisition, the Ally MSR Transaction and the HLSS Transactions, collectively, had a significant effect on the Servicing balance sheet during the six months ended June 30, 2013. Largely as a result of these transactions:</w:t>
      </w:r>
    </w:p>
    <w:p>
      <w:pPr>
        <w:spacing w:after="0" w:line="130" w:lineRule="exact"/>
        <w:rPr>
          <w:sz w:val="20"/>
          <w:szCs w:val="20"/>
          <w:color w:val="auto"/>
        </w:rPr>
      </w:pPr>
    </w:p>
    <w:p>
      <w:pPr>
        <w:ind w:left="660" w:right="1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Advances and Match funded advances increased by $167.8 million primarily due to the ResCap Acquisition which added $1.62 billion of advances offset by the sale of $1.1 billion of Homeward advances to HLSS and by collections.</w:t>
      </w:r>
    </w:p>
    <w:p>
      <w:pPr>
        <w:spacing w:after="0" w:line="12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MSRs, at amortized cost, increased by $1.0 billion as a result of the ResCap Acquisition ($393.9 million), Ally MSR Transaction ($680.0 million) and new capitalization of MSRs from our lending operations ($46.9 million) offset by amortization ($118.6 million).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recorded goodwill of $81.3 million in the Servicing segment in connection with the ResCap Acquisition.</w:t>
      </w:r>
    </w:p>
    <w:p>
      <w:pPr>
        <w:spacing w:after="0" w:line="333"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Following the ResCap Acquisition, we have an obligation as servicer to repurchase certain loans from Ginnie Mae guaranteed securitizations under certain circumstances including, but not limited to, in connection with loan modifications, immediately prior to foreclosure and in connection with loan resolutions. These loans are held for sale and carried at the lower of cost or fair value.</w:t>
      </w:r>
    </w:p>
    <w:p>
      <w:pPr>
        <w:spacing w:after="0" w:line="140"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Match funded liabilities decreased by $140.9 million. We used $937.3 million of proceeds from the HLSS Transactions to repay match funded liabilities. This decrease was offset by new borrowings to finance the advances acquired in the ResCap Acquisition and the Ally MSR Transaction.</w:t>
      </w:r>
    </w:p>
    <w:p>
      <w:pPr>
        <w:spacing w:after="0" w:line="83"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borrowings increased by $1.1 billion primarily due to borrowings of $1.3 billion under a new SSTL facility principally to fund the ResCap acquisition. We repaid the previous SSTL which had an outstanding balance of $306.0 million net of discount at December 31, 2012 and recognized a loss on early redemption of $15.0 million representing the write-off of unamortized deferred costs and discount. We also repaid the senior unsecured loan agreement with Altisource under which we borrowed $75.0 million to finance a portion of the Homeward Acquisition. Financing liabilities that we recognized in connection with the HLSS Transactions increased by $124.6 million primarily as a result of a sale of Rights to MSRs in March and May that we accounted for as a financing.</w:t>
      </w:r>
    </w:p>
    <w:p>
      <w:pPr>
        <w:spacing w:after="0" w:line="166"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ResCap Acquisition added $74.7 million of accrued expenses, primarily related to a liability for compensatory fees for foreclosures that may ultimately exceed investor timelines. The Ally MSR Transaction included the assumption of origination representation and warranty obligations of approximately $136.4 million in connection with a majority of the acquired MSRs.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Lending</w:t>
      </w:r>
    </w:p>
    <w:p>
      <w:pPr>
        <w:spacing w:after="0" w:line="18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significantly expanded our origination capabilities with the completion of the Homeward (December 2012) and Liberty (April 2013) Acquisitions. The Lending segment is focused on originating and purchasing agency-conforming residential first-lien forward and reverse mortgage loans mainly through direct lending and correspondent channels. The direct lending business has initially focused on pursuing refinancing opportunities from our existing servicing portfolio, where permitted. Originated loans are typically sold shortly after origination into a liquid market on a servicing retained basis.</w:t>
      </w:r>
    </w:p>
    <w:p>
      <w:pPr>
        <w:spacing w:after="0" w:line="12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Lending provides a low cost means of acquiring MSRs with good return profiles. Loans are acquired through correspondent lender relationships, broker relationships and by directly originating loans for customers in our servicing portfolio. We continued to grow our direct lending business in the second quarter, increasing our number of loan officers to more than 50. Our business is well positioned to shift with the market as our Lending business operates with a highly variable cost structure enabling us to adapt to changing market demand.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90"/>
              </w:rPr>
              <w:t>The following table presents the results of operations of the Lending segment for the periods ended June 30, 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Six 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Gain on loans held for sale, net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20,323</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13,412</w:t>
            </w:r>
          </w:p>
        </w:tc>
        <w:tc>
          <w:tcPr>
            <w:tcW w:w="20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7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28,941</w:t>
            </w:r>
          </w:p>
        </w:tc>
        <w:tc>
          <w:tcPr>
            <w:tcW w:w="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40,041</w:t>
            </w:r>
          </w:p>
        </w:tc>
        <w:tc>
          <w:tcPr>
            <w:tcW w:w="10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4,794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(4,001)</w:t>
            </w: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Gain on debt redemption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ind w:left="30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before income taxes</w:t>
            </w:r>
          </w:p>
        </w:tc>
        <w:tc>
          <w:tcPr>
            <w:tcW w:w="4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10,121</w:t>
            </w:r>
          </w:p>
        </w:tc>
        <w:tc>
          <w:tcPr>
            <w:tcW w:w="500" w:type="dxa"/>
            <w:vAlign w:val="bottom"/>
            <w:gridSpan w:val="2"/>
            <w:shd w:val="clear" w:color="auto" w:fill="CCEE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funded $1.5 billion of conforming forward mortgages through our correspondent and other indirect channels in the second quarter of 2013, a decline of $825.5 million as compared to the first quarter of 2013. The decline in funded loans was attributable to increasingly conservative pricing, rising rates and some larger customers selling directly to the GSEs. Loans originated through our own direct-to-consumer operations grew from $33.6 million in the first quarter of 2013 to over $60.6 million in the second quarter of 2013. Additionally, Liberty generated $370.0 million of new reverse mortgage fundings following its acquisition on April 1, 2013.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340"/>
              <w:spacing w:after="0"/>
              <w:rPr>
                <w:sz w:val="20"/>
                <w:szCs w:val="20"/>
                <w:color w:val="auto"/>
              </w:rPr>
            </w:pPr>
            <w:r>
              <w:rPr>
                <w:rFonts w:ascii="Arial" w:cs="Arial" w:eastAsia="Arial" w:hAnsi="Arial"/>
                <w:sz w:val="18"/>
                <w:szCs w:val="18"/>
                <w:color w:val="auto"/>
              </w:rPr>
              <w:t>Our funded originations in 2013 were as follows: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3"/>
        </w:trPr>
        <w:tc>
          <w:tcPr>
            <w:tcW w:w="690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4"/>
                <w:szCs w:val="24"/>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1"/>
              </w:rPr>
              <w:t>Three Months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Six Months</w:t>
            </w:r>
          </w:p>
        </w:tc>
      </w:tr>
      <w:tr>
        <w:trPr>
          <w:trHeight w:val="234"/>
        </w:trPr>
        <w:tc>
          <w:tcPr>
            <w:tcW w:w="69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Ended March 31</w:t>
            </w:r>
          </w:p>
        </w:tc>
        <w:tc>
          <w:tcPr>
            <w:tcW w:w="17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Ended June 30</w:t>
            </w:r>
          </w:p>
        </w:tc>
        <w:tc>
          <w:tcPr>
            <w:tcW w:w="1240" w:type="dxa"/>
            <w:vAlign w:val="bottom"/>
            <w:gridSpan w:val="5"/>
          </w:tcPr>
          <w:p>
            <w:pPr>
              <w:spacing w:after="0"/>
              <w:rPr>
                <w:sz w:val="20"/>
                <w:szCs w:val="20"/>
                <w:color w:val="auto"/>
              </w:rPr>
            </w:pPr>
            <w:r>
              <w:rPr>
                <w:rFonts w:ascii="Arial" w:cs="Arial" w:eastAsia="Arial" w:hAnsi="Arial"/>
                <w:sz w:val="18"/>
                <w:szCs w:val="18"/>
                <w:b w:val="1"/>
                <w:bCs w:val="1"/>
                <w:color w:val="auto"/>
                <w:w w:val="95"/>
              </w:rPr>
              <w:t>Ended June 30</w:t>
            </w:r>
          </w:p>
        </w:tc>
      </w:tr>
      <w:tr>
        <w:trPr>
          <w:trHeight w:val="210"/>
        </w:trPr>
        <w:tc>
          <w:tcPr>
            <w:tcW w:w="69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Loans Funded (UPB):</w:t>
            </w:r>
          </w:p>
        </w:tc>
        <w:tc>
          <w:tcPr>
            <w:tcW w:w="320" w:type="dxa"/>
            <w:vAlign w:val="bottom"/>
            <w:tcBorders>
              <w:top w:val="single" w:sz="8" w:color="auto"/>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r>
      <w:tr>
        <w:trPr>
          <w:trHeight w:val="216"/>
        </w:trPr>
        <w:tc>
          <w:tcPr>
            <w:tcW w:w="6900" w:type="dxa"/>
            <w:vAlign w:val="bottom"/>
          </w:tcPr>
          <w:p>
            <w:pPr>
              <w:ind w:left="160"/>
              <w:spacing w:after="0"/>
              <w:rPr>
                <w:sz w:val="20"/>
                <w:szCs w:val="20"/>
                <w:color w:val="auto"/>
              </w:rPr>
            </w:pPr>
            <w:r>
              <w:rPr>
                <w:rFonts w:ascii="Arial" w:cs="Arial" w:eastAsia="Arial" w:hAnsi="Arial"/>
                <w:sz w:val="18"/>
                <w:szCs w:val="18"/>
                <w:color w:val="auto"/>
              </w:rPr>
              <w:t>Correspondent and other</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2,357,967</w:t>
            </w:r>
          </w:p>
        </w:tc>
        <w:tc>
          <w:tcPr>
            <w:tcW w:w="4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1,532,425</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3,890,392</w:t>
            </w:r>
          </w:p>
        </w:tc>
        <w:tc>
          <w:tcPr>
            <w:tcW w:w="80" w:type="dxa"/>
            <w:vAlign w:val="bottom"/>
          </w:tcPr>
          <w:p>
            <w:pPr>
              <w:spacing w:after="0"/>
              <w:rPr>
                <w:sz w:val="18"/>
                <w:szCs w:val="18"/>
                <w:color w:val="auto"/>
              </w:rPr>
            </w:pPr>
          </w:p>
        </w:tc>
      </w:tr>
      <w:tr>
        <w:trPr>
          <w:trHeight w:val="230"/>
        </w:trPr>
        <w:tc>
          <w:tcPr>
            <w:tcW w:w="69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Direct</w:t>
            </w:r>
          </w:p>
        </w:tc>
        <w:tc>
          <w:tcPr>
            <w:tcW w:w="32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33,644</w:t>
            </w:r>
          </w:p>
        </w:tc>
        <w:tc>
          <w:tcPr>
            <w:tcW w:w="220" w:type="dxa"/>
            <w:vAlign w:val="bottom"/>
            <w:shd w:val="clear" w:color="auto" w:fill="CCEECC"/>
          </w:tcPr>
          <w:p>
            <w:pPr>
              <w:spacing w:after="0"/>
              <w:rPr>
                <w:sz w:val="19"/>
                <w:szCs w:val="19"/>
                <w:color w:val="auto"/>
              </w:rPr>
            </w:pPr>
          </w:p>
        </w:tc>
        <w:tc>
          <w:tcPr>
            <w:tcW w:w="24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60,646</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94,290</w:t>
            </w:r>
          </w:p>
        </w:tc>
        <w:tc>
          <w:tcPr>
            <w:tcW w:w="80" w:type="dxa"/>
            <w:vAlign w:val="bottom"/>
            <w:shd w:val="clear" w:color="auto" w:fill="CCEECC"/>
          </w:tcPr>
          <w:p>
            <w:pPr>
              <w:spacing w:after="0"/>
              <w:rPr>
                <w:sz w:val="19"/>
                <w:szCs w:val="19"/>
                <w:color w:val="auto"/>
              </w:rPr>
            </w:pPr>
          </w:p>
        </w:tc>
      </w:tr>
      <w:tr>
        <w:trPr>
          <w:trHeight w:val="223"/>
        </w:trPr>
        <w:tc>
          <w:tcPr>
            <w:tcW w:w="69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2,391,611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1,593,071</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3,984,682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Revenue and operating expenses of the Lending segment are higher in the second quarter of 2013 as compared to the first quarter of 2013 as a result of the Liberty Acquisition and the growth of our direct lending business, offset somewhat by the decline in our correspondent volume.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ind w:right="60" w:firstLine="324"/>
        <w:spacing w:after="0" w:line="297" w:lineRule="auto"/>
        <w:rPr>
          <w:sz w:val="20"/>
          <w:szCs w:val="20"/>
          <w:color w:val="auto"/>
        </w:rPr>
      </w:pPr>
      <w:r>
        <w:rPr>
          <w:rFonts w:ascii="Arial" w:cs="Arial" w:eastAsia="Arial" w:hAnsi="Arial"/>
          <w:sz w:val="16"/>
          <w:szCs w:val="16"/>
          <w:color w:val="auto"/>
        </w:rPr>
        <w:t>Revenue grew $19.8 million, or 143% in the second quarter of 2013 as compared to the first quarter of 2013, with $15.6 million of the growth attributable to gains on sale and the remainder attributable to fee income. Liberty accounted for $18.5 million of the $19.8 million increase in revenue. The servicing values utilized in our gain on sale calculation are evaluated closely and measured against market levels to foster a strong balance sheet and generate required returns over the estimated life of the originated MSR. To date, the excellent credit quality of the loans generated by our Lending segment has been reflected by our having no credit losses from repurchases and by our experiencing a 60+ day delinquency rate of only 0.05% on the loans.</w:t>
      </w:r>
    </w:p>
    <w:p>
      <w:pPr>
        <w:spacing w:after="0" w:line="11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Operating expenses increased by $17.8 million or 161% from the first quarter of 2013 to the second quarter of 2013, primarily due to the Liberty Acquisition which added $16.1 million of operating expenses.</w:t>
      </w:r>
    </w:p>
    <w:p>
      <w:pPr>
        <w:spacing w:after="0" w:line="14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As disclosed in Note 15 – Other Borrowings to the unaudited Consolidated Financial Statements, we have sold MSRs for certain loans to an unrelated third party in transactions accounted for as financings. In June 2013, we repurchased certain of these MSRs related to loans that had been refinanced under HARP and recognized a $3.2 million gain on the retirement of the financing liability.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The following table presents assets and liabilities of the Lending segment at the dates indicated: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June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Borders>
              <w:bottom w:val="single" w:sz="8" w:color="CCEECC"/>
            </w:tcBorders>
          </w:tcPr>
          <w:p>
            <w:pPr>
              <w:spacing w:after="0"/>
              <w:rPr>
                <w:sz w:val="20"/>
                <w:szCs w:val="20"/>
                <w:color w:val="auto"/>
              </w:rPr>
            </w:pPr>
          </w:p>
        </w:tc>
        <w:tc>
          <w:tcPr>
            <w:tcW w:w="80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sale, at fair value</w:t>
            </w:r>
          </w:p>
        </w:tc>
        <w:tc>
          <w:tcPr>
            <w:tcW w:w="80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361,144</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426,480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2,532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Receivables</w:t>
            </w:r>
          </w:p>
        </w:tc>
        <w:tc>
          <w:tcPr>
            <w:tcW w:w="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9,175</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120,405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121,458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Loans – restricted for securitization investors, at fair value</w:t>
            </w:r>
          </w:p>
        </w:tc>
        <w:tc>
          <w:tcPr>
            <w:tcW w:w="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76,649</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18,600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11,365</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2,945</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599,870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 (3)</w:t>
            </w: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423,688</w:t>
            </w:r>
          </w:p>
        </w:tc>
        <w:tc>
          <w:tcPr>
            <w:tcW w:w="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388,075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6,983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22,800</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120"/>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453,471</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Liberty Acquisition, offset by a decline in forward mortgage origination volume, drove the most significant changes to the Lending balance sheet during the six months ended June 30, 2013:</w:t>
      </w:r>
    </w:p>
    <w:p>
      <w:pPr>
        <w:spacing w:after="0" w:line="130" w:lineRule="exact"/>
        <w:rPr>
          <w:sz w:val="20"/>
          <w:szCs w:val="20"/>
          <w:color w:val="auto"/>
        </w:rPr>
      </w:pPr>
    </w:p>
    <w:p>
      <w:pPr>
        <w:ind w:left="660" w:right="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Loans held for sale, at fair value declined as sales more than offset new origination volume for the period and the $60.0 million loans acquired in the Liberty Acquisition. See Note 6 – Loans Held for Sale, at Fair Value for additional information.</w:t>
      </w:r>
    </w:p>
    <w:p>
      <w:pPr>
        <w:spacing w:after="0" w:line="129"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Loans – restricted for securitization investors, at fair value represent reverse mortgage loans sold into Ginnie Mae-guaranteed securitizations that we include in our consolidated financial statements because the transfers of the loans to the trusts did not qualify for sales accounting treatment.</w:t>
      </w:r>
    </w:p>
    <w:p>
      <w:pPr>
        <w:spacing w:after="0" w:line="96" w:lineRule="exact"/>
        <w:rPr>
          <w:rFonts w:ascii="Arial" w:cs="Arial" w:eastAsia="Arial" w:hAnsi="Arial"/>
          <w:sz w:val="16"/>
          <w:szCs w:val="16"/>
          <w:color w:val="auto"/>
        </w:rPr>
      </w:pPr>
    </w:p>
    <w:p>
      <w:pPr>
        <w:ind w:left="660" w:right="60" w:hanging="328"/>
        <w:spacing w:after="0" w:line="276"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Borrowings increased as a result of warehouse facilities assumed in connection with the Liberty Acquisition and the recognition of $73.6 million of amounts due to the holders of participating interests in Ginnie Mae-guaranteed securitizations that we include in our consolidated financial statements because the transfers of reverse mortgage loans to the trusts did not qualify for sales accounting treatment. These increases were offset in part by declines in borrowings under existing warehouse facilities as a result of a decline in origination volume. See Note 15 – Other Borrowings for additional information regarding warehouse facilities used to fund originations of loans.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of Corporate Items and Other for the periods ended June 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Six Months</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CC"/>
            </w:tcBorders>
          </w:tcPr>
          <w:p>
            <w:pPr>
              <w:spacing w:after="0"/>
              <w:rPr>
                <w:sz w:val="19"/>
                <w:szCs w:val="19"/>
                <w:color w:val="auto"/>
              </w:rPr>
            </w:pPr>
          </w:p>
        </w:tc>
        <w:tc>
          <w:tcPr>
            <w:tcW w:w="18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18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1,241</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1,204</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17,954</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63,248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5,099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84,216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Loss from operations</w:t>
            </w:r>
          </w:p>
        </w:tc>
        <w:tc>
          <w:tcPr>
            <w:tcW w:w="18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(62,007</w:t>
            </w:r>
          </w:p>
        </w:tc>
        <w:tc>
          <w:tcPr>
            <w:tcW w:w="260" w:type="dxa"/>
            <w:vAlign w:val="bottom"/>
            <w:tcBorders>
              <w:top w:val="single" w:sz="8" w:color="CCEECC"/>
            </w:tcBorders>
            <w:shd w:val="clear" w:color="auto" w:fill="CCEECC"/>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(3,895</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(66,262</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bottom w:val="single" w:sz="8" w:color="auto"/>
            </w:tcBorders>
            <w:shd w:val="clear" w:color="auto" w:fill="CCEECC"/>
          </w:tcPr>
          <w:p>
            <w:pPr>
              <w:spacing w:after="0"/>
              <w:rPr>
                <w:sz w:val="18"/>
                <w:szCs w:val="18"/>
                <w:color w:val="auto"/>
              </w:rPr>
            </w:pPr>
          </w:p>
        </w:tc>
        <w:tc>
          <w:tcPr>
            <w:tcW w:w="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Net interest income</w:t>
            </w:r>
          </w:p>
        </w:tc>
        <w:tc>
          <w:tcPr>
            <w:tcW w:w="18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1,042</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2,062</w:t>
            </w:r>
          </w:p>
        </w:tc>
        <w:tc>
          <w:tcPr>
            <w:tcW w:w="20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Other income (expense), net</w:t>
            </w:r>
          </w:p>
        </w:tc>
        <w:tc>
          <w:tcPr>
            <w:tcW w:w="18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1,679</w:t>
            </w: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1,657</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4,822</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bottom w:val="single" w:sz="8" w:color="auto"/>
            </w:tcBorders>
            <w:shd w:val="clear" w:color="auto" w:fill="CCEECC"/>
          </w:tcPr>
          <w:p>
            <w:pPr>
              <w:spacing w:after="0"/>
              <w:rPr>
                <w:sz w:val="18"/>
                <w:szCs w:val="18"/>
                <w:color w:val="auto"/>
              </w:rPr>
            </w:pPr>
          </w:p>
        </w:tc>
        <w:tc>
          <w:tcPr>
            <w:tcW w:w="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(60,328)</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(61,440)</w:t>
            </w:r>
          </w:p>
        </w:tc>
        <w:tc>
          <w:tcPr>
            <w:tcW w:w="5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60" w:name="page61"/>
    <w:bookmarkEnd w:id="60"/>
    <w:p>
      <w:pPr>
        <w:ind w:right="320" w:firstLine="324"/>
        <w:spacing w:after="0" w:line="266" w:lineRule="auto"/>
        <w:rPr>
          <w:sz w:val="20"/>
          <w:szCs w:val="20"/>
          <w:color w:val="auto"/>
        </w:rPr>
      </w:pPr>
      <w:r>
        <w:rPr>
          <w:rFonts w:ascii="Arial" w:cs="Arial" w:eastAsia="Arial" w:hAnsi="Arial"/>
          <w:sz w:val="18"/>
          <w:szCs w:val="18"/>
          <w:b w:val="1"/>
          <w:bCs w:val="1"/>
          <w:color w:val="auto"/>
        </w:rPr>
        <w:t xml:space="preserve">Three months ended June 30, 2013 versus June 30, 2012. </w:t>
      </w:r>
      <w:r>
        <w:rPr>
          <w:rFonts w:ascii="Arial" w:cs="Arial" w:eastAsia="Arial" w:hAnsi="Arial"/>
          <w:sz w:val="18"/>
          <w:szCs w:val="18"/>
          <w:color w:val="auto"/>
        </w:rPr>
        <w:t>Operating expenses for the three months ended June 30, 2013 includes a $52.8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charge recorded during the second quarter of 2013 in connection with our estimated liability related to our ongoing discussions with the MMC, CFPB and state Attorneys General in connection with certain foreclosure related matters.</w:t>
      </w:r>
    </w:p>
    <w:p>
      <w:pPr>
        <w:spacing w:after="0" w:line="13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color w:val="auto"/>
        </w:rPr>
        <w:t>Six months ended June 30, 2013 versus June 30, 2012</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and operating expenses for the first six months of 2013 include $15.2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$15.0 million, respectively, related to the diversified fee-based business we acquired as part of the Homeward Acquisition, the majority of which was subsequently sold on March 29, 2013. Operating expenses for the six months ended June 30, 2013 also include the $52.8 million charge disclosed above that we recorded during the second quarter in connection with certain foreclosure related matters.</w:t>
      </w:r>
    </w:p>
    <w:p>
      <w:pPr>
        <w:spacing w:after="0" w:line="15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Other, net in the first six months of 2013 includes $2.1 million of equity in earnings in Powerlink Settlement Services, LP (Powerlink), an entity in which we hold a 69.79% interest that we acquired as part of the Homeward Acquisition. Powerlink provides title, closing and valuation services.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w w:val="95"/>
              </w:rPr>
              <w:t>The following table presents the assets and liabilities of Corporate Items and Other at the dates indicated:</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3"/>
        </w:trPr>
        <w:tc>
          <w:tcPr>
            <w:tcW w:w="8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June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360" w:type="dxa"/>
            <w:vAlign w:val="bottom"/>
            <w:tcBorders>
              <w:bottom w:val="single" w:sz="8" w:color="CCEECC"/>
            </w:tcBorders>
          </w:tcPr>
          <w:p>
            <w:pPr>
              <w:spacing w:after="0"/>
              <w:rPr>
                <w:sz w:val="20"/>
                <w:szCs w:val="20"/>
                <w:color w:val="auto"/>
              </w:rPr>
            </w:pPr>
          </w:p>
        </w:tc>
        <w:tc>
          <w:tcPr>
            <w:tcW w:w="46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437,245</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220,130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Loans held for sale, at lower of cost or fair value (1)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19,003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82,720</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Advances</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12,010</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8,144</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43,851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55,292</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Other receivables, net</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6,314</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15,733</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Goodwill (2)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77,011</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Deferred tax assets, net</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96,353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92,136</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21,003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19,288</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Investment in unconsolidated entities (3)</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12,886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25,187</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Interest-earning collateral deposits (4)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4,668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23,194</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Prepaid income taxes</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23,112</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23,112</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6,206</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4,526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CC"/>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3,140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6,891</w:t>
            </w:r>
          </w:p>
        </w:tc>
        <w:tc>
          <w:tcPr>
            <w:tcW w:w="80" w:type="dxa"/>
            <w:vAlign w:val="bottom"/>
          </w:tcPr>
          <w:p>
            <w:pPr>
              <w:spacing w:after="0"/>
              <w:rPr>
                <w:sz w:val="19"/>
                <w:szCs w:val="19"/>
                <w:color w:val="auto"/>
              </w:rPr>
            </w:pPr>
          </w:p>
        </w:tc>
      </w:tr>
      <w:tr>
        <w:trPr>
          <w:trHeight w:val="223"/>
        </w:trPr>
        <w:tc>
          <w:tcPr>
            <w:tcW w:w="8360" w:type="dxa"/>
            <w:vAlign w:val="bottom"/>
            <w:tcBorders>
              <w:top w:val="single" w:sz="8" w:color="CCEECC"/>
              <w:bottom w:val="single" w:sz="8" w:color="CCEECC"/>
            </w:tcBorders>
            <w:shd w:val="clear" w:color="auto" w:fill="CCEECC"/>
          </w:tcPr>
          <w:p>
            <w:pPr>
              <w:ind w:left="1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690,700</w:t>
            </w:r>
          </w:p>
        </w:tc>
        <w:tc>
          <w:tcPr>
            <w:tcW w:w="46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659,294</w:t>
            </w: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360" w:type="dxa"/>
            <w:vAlign w:val="bottom"/>
          </w:tcPr>
          <w:p>
            <w:pPr>
              <w:spacing w:after="0"/>
              <w:rPr>
                <w:sz w:val="20"/>
                <w:szCs w:val="20"/>
                <w:color w:val="auto"/>
              </w:rPr>
            </w:pPr>
            <w:r>
              <w:rPr>
                <w:rFonts w:ascii="Arial" w:cs="Arial" w:eastAsia="Arial" w:hAnsi="Arial"/>
                <w:sz w:val="18"/>
                <w:szCs w:val="18"/>
                <w:color w:val="auto"/>
              </w:rPr>
              <w:t>Other borrowings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4,044</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2,833</w:t>
            </w:r>
          </w:p>
        </w:tc>
        <w:tc>
          <w:tcPr>
            <w:tcW w:w="80" w:type="dxa"/>
            <w:vAlign w:val="bottom"/>
          </w:tcPr>
          <w:p>
            <w:pPr>
              <w:spacing w:after="0"/>
              <w:rPr>
                <w:sz w:val="24"/>
                <w:szCs w:val="24"/>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Liability for certain foreclosure matters (5)</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66,431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13,602</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42,667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27,276</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Liability for selected tax items</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22,338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22,702</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Derivatives, at fair value (4)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15,614</w:t>
            </w:r>
          </w:p>
        </w:tc>
        <w:tc>
          <w:tcPr>
            <w:tcW w:w="80" w:type="dxa"/>
            <w:vAlign w:val="bottom"/>
          </w:tcPr>
          <w:p>
            <w:pPr>
              <w:spacing w:after="0"/>
              <w:rPr>
                <w:sz w:val="18"/>
                <w:szCs w:val="18"/>
                <w:color w:val="auto"/>
              </w:rPr>
            </w:pPr>
          </w:p>
        </w:tc>
      </w:tr>
      <w:tr>
        <w:trPr>
          <w:trHeight w:val="216"/>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1,176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C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Due to related parties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8,900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7,775</w:t>
            </w:r>
          </w:p>
        </w:tc>
        <w:tc>
          <w:tcPr>
            <w:tcW w:w="80" w:type="dxa"/>
            <w:vAlign w:val="bottom"/>
          </w:tcPr>
          <w:p>
            <w:pPr>
              <w:spacing w:after="0"/>
              <w:rPr>
                <w:sz w:val="18"/>
                <w:szCs w:val="18"/>
                <w:color w:val="auto"/>
              </w:rPr>
            </w:pPr>
          </w:p>
        </w:tc>
      </w:tr>
      <w:tr>
        <w:trPr>
          <w:trHeight w:val="230"/>
        </w:trPr>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5,827</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3,975</w:t>
            </w:r>
          </w:p>
        </w:tc>
        <w:tc>
          <w:tcPr>
            <w:tcW w:w="80" w:type="dxa"/>
            <w:vAlign w:val="bottom"/>
            <w:shd w:val="clear" w:color="auto" w:fill="CCEECC"/>
          </w:tcPr>
          <w:p>
            <w:pPr>
              <w:spacing w:after="0"/>
              <w:rPr>
                <w:sz w:val="19"/>
                <w:szCs w:val="19"/>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151,383</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86"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Loans held for resale are net of valuation allowances of $13.4 million and $13.8 million at June 30, 2013 and December 31, 2012, respectively. In December 2012, we acquired non-performing mortgage loans with an aggregate UPB of $124.3 million for a purchase price of $65.4 million. We sold these loans to Altisource Residential, LP in February 2013 for an insignificant gain. See Note 22 – Related Party Transactions</w:t>
      </w:r>
    </w:p>
    <w:p>
      <w:pPr>
        <w:spacing w:after="0" w:line="125"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Goodwill assigned to the diversified fee-based business acquired from Homeward in 2012 was derecognized upon the sale of this business to Altisource on March 29 2013. See Note 4 – Business Acquisitions to the unaudited Consolidated Financial Statements</w:t>
      </w:r>
    </w:p>
    <w:p>
      <w:pPr>
        <w:spacing w:after="0" w:line="129"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March 31, 2013, we increased our ownership in Correspondent One to 100% by acquiring the 51% of shares held by others (including 49% held by Altisource). As a result, we began including the accounts of Correspondent One in our unaudited Consolidated Financial Statements as of the acquisition date and have eliminated our investment. See Note 4 – Business Acquisitions to the unaudited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ind w:left="340" w:hanging="332"/>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May 31, 2013, we terminated our interest rate swap agreements that we purchased to hedge against our exposure to an increase in variable interest rates on match funded advance borrowings. Interest-earning collateral deposits at December 31, 2012 included $19.3 million of cash collateral on deposit with the counterparties to our derivatives, the majority of which related to the swap agreements. As disclosed in Note 18 – Derivative Financial Instruments and Hedging Activities to the unaudited Consolidated Financial Statements.</w:t>
      </w:r>
    </w:p>
    <w:p>
      <w:pPr>
        <w:spacing w:after="0" w:line="146" w:lineRule="exact"/>
        <w:rPr>
          <w:rFonts w:ascii="Arial" w:cs="Arial" w:eastAsia="Arial" w:hAnsi="Arial"/>
          <w:sz w:val="18"/>
          <w:szCs w:val="18"/>
          <w:color w:val="auto"/>
        </w:rPr>
      </w:pPr>
    </w:p>
    <w:p>
      <w:pPr>
        <w:ind w:left="340" w:right="4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balance represents a liability established in connection with our ongoing discussions with the MMC, CFPB and state Attorneys General in connection with certain foreclosure related matters. See the Regulatory Contingencies section of Note 24 – Commitments and Contingencies to the unaudited Consolidated Financial Statements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At June 30, 2013, our cash position was $439.7 million compared to $220.1 million at December 31, 2012. We invest cash that is in excess of our immediate operating needs primarily in money market deposit accounts.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0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advances to HLSS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Advances and Match funded advances comprised 48% of total assets at June 30, 2013. Most of our advances have the highest reimbursement priority (i.e., “top of the waterfall”) whereby we are entitled to repayment from respective loan or REO liquidation proceeds before any interest or principal is paid to investors. At June 30, 2013, $983.2 billion of the total maximum borrowing capacity under our servicing advance facilities of $3.4 billion remained available, although none could be used.</w:t>
      </w:r>
    </w:p>
    <w:p>
      <w:pPr>
        <w:spacing w:after="0" w:line="14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use mortgage loan warehouse facilities to fund newly-originated loans on a short-term basis until they are sold to secondary market investors, including GSEs or other third 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In the first quarter of 2013, we extended the maturity date of a number of our warehouse facilities and increased the maximum borrowing capacity. At June 30, 2013, $631.8 million of borrowing capacity was available under our lending warehouse facilities. See Note 15 – Other Borrowings to our unaudited Consolidated Financial Statements for additional details.</w:t>
      </w:r>
    </w:p>
    <w:p>
      <w:pPr>
        <w:spacing w:after="0" w:line="1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the issuance of debt securities and equity capital; although we cannot assure you that they will be available on terms that we find acceptable. In connection with the ResCap Acquisition in February 2013, we repaid the borrowings under our previous SSTL with a portion of the proceeds of a new $1.3 billion SSTL facility. We also added $1.2 billion of match funded debt under three advance funding facilities. See Note 4 – Business Acquisitions to our unaudited Consolidated Financial Statements for additional information.</w:t>
      </w:r>
    </w:p>
    <w:p>
      <w:pPr>
        <w:spacing w:after="0" w:line="14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9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8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3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Available borrowing capacity.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383"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We maintain available borrowing capacity for three reasons:</w:t>
      </w:r>
    </w:p>
    <w:p>
      <w:pPr>
        <w:spacing w:after="0" w:line="18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18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In order to reduce fees charged by lenders (which we recognize as interest expense), we limit available borrowing capacity to a level that we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prudent relative to the current levels of advances and to our funding needs for reasonably foreseeable changes in advances. We also monitor the duration of our funding sources. Increases in the term of our funding sources allows us to better match the duration of our advances and corresponding borrowings and to further reduce the relative cost of up-front facility fees and expenses.</w:t>
      </w:r>
    </w:p>
    <w:p>
      <w:pPr>
        <w:spacing w:after="0" w:line="1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we have sufficient capacity to fund all but the largest servicing acquisitions without issuing common equity capital. Additional senior secured debt and borrowings under servicing advance facilities was sufficient to fund the ResCap Acquisition and Ally MSR Transaction. Net proceeds from sales of Rights to MSRs and related advances to HLSS have also contributed to our ability to grow our servicing business without the need to raise new common equity.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six months ended June 30, 2013:</w:t>
      </w:r>
    </w:p>
    <w:p>
      <w:pPr>
        <w:spacing w:after="0" w:line="189" w:lineRule="exact"/>
        <w:rPr>
          <w:sz w:val="20"/>
          <w:szCs w:val="20"/>
          <w:color w:val="auto"/>
        </w:rPr>
      </w:pPr>
    </w:p>
    <w:p>
      <w:pPr>
        <w:ind w:left="660" w:right="2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borrowed $1.3 billion under a new SSTL facility in connection with the ResCap Acquisition and repaid the remaining balance of the previous SSTL. We paid the first quarterly principal installment of $3.3 million.</w:t>
      </w:r>
    </w:p>
    <w:p>
      <w:pPr>
        <w:spacing w:after="0" w:line="143"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borrowed $1.2 billion under two new facilities and one existing facility in connection with the financing of advances that we acquired in connection with the ResCap Acquisition;</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borrowed $1.2 billion under a new $1.4 billion bridge facility. The proceeds from this bridge facility were used to repay certain advance facilities that were assumed in the Homeward Acquisition. This facility was transferred to HLSS on July 1, 2013 in connection with the sale of advances;</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repaid $937.3 million in match funded advance facilities from the proceeds received from the sale of advances to HLSS;</w:t>
      </w:r>
    </w:p>
    <w:p>
      <w:pPr>
        <w:spacing w:after="0" w:line="198"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pledged additional collateral [or amended the maximum borrowing capacity], increasing our available borrowing capacity under our warehouse facilities in connection with our Lending business activities.</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Maximum borrowing capacity for match funded advances decreased by $318.6 million from $3.7 billion at December 31, 2012 to $3.4 billion at June 30, 2013. During the first six months of 2013, we fully repaid and terminated match funded advance financing facilities that had total aggregate maximum borrowing capacity of $2.6 billion at December 31, 2012. Offsetting this decrease, we increased maximum borrowing capacity by $2.3 billion in connection with the new bridge facility and the two advance facilities that we added to fund the ResCap Acquisition.</w:t>
      </w:r>
    </w:p>
    <w:p>
      <w:pPr>
        <w:spacing w:after="0" w:line="14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available advance borrowing capacity decreased from $1.2 billion at December 31, 2012 to $983.2 million at June 30, 2013, although none could be used because we had borrowed the maximum amount given the available collateral. During the first three months of 2013, we repaid and terminated match funded advance financing facilities that had total aggregate available borrowing capacity of $682.9 million at December 31, 2012. Available borrowing capacity on the new bridge facility and the two new facilities that we added during the first quarter of 2013 in connection with the ResCap Acquisition was $498.5 million at June 30, 2013. Our ability to finance servicing advances is a significant factor that affects our liquidity. Our ability to continue to pledge collateral under each advance facility depends on the performance of the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large majority of our collateral qualifies for financing under the advance facility to which it is pledged.</w:t>
      </w:r>
    </w:p>
    <w:p>
      <w:pPr>
        <w:spacing w:after="0" w:line="15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Ongoing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would be lessened if we maintained our ability to utilize spare capacity on our advance facilities because approximately 75%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loss mitigation efforts and increases in modifications and other forms of resolution, and advances have continued to decline. Absent significant changes in the foreclosure process, we expect advances to continue to decline.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ind w:right="14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4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Cash flows for the six months ended June 30, 2013. </w:t>
      </w:r>
      <w:r>
        <w:rPr>
          <w:rFonts w:ascii="Arial" w:cs="Arial" w:eastAsia="Arial" w:hAnsi="Arial"/>
          <w:sz w:val="18"/>
          <w:szCs w:val="18"/>
          <w:color w:val="auto"/>
        </w:rPr>
        <w:t>Our operating activities provided $877.0 million of cash largely due to $429.2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$75.6 million of net cash provided by our loans held for sale activities and net income, adjusted for MSR amortization and other non-cash items. Operating cash flows were used principally to repay related match funded liabilities and to fund the portions of the ResCap Acquisition not funded through borrowings.</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investing activities used $1.5 billion of cash. We paid $2.1 billion to acquire ResCap, including advances of $1.6 billion and MSRs of $393.9 million. We paid $617.1 million to acquire MSRs and advances from Ally Bank, net of assumed liabilities for origination and representation warranty obligations of $136.4 million. Cash inflows from investing activities include $1.1 billion of proceeds from HLSS from the sale of advances and $215.7 million from the sales to Altisource of the diversified fee-based businesses acquired in the Homeward and ResCap Acquisitions. As disclosed below in the discussion of financing activities, we used a portion of the proceeds from the sales to HLSS to repay match funded liabilities and for required prepayments of the SSTL.</w:t>
      </w:r>
    </w:p>
    <w:p>
      <w:pPr>
        <w:spacing w:after="0" w:line="15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financing activities provided $846.3 million of cash. To finance the ResCap acquisition, we deployed approximately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received $148.6 million from the sale of Rights to MSRs to HLSS in transactions accounted for as financings. We used collections of servicing advances and $937.3 million of the proceeds received from the HLSS Transactions to repay match funded liabilities. Debt issuance costs paid on the new SSTL were $24.9 million. Borrowings under mortgage loan warehouse facilities used to fund newly-originated forward loans until they are sold declined by $108.4 million as sales exceeded originations during the period.</w:t>
      </w:r>
    </w:p>
    <w:p>
      <w:pPr>
        <w:spacing w:after="0" w:line="14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Cash flows for the six months ended June 30, 2012. </w:t>
      </w:r>
      <w:r>
        <w:rPr>
          <w:rFonts w:ascii="Arial" w:cs="Arial" w:eastAsia="Arial" w:hAnsi="Arial"/>
          <w:sz w:val="18"/>
          <w:szCs w:val="18"/>
          <w:color w:val="auto"/>
        </w:rPr>
        <w:t>Our operating activities provided $901 million of cash largely due to $774.6 million of collections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servicing advances (primarily on the Litton portfolio) and net income adjusted for amortization and other non-cash items. Excluding the proceeds from the sale of match funded advances to HLSS in connection with the HLSS Transactions which is reported as investing activity, net collections of servicing advances were $774.6 million. Operating cash flows were used principally to repay related match funded liabilities and to fund the portions of the MSR purchases not funded through borrowings.</w:t>
      </w:r>
    </w:p>
    <w:p>
      <w:pPr>
        <w:spacing w:after="0" w:line="16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investing activities used $1.8 billion of cash. During the second quarter, we paid $2.0 billion to purchase MSRs and advances in connection with the acquisition of four MSR portfolios. We used cash balances accumulated through the acquisition date as well as borrowings under both new and existing facilities to fund the acquisitions. Cash used for additions to premises and equipment of $16.7 million primarily relates to the build-out of two new leased facilities in India and the disaster recovery facility located in the U.S. Cash inflows from investing activities include $168.9 million of proceeds from HLSS on the sale of advances and $2.8 million of distributions from our asset management entities.</w:t>
      </w:r>
    </w:p>
    <w:p>
      <w:pPr>
        <w:spacing w:after="0" w:line="13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financing activities provided $928.8 million of cash consisting primarily of $904.3 million of net proceeds received from match funded liabilities, excluding the match funded liabilities assumed by HLSS as part of the HLSS Transactions. In connection with the purchase of MSRs from Saxon, we borrowed $826.0 million under two new facilities to finance the acquired advances. We also borrowed $418.8 million under an existing facility to finance the advances acquired in connection with the purchase of MSRs from JPMCB. In addition, we received $73.7 million from the sale of Rights to MSRs to HLSS in transactions accounted for as financings. These cash inflows were partially offset by repayments of $266.8 million on the note that we issued in connection with the financing of the advances acquired as part of the Litton Acquisition and repayments of $73.3 million on the $575.0 million senior secured loan, including required prepayments of $44.6 million from the proceeds received on the HLSS Transactions.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4" w:name="page65"/>
    <w:bookmarkEnd w:id="64"/>
    <w:p>
      <w:pPr>
        <w:ind w:right="4660"/>
        <w:spacing w:after="0" w:line="464"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60" w:firstLine="324"/>
        <w:spacing w:after="0" w:line="273" w:lineRule="auto"/>
        <w:rPr>
          <w:sz w:val="20"/>
          <w:szCs w:val="20"/>
          <w:color w:val="auto"/>
        </w:rPr>
      </w:pPr>
      <w:r>
        <w:rPr>
          <w:rFonts w:ascii="Arial" w:cs="Arial" w:eastAsia="Arial" w:hAnsi="Arial"/>
          <w:sz w:val="17"/>
          <w:szCs w:val="17"/>
          <w:color w:val="auto"/>
        </w:rPr>
        <w:t>We believe that we have adequate resources to fund all unfunded commitments to the extent required and meet all contractual obligations as they come due. At June 30, 2013, such contractual obligations were comprised of secured borrowings, interest payments and operating leases. Other than changes to our secured borrowings, including the effects of the ResCap and Liberty Acquisitions, there were no significant changes to our contractual obligations during the six months ended June 30, 2013. See “Liquidity and Capital Resources – Debt financing summary” above for a discussion of changes to our secured borrowings related to our Servicing and Lending businesses. See Note 14 – Match Funded Liabilities, Note 15 – Other Borrowings and Note 24 – Commitments and Contingencies to the unaudited Consolidated Financial Statements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60"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as well as our exposure to changes in the value of the India Rupee. The notional amounts of our derivative contracts do not reflect our exposure to credit loss. See Note 18 – Derivative Financial Instruments and Hedging Activities to the unaudited Consolidated Financial Statements for additional information regarding derivatives.</w:t>
      </w:r>
    </w:p>
    <w:p>
      <w:pPr>
        <w:spacing w:after="0" w:line="14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w:t>
      </w:r>
    </w:p>
    <w:p>
      <w:pPr>
        <w:spacing w:after="0" w:line="16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and Note 3 – Transfers of Financial Assets to the unaudited Consolidated Financial Statements for additional information.</w:t>
      </w:r>
    </w:p>
    <w:p>
      <w:pPr>
        <w:spacing w:after="0" w:line="1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Mortgage Loan Repurchase and Indemnification Liability. </w:t>
      </w:r>
      <w:r>
        <w:rPr>
          <w:rFonts w:ascii="Arial" w:cs="Arial" w:eastAsia="Arial" w:hAnsi="Arial"/>
          <w:sz w:val="18"/>
          <w:szCs w:val="18"/>
          <w:color w:val="auto"/>
        </w:rPr>
        <w:t>We have exposure to representation, warranty and indemnification obligations. We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14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16 – Other Liabilities and Note 24 – Commitments and Contingencies to the unaudited Consolidated Financial Statements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Listed below are recent accounting pronouncements that we had not yet adopted as of June 30, 2013. We are currently evaluating the effect of adopting this standard effective January 1, 2014, but we do not anticipate that our adoption will have a material impact on our consolidated financial statements:</w:t>
      </w:r>
    </w:p>
    <w:p>
      <w:pPr>
        <w:spacing w:after="0" w:line="97" w:lineRule="exact"/>
        <w:rPr>
          <w:sz w:val="20"/>
          <w:szCs w:val="20"/>
          <w:color w:val="auto"/>
        </w:rPr>
      </w:pPr>
    </w:p>
    <w:p>
      <w:pPr>
        <w:ind w:left="660" w:right="4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ASU 2013-04 (ASC 405, Liabilities): Obligations Resulting from Joint and Several Liability Arrangements for Which the Total Amount of the Obligation Is Fixed at the Reporting Date, a consensus of the FASB Emerging Issues Task Force.</w:t>
      </w:r>
    </w:p>
    <w:p>
      <w:pPr>
        <w:spacing w:after="0" w:line="129"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5" w:name="page66"/>
    <w:bookmarkEnd w:id="65"/>
    <w:p>
      <w:pPr>
        <w:ind w:right="120" w:firstLine="324"/>
        <w:spacing w:after="0" w:line="308" w:lineRule="auto"/>
        <w:rPr>
          <w:sz w:val="20"/>
          <w:szCs w:val="20"/>
          <w:color w:val="auto"/>
        </w:rPr>
      </w:pPr>
      <w:r>
        <w:rPr>
          <w:rFonts w:ascii="Arial" w:cs="Arial" w:eastAsia="Arial" w:hAnsi="Arial"/>
          <w:sz w:val="17"/>
          <w:szCs w:val="17"/>
          <w:color w:val="auto"/>
        </w:rPr>
        <w:t>In addition to the recently issued accounting pronouncements listed above, listed below are accounting pronouncements we adopted on January 1, 2013 that that require additional disclosures only and did not have a material effect on our unaudited Consolidated Financial Statements.</w:t>
      </w:r>
    </w:p>
    <w:p>
      <w:pPr>
        <w:spacing w:after="0" w:line="10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2011-11 (ASC 210, Balance Sheet): Disclosures about Offsetting Assets and Liabilities.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2013-01 (ASC 210, Balance Sheet): Clarifying the Scope of Disclosures about Offsetting Assets and Liabilities</w:t>
      </w:r>
      <w:r>
        <w:rPr>
          <w:rFonts w:ascii="Arial" w:cs="Arial" w:eastAsia="Arial" w:hAnsi="Arial"/>
          <w:sz w:val="18"/>
          <w:szCs w:val="18"/>
          <w:i w:val="1"/>
          <w:iCs w:val="1"/>
          <w:color w:val="auto"/>
        </w:rPr>
        <w: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ASU 2013-02 (ASC 220, Comprehensive Income): Reporting of Amounts Reclassified Out of Accumulated Other Comprehensive Income.</w:t>
      </w:r>
    </w:p>
    <w:p>
      <w:pPr>
        <w:spacing w:after="0" w:line="19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principal effect of ASU 2011-11 and ASU 2013-01 is to require additional disclosures that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Other than this additional disclosure, our adoption of these two pronouncements did not have a material effect on our unaudited Consolidated Financial Statements.</w:t>
      </w:r>
    </w:p>
    <w:p>
      <w:pPr>
        <w:spacing w:after="0" w:line="16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amendments in ASU 2013-02 did not have a material impact on our unaudited Consolidated Financial Statements. However, are required to disclose on the face of our statement of operations or in footnotes thereto the line items affected by any significant items reclassified from accumulated other comprehensive income to earnings and the before tax amount and the related effect on income tax expense of the reclassification.</w:t>
      </w:r>
    </w:p>
    <w:p>
      <w:pPr>
        <w:spacing w:after="0" w:line="1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See Note 1 – Description of Business, Basis of Presentation and Significant Accounting Policies to our unaudited Consolidated Financial Statements for additional information.</w:t>
      </w:r>
    </w:p>
    <w:p>
      <w:pPr>
        <w:spacing w:after="0" w:line="126" w:lineRule="exact"/>
        <w:rPr>
          <w:sz w:val="20"/>
          <w:szCs w:val="20"/>
          <w:color w:val="auto"/>
        </w:rPr>
      </w:pPr>
    </w:p>
    <w:p>
      <w:pPr>
        <w:ind w:left="1160" w:right="320" w:hanging="1133"/>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 EXCEPT AS OTHERWISE INDICATED)</w:t>
      </w:r>
    </w:p>
    <w:p>
      <w:pPr>
        <w:spacing w:after="0" w:line="13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principal exposures to market risk include interest rate risk, liquidity risk, consumer credit risk, counterparty credit risk and foreign currency exchange rate risk. Market risk also reflects the risk of declines in the valuation of financial instruments and the collateral underlying loans. Our Investment Committee reviews significant transactions that may affect market risk and is authorized to utilize a wide variety of techniques and strategies to manage market risk.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and Interest Rate Lock Commitments</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Our mortgage loans held for sale, which we hold in inventory while awaiting sale into the secondary market, and our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into the secondary mortgage market. Loan commitments generally range from 5 to 30 days; and our holding period of the mortgage loan from funding to sale is typically less than 20 days.</w:t>
      </w:r>
    </w:p>
    <w:p>
      <w:pPr>
        <w:spacing w:after="0" w:line="138"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For our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8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MSRs that we have elected to carry at fair value are subject to interest rate risk as the mortgage notes underlying the MSRs permit the borrowers to prepay the loans. Consequently, the value of these MSRs generally tends to diminish in periods of declining interest rates (as prepayments increase) and tends to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12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For these MSRs, we may enter into economic hedges, including interest rate swaps, U.S. Treasury futures and forward MBS trades to minimize the effects of loss in value associated with increased prepayment activity that generally results from declining interest rates. 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Our hedging policy permits us to use mortgage TBA instruments and options on mortgage TBAs, Treasury and Eurodollar futures and options on U.S. Treasury and Eurodollar futures as well as interest rate swaps, interest rate caps and interest rate forwards, floors and swaptions as hedge instruments in our MSR hedging program. Effective April 1, 2013, we terminated the hedging program for our fair value MSRs and closed out the remaining economic hedge positions.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Fair Value MSRs, Loans Held for Sale and Related Derivatives</w:t>
      </w:r>
    </w:p>
    <w:p>
      <w:pPr>
        <w:spacing w:after="0" w:line="19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the estimated change in the fair value of our fair value elected MSRs, fair value elected loans held for sale and related derivatives as of June 30, 2013 given hypothetical instantaneous parallel shifts in the yield curve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9"/>
              </w:rPr>
              <w:t>Change in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8"/>
              </w:rPr>
              <w:t>Down 25 bps</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Up 25 bps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sale</w:t>
            </w:r>
          </w:p>
        </w:tc>
        <w:tc>
          <w:tcPr>
            <w:tcW w:w="29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11,322</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Forward MBS trades</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CC"/>
            </w:tcBorders>
            <w:shd w:val="clear" w:color="auto" w:fill="CCEECC"/>
          </w:tcPr>
          <w:p>
            <w:pPr>
              <w:ind w:left="120"/>
              <w:spacing w:after="0"/>
              <w:rPr>
                <w:sz w:val="20"/>
                <w:szCs w:val="20"/>
                <w:color w:val="auto"/>
              </w:rPr>
            </w:pPr>
            <w:r>
              <w:rPr>
                <w:rFonts w:ascii="Arial" w:cs="Arial" w:eastAsia="Arial" w:hAnsi="Arial"/>
                <w:sz w:val="18"/>
                <w:szCs w:val="18"/>
                <w:color w:val="auto"/>
              </w:rPr>
              <w:t>Total loans held for sale and related derivatives</w:t>
            </w:r>
          </w:p>
        </w:tc>
        <w:tc>
          <w:tcPr>
            <w:tcW w:w="26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180" w:type="dxa"/>
            <w:vAlign w:val="bottom"/>
            <w:gridSpan w:val="2"/>
          </w:tcPr>
          <w:p>
            <w:pPr>
              <w:spacing w:after="0"/>
              <w:rPr>
                <w:sz w:val="20"/>
                <w:szCs w:val="20"/>
                <w:color w:val="auto"/>
              </w:rPr>
            </w:pPr>
            <w:r>
              <w:rPr>
                <w:rFonts w:ascii="Arial" w:cs="Arial" w:eastAsia="Arial" w:hAnsi="Arial"/>
                <w:sz w:val="18"/>
                <w:szCs w:val="18"/>
                <w:color w:val="auto"/>
              </w:rPr>
              <w:t>Fair value MSRs</w:t>
            </w: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CC"/>
          </w:tcPr>
          <w:p>
            <w:pPr>
              <w:spacing w:after="0"/>
              <w:rPr>
                <w:sz w:val="20"/>
                <w:szCs w:val="20"/>
                <w:color w:val="auto"/>
              </w:rPr>
            </w:pPr>
            <w:r>
              <w:rPr>
                <w:rFonts w:ascii="Arial" w:cs="Arial" w:eastAsia="Arial" w:hAnsi="Arial"/>
                <w:sz w:val="18"/>
                <w:szCs w:val="18"/>
                <w:color w:val="auto"/>
              </w:rPr>
              <w:t>MSRs, embedded in pipeline</w:t>
            </w:r>
          </w:p>
        </w:tc>
        <w:tc>
          <w:tcPr>
            <w:tcW w:w="264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Total fair value MSRs (1)</w:t>
            </w:r>
          </w:p>
        </w:tc>
        <w:tc>
          <w:tcPr>
            <w:tcW w:w="2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Total, net</w:t>
            </w:r>
          </w:p>
        </w:tc>
        <w:tc>
          <w:tcPr>
            <w:tcW w:w="29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(5,900)</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CC"/>
            </w:tcBorders>
          </w:tcPr>
          <w:p>
            <w:pPr>
              <w:spacing w:after="0" w:line="20" w:lineRule="exact"/>
              <w:rPr>
                <w:sz w:val="1"/>
                <w:szCs w:val="1"/>
                <w:color w:val="auto"/>
              </w:rPr>
            </w:pPr>
          </w:p>
        </w:tc>
        <w:tc>
          <w:tcPr>
            <w:tcW w:w="2640" w:type="dxa"/>
            <w:vAlign w:val="bottom"/>
            <w:tcBorders>
              <w:top w:val="single" w:sz="8" w:color="CCEE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disclosed above, effective April 1, 2013, we terminated the hedging program for our fair value MSRs and closed out the remaining economic hedge positions.</w:t>
      </w:r>
    </w:p>
    <w:p>
      <w:pPr>
        <w:spacing w:after="0" w:line="14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used June 30, 2013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Borrowings</w:t>
      </w:r>
    </w:p>
    <w:p>
      <w:pPr>
        <w:spacing w:after="0" w:line="18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14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Based on June 30, 2013 balances, if interest rates were to increase by 1% on our variable rate debt (excluding our SSTL) and interest earning cash and float balances, we estimate a net positive impact of $53.0 million resulting from an increase of $80.6 million in annual interest income and an increase of $27.6 million in annual interest expense. See the tables below and Note 18 – Derivative Financial Instruments and Hedging Activities to the unaudited Consolidated Financial Statements for additional information regarding our use of derivatives.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Borders>
              <w:bottom w:val="single" w:sz="8" w:color="CCEECC"/>
            </w:tcBorders>
          </w:tcPr>
          <w:p>
            <w:pPr>
              <w:spacing w:after="0"/>
              <w:rPr>
                <w:sz w:val="20"/>
                <w:szCs w:val="20"/>
                <w:color w:val="auto"/>
              </w:rPr>
            </w:pPr>
          </w:p>
        </w:tc>
        <w:tc>
          <w:tcPr>
            <w:tcW w:w="180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CC"/>
          </w:tcPr>
          <w:p>
            <w:pPr>
              <w:spacing w:after="0"/>
              <w:rPr>
                <w:sz w:val="20"/>
                <w:szCs w:val="20"/>
                <w:color w:val="auto"/>
              </w:rPr>
            </w:pPr>
            <w:r>
              <w:rPr>
                <w:rFonts w:ascii="Arial" w:cs="Arial" w:eastAsia="Arial" w:hAnsi="Arial"/>
                <w:sz w:val="18"/>
                <w:szCs w:val="18"/>
                <w:color w:val="auto"/>
              </w:rPr>
              <w:t>Fixed-rate borrowings</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Variable-rate borrowings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Match funded servicing advance facilities (3)</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2,391,832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Senior secured term loan (1)</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Lending warehouse facilities</w:t>
            </w:r>
          </w:p>
        </w:tc>
        <w:tc>
          <w:tcPr>
            <w:tcW w:w="18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339,979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CC"/>
            </w:tcBorders>
            <w:shd w:val="clear" w:color="auto" w:fill="CCEECC"/>
          </w:tcPr>
          <w:p>
            <w:pPr>
              <w:spacing w:after="0"/>
              <w:rPr>
                <w:sz w:val="18"/>
                <w:szCs w:val="18"/>
                <w:color w:val="auto"/>
              </w:rPr>
            </w:pPr>
          </w:p>
        </w:tc>
        <w:tc>
          <w:tcPr>
            <w:tcW w:w="18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4,057,871</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borrowings outstanding (2)</w:t>
            </w:r>
          </w:p>
        </w:tc>
        <w:tc>
          <w:tcPr>
            <w:tcW w:w="18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CC"/>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 (3)</w:t>
            </w:r>
          </w:p>
        </w:tc>
        <w:tc>
          <w:tcPr>
            <w:tcW w:w="1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7,625,280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Balance excludes the unamortized discount of $6.0 million.</w:t>
      </w:r>
    </w:p>
    <w:p>
      <w:pPr>
        <w:spacing w:after="0" w:line="198" w:lineRule="exact"/>
        <w:rPr>
          <w:rFonts w:ascii="Arial" w:cs="Arial" w:eastAsia="Arial" w:hAnsi="Arial"/>
          <w:sz w:val="18"/>
          <w:szCs w:val="18"/>
          <w:color w:val="auto"/>
        </w:rPr>
      </w:pPr>
    </w:p>
    <w:p>
      <w:pPr>
        <w:ind w:left="320" w:right="80" w:hanging="312"/>
        <w:spacing w:after="0" w:line="276"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Total borrowings exclude the financing liabilities recognized in connection with sales of MSRs. Total borrowings also exclude Secured borrowings – owed to securitization investors because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See Note 15 – Other Borrowings to the unaudited Consolidated Financial Statements for additional information.</w:t>
      </w:r>
    </w:p>
    <w:p>
      <w:pPr>
        <w:spacing w:after="0" w:line="132" w:lineRule="exact"/>
        <w:rPr>
          <w:rFonts w:ascii="Arial" w:cs="Arial" w:eastAsia="Arial" w:hAnsi="Arial"/>
          <w:sz w:val="17"/>
          <w:szCs w:val="17"/>
          <w:color w:val="auto"/>
        </w:rPr>
      </w:pPr>
    </w:p>
    <w:p>
      <w:pPr>
        <w:ind w:left="320" w:right="80" w:hanging="312"/>
        <w:spacing w:after="0" w:line="264"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May 31, 2013, we terminated our remaining interest rates swaps that we had purchased to hedge against the effects of changes in interest rates on our borrowings under advance funding facilities. Float balances, which earn a variable rate of interest, are well in excess of variable rate borrowings under advance facilities and therefore reduce our exposure to changes in interest rates.</w:t>
      </w:r>
    </w:p>
    <w:p>
      <w:pPr>
        <w:spacing w:after="0" w:line="14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Excluding Loans – restricted for securitization investors, our Consolidated Balance Sheet at June 30, 2013 and December 31, 2012 included interest-earning assets totaling $560.0 million and $738.6 million, respectively. Interest-earning assets at June 30, 2013 are comprised of $75.0 million of interest-earning cash accounts, $84.2 million of debt service accounts, $5.7 million of interest-earning collateral deposit and $395.1 million of loans held for sale (fair value and lower of cost or fair value combined).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“Overview - Liquidity Summary” and “Liquidity and Capital Resources” for additional discussions of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202"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We sell our loans on a non-recourse basis. However, we also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If there is no breach of a representation and warranty provision, we have no obligation to repurchase the loan or indemnify the investor against loss. The outstanding UPB of loans sold by us represents the maximum potential exposure related to representation and warranty provisions.</w:t>
      </w:r>
    </w:p>
    <w:p>
      <w:pPr>
        <w:spacing w:after="0" w:line="13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reserve for losses on loans that may be repurchased or indemnified as a result of breaches of representations and warranties on our sold loans. We base our estimate on our most recent data regarding loan repurchases and indemnity payments, actual credit losses on repurchased loans and recovery history, among other factors. Internal factors that affect our estimate include, among other things, level of loan sales, to whom the loans are sold, the expectation of credit loss on repurchases and indemnifications, our success rate at appealing repurchase demands and our ability to recover any losses from third parties. External factors that may affect our estimate include, among other things, the overall economic condition in the housing market, the economic condition of borrowers, the political environment at GSEs and the overall U.S. and world economy. Many of the factors are beyond our control and may lead to judgments that are susceptible to change.</w:t>
      </w:r>
    </w:p>
    <w:p>
      <w:pPr>
        <w:spacing w:after="0" w:line="1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not subject to the majority of the credit-related risk inherent in maintaining a mortgage loan portfolio because we do not hold loans for investment purposes. We generally sell newly originated loans in the secondary market within 20 days of origination.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Credit risk represents the potential loss that may occur because a party to a transaction fails to perform according to the terms of the contract. The measure of credit exposure is the replacement cost of contracts with a positive fair value. We manage credit risk by entering into financial instrument transactions through national exchanges, primary dealers or approved counterparties and the use of mutual margining agreements whenever possible to limit potential exposure. We are exposed to counterparty credit risk in the event of non-performance by counterparties to various agreements. We manage such risk by monitoring the credit ratings of our counterparties and do not anticipate losses due to counterparty nonperformance.</w:t>
      </w:r>
    </w:p>
    <w:p>
      <w:pPr>
        <w:spacing w:after="0" w:line="146"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Counterparty credit risk exists with our third party originators from whom we purchase originated mortgage loans. The third party originators incur a representation and warranty obligation when we acquire the mortgage loan from them, and they agree to reimburse us for any losses incurred due to an origination defect. We become exposed to losses for origination defects if the third party originator is not able to reimburse us for losses incurred for indemnification or repurchase. We mitigate this risk by monitoring purchase limits from our third party originators (to reduce any concentration exposure), quality control reviews of the third party originators, underwriting standards and monitoring the credit worthiness of third party originators on a periodic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We periodically enter into foreign exchange forward contracts to hedge against the effect of changes in the value of the India Rupee (INR) on amounts payable to our India subsidiary, OFSPL. Our operations in Uruguay expose us to foreign currency exchange rate risk, but we consider this risk to be insignificant.</w:t>
      </w:r>
    </w:p>
    <w:p>
      <w:pPr>
        <w:spacing w:after="0" w:line="1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June 30, 2013. Based on this evaluation, our Chief Executive Officer and Chief Financial Officer concluded that, as of June 30, 2013, our disclosure controls and procedures</w:t>
      </w:r>
    </w:p>
    <w:p>
      <w:pPr>
        <w:ind w:firstLine="8"/>
        <w:spacing w:after="0" w:line="252"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54"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June 30, 2013 that has materially affected, or is reasonably likely to materially affect, our internal control over financial reporting.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ind w:right="1340" w:firstLine="324"/>
        <w:spacing w:after="0" w:line="461" w:lineRule="auto"/>
        <w:rPr>
          <w:sz w:val="20"/>
          <w:szCs w:val="20"/>
          <w:color w:val="auto"/>
        </w:rPr>
      </w:pPr>
      <w:r>
        <w:rPr>
          <w:rFonts w:ascii="Arial" w:cs="Arial" w:eastAsia="Arial" w:hAnsi="Arial"/>
          <w:sz w:val="18"/>
          <w:szCs w:val="18"/>
          <w:color w:val="auto"/>
        </w:rPr>
        <w:t xml:space="preserve">See Note 24 – Commitments and Contingencies to the Consolidated Financial Statements for information regarding legal proceedings. </w:t>
      </w:r>
      <w:r>
        <w:rPr>
          <w:rFonts w:ascii="Arial" w:cs="Arial" w:eastAsia="Arial" w:hAnsi="Arial"/>
          <w:sz w:val="18"/>
          <w:szCs w:val="18"/>
          <w:b w:val="1"/>
          <w:bCs w:val="1"/>
          <w:color w:val="auto"/>
        </w:rPr>
        <w:t>ITEM 1A. RISK FACTORS</w:t>
      </w:r>
    </w:p>
    <w:p>
      <w:pPr>
        <w:spacing w:after="0" w:line="2"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We include a discussion of the principal risks and uncertainties that affect or could affect our business operations under Item 1A on pages 19 through 32 of our Annual Report on Form 10-K for the year ended December 31, 2012 which should be read in conjunction with such disclosures.</w:t>
      </w:r>
    </w:p>
    <w:p>
      <w:pPr>
        <w:spacing w:after="0" w:line="1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5"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1720" w:hanging="679"/>
        <w:spacing w:after="0" w:line="261" w:lineRule="auto"/>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Mortgage Servicing Rights Purchase and Sale Agreement between Ocwen Loan Servicing, LLC and One West Bank, FSB dated as of June 13, 2013 (1)</w:t>
      </w:r>
    </w:p>
    <w:p>
      <w:pPr>
        <w:spacing w:after="0" w:line="184"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9780" w:type="dxa"/>
            <w:vAlign w:val="bottom"/>
          </w:tcPr>
          <w:p>
            <w:pPr>
              <w:ind w:left="80"/>
              <w:spacing w:after="0"/>
              <w:rPr>
                <w:sz w:val="20"/>
                <w:szCs w:val="20"/>
                <w:color w:val="auto"/>
              </w:rPr>
            </w:pPr>
            <w:r>
              <w:rPr>
                <w:rFonts w:ascii="Arial" w:cs="Arial" w:eastAsia="Arial" w:hAnsi="Arial"/>
                <w:sz w:val="18"/>
                <w:szCs w:val="18"/>
                <w:color w:val="auto"/>
              </w:rPr>
              <w:t>Articles of Amendment to Articles of Incorporation (3)</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9780" w:type="dxa"/>
            <w:vAlign w:val="bottom"/>
          </w:tcPr>
          <w:p>
            <w:pPr>
              <w:ind w:left="80"/>
              <w:spacing w:after="0"/>
              <w:rPr>
                <w:sz w:val="20"/>
                <w:szCs w:val="20"/>
                <w:color w:val="auto"/>
              </w:rPr>
            </w:pPr>
            <w:r>
              <w:rPr>
                <w:rFonts w:ascii="Arial" w:cs="Arial" w:eastAsia="Arial" w:hAnsi="Arial"/>
                <w:sz w:val="18"/>
                <w:szCs w:val="18"/>
                <w:color w:val="auto"/>
              </w:rPr>
              <w:t>Articles of Correction (3)</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9780" w:type="dxa"/>
            <w:vAlign w:val="bottom"/>
          </w:tcPr>
          <w:p>
            <w:pPr>
              <w:ind w:left="80"/>
              <w:spacing w:after="0"/>
              <w:rPr>
                <w:sz w:val="20"/>
                <w:szCs w:val="20"/>
                <w:color w:val="auto"/>
              </w:rPr>
            </w:pPr>
            <w:r>
              <w:rPr>
                <w:rFonts w:ascii="Arial" w:cs="Arial" w:eastAsia="Arial" w:hAnsi="Arial"/>
                <w:sz w:val="18"/>
                <w:szCs w:val="18"/>
                <w:color w:val="auto"/>
              </w:rPr>
              <w:t>Articles of Amendment to Articles of Incorporation (4)</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9780" w:type="dxa"/>
            <w:vAlign w:val="bottom"/>
          </w:tcPr>
          <w:p>
            <w:pPr>
              <w:ind w:left="8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418"/>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9780" w:type="dxa"/>
            <w:vAlign w:val="bottom"/>
          </w:tcPr>
          <w:p>
            <w:pPr>
              <w:ind w:left="80"/>
              <w:spacing w:after="0"/>
              <w:rPr>
                <w:sz w:val="20"/>
                <w:szCs w:val="20"/>
                <w:color w:val="auto"/>
              </w:rPr>
            </w:pPr>
            <w:r>
              <w:rPr>
                <w:rFonts w:ascii="Arial" w:cs="Arial" w:eastAsia="Arial" w:hAnsi="Arial"/>
                <w:sz w:val="18"/>
                <w:szCs w:val="18"/>
                <w:color w:val="auto"/>
                <w:w w:val="98"/>
              </w:rPr>
              <w:t>Agreement, dated as of April 12, 2013, by and among Altisource Solutions S.à r.l., Ocwen Financial Corporation and Ocwen</w:t>
            </w:r>
          </w:p>
        </w:tc>
      </w:tr>
      <w:tr>
        <w:trPr>
          <w:trHeight w:val="230"/>
        </w:trPr>
        <w:tc>
          <w:tcPr>
            <w:tcW w:w="164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Mortgage Servicing, Inc. (6)</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9780" w:type="dxa"/>
            <w:vAlign w:val="bottom"/>
          </w:tcPr>
          <w:p>
            <w:pPr>
              <w:ind w:left="80"/>
              <w:spacing w:after="0"/>
              <w:rPr>
                <w:sz w:val="20"/>
                <w:szCs w:val="20"/>
                <w:color w:val="auto"/>
              </w:rPr>
            </w:pPr>
            <w:r>
              <w:rPr>
                <w:rFonts w:ascii="Arial" w:cs="Arial" w:eastAsia="Arial" w:hAnsi="Arial"/>
                <w:sz w:val="18"/>
                <w:szCs w:val="18"/>
                <w:color w:val="auto"/>
              </w:rPr>
              <w:t>Guarantee between Ocwen Financial Corporation and OneWest Bank, FSB dated as of June 13, 2013 (1)</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11.1</w:t>
            </w:r>
          </w:p>
        </w:tc>
        <w:tc>
          <w:tcPr>
            <w:tcW w:w="9780" w:type="dxa"/>
            <w:vAlign w:val="bottom"/>
          </w:tcPr>
          <w:p>
            <w:pPr>
              <w:ind w:left="80"/>
              <w:spacing w:after="0"/>
              <w:rPr>
                <w:sz w:val="20"/>
                <w:szCs w:val="20"/>
                <w:color w:val="auto"/>
              </w:rPr>
            </w:pPr>
            <w:r>
              <w:rPr>
                <w:rFonts w:ascii="Arial" w:cs="Arial" w:eastAsia="Arial" w:hAnsi="Arial"/>
                <w:sz w:val="18"/>
                <w:szCs w:val="18"/>
                <w:color w:val="auto"/>
              </w:rPr>
              <w:t>Computation of earnings per share (7)</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31.1</w:t>
            </w:r>
          </w:p>
        </w:tc>
        <w:tc>
          <w:tcPr>
            <w:tcW w:w="9780" w:type="dxa"/>
            <w:vAlign w:val="bottom"/>
          </w:tcPr>
          <w:p>
            <w:pPr>
              <w:ind w:left="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432"/>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31.2</w:t>
            </w:r>
          </w:p>
        </w:tc>
        <w:tc>
          <w:tcPr>
            <w:tcW w:w="9780" w:type="dxa"/>
            <w:vAlign w:val="bottom"/>
          </w:tcPr>
          <w:p>
            <w:pPr>
              <w:ind w:left="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418"/>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32.1</w:t>
            </w:r>
          </w:p>
        </w:tc>
        <w:tc>
          <w:tcPr>
            <w:tcW w:w="9780" w:type="dxa"/>
            <w:vAlign w:val="bottom"/>
          </w:tcPr>
          <w:p>
            <w:pPr>
              <w:ind w:left="8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w:t>
            </w:r>
          </w:p>
        </w:tc>
      </w:tr>
      <w:tr>
        <w:trPr>
          <w:trHeight w:val="230"/>
        </w:trPr>
        <w:tc>
          <w:tcPr>
            <w:tcW w:w="164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Oxley Act of 2002 (filed herewith)</w:t>
            </w:r>
          </w:p>
        </w:tc>
      </w:tr>
      <w:tr>
        <w:trPr>
          <w:trHeight w:val="418"/>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32.2</w:t>
            </w:r>
          </w:p>
        </w:tc>
        <w:tc>
          <w:tcPr>
            <w:tcW w:w="9780" w:type="dxa"/>
            <w:vAlign w:val="bottom"/>
          </w:tcPr>
          <w:p>
            <w:pPr>
              <w:ind w:left="8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w:t>
            </w:r>
          </w:p>
        </w:tc>
      </w:tr>
      <w:tr>
        <w:trPr>
          <w:trHeight w:val="230"/>
        </w:trPr>
        <w:tc>
          <w:tcPr>
            <w:tcW w:w="164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Oxley Act of 2002 (filed herewith)</w:t>
            </w:r>
          </w:p>
        </w:tc>
      </w:tr>
      <w:tr>
        <w:trPr>
          <w:trHeight w:val="432"/>
        </w:trPr>
        <w:tc>
          <w:tcPr>
            <w:tcW w:w="1640" w:type="dxa"/>
            <w:vAlign w:val="bottom"/>
          </w:tcPr>
          <w:p>
            <w:pPr>
              <w:ind w:left="900"/>
              <w:spacing w:after="0"/>
              <w:rPr>
                <w:sz w:val="20"/>
                <w:szCs w:val="20"/>
                <w:color w:val="auto"/>
              </w:rPr>
            </w:pPr>
            <w:r>
              <w:rPr>
                <w:rFonts w:ascii="Arial" w:cs="Arial" w:eastAsia="Arial" w:hAnsi="Arial"/>
                <w:sz w:val="18"/>
                <w:szCs w:val="18"/>
                <w:color w:val="auto"/>
              </w:rPr>
              <w:t>101.INS</w:t>
            </w:r>
          </w:p>
        </w:tc>
        <w:tc>
          <w:tcPr>
            <w:tcW w:w="9780" w:type="dxa"/>
            <w:vAlign w:val="bottom"/>
          </w:tcPr>
          <w:p>
            <w:pPr>
              <w:ind w:left="80"/>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640" w:type="dxa"/>
            <w:vAlign w:val="bottom"/>
          </w:tcPr>
          <w:p>
            <w:pPr>
              <w:ind w:left="900"/>
              <w:spacing w:after="0"/>
              <w:rPr>
                <w:sz w:val="20"/>
                <w:szCs w:val="20"/>
                <w:color w:val="auto"/>
              </w:rPr>
            </w:pPr>
            <w:r>
              <w:rPr>
                <w:rFonts w:ascii="Arial" w:cs="Arial" w:eastAsia="Arial" w:hAnsi="Arial"/>
                <w:sz w:val="18"/>
                <w:szCs w:val="18"/>
                <w:color w:val="auto"/>
                <w:w w:val="98"/>
              </w:rPr>
              <w:t>101.SCH</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432"/>
        </w:trPr>
        <w:tc>
          <w:tcPr>
            <w:tcW w:w="1640" w:type="dxa"/>
            <w:vAlign w:val="bottom"/>
          </w:tcPr>
          <w:p>
            <w:pPr>
              <w:ind w:left="880"/>
              <w:spacing w:after="0"/>
              <w:rPr>
                <w:sz w:val="20"/>
                <w:szCs w:val="20"/>
                <w:color w:val="auto"/>
              </w:rPr>
            </w:pPr>
            <w:r>
              <w:rPr>
                <w:rFonts w:ascii="Arial" w:cs="Arial" w:eastAsia="Arial" w:hAnsi="Arial"/>
                <w:sz w:val="18"/>
                <w:szCs w:val="18"/>
                <w:color w:val="auto"/>
              </w:rPr>
              <w:t>101.CAL</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432"/>
        </w:trPr>
        <w:tc>
          <w:tcPr>
            <w:tcW w:w="1640" w:type="dxa"/>
            <w:vAlign w:val="bottom"/>
          </w:tcPr>
          <w:p>
            <w:pPr>
              <w:jc w:val="right"/>
              <w:ind w:right="30"/>
              <w:spacing w:after="0"/>
              <w:rPr>
                <w:sz w:val="20"/>
                <w:szCs w:val="20"/>
                <w:color w:val="auto"/>
              </w:rPr>
            </w:pPr>
            <w:r>
              <w:rPr>
                <w:rFonts w:ascii="Arial" w:cs="Arial" w:eastAsia="Arial" w:hAnsi="Arial"/>
                <w:sz w:val="18"/>
                <w:szCs w:val="18"/>
                <w:color w:val="auto"/>
              </w:rPr>
              <w:t>101.DEF</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432"/>
        </w:trPr>
        <w:tc>
          <w:tcPr>
            <w:tcW w:w="1640" w:type="dxa"/>
            <w:vAlign w:val="bottom"/>
          </w:tcPr>
          <w:p>
            <w:pPr>
              <w:ind w:left="880"/>
              <w:spacing w:after="0"/>
              <w:rPr>
                <w:sz w:val="20"/>
                <w:szCs w:val="20"/>
                <w:color w:val="auto"/>
              </w:rPr>
            </w:pPr>
            <w:r>
              <w:rPr>
                <w:rFonts w:ascii="Arial" w:cs="Arial" w:eastAsia="Arial" w:hAnsi="Arial"/>
                <w:sz w:val="18"/>
                <w:szCs w:val="18"/>
                <w:color w:val="auto"/>
              </w:rPr>
              <w:t>101.LAB</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432"/>
        </w:trPr>
        <w:tc>
          <w:tcPr>
            <w:tcW w:w="1640" w:type="dxa"/>
            <w:vAlign w:val="bottom"/>
          </w:tcPr>
          <w:p>
            <w:pPr>
              <w:ind w:left="880"/>
              <w:spacing w:after="0"/>
              <w:rPr>
                <w:sz w:val="20"/>
                <w:szCs w:val="20"/>
                <w:color w:val="auto"/>
              </w:rPr>
            </w:pPr>
            <w:r>
              <w:rPr>
                <w:rFonts w:ascii="Arial" w:cs="Arial" w:eastAsia="Arial" w:hAnsi="Arial"/>
                <w:sz w:val="18"/>
                <w:szCs w:val="18"/>
                <w:color w:val="auto"/>
              </w:rPr>
              <w:t>101.PRE</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54"/>
        </w:trPr>
        <w:tc>
          <w:tcPr>
            <w:tcW w:w="164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196" w:lineRule="exact"/>
        <w:rPr>
          <w:rFonts w:ascii="Arial" w:cs="Arial" w:eastAsia="Arial" w:hAnsi="Arial"/>
          <w:sz w:val="17"/>
          <w:szCs w:val="17"/>
          <w:color w:val="auto"/>
        </w:rPr>
      </w:pPr>
    </w:p>
    <w:p>
      <w:pPr>
        <w:ind w:left="460" w:right="20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29" w:lineRule="exact"/>
        <w:rPr>
          <w:rFonts w:ascii="Arial" w:cs="Arial" w:eastAsia="Arial" w:hAnsi="Arial"/>
          <w:sz w:val="18"/>
          <w:szCs w:val="18"/>
          <w:color w:val="auto"/>
        </w:rPr>
      </w:pPr>
    </w:p>
    <w:p>
      <w:pPr>
        <w:ind w:left="460" w:right="74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spacing w:after="0" w:line="143"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99.1 of the Registrant’s Form 8-K filed with the SEC on January 6, 2011.</w:t>
      </w:r>
    </w:p>
    <w:p>
      <w:pPr>
        <w:spacing w:after="0" w:line="184"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May 10, 2013.</w:t>
      </w:r>
    </w:p>
    <w:p>
      <w:pPr>
        <w:spacing w:after="0" w:line="184"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9" w:lineRule="exact"/>
        <w:rPr>
          <w:rFonts w:ascii="Arial" w:cs="Arial" w:eastAsia="Arial" w:hAnsi="Arial"/>
          <w:sz w:val="17"/>
          <w:szCs w:val="17"/>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Note 20 – Basic and Diluted Earnings per Share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560" w:val="left"/>
          <w:tab w:leader="none" w:pos="5140" w:val="left"/>
        </w:tabs>
        <w:rPr>
          <w:sz w:val="20"/>
          <w:szCs w:val="20"/>
          <w:color w:val="auto"/>
        </w:rPr>
      </w:pPr>
      <w:r>
        <w:rPr>
          <w:rFonts w:ascii="Arial" w:cs="Arial" w:eastAsia="Arial" w:hAnsi="Arial"/>
          <w:sz w:val="18"/>
          <w:szCs w:val="18"/>
          <w:color w:val="auto"/>
        </w:rPr>
        <w:t>Date:</w:t>
        <w:tab/>
        <w:t>August 5, 2013</w:t>
      </w:r>
      <w:r>
        <w:rPr>
          <w:sz w:val="20"/>
          <w:szCs w:val="20"/>
          <w:color w:val="auto"/>
        </w:rPr>
        <w:tab/>
      </w:r>
      <w:r>
        <w:rPr>
          <w:rFonts w:ascii="Arial" w:cs="Arial" w:eastAsia="Arial" w:hAnsi="Arial"/>
          <w:sz w:val="16"/>
          <w:szCs w:val="16"/>
          <w:color w:val="auto"/>
        </w:rPr>
        <w:t>By: /s/ John V. Britti</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198"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660" w:right="4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tabs>
          <w:tab w:leader="none" w:pos="640" w:val="left"/>
          <w:tab w:leader="none" w:pos="4100" w:val="left"/>
        </w:tabs>
        <w:rPr>
          <w:sz w:val="20"/>
          <w:szCs w:val="20"/>
          <w:color w:val="auto"/>
        </w:rPr>
      </w:pPr>
      <w:r>
        <w:rPr>
          <w:rFonts w:ascii="Arial" w:cs="Arial" w:eastAsia="Arial" w:hAnsi="Arial"/>
          <w:sz w:val="18"/>
          <w:szCs w:val="18"/>
          <w:color w:val="auto"/>
        </w:rPr>
        <w:t>Date:</w:t>
        <w:tab/>
        <w:t>August 5, 2013</w:t>
      </w:r>
      <w:r>
        <w:rPr>
          <w:sz w:val="20"/>
          <w:szCs w:val="20"/>
          <w:color w:val="auto"/>
        </w:rPr>
        <w:tab/>
      </w:r>
      <w:r>
        <w:rPr>
          <w:rFonts w:ascii="Arial" w:cs="Arial" w:eastAsia="Arial" w:hAnsi="Arial"/>
          <w:sz w:val="16"/>
          <w:szCs w:val="16"/>
          <w:color w:val="auto"/>
        </w:rPr>
        <w:t>/s/ Ronald M. Faris</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-130175</wp:posOffset>
            </wp:positionV>
            <wp:extent cx="46310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72" w:name="page73"/>
    <w:bookmarkEnd w:id="72"/>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198"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660" w:right="4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640" w:val="left"/>
          <w:tab w:leader="none" w:pos="4100" w:val="left"/>
        </w:tabs>
        <w:rPr>
          <w:sz w:val="20"/>
          <w:szCs w:val="20"/>
          <w:color w:val="auto"/>
        </w:rPr>
      </w:pPr>
      <w:r>
        <w:rPr>
          <w:rFonts w:ascii="Arial" w:cs="Arial" w:eastAsia="Arial" w:hAnsi="Arial"/>
          <w:sz w:val="18"/>
          <w:szCs w:val="18"/>
          <w:color w:val="auto"/>
        </w:rPr>
        <w:t>Date:</w:t>
        <w:tab/>
        <w:t>August 5, 2013</w:t>
      </w:r>
      <w:r>
        <w:rPr>
          <w:sz w:val="20"/>
          <w:szCs w:val="20"/>
          <w:color w:val="auto"/>
        </w:rPr>
        <w:tab/>
      </w:r>
      <w:r>
        <w:rPr>
          <w:rFonts w:ascii="Arial" w:cs="Arial" w:eastAsia="Arial" w:hAnsi="Arial"/>
          <w:sz w:val="16"/>
          <w:szCs w:val="16"/>
          <w:color w:val="auto"/>
        </w:rPr>
        <w:t>/s/ John V. Britti</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-130175</wp:posOffset>
            </wp:positionV>
            <wp:extent cx="46310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73" w:name="page74"/>
    <w:bookmarkEnd w:id="73"/>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198"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84"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2013 (the “periodic report”) containing financial statements fully complies with the requirements of Section 13(a) or 15(d), as applicable, of the Securities Exchange Act of 1934 (15 U.S.C. 78m or 78o(d)); and</w:t>
      </w:r>
    </w:p>
    <w:p>
      <w:pPr>
        <w:spacing w:after="0" w:line="154"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1038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0380" w:type="dxa"/>
            <w:vAlign w:val="bottom"/>
          </w:tcPr>
          <w:p>
            <w:pPr>
              <w:spacing w:after="0"/>
              <w:rPr>
                <w:sz w:val="20"/>
                <w:szCs w:val="20"/>
                <w:color w:val="auto"/>
              </w:rPr>
            </w:pPr>
            <w:r>
              <w:rPr>
                <w:rFonts w:ascii="Arial" w:cs="Arial" w:eastAsia="Arial" w:hAnsi="Arial"/>
                <w:sz w:val="18"/>
                <w:szCs w:val="18"/>
                <w:color w:val="auto"/>
              </w:rPr>
              <w:t>August 5, 2013</w:t>
            </w:r>
          </w:p>
        </w:tc>
      </w:tr>
      <w:tr>
        <w:trPr>
          <w:trHeight w:val="453"/>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74" w:name="page75"/>
    <w:bookmarkEnd w:id="74"/>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19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84"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2013 (the “periodic report”) containing financial statements fully complies with the requirements of Section 13(a) or 15(d), as applicable, of the Securities Exchange Act of 1934 (15 U.S.C. 78m or 78o(d)); and</w:t>
      </w:r>
    </w:p>
    <w:p>
      <w:pPr>
        <w:spacing w:after="0" w:line="154"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10380" w:type="dxa"/>
            <w:vAlign w:val="bottom"/>
          </w:tcPr>
          <w:p>
            <w:pPr>
              <w:spacing w:after="0" w:line="201"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0380" w:type="dxa"/>
            <w:vAlign w:val="bottom"/>
          </w:tcPr>
          <w:p>
            <w:pPr>
              <w:spacing w:after="0"/>
              <w:rPr>
                <w:sz w:val="20"/>
                <w:szCs w:val="20"/>
                <w:color w:val="auto"/>
              </w:rPr>
            </w:pPr>
            <w:r>
              <w:rPr>
                <w:rFonts w:ascii="Arial" w:cs="Arial" w:eastAsia="Arial" w:hAnsi="Arial"/>
                <w:sz w:val="18"/>
                <w:szCs w:val="18"/>
                <w:color w:val="auto"/>
              </w:rPr>
              <w:t>August 5, 2013</w:t>
            </w:r>
          </w:p>
        </w:tc>
      </w:tr>
      <w:tr>
        <w:trPr>
          <w:trHeight w:val="453"/>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764"/>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lowerRoman"/>
      <w:start w:val="2"/>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4"/>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o"/>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4"/>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3"/>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
      <w:numFmt w:val="bullet"/>
      <w:start w:val="1"/>
    </w:lvl>
  </w:abstractNum>
  <w:abstractNum w:abstractNumId="63">
    <w:nsid w:val="310C50B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2019-12-06T05:39:43Z</dcterms:created>
  <dcterms:modified xsi:type="dcterms:W3CDTF">2019-12-06T05:39:43Z</dcterms:modified>
</cp:coreProperties>
</file>