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97"/>
        </w:trPr>
        <w:tc>
          <w:tcPr>
            <w:tcW w:w="1980" w:type="dxa"/>
            <w:vAlign w:val="bottom"/>
          </w:tcPr>
          <w:p>
            <w:pPr>
              <w:spacing w:after="0"/>
              <w:rPr>
                <w:sz w:val="24"/>
                <w:szCs w:val="24"/>
                <w:color w:val="auto"/>
              </w:rPr>
            </w:pPr>
          </w:p>
        </w:tc>
        <w:tc>
          <w:tcPr>
            <w:tcW w:w="5960" w:type="dxa"/>
            <w:vAlign w:val="bottom"/>
            <w:gridSpan w:val="2"/>
          </w:tcPr>
          <w:p>
            <w:pPr>
              <w:jc w:val="center"/>
              <w:ind w:left="1387"/>
              <w:spacing w:after="0"/>
              <w:rPr>
                <w:sz w:val="20"/>
                <w:szCs w:val="20"/>
                <w:color w:val="auto"/>
              </w:rPr>
            </w:pPr>
            <w:r>
              <w:rPr>
                <w:rFonts w:ascii="Arial" w:cs="Arial" w:eastAsia="Arial" w:hAnsi="Arial"/>
                <w:sz w:val="25"/>
                <w:szCs w:val="25"/>
                <w:b w:val="1"/>
                <w:bCs w:val="1"/>
                <w:color w:val="auto"/>
                <w:w w:val="99"/>
              </w:rPr>
              <w:t>UNITED STATES</w:t>
            </w:r>
          </w:p>
        </w:tc>
        <w:tc>
          <w:tcPr>
            <w:tcW w:w="940" w:type="dxa"/>
            <w:vAlign w:val="bottom"/>
          </w:tcPr>
          <w:p>
            <w:pPr>
              <w:spacing w:after="0"/>
              <w:rPr>
                <w:sz w:val="24"/>
                <w:szCs w:val="24"/>
                <w:color w:val="auto"/>
              </w:rPr>
            </w:pPr>
          </w:p>
        </w:tc>
        <w:tc>
          <w:tcPr>
            <w:tcW w:w="2180" w:type="dxa"/>
            <w:vAlign w:val="bottom"/>
            <w:gridSpan w:val="2"/>
            <w:vMerge w:val="restart"/>
          </w:tcPr>
          <w:p>
            <w:pPr>
              <w:jc w:val="center"/>
              <w:ind w:left="530"/>
              <w:spacing w:after="0"/>
              <w:rPr>
                <w:sz w:val="20"/>
                <w:szCs w:val="20"/>
                <w:color w:val="auto"/>
              </w:rPr>
            </w:pPr>
            <w:r>
              <w:rPr>
                <w:rFonts w:ascii="Arial" w:cs="Arial" w:eastAsia="Arial" w:hAnsi="Arial"/>
                <w:sz w:val="18"/>
                <w:szCs w:val="18"/>
                <w:color w:val="auto"/>
                <w:w w:val="95"/>
              </w:rPr>
              <w:t>SEC FILE NUMBER</w:t>
            </w:r>
          </w:p>
        </w:tc>
        <w:tc>
          <w:tcPr>
            <w:tcW w:w="0" w:type="dxa"/>
            <w:vAlign w:val="bottom"/>
          </w:tcPr>
          <w:p>
            <w:pPr>
              <w:spacing w:after="0"/>
              <w:rPr>
                <w:sz w:val="1"/>
                <w:szCs w:val="1"/>
                <w:color w:val="auto"/>
              </w:rPr>
            </w:pPr>
          </w:p>
        </w:tc>
      </w:tr>
      <w:tr>
        <w:trPr>
          <w:trHeight w:val="90"/>
        </w:trPr>
        <w:tc>
          <w:tcPr>
            <w:tcW w:w="1980" w:type="dxa"/>
            <w:vAlign w:val="bottom"/>
          </w:tcPr>
          <w:p>
            <w:pPr>
              <w:spacing w:after="0"/>
              <w:rPr>
                <w:sz w:val="7"/>
                <w:szCs w:val="7"/>
                <w:color w:val="auto"/>
              </w:rPr>
            </w:pPr>
          </w:p>
        </w:tc>
        <w:tc>
          <w:tcPr>
            <w:tcW w:w="6900" w:type="dxa"/>
            <w:vAlign w:val="bottom"/>
            <w:gridSpan w:val="3"/>
            <w:vMerge w:val="restart"/>
          </w:tcPr>
          <w:p>
            <w:pPr>
              <w:jc w:val="center"/>
              <w:ind w:left="447"/>
              <w:spacing w:after="0"/>
              <w:rPr>
                <w:sz w:val="20"/>
                <w:szCs w:val="20"/>
                <w:color w:val="auto"/>
              </w:rPr>
            </w:pPr>
            <w:r>
              <w:rPr>
                <w:rFonts w:ascii="Arial" w:cs="Arial" w:eastAsia="Arial" w:hAnsi="Arial"/>
                <w:sz w:val="25"/>
                <w:szCs w:val="25"/>
                <w:b w:val="1"/>
                <w:bCs w:val="1"/>
                <w:color w:val="auto"/>
              </w:rPr>
              <w:t>SECURITIES AND EXCHANGE COMMISSION</w:t>
            </w:r>
          </w:p>
        </w:tc>
        <w:tc>
          <w:tcPr>
            <w:tcW w:w="2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6900" w:type="dxa"/>
            <w:vAlign w:val="bottom"/>
            <w:gridSpan w:val="3"/>
            <w:vMerge w:val="continue"/>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1-13219</w:t>
            </w:r>
          </w:p>
        </w:tc>
        <w:tc>
          <w:tcPr>
            <w:tcW w:w="0" w:type="dxa"/>
            <w:vAlign w:val="bottom"/>
          </w:tcPr>
          <w:p>
            <w:pPr>
              <w:spacing w:after="0"/>
              <w:rPr>
                <w:sz w:val="1"/>
                <w:szCs w:val="1"/>
                <w:color w:val="auto"/>
              </w:rPr>
            </w:pPr>
          </w:p>
        </w:tc>
      </w:tr>
      <w:tr>
        <w:trPr>
          <w:trHeight w:val="229"/>
        </w:trPr>
        <w:tc>
          <w:tcPr>
            <w:tcW w:w="1980" w:type="dxa"/>
            <w:vAlign w:val="bottom"/>
          </w:tcPr>
          <w:p>
            <w:pPr>
              <w:spacing w:after="0"/>
              <w:rPr>
                <w:sz w:val="19"/>
                <w:szCs w:val="19"/>
                <w:color w:val="auto"/>
              </w:rPr>
            </w:pPr>
          </w:p>
        </w:tc>
        <w:tc>
          <w:tcPr>
            <w:tcW w:w="5960" w:type="dxa"/>
            <w:vAlign w:val="bottom"/>
            <w:gridSpan w:val="2"/>
          </w:tcPr>
          <w:p>
            <w:pPr>
              <w:jc w:val="center"/>
              <w:ind w:left="1387"/>
              <w:spacing w:after="0" w:line="229" w:lineRule="exact"/>
              <w:rPr>
                <w:sz w:val="20"/>
                <w:szCs w:val="20"/>
                <w:color w:val="auto"/>
              </w:rPr>
            </w:pPr>
            <w:r>
              <w:rPr>
                <w:rFonts w:ascii="Arial" w:cs="Arial" w:eastAsia="Arial" w:hAnsi="Arial"/>
                <w:sz w:val="22"/>
                <w:szCs w:val="22"/>
                <w:b w:val="1"/>
                <w:bCs w:val="1"/>
                <w:color w:val="auto"/>
                <w:w w:val="88"/>
              </w:rPr>
              <w:t>Washington, D.C. 20549</w:t>
            </w:r>
          </w:p>
        </w:tc>
        <w:tc>
          <w:tcPr>
            <w:tcW w:w="940" w:type="dxa"/>
            <w:vAlign w:val="bottom"/>
          </w:tcPr>
          <w:p>
            <w:pPr>
              <w:spacing w:after="0"/>
              <w:rPr>
                <w:sz w:val="19"/>
                <w:szCs w:val="19"/>
                <w:color w:val="auto"/>
              </w:rPr>
            </w:pPr>
          </w:p>
        </w:tc>
        <w:tc>
          <w:tcPr>
            <w:tcW w:w="2180" w:type="dxa"/>
            <w:vAlign w:val="bottom"/>
            <w:gridSpan w:val="2"/>
          </w:tcPr>
          <w:p>
            <w:pPr>
              <w:jc w:val="center"/>
              <w:ind w:left="530"/>
              <w:spacing w:after="0"/>
              <w:rPr>
                <w:sz w:val="20"/>
                <w:szCs w:val="20"/>
                <w:color w:val="auto"/>
              </w:rPr>
            </w:pPr>
            <w:r>
              <w:rPr>
                <w:rFonts w:ascii="Arial" w:cs="Arial" w:eastAsia="Arial" w:hAnsi="Arial"/>
                <w:sz w:val="18"/>
                <w:szCs w:val="18"/>
                <w:color w:val="auto"/>
                <w:w w:val="95"/>
              </w:rPr>
              <w:t>CUSIP NUMBER</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w w:val="93"/>
              </w:rPr>
              <w:t>675746309</w:t>
            </w:r>
          </w:p>
        </w:tc>
        <w:tc>
          <w:tcPr>
            <w:tcW w:w="0" w:type="dxa"/>
            <w:vAlign w:val="bottom"/>
          </w:tcPr>
          <w:p>
            <w:pPr>
              <w:spacing w:after="0"/>
              <w:rPr>
                <w:sz w:val="1"/>
                <w:szCs w:val="1"/>
                <w:color w:val="auto"/>
              </w:rPr>
            </w:pPr>
          </w:p>
        </w:tc>
      </w:tr>
      <w:tr>
        <w:trPr>
          <w:trHeight w:val="596"/>
        </w:trPr>
        <w:tc>
          <w:tcPr>
            <w:tcW w:w="1980" w:type="dxa"/>
            <w:vAlign w:val="bottom"/>
          </w:tcPr>
          <w:p>
            <w:pPr>
              <w:spacing w:after="0"/>
              <w:rPr>
                <w:sz w:val="24"/>
                <w:szCs w:val="24"/>
                <w:color w:val="auto"/>
              </w:rPr>
            </w:pPr>
          </w:p>
        </w:tc>
        <w:tc>
          <w:tcPr>
            <w:tcW w:w="5960" w:type="dxa"/>
            <w:vAlign w:val="bottom"/>
            <w:gridSpan w:val="2"/>
          </w:tcPr>
          <w:p>
            <w:pPr>
              <w:jc w:val="center"/>
              <w:ind w:left="1407"/>
              <w:spacing w:after="0"/>
              <w:rPr>
                <w:sz w:val="20"/>
                <w:szCs w:val="20"/>
                <w:color w:val="auto"/>
              </w:rPr>
            </w:pPr>
            <w:r>
              <w:rPr>
                <w:rFonts w:ascii="Arial" w:cs="Arial" w:eastAsia="Arial" w:hAnsi="Arial"/>
                <w:sz w:val="32"/>
                <w:szCs w:val="32"/>
                <w:b w:val="1"/>
                <w:bCs w:val="1"/>
                <w:color w:val="auto"/>
                <w:w w:val="97"/>
              </w:rPr>
              <w:t>FORM 12b-25</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980" w:type="dxa"/>
            <w:vAlign w:val="bottom"/>
          </w:tcPr>
          <w:p>
            <w:pPr>
              <w:spacing w:after="0"/>
              <w:rPr>
                <w:sz w:val="24"/>
                <w:szCs w:val="24"/>
                <w:color w:val="auto"/>
              </w:rPr>
            </w:pPr>
          </w:p>
        </w:tc>
        <w:tc>
          <w:tcPr>
            <w:tcW w:w="5960" w:type="dxa"/>
            <w:vAlign w:val="bottom"/>
            <w:gridSpan w:val="2"/>
          </w:tcPr>
          <w:p>
            <w:pPr>
              <w:jc w:val="center"/>
              <w:ind w:left="1387"/>
              <w:spacing w:after="0"/>
              <w:rPr>
                <w:sz w:val="20"/>
                <w:szCs w:val="20"/>
                <w:color w:val="auto"/>
              </w:rPr>
            </w:pPr>
            <w:r>
              <w:rPr>
                <w:rFonts w:ascii="Arial" w:cs="Arial" w:eastAsia="Arial" w:hAnsi="Arial"/>
                <w:sz w:val="18"/>
                <w:szCs w:val="18"/>
                <w:b w:val="1"/>
                <w:bCs w:val="1"/>
                <w:color w:val="auto"/>
              </w:rPr>
              <w:t>NOTIFICATION OF LATE FILING</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8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3980" w:type="dxa"/>
            <w:vAlign w:val="bottom"/>
          </w:tcPr>
          <w:p>
            <w:pPr>
              <w:ind w:left="3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w:t>
            </w:r>
          </w:p>
        </w:tc>
        <w:tc>
          <w:tcPr>
            <w:tcW w:w="1980" w:type="dxa"/>
            <w:vAlign w:val="bottom"/>
          </w:tcPr>
          <w:p>
            <w:pPr>
              <w:ind w:left="140"/>
              <w:spacing w:after="0"/>
              <w:rPr>
                <w:sz w:val="20"/>
                <w:szCs w:val="20"/>
                <w:color w:val="auto"/>
              </w:rPr>
            </w:pPr>
            <w:r>
              <w:rPr>
                <w:rFonts w:ascii="Arial" w:cs="Arial" w:eastAsia="Arial" w:hAnsi="Arial"/>
                <w:sz w:val="18"/>
                <w:szCs w:val="18"/>
                <w:color w:val="auto"/>
                <w:w w:val="97"/>
              </w:rPr>
              <w:t>o Form 20-Fo Form 11-</w:t>
            </w:r>
          </w:p>
        </w:tc>
        <w:tc>
          <w:tcPr>
            <w:tcW w:w="940" w:type="dxa"/>
            <w:vAlign w:val="bottom"/>
          </w:tcPr>
          <w:p>
            <w:pPr>
              <w:ind w:left="100"/>
              <w:spacing w:after="0"/>
              <w:rPr>
                <w:sz w:val="20"/>
                <w:szCs w:val="20"/>
                <w:color w:val="auto"/>
              </w:rPr>
            </w:pPr>
            <w:r>
              <w:rPr>
                <w:rFonts w:ascii="Arial" w:cs="Arial" w:eastAsia="Arial" w:hAnsi="Arial"/>
                <w:sz w:val="18"/>
                <w:szCs w:val="18"/>
                <w:color w:val="auto"/>
                <w:w w:val="93"/>
              </w:rPr>
              <w:t>o Form 10-</w:t>
            </w:r>
          </w:p>
        </w:tc>
        <w:tc>
          <w:tcPr>
            <w:tcW w:w="940" w:type="dxa"/>
            <w:vAlign w:val="bottom"/>
          </w:tcPr>
          <w:p>
            <w:pPr>
              <w:ind w:left="100"/>
              <w:spacing w:after="0"/>
              <w:rPr>
                <w:sz w:val="20"/>
                <w:szCs w:val="20"/>
                <w:color w:val="auto"/>
              </w:rPr>
            </w:pPr>
            <w:r>
              <w:rPr>
                <w:rFonts w:ascii="Arial" w:cs="Arial" w:eastAsia="Arial" w:hAnsi="Arial"/>
                <w:sz w:val="18"/>
                <w:szCs w:val="18"/>
                <w:color w:val="auto"/>
              </w:rPr>
              <w:t>o Form N-</w:t>
            </w:r>
          </w:p>
        </w:tc>
        <w:tc>
          <w:tcPr>
            <w:tcW w:w="1240" w:type="dxa"/>
            <w:vAlign w:val="bottom"/>
          </w:tcPr>
          <w:p>
            <w:pPr>
              <w:ind w:left="220"/>
              <w:spacing w:after="0"/>
              <w:rPr>
                <w:sz w:val="20"/>
                <w:szCs w:val="20"/>
                <w:color w:val="auto"/>
              </w:rPr>
            </w:pPr>
            <w:r>
              <w:rPr>
                <w:rFonts w:ascii="Arial" w:cs="Arial" w:eastAsia="Arial" w:hAnsi="Arial"/>
                <w:sz w:val="18"/>
                <w:szCs w:val="18"/>
                <w:color w:val="auto"/>
              </w:rPr>
              <w:t>o Form N-</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980" w:type="dxa"/>
            <w:vAlign w:val="bottom"/>
          </w:tcPr>
          <w:p>
            <w:pPr>
              <w:ind w:left="3240"/>
              <w:spacing w:after="0"/>
              <w:rPr>
                <w:sz w:val="20"/>
                <w:szCs w:val="20"/>
                <w:color w:val="auto"/>
              </w:rPr>
            </w:pPr>
            <w:r>
              <w:rPr>
                <w:rFonts w:ascii="Arial" w:cs="Arial" w:eastAsia="Arial" w:hAnsi="Arial"/>
                <w:sz w:val="18"/>
                <w:szCs w:val="18"/>
                <w:color w:val="auto"/>
              </w:rPr>
              <w:t>10-K</w:t>
            </w:r>
          </w:p>
        </w:tc>
        <w:tc>
          <w:tcPr>
            <w:tcW w:w="1980" w:type="dxa"/>
            <w:vAlign w:val="bottom"/>
          </w:tcPr>
          <w:p>
            <w:pPr>
              <w:ind w:left="1060"/>
              <w:spacing w:after="0"/>
              <w:rPr>
                <w:sz w:val="20"/>
                <w:szCs w:val="20"/>
                <w:color w:val="auto"/>
              </w:rPr>
            </w:pPr>
            <w:r>
              <w:rPr>
                <w:rFonts w:ascii="Arial" w:cs="Arial" w:eastAsia="Arial" w:hAnsi="Arial"/>
                <w:sz w:val="18"/>
                <w:szCs w:val="18"/>
                <w:color w:val="auto"/>
              </w:rPr>
              <w:t>K</w:t>
            </w:r>
          </w:p>
        </w:tc>
        <w:tc>
          <w:tcPr>
            <w:tcW w:w="940" w:type="dxa"/>
            <w:vAlign w:val="bottom"/>
          </w:tcPr>
          <w:p>
            <w:pPr>
              <w:ind w:left="100"/>
              <w:spacing w:after="0"/>
              <w:rPr>
                <w:sz w:val="20"/>
                <w:szCs w:val="20"/>
                <w:color w:val="auto"/>
              </w:rPr>
            </w:pPr>
            <w:r>
              <w:rPr>
                <w:rFonts w:ascii="Arial" w:cs="Arial" w:eastAsia="Arial" w:hAnsi="Arial"/>
                <w:sz w:val="18"/>
                <w:szCs w:val="18"/>
                <w:color w:val="auto"/>
              </w:rPr>
              <w:t>Q</w:t>
            </w:r>
          </w:p>
        </w:tc>
        <w:tc>
          <w:tcPr>
            <w:tcW w:w="940" w:type="dxa"/>
            <w:vAlign w:val="bottom"/>
          </w:tcPr>
          <w:p>
            <w:pPr>
              <w:ind w:left="20"/>
              <w:spacing w:after="0"/>
              <w:rPr>
                <w:sz w:val="20"/>
                <w:szCs w:val="20"/>
                <w:color w:val="auto"/>
              </w:rPr>
            </w:pPr>
            <w:r>
              <w:rPr>
                <w:rFonts w:ascii="Arial" w:cs="Arial" w:eastAsia="Arial" w:hAnsi="Arial"/>
                <w:sz w:val="18"/>
                <w:szCs w:val="18"/>
                <w:color w:val="auto"/>
              </w:rPr>
              <w:t>oSAR</w:t>
            </w:r>
          </w:p>
        </w:tc>
        <w:tc>
          <w:tcPr>
            <w:tcW w:w="1240" w:type="dxa"/>
            <w:vAlign w:val="bottom"/>
          </w:tcPr>
          <w:p>
            <w:pPr>
              <w:ind w:left="220"/>
              <w:spacing w:after="0"/>
              <w:rPr>
                <w:sz w:val="20"/>
                <w:szCs w:val="20"/>
                <w:color w:val="auto"/>
              </w:rPr>
            </w:pPr>
            <w:r>
              <w:rPr>
                <w:rFonts w:ascii="Arial" w:cs="Arial" w:eastAsia="Arial" w:hAnsi="Arial"/>
                <w:sz w:val="18"/>
                <w:szCs w:val="18"/>
                <w:color w:val="auto"/>
              </w:rPr>
              <w:t>CSR</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w w:val="95"/>
              </w:rPr>
              <w:t>Form 10-D</w:t>
            </w: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For Period</w:t>
      </w:r>
    </w:p>
    <w:p>
      <w:pPr>
        <w:spacing w:after="0" w:line="23" w:lineRule="exact"/>
        <w:rPr>
          <w:sz w:val="24"/>
          <w:szCs w:val="24"/>
          <w:color w:val="auto"/>
        </w:rPr>
      </w:pPr>
    </w:p>
    <w:p>
      <w:pPr>
        <w:ind w:left="5280"/>
        <w:spacing w:after="0"/>
        <w:tabs>
          <w:tab w:leader="none" w:pos="6380" w:val="left"/>
        </w:tabs>
        <w:rPr>
          <w:sz w:val="20"/>
          <w:szCs w:val="20"/>
          <w:color w:val="auto"/>
        </w:rPr>
      </w:pPr>
      <w:r>
        <w:rPr>
          <w:rFonts w:ascii="Arial" w:cs="Arial" w:eastAsia="Arial" w:hAnsi="Arial"/>
          <w:sz w:val="18"/>
          <w:szCs w:val="18"/>
          <w:color w:val="auto"/>
        </w:rPr>
        <w:t>Ended:</w:t>
      </w:r>
      <w:r>
        <w:rPr>
          <w:sz w:val="20"/>
          <w:szCs w:val="20"/>
          <w:color w:val="auto"/>
        </w:rPr>
        <w:tab/>
      </w:r>
      <w:r>
        <w:rPr>
          <w:rFonts w:ascii="Arial" w:cs="Arial" w:eastAsia="Arial" w:hAnsi="Arial"/>
          <w:sz w:val="18"/>
          <w:szCs w:val="18"/>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4061460</wp:posOffset>
            </wp:positionH>
            <wp:positionV relativeFrom="paragraph">
              <wp:posOffset>5715</wp:posOffset>
            </wp:positionV>
            <wp:extent cx="2984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4"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o Transition Report on Form 10-K</w:t>
      </w:r>
    </w:p>
    <w:p>
      <w:pPr>
        <w:spacing w:after="0" w:line="23"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o Transition Report on Form 20-F</w:t>
      </w:r>
    </w:p>
    <w:p>
      <w:pPr>
        <w:spacing w:after="0" w:line="9"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o Transition Report on Form 11-K</w:t>
      </w:r>
    </w:p>
    <w:p>
      <w:pPr>
        <w:spacing w:after="0" w:line="9"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o Transition Report on Form 10-Q</w:t>
      </w:r>
    </w:p>
    <w:p>
      <w:pPr>
        <w:spacing w:after="0" w:line="9"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o Transition Report on Form N-SAR</w:t>
      </w:r>
    </w:p>
    <w:p>
      <w:pPr>
        <w:spacing w:after="0" w:line="9"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For the Transition Period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4773295</wp:posOffset>
            </wp:positionH>
            <wp:positionV relativeFrom="paragraph">
              <wp:posOffset>5715</wp:posOffset>
            </wp:positionV>
            <wp:extent cx="2272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1"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the notification relates to a portion of the filing checked above, identify the Item(s) to which the notification relates: </w:t>
      </w:r>
      <w:r>
        <w:rPr>
          <w:rFonts w:ascii="Arial" w:cs="Arial" w:eastAsia="Arial" w:hAnsi="Arial"/>
          <w:sz w:val="18"/>
          <w:szCs w:val="18"/>
          <w:b w:val="1"/>
          <w:bCs w:val="1"/>
          <w:color w:val="auto"/>
        </w:rPr>
        <w:t>Not applicable</w:t>
      </w:r>
      <w:r>
        <w:rPr>
          <w:rFonts w:ascii="Arial" w:cs="Arial" w:eastAsia="Arial" w:hAnsi="Arial"/>
          <w:sz w:val="18"/>
          <w:szCs w:val="18"/>
          <w:color w:val="auto"/>
        </w:rPr>
        <w:t>.</w:t>
      </w:r>
    </w:p>
    <w:p>
      <w:pPr>
        <w:spacing w:after="0" w:line="185"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REGISTRANT INFORMATION</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1000 Abernathy Road NE, Suite 210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Atlanta, Georgia 30328</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60"/>
          </w:cols>
          <w:pgMar w:left="240" w:top="495" w:right="5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12b-25(b) AND (c)</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43" w:lineRule="exact"/>
        <w:rPr>
          <w:sz w:val="20"/>
          <w:szCs w:val="20"/>
          <w:color w:val="auto"/>
        </w:rPr>
      </w:pPr>
    </w:p>
    <w:p>
      <w:pPr>
        <w:ind w:left="1160" w:hanging="589"/>
        <w:spacing w:after="0"/>
        <w:tabs>
          <w:tab w:leader="none" w:pos="1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3" w:lineRule="exact"/>
        <w:rPr>
          <w:rFonts w:ascii="Arial" w:cs="Arial" w:eastAsia="Arial" w:hAnsi="Arial"/>
          <w:sz w:val="18"/>
          <w:szCs w:val="18"/>
          <w:color w:val="auto"/>
        </w:rPr>
      </w:pPr>
    </w:p>
    <w:p>
      <w:pPr>
        <w:ind w:left="1160" w:hanging="589"/>
        <w:spacing w:after="0"/>
        <w:tabs>
          <w:tab w:leader="none" w:pos="116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N-SAR or Form N-CSR, or</w:t>
      </w:r>
    </w:p>
    <w:p>
      <w:pPr>
        <w:spacing w:after="0" w:line="20" w:lineRule="exact"/>
        <w:rPr>
          <w:rFonts w:ascii="Arial" w:cs="Arial" w:eastAsia="Arial" w:hAnsi="Arial"/>
          <w:sz w:val="17"/>
          <w:szCs w:val="17"/>
          <w:color w:val="auto"/>
        </w:rPr>
      </w:pPr>
    </w:p>
    <w:p>
      <w:pPr>
        <w:ind w:left="1160" w:right="40" w:hanging="963"/>
        <w:spacing w:after="0" w:line="250" w:lineRule="auto"/>
        <w:rPr>
          <w:rFonts w:ascii="Arial" w:cs="Arial" w:eastAsia="Arial" w:hAnsi="Arial"/>
          <w:sz w:val="17"/>
          <w:szCs w:val="17"/>
          <w:color w:val="auto"/>
        </w:rPr>
      </w:pPr>
      <w:r>
        <w:rPr>
          <w:rFonts w:ascii="Arial" w:cs="Arial" w:eastAsia="Arial" w:hAnsi="Arial"/>
          <w:sz w:val="36"/>
          <w:szCs w:val="36"/>
          <w:color w:val="auto"/>
          <w:vertAlign w:val="subscript"/>
        </w:rPr>
        <w:t>x</w:t>
      </w: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Arial" w:cs="Arial" w:eastAsia="Arial" w:hAnsi="Arial"/>
          <w:sz w:val="17"/>
          <w:szCs w:val="17"/>
          <w:color w:val="auto"/>
        </w:rPr>
      </w:pPr>
    </w:p>
    <w:p>
      <w:pPr>
        <w:ind w:left="1160" w:hanging="589"/>
        <w:spacing w:after="0"/>
        <w:tabs>
          <w:tab w:leader="none" w:pos="1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-816610</wp:posOffset>
            </wp:positionV>
            <wp:extent cx="8890" cy="823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2359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Financial Corporation (the “Company” or “Ocwen”) requires additional time to complete its goodwill evaluation analysis and its financial closing procedures and to ensure appropriate disclosure of various recent events impacting the Company. The Company is not able to complete the preparation, review and filing of its Annual Report on Form 10-K for the fiscal year ended December 31, 2014 (the “Form 10-K”) within the prescribed time period without unreasonable effort or expense. The Company intends to file its Form 10-K on or before March 17, 2015, the prescribed due date pursuant to this Form 12b-25.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and telephone number of person to contact in regard to this notification</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Michael R. Bourque, Jr.</w:t>
            </w:r>
          </w:p>
        </w:tc>
        <w:tc>
          <w:tcPr>
            <w:tcW w:w="2280" w:type="dxa"/>
            <w:vAlign w:val="bottom"/>
          </w:tcPr>
          <w:p>
            <w:pPr>
              <w:jc w:val="right"/>
              <w:ind w:right="850"/>
              <w:spacing w:after="0"/>
              <w:rPr>
                <w:sz w:val="20"/>
                <w:szCs w:val="20"/>
                <w:color w:val="auto"/>
              </w:rPr>
            </w:pPr>
            <w:r>
              <w:rPr>
                <w:rFonts w:ascii="Arial" w:cs="Arial" w:eastAsia="Arial" w:hAnsi="Arial"/>
                <w:sz w:val="18"/>
                <w:szCs w:val="18"/>
                <w:b w:val="1"/>
                <w:bCs w:val="1"/>
                <w:color w:val="auto"/>
              </w:rPr>
              <w:t>(561)</w:t>
            </w:r>
          </w:p>
        </w:tc>
        <w:tc>
          <w:tcPr>
            <w:tcW w:w="120" w:type="dxa"/>
            <w:vAlign w:val="bottom"/>
          </w:tcPr>
          <w:p>
            <w:pPr>
              <w:spacing w:after="0"/>
              <w:rPr>
                <w:sz w:val="20"/>
                <w:szCs w:val="20"/>
                <w:color w:val="auto"/>
              </w:rPr>
            </w:pPr>
          </w:p>
        </w:tc>
        <w:tc>
          <w:tcPr>
            <w:tcW w:w="3880" w:type="dxa"/>
            <w:vAlign w:val="bottom"/>
          </w:tcPr>
          <w:p>
            <w:pPr>
              <w:jc w:val="right"/>
              <w:ind w:right="1510"/>
              <w:spacing w:after="0"/>
              <w:rPr>
                <w:sz w:val="20"/>
                <w:szCs w:val="20"/>
                <w:color w:val="auto"/>
              </w:rPr>
            </w:pPr>
            <w:r>
              <w:rPr>
                <w:rFonts w:ascii="Arial" w:cs="Arial" w:eastAsia="Arial" w:hAnsi="Arial"/>
                <w:sz w:val="18"/>
                <w:szCs w:val="18"/>
                <w:b w:val="1"/>
                <w:bCs w:val="1"/>
                <w:color w:val="auto"/>
              </w:rPr>
              <w:t>682-8000</w:t>
            </w:r>
          </w:p>
        </w:tc>
      </w:tr>
      <w:tr>
        <w:trPr>
          <w:trHeight w:val="224"/>
        </w:trPr>
        <w:tc>
          <w:tcPr>
            <w:tcW w:w="4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1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(Area Code)</w:t>
            </w:r>
          </w:p>
        </w:tc>
        <w:tc>
          <w:tcPr>
            <w:tcW w:w="12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ind w:left="360" w:right="80" w:hanging="352"/>
        <w:spacing w:after="0" w:line="256"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ind w:left="10460"/>
        <w:spacing w:after="0" w:line="196" w:lineRule="exact"/>
        <w:rPr>
          <w:rFonts w:ascii="Arial" w:cs="Arial" w:eastAsia="Arial" w:hAnsi="Arial"/>
          <w:sz w:val="18"/>
          <w:szCs w:val="18"/>
          <w:color w:val="auto"/>
        </w:rPr>
      </w:pPr>
      <w:r>
        <w:rPr>
          <w:rFonts w:ascii="Arial" w:cs="Arial" w:eastAsia="Arial" w:hAnsi="Arial"/>
          <w:sz w:val="17"/>
          <w:szCs w:val="17"/>
          <w:color w:val="auto"/>
        </w:rPr>
        <w:t xml:space="preserve">x Yes  </w:t>
      </w:r>
      <w:r>
        <w:rPr>
          <w:rFonts w:ascii="MS PGothic" w:cs="MS PGothic" w:eastAsia="MS PGothic" w:hAnsi="MS PGothic"/>
          <w:sz w:val="17"/>
          <w:szCs w:val="17"/>
          <w:color w:val="auto"/>
        </w:rPr>
        <w:t>☐</w:t>
      </w:r>
      <w:r>
        <w:rPr>
          <w:rFonts w:ascii="Arial" w:cs="Arial" w:eastAsia="Arial" w:hAnsi="Arial"/>
          <w:sz w:val="17"/>
          <w:szCs w:val="17"/>
          <w:color w:val="auto"/>
        </w:rPr>
        <w:t>No</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360" w:right="80" w:hanging="352"/>
        <w:spacing w:after="0" w:line="258"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rFonts w:ascii="Arial" w:cs="Arial" w:eastAsia="Arial" w:hAnsi="Arial"/>
          <w:sz w:val="18"/>
          <w:szCs w:val="18"/>
          <w:color w:val="auto"/>
        </w:rPr>
      </w:pPr>
    </w:p>
    <w:p>
      <w:pPr>
        <w:ind w:left="10540"/>
        <w:spacing w:after="0"/>
        <w:rPr>
          <w:rFonts w:ascii="Arial" w:cs="Arial" w:eastAsia="Arial" w:hAnsi="Arial"/>
          <w:sz w:val="18"/>
          <w:szCs w:val="18"/>
          <w:color w:val="auto"/>
        </w:rPr>
      </w:pPr>
      <w:r>
        <w:rPr>
          <w:rFonts w:ascii="Arial" w:cs="Arial" w:eastAsia="Arial" w:hAnsi="Arial"/>
          <w:sz w:val="17"/>
          <w:szCs w:val="17"/>
          <w:color w:val="auto"/>
        </w:rPr>
        <w:t>x Yes  o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-543560</wp:posOffset>
            </wp:positionV>
            <wp:extent cx="7023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02"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previously disclosed, the Company expects to report a net loss for the year ended December 31, 2014.</w:t>
      </w:r>
    </w:p>
    <w:p>
      <w:pPr>
        <w:spacing w:after="0" w:line="225" w:lineRule="exact"/>
        <w:rPr>
          <w:sz w:val="20"/>
          <w:szCs w:val="20"/>
          <w:color w:val="auto"/>
        </w:rPr>
      </w:pPr>
    </w:p>
    <w:p>
      <w:pPr>
        <w:ind w:left="360" w:right="240"/>
        <w:spacing w:after="0" w:line="277" w:lineRule="auto"/>
        <w:rPr>
          <w:sz w:val="20"/>
          <w:szCs w:val="20"/>
          <w:color w:val="auto"/>
        </w:rPr>
      </w:pPr>
      <w:r>
        <w:rPr>
          <w:rFonts w:ascii="Arial" w:cs="Arial" w:eastAsia="Arial" w:hAnsi="Arial"/>
          <w:sz w:val="18"/>
          <w:szCs w:val="18"/>
          <w:color w:val="auto"/>
        </w:rPr>
        <w:t>The Company anticipates revenue of approximately $2.1 billion for the year ended December 31, 2014, an increase of approximately 4% compared to the year ended December 31,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ind w:left="360"/>
        <w:spacing w:after="0"/>
        <w:rPr>
          <w:sz w:val="20"/>
          <w:szCs w:val="20"/>
          <w:color w:val="auto"/>
        </w:rPr>
      </w:pPr>
      <w:r>
        <w:rPr>
          <w:rFonts w:ascii="Arial" w:cs="Arial" w:eastAsia="Arial" w:hAnsi="Arial"/>
          <w:sz w:val="18"/>
          <w:szCs w:val="18"/>
          <w:color w:val="auto"/>
        </w:rPr>
        <w:t>The Company anticipates that it’s 2014 full year results will be impacted by several non-recurring items, including:</w:t>
      </w:r>
    </w:p>
    <w:p>
      <w:pPr>
        <w:spacing w:after="0" w:line="225" w:lineRule="exact"/>
        <w:rPr>
          <w:sz w:val="20"/>
          <w:szCs w:val="20"/>
          <w:color w:val="auto"/>
        </w:rPr>
      </w:pPr>
    </w:p>
    <w:p>
      <w:pPr>
        <w:ind w:left="1060" w:hanging="35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$370 – $420 million non-cash charge to write-off goodwill, and</w:t>
      </w:r>
    </w:p>
    <w:p>
      <w:pPr>
        <w:spacing w:after="0" w:line="225" w:lineRule="exact"/>
        <w:rPr>
          <w:rFonts w:ascii="Arial" w:cs="Arial" w:eastAsia="Arial" w:hAnsi="Arial"/>
          <w:sz w:val="18"/>
          <w:szCs w:val="18"/>
          <w:color w:val="auto"/>
        </w:rPr>
      </w:pPr>
    </w:p>
    <w:p>
      <w:pPr>
        <w:ind w:left="1060" w:hanging="35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$150 million expense related to the New York Department of Financial Services settlement agreement, and</w:t>
      </w:r>
    </w:p>
    <w:p>
      <w:pPr>
        <w:spacing w:after="0" w:line="225" w:lineRule="exact"/>
        <w:rPr>
          <w:rFonts w:ascii="Arial" w:cs="Arial" w:eastAsia="Arial" w:hAnsi="Arial"/>
          <w:sz w:val="18"/>
          <w:szCs w:val="18"/>
          <w:color w:val="auto"/>
        </w:rPr>
      </w:pPr>
    </w:p>
    <w:p>
      <w:pPr>
        <w:ind w:left="1060" w:hanging="35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$103 million increase in expenses related to uncollectible receivables and other servicing expenses, and</w:t>
      </w:r>
    </w:p>
    <w:p>
      <w:pPr>
        <w:spacing w:after="0" w:line="225" w:lineRule="exact"/>
        <w:rPr>
          <w:rFonts w:ascii="Arial" w:cs="Arial" w:eastAsia="Arial" w:hAnsi="Arial"/>
          <w:sz w:val="18"/>
          <w:szCs w:val="18"/>
          <w:color w:val="auto"/>
        </w:rPr>
      </w:pPr>
    </w:p>
    <w:p>
      <w:pPr>
        <w:ind w:left="1060" w:hanging="35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$120 million year over year negative impact from fair value changes related to mortgage servicing rights (MSRs), and</w:t>
      </w:r>
    </w:p>
    <w:p>
      <w:pPr>
        <w:spacing w:after="0" w:line="225" w:lineRule="exact"/>
        <w:rPr>
          <w:rFonts w:ascii="Arial" w:cs="Arial" w:eastAsia="Arial" w:hAnsi="Arial"/>
          <w:sz w:val="18"/>
          <w:szCs w:val="18"/>
          <w:color w:val="auto"/>
        </w:rPr>
      </w:pPr>
    </w:p>
    <w:p>
      <w:pPr>
        <w:ind w:left="1060" w:right="480" w:hanging="35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creation of a $20 million reserve for various legal matters and the creation of a $15 million reserve relating to our remediation plan to address issues around certain erroneously dated borrower correspondence.</w:t>
      </w:r>
    </w:p>
    <w:p>
      <w:pPr>
        <w:spacing w:after="0" w:line="170" w:lineRule="exact"/>
        <w:rPr>
          <w:sz w:val="20"/>
          <w:szCs w:val="20"/>
          <w:color w:val="auto"/>
        </w:rPr>
      </w:pPr>
    </w:p>
    <w:p>
      <w:pPr>
        <w:ind w:left="360" w:right="40"/>
        <w:spacing w:after="0" w:line="277" w:lineRule="auto"/>
        <w:rPr>
          <w:sz w:val="20"/>
          <w:szCs w:val="20"/>
          <w:color w:val="auto"/>
        </w:rPr>
      </w:pPr>
      <w:r>
        <w:rPr>
          <w:rFonts w:ascii="Arial" w:cs="Arial" w:eastAsia="Arial" w:hAnsi="Arial"/>
          <w:sz w:val="18"/>
          <w:szCs w:val="18"/>
          <w:color w:val="auto"/>
        </w:rPr>
        <w:t>In addition, the Company anticipates that its 2014 full year results will include third party monitor expenses of approximately $40 million, an increase of approximately $34 million over 2013.</w:t>
      </w:r>
    </w:p>
    <w:p>
      <w:pPr>
        <w:spacing w:after="0" w:line="170" w:lineRule="exact"/>
        <w:rPr>
          <w:sz w:val="20"/>
          <w:szCs w:val="20"/>
          <w:color w:val="auto"/>
        </w:rPr>
      </w:pPr>
    </w:p>
    <w:p>
      <w:pPr>
        <w:ind w:left="360" w:right="100"/>
        <w:spacing w:after="0" w:line="277" w:lineRule="auto"/>
        <w:rPr>
          <w:sz w:val="20"/>
          <w:szCs w:val="20"/>
          <w:color w:val="auto"/>
        </w:rPr>
      </w:pPr>
      <w:r>
        <w:rPr>
          <w:rFonts w:ascii="Arial" w:cs="Arial" w:eastAsia="Arial" w:hAnsi="Arial"/>
          <w:sz w:val="18"/>
          <w:szCs w:val="18"/>
          <w:color w:val="auto"/>
        </w:rPr>
        <w:t>Given the mix of on-shore and off-shore results, and the fact that the New York Department of Financial Services payment is not tax deductible, we will have a negative tax rate for the 2014 fiscal year.</w:t>
      </w:r>
    </w:p>
    <w:p>
      <w:pPr>
        <w:spacing w:after="0" w:line="170" w:lineRule="exact"/>
        <w:rPr>
          <w:sz w:val="20"/>
          <w:szCs w:val="20"/>
          <w:color w:val="auto"/>
        </w:rPr>
      </w:pPr>
    </w:p>
    <w:p>
      <w:pPr>
        <w:ind w:left="360" w:right="60"/>
        <w:spacing w:after="0" w:line="257" w:lineRule="auto"/>
        <w:rPr>
          <w:sz w:val="20"/>
          <w:szCs w:val="20"/>
          <w:color w:val="auto"/>
        </w:rPr>
      </w:pPr>
      <w:r>
        <w:rPr>
          <w:rFonts w:ascii="Arial" w:cs="Arial" w:eastAsia="Arial" w:hAnsi="Arial"/>
          <w:sz w:val="18"/>
          <w:szCs w:val="18"/>
          <w:color w:val="auto"/>
        </w:rPr>
        <w:t>The above financial data is preliminary, based upon the Company’s estimates and subject to completion of the Company’s financial closing procedures. Moreover, this data has been prepared on the basis of currently available information. The Company’s independent registered public accounting firm has not audited or reviewed, and does not express an opinion with respect to, this data. This data does not constitute a comprehensive statement of the Company’s financial results for the year ended December 31, 2014, and the Company’s final numbers for this data may differ materially from these estimates.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Note Regarding Forward-Looking Statements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Form 12b-25 contains forward-looking statements within the meaning of Section 27A of the Securities Act of 1933, as amended, and Section 21E of the Securities Exchange Act of 1934, as amended. Forward-looking statements by their nature address matters that are, to different degrees, uncertain. Forward-looking statements involve a number of assumptions, risks and uncertainties that could cause actual results to differ materially.</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Important factors that could cause actual results to differ materially from those suggested by the forward-looking statements include, but are not limited to, the following: adverse effects on our business as a result of recent regulatory settlements; reactions to the announcement of such settlements by key counterparties; increased regulatory scrutiny and media attention, due to rumors or otherwise; uncertainty related to claims, litigation and investigations brought by government agencies and private parties regarding our servicing, foreclosure, modification and other practices; any adverse developments in existing legal proceedings or the initiation of new legal proceedings; our ability to effectively manage our regulatory and contractual compliance obligations; our ability to execute on our strategy to reduce the size of our Agency servicing portfolio; the adequacy of our financial resources, including our sources of liquidity and ability to fund and recover advances, repay borrowings and comply with debt covenants; our servicer and credit ratings as well as other actions from various rating agencies, including the impact of recent downgrades of our servicer and credit ratings; volatility in our stock price; the characteristics of our servicing portfolio, including prepayment speeds along with delinquency and advance rates; our ability to contain and reduce our operating costs; our ability to successfully modify delinquent loans, manage foreclosures and sell foreclosed properties; uncertainty related to legislation, regulations, regulatory agency actions, government programs and policies, industry initiatives and evolving best servicing practices; as well as other risks detailed in Ocwen’s reports and filings with the Securities and Exchange Commission (“SEC”), including its annual report on Form 10-K/A for the year ended December 31, 2013 (filed with the SEC on August 18, 2014) and its quarterly report on Form 10-Q for the quarter ended September 30, 2014 (filed with the SEC on October 31, 2014). Anyone wishing to understand Ocwen’s business should review its SEC filings. Ocwen’s forward-looking statements speak only as of the date they are made and, except for our ongoing obligations under the U.S. federal securities laws, we undertake no obligation to update or revise forward-looking statements whether as a result of new information, future events or otherwise. Ocwen may post information that is important to investors on its website.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 w:name="page4"/>
    <w:bookmarkEnd w:id="3"/>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Ocwen Financial Corporation</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has caused this notification to be signed on its behalf by the undersigned hereunto duly authorized.</w:t>
      </w:r>
    </w:p>
    <w:p>
      <w:pPr>
        <w:spacing w:after="0" w:line="237" w:lineRule="exact"/>
        <w:rPr>
          <w:sz w:val="20"/>
          <w:szCs w:val="20"/>
          <w:color w:val="auto"/>
        </w:rPr>
      </w:pPr>
    </w:p>
    <w:p>
      <w:pPr>
        <w:spacing w:after="0"/>
        <w:tabs>
          <w:tab w:leader="none" w:pos="560" w:val="left"/>
          <w:tab w:leader="none" w:pos="5260" w:val="left"/>
          <w:tab w:leader="none" w:pos="5700" w:val="left"/>
        </w:tabs>
        <w:rPr>
          <w:sz w:val="20"/>
          <w:szCs w:val="20"/>
          <w:color w:val="auto"/>
        </w:rPr>
      </w:pPr>
      <w:r>
        <w:rPr>
          <w:rFonts w:ascii="Arial" w:cs="Arial" w:eastAsia="Arial" w:hAnsi="Arial"/>
          <w:sz w:val="18"/>
          <w:szCs w:val="18"/>
          <w:color w:val="auto"/>
        </w:rPr>
        <w:t>Date:</w:t>
        <w:tab/>
        <w:t>March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Bourque, Jr.</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6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
    </w:lvl>
    <w:lvl w:ilvl="1">
      <w:lvlJc w:val="left"/>
      <w:lvlText w:val="(%2)"/>
      <w:numFmt w:val="lowerLetter"/>
      <w:start w:val="1"/>
    </w:lvl>
  </w:abstractNum>
  <w:abstractNum w:abstractNumId="1">
    <w:nsid w:val="74B0DC51"/>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2019-12-06T05:48:41Z</dcterms:created>
  <dcterms:modified xsi:type="dcterms:W3CDTF">2019-12-06T05:48:41Z</dcterms:modified>
</cp:coreProperties>
</file>