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QUARTERLY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September 30,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 to ____________________</w:t>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No. 1-13219 </w:t>
      </w:r>
    </w:p>
    <w:p>
      <w:pPr>
        <w:pStyle w:val="TextBody"/>
        <w:bidi w:val="0"/>
        <w:spacing w:lineRule="auto" w:line="288" w:before="0" w:after="0"/>
        <w:jc w:val="center"/>
        <w:rPr/>
      </w:pPr>
      <w:r>
        <w:rPr/>
        <w:drawing>
          <wp:inline distT="0" distB="0" distL="0" distR="0">
            <wp:extent cx="118110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2762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Onity Group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18" w:type="dxa"/>
        <w:jc w:val="left"/>
        <w:tblInd w:w="0" w:type="dxa"/>
        <w:tblLayout w:type="fixed"/>
        <w:tblCellMar>
          <w:top w:w="28" w:type="dxa"/>
          <w:left w:w="28" w:type="dxa"/>
          <w:bottom w:w="28" w:type="dxa"/>
          <w:right w:w="28" w:type="dxa"/>
        </w:tblCellMar>
      </w:tblPr>
      <w:tblGrid>
        <w:gridCol w:w="911"/>
        <w:gridCol w:w="802"/>
        <w:gridCol w:w="802"/>
        <w:gridCol w:w="802"/>
        <w:gridCol w:w="802"/>
        <w:gridCol w:w="843"/>
        <w:gridCol w:w="109"/>
        <w:gridCol w:w="109"/>
        <w:gridCol w:w="109"/>
        <w:gridCol w:w="884"/>
        <w:gridCol w:w="884"/>
        <w:gridCol w:w="126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65-0039856</w:t>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1661 Worthington Road, Suite 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33409</w:t>
            </w:r>
          </w:p>
        </w:tc>
      </w:tr>
      <w:tr>
        <w:trPr/>
        <w:tc>
          <w:tcPr>
            <w:tcW w:w="25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West Palm Beach, </w:t>
            </w:r>
          </w:p>
        </w:tc>
        <w:tc>
          <w:tcPr>
            <w:tcW w:w="24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(561) 682-8000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83" w:type="dxa"/>
        <w:jc w:val="center"/>
        <w:tblInd w:w="0" w:type="dxa"/>
        <w:tblLayout w:type="fixed"/>
        <w:tblCellMar>
          <w:top w:w="28" w:type="dxa"/>
          <w:left w:w="28" w:type="dxa"/>
          <w:bottom w:w="28" w:type="dxa"/>
          <w:right w:w="28" w:type="dxa"/>
        </w:tblCellMar>
      </w:tblPr>
      <w:tblGrid>
        <w:gridCol w:w="997"/>
        <w:gridCol w:w="876"/>
        <w:gridCol w:w="886"/>
        <w:gridCol w:w="599"/>
        <w:gridCol w:w="599"/>
        <w:gridCol w:w="601"/>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ONIT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8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73" w:type="dxa"/>
        <w:jc w:val="left"/>
        <w:tblInd w:w="0" w:type="dxa"/>
        <w:tblLayout w:type="fixed"/>
        <w:tblCellMar>
          <w:top w:w="28" w:type="dxa"/>
          <w:left w:w="28" w:type="dxa"/>
          <w:bottom w:w="28" w:type="dxa"/>
          <w:right w:w="28" w:type="dxa"/>
        </w:tblCellMar>
      </w:tblPr>
      <w:tblGrid>
        <w:gridCol w:w="124"/>
        <w:gridCol w:w="634"/>
        <w:gridCol w:w="634"/>
        <w:gridCol w:w="636"/>
        <w:gridCol w:w="109"/>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80"/>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of common stock outstanding as of November 3, 2025: 8,058,874 shares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ONITY GROUP INC.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6"/>
        <w:gridCol w:w="219"/>
        <w:gridCol w:w="219"/>
        <w:gridCol w:w="201"/>
        <w:gridCol w:w="201"/>
        <w:gridCol w:w="201"/>
        <w:gridCol w:w="2568"/>
        <w:gridCol w:w="2553"/>
        <w:gridCol w:w="2560"/>
        <w:gridCol w:w="349"/>
        <w:gridCol w:w="349"/>
        <w:gridCol w:w="499"/>
      </w:tblGrid>
      <w:tr>
        <w:trPr/>
        <w:tc>
          <w:tcPr>
            <w:tcW w:w="2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3">
              <w:r>
                <w:rPr>
                  <w:rStyle w:val="InternetLink"/>
                  <w:rFonts w:ascii="Times New Roman;serif" w:hAnsi="Times New Roman;serif"/>
                  <w:b/>
                  <w:strike w:val="false"/>
                  <w:dstrike w:val="false"/>
                  <w:color w:val="000000"/>
                  <w:sz w:val="20"/>
                  <w:u w:val="none"/>
                  <w:effect w:val="none"/>
                </w:rPr>
                <w:t>PART I - FINANCIAL INFORMATION</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9">
              <w:r>
                <w:rPr>
                  <w:rStyle w:val="InternetLink"/>
                  <w:rFonts w:ascii="Times New Roman;serif" w:hAnsi="Times New Roman;serif"/>
                  <w:b w:val="false"/>
                  <w:strike w:val="false"/>
                  <w:dstrike w:val="false"/>
                  <w:color w:val="000000"/>
                  <w:sz w:val="20"/>
                  <w:u w:val="none"/>
                  <w:effect w:val="none"/>
                </w:rPr>
                <w:t>Item 1.</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9">
              <w:r>
                <w:rPr>
                  <w:rStyle w:val="InternetLink"/>
                  <w:rFonts w:ascii="Times New Roman;serif" w:hAnsi="Times New Roman;serif"/>
                  <w:b w:val="false"/>
                  <w:strike w:val="false"/>
                  <w:dstrike w:val="false"/>
                  <w:color w:val="000000"/>
                  <w:sz w:val="20"/>
                  <w:u w:val="none"/>
                  <w:effect w:val="none"/>
                </w:rPr>
                <w:t>Unaudited Consolidated Financial Statements</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9">
              <w:r>
                <w:rPr>
                  <w:rStyle w:val="InternetLink"/>
                  <w:rFonts w:ascii="Times New Roman;serif" w:hAnsi="Times New Roman;serif"/>
                  <w:b w:val="false"/>
                  <w:color w:val="0000FF"/>
                  <w:sz w:val="20"/>
                  <w:u w:val="single"/>
                </w:rPr>
                <w:t>4</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22755d3d3438f9d9f20f3d482411e_19">
              <w:r>
                <w:rPr>
                  <w:rStyle w:val="InternetLink"/>
                  <w:rFonts w:ascii="Times New Roman;serif" w:hAnsi="Times New Roman;serif"/>
                  <w:b w:val="false"/>
                  <w:strike w:val="false"/>
                  <w:dstrike w:val="false"/>
                  <w:color w:val="000000"/>
                  <w:sz w:val="20"/>
                  <w:u w:val="none"/>
                  <w:effect w:val="none"/>
                </w:rPr>
                <w:t xml:space="preserve">Consolidated Balance Sheets at </w:t>
              </w:r>
            </w:hyperlink>
            <w:r>
              <w:rPr>
                <w:rFonts w:ascii="Times New Roman;serif" w:hAnsi="Times New Roman;serif"/>
                <w:b w:val="false"/>
                <w:color w:val="000000"/>
                <w:sz w:val="20"/>
              </w:rPr>
              <w:t>September 30, 2025</w:t>
            </w:r>
            <w:hyperlink w:anchor="id3722755d3d3438f9d9f20f3d482411e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2024</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9">
              <w:r>
                <w:rPr>
                  <w:rStyle w:val="InternetLink"/>
                  <w:rFonts w:ascii="Times New Roman;serif" w:hAnsi="Times New Roman;serif"/>
                  <w:b w:val="false"/>
                  <w:color w:val="0000FF"/>
                  <w:sz w:val="20"/>
                  <w:u w:val="single"/>
                </w:rPr>
                <w:t>4</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722755d3d3438f9d9f20f3d482411e_22">
              <w:r>
                <w:rPr>
                  <w:rStyle w:val="InternetLink"/>
                  <w:rFonts w:ascii="Times New Roman;serif" w:hAnsi="Times New Roman;serif"/>
                  <w:b w:val="false"/>
                  <w:strike w:val="false"/>
                  <w:dstrike w:val="false"/>
                  <w:color w:val="000000"/>
                  <w:sz w:val="20"/>
                  <w:u w:val="none"/>
                  <w:effect w:val="none"/>
                </w:rPr>
                <w:t xml:space="preserve">Consolidated Statements of Operations for the </w:t>
              </w:r>
            </w:hyperlink>
            <w:r>
              <w:rPr>
                <w:rFonts w:ascii="Times New Roman;serif" w:hAnsi="Times New Roman;serif"/>
                <w:b w:val="false"/>
                <w:color w:val="000000"/>
                <w:sz w:val="20"/>
              </w:rPr>
              <w:t>Three and Nine Months Ended September 30, 2025</w:t>
            </w:r>
            <w:hyperlink w:anchor="id3722755d3d3438f9d9f20f3d482411e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hyperlink w:anchor="id3722755d3d3438f9d9f20f3d482411e_22">
              <w:r>
                <w:rPr>
                  <w:rStyle w:val="InternetLink"/>
                  <w:rFonts w:ascii="Times New Roman;serif" w:hAnsi="Times New Roman;serif"/>
                  <w:b w:val="false"/>
                  <w:strike w:val="false"/>
                  <w:dstrike w:val="false"/>
                  <w:color w:val="000000"/>
                  <w:sz w:val="20"/>
                  <w:u w:val="none"/>
                  <w:effect w:val="none"/>
                </w:rPr>
                <w:t xml:space="preserve"> </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22">
              <w:r>
                <w:rPr>
                  <w:rStyle w:val="InternetLink"/>
                  <w:rFonts w:ascii="Times New Roman;serif" w:hAnsi="Times New Roman;serif"/>
                  <w:b w:val="false"/>
                  <w:color w:val="0000FF"/>
                  <w:sz w:val="20"/>
                  <w:u w:val="single"/>
                </w:rPr>
                <w:t>5</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3722755d3d3438f9d9f20f3d482411e_25">
              <w:r>
                <w:rPr>
                  <w:rStyle w:val="InternetLink"/>
                  <w:rFonts w:ascii="Times New Roman;serif" w:hAnsi="Times New Roman;serif"/>
                  <w:b w:val="false"/>
                  <w:strike w:val="false"/>
                  <w:dstrike w:val="false"/>
                  <w:color w:val="000000"/>
                  <w:sz w:val="20"/>
                  <w:u w:val="none"/>
                  <w:effect w:val="none"/>
                </w:rPr>
                <w:t xml:space="preserve">Consolidated Statements of Comprehensive Income for the </w:t>
              </w:r>
            </w:hyperlink>
            <w:r>
              <w:rPr>
                <w:rFonts w:ascii="Times New Roman;serif" w:hAnsi="Times New Roman;serif"/>
                <w:b w:val="false"/>
                <w:color w:val="000000"/>
                <w:sz w:val="20"/>
              </w:rPr>
              <w:t>Three and Nine Months Ended September 30, 2025</w:t>
            </w:r>
            <w:hyperlink w:anchor="id3722755d3d3438f9d9f20f3d482411e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25">
              <w:r>
                <w:rPr>
                  <w:rStyle w:val="InternetLink"/>
                  <w:rFonts w:ascii="Times New Roman;serif" w:hAnsi="Times New Roman;serif"/>
                  <w:b w:val="false"/>
                  <w:color w:val="0000FF"/>
                  <w:sz w:val="20"/>
                  <w:u w:val="single"/>
                </w:rPr>
                <w:t>6</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d3722755d3d3438f9d9f20f3d482411e_28">
              <w:r>
                <w:rPr>
                  <w:rStyle w:val="InternetLink"/>
                  <w:rFonts w:ascii="Times New Roman;serif" w:hAnsi="Times New Roman;serif"/>
                  <w:b w:val="false"/>
                  <w:strike w:val="false"/>
                  <w:dstrike w:val="false"/>
                  <w:color w:val="000000"/>
                  <w:sz w:val="20"/>
                  <w:u w:val="none"/>
                  <w:effect w:val="none"/>
                </w:rPr>
                <w:t xml:space="preserve">Consolidated Statements of Changes in Equity for the </w:t>
              </w:r>
            </w:hyperlink>
            <w:r>
              <w:rPr>
                <w:rFonts w:ascii="Times New Roman;serif" w:hAnsi="Times New Roman;serif"/>
                <w:b w:val="false"/>
                <w:color w:val="000000"/>
                <w:sz w:val="20"/>
              </w:rPr>
              <w:t>Three and Nine Months Ended September 30, 2025</w:t>
            </w:r>
            <w:hyperlink w:anchor="id3722755d3d3438f9d9f20f3d482411e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28">
              <w:r>
                <w:rPr>
                  <w:rStyle w:val="InternetLink"/>
                  <w:rFonts w:ascii="Times New Roman;serif" w:hAnsi="Times New Roman;serif"/>
                  <w:b w:val="false"/>
                  <w:color w:val="0000FF"/>
                  <w:sz w:val="20"/>
                  <w:u w:val="single"/>
                </w:rPr>
                <w:t>7</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d3722755d3d3438f9d9f20f3d482411e_31">
              <w:r>
                <w:rPr>
                  <w:rStyle w:val="InternetLink"/>
                  <w:rFonts w:ascii="Times New Roman;serif" w:hAnsi="Times New Roman;serif"/>
                  <w:b w:val="false"/>
                  <w:strike w:val="false"/>
                  <w:dstrike w:val="false"/>
                  <w:color w:val="000000"/>
                  <w:sz w:val="20"/>
                  <w:u w:val="none"/>
                  <w:effect w:val="none"/>
                </w:rPr>
                <w:t xml:space="preserve">Consolidated Statements of Cash Flows for the </w:t>
              </w:r>
            </w:hyperlink>
            <w:r>
              <w:rPr>
                <w:rFonts w:ascii="Times New Roman;serif" w:hAnsi="Times New Roman;serif"/>
                <w:b w:val="false"/>
                <w:color w:val="000000"/>
                <w:sz w:val="20"/>
              </w:rPr>
              <w:t xml:space="preserve">Nine Months Ended September 30, 2025 </w:t>
            </w:r>
            <w:hyperlink w:anchor="id3722755d3d3438f9d9f20f3d482411e_31">
              <w:r>
                <w:rPr>
                  <w:rStyle w:val="InternetLink"/>
                  <w:rFonts w:ascii="Times New Roman;serif" w:hAnsi="Times New Roman;serif"/>
                  <w:b w:val="false"/>
                  <w:strike w:val="false"/>
                  <w:dstrike w:val="false"/>
                  <w:color w:val="000000"/>
                  <w:sz w:val="20"/>
                  <w:u w:val="none"/>
                  <w:effect w:val="none"/>
                </w:rPr>
                <w:t xml:space="preserve">and </w:t>
              </w:r>
            </w:hyperlink>
            <w:r>
              <w:rPr>
                <w:rFonts w:ascii="Times New Roman;serif" w:hAnsi="Times New Roman;serif"/>
                <w:b w:val="false"/>
                <w:color w:val="000000"/>
                <w:sz w:val="20"/>
              </w:rPr>
              <w:t>2024</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31">
              <w:r>
                <w:rPr>
                  <w:rStyle w:val="InternetLink"/>
                  <w:rFonts w:ascii="Times New Roman;serif" w:hAnsi="Times New Roman;serif"/>
                  <w:b w:val="false"/>
                  <w:color w:val="0000FF"/>
                  <w:sz w:val="20"/>
                  <w:u w:val="single"/>
                </w:rPr>
                <w:t>9</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34">
              <w:r>
                <w:rPr>
                  <w:rStyle w:val="InternetLink"/>
                  <w:rFonts w:ascii="Times New Roman;serif" w:hAnsi="Times New Roman;serif"/>
                  <w:b w:val="false"/>
                  <w:strike w:val="false"/>
                  <w:dstrike w:val="false"/>
                  <w:color w:val="000000"/>
                  <w:sz w:val="20"/>
                  <w:u w:val="none"/>
                  <w:effect w:val="none"/>
                </w:rPr>
                <w:t>Notes to Unaudited Consolidated Financial Statements</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34">
              <w:r>
                <w:rPr>
                  <w:rStyle w:val="InternetLink"/>
                  <w:rFonts w:ascii="Times New Roman;serif" w:hAnsi="Times New Roman;serif"/>
                  <w:b w:val="false"/>
                  <w:color w:val="0000FF"/>
                  <w:sz w:val="20"/>
                  <w:u w:val="single"/>
                </w:rPr>
                <w:t>10</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09">
              <w:r>
                <w:rPr>
                  <w:rStyle w:val="InternetLink"/>
                  <w:rFonts w:ascii="Times New Roman;serif" w:hAnsi="Times New Roman;serif"/>
                  <w:b w:val="false"/>
                  <w:strike w:val="false"/>
                  <w:dstrike w:val="false"/>
                  <w:color w:val="000000"/>
                  <w:sz w:val="20"/>
                  <w:u w:val="none"/>
                  <w:effect w:val="none"/>
                </w:rPr>
                <w:t>Item 2.</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d3722755d3d3438f9d9f20f3d482411e_109">
              <w:r>
                <w:rPr>
                  <w:rStyle w:val="InternetLink"/>
                  <w:rFonts w:ascii="Times New Roman;serif" w:hAnsi="Times New Roman;serif"/>
                  <w:b w:val="false"/>
                  <w:strike w:val="false"/>
                  <w:dstrike w:val="false"/>
                  <w:color w:val="000000"/>
                  <w:sz w:val="20"/>
                  <w:u w:val="none"/>
                  <w:effect w:val="none"/>
                </w:rPr>
                <w:t xml:space="preserve">Management’s Discussion and Analysis of Financial Condition and Results of Operations </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09">
              <w:r>
                <w:rPr>
                  <w:rStyle w:val="InternetLink"/>
                  <w:rFonts w:ascii="Times New Roman;serif" w:hAnsi="Times New Roman;serif"/>
                  <w:b w:val="false"/>
                  <w:color w:val="0000FF"/>
                  <w:sz w:val="20"/>
                  <w:u w:val="single"/>
                </w:rPr>
                <w:t>51</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45">
              <w:r>
                <w:rPr>
                  <w:rStyle w:val="InternetLink"/>
                  <w:rFonts w:ascii="Times New Roman;serif" w:hAnsi="Times New Roman;serif"/>
                  <w:b w:val="false"/>
                  <w:strike w:val="false"/>
                  <w:dstrike w:val="false"/>
                  <w:color w:val="000000"/>
                  <w:sz w:val="20"/>
                  <w:u w:val="none"/>
                  <w:effect w:val="none"/>
                </w:rPr>
                <w:t>Item 3.</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45">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45">
              <w:r>
                <w:rPr>
                  <w:rStyle w:val="InternetLink"/>
                  <w:rFonts w:ascii="Times New Roman;serif" w:hAnsi="Times New Roman;serif"/>
                  <w:b w:val="false"/>
                  <w:color w:val="0000FF"/>
                  <w:sz w:val="20"/>
                  <w:u w:val="single"/>
                </w:rPr>
                <w:t>93</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48">
              <w:r>
                <w:rPr>
                  <w:rStyle w:val="InternetLink"/>
                  <w:rFonts w:ascii="Times New Roman;serif" w:hAnsi="Times New Roman;serif"/>
                  <w:b w:val="false"/>
                  <w:strike w:val="false"/>
                  <w:dstrike w:val="false"/>
                  <w:color w:val="000000"/>
                  <w:sz w:val="20"/>
                  <w:u w:val="none"/>
                  <w:effect w:val="none"/>
                </w:rPr>
                <w:t>Item 4.</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48">
              <w:r>
                <w:rPr>
                  <w:rStyle w:val="InternetLink"/>
                  <w:rFonts w:ascii="Times New Roman;serif" w:hAnsi="Times New Roman;serif"/>
                  <w:b w:val="false"/>
                  <w:strike w:val="false"/>
                  <w:dstrike w:val="false"/>
                  <w:color w:val="000000"/>
                  <w:sz w:val="20"/>
                  <w:u w:val="none"/>
                  <w:effect w:val="none"/>
                </w:rPr>
                <w:t xml:space="preserve">Controls and Procedures </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48">
              <w:r>
                <w:rPr>
                  <w:rStyle w:val="InternetLink"/>
                  <w:rFonts w:ascii="Times New Roman;serif" w:hAnsi="Times New Roman;serif"/>
                  <w:b w:val="false"/>
                  <w:color w:val="0000FF"/>
                  <w:sz w:val="20"/>
                  <w:u w:val="single"/>
                </w:rPr>
                <w:t>95</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51">
              <w:r>
                <w:rPr>
                  <w:rStyle w:val="InternetLink"/>
                  <w:rFonts w:ascii="Times New Roman;serif" w:hAnsi="Times New Roman;serif"/>
                  <w:b/>
                  <w:strike w:val="false"/>
                  <w:dstrike w:val="false"/>
                  <w:color w:val="000000"/>
                  <w:sz w:val="20"/>
                  <w:u w:val="none"/>
                  <w:effect w:val="none"/>
                </w:rPr>
                <w:t>PART II - OTHER INFORMATION</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54">
              <w:r>
                <w:rPr>
                  <w:rStyle w:val="InternetLink"/>
                  <w:rFonts w:ascii="Times New Roman;serif" w:hAnsi="Times New Roman;serif"/>
                  <w:b w:val="false"/>
                  <w:strike w:val="false"/>
                  <w:dstrike w:val="false"/>
                  <w:color w:val="000000"/>
                  <w:sz w:val="20"/>
                  <w:u w:val="none"/>
                  <w:effect w:val="none"/>
                </w:rPr>
                <w:t>Item 1.</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54">
              <w:r>
                <w:rPr>
                  <w:rStyle w:val="InternetLink"/>
                  <w:rFonts w:ascii="Times New Roman;serif" w:hAnsi="Times New Roman;serif"/>
                  <w:b w:val="false"/>
                  <w:strike w:val="false"/>
                  <w:dstrike w:val="false"/>
                  <w:color w:val="000000"/>
                  <w:sz w:val="20"/>
                  <w:u w:val="none"/>
                  <w:effect w:val="none"/>
                </w:rPr>
                <w:t>Legal Proceedings</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54">
              <w:r>
                <w:rPr>
                  <w:rStyle w:val="InternetLink"/>
                  <w:rFonts w:ascii="Times New Roman;serif" w:hAnsi="Times New Roman;serif"/>
                  <w:b w:val="false"/>
                  <w:color w:val="0000FF"/>
                  <w:sz w:val="20"/>
                  <w:u w:val="single"/>
                </w:rPr>
                <w:t>95</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57">
              <w:r>
                <w:rPr>
                  <w:rStyle w:val="InternetLink"/>
                  <w:rFonts w:ascii="Times New Roman;serif" w:hAnsi="Times New Roman;serif"/>
                  <w:b w:val="false"/>
                  <w:strike w:val="false"/>
                  <w:dstrike w:val="false"/>
                  <w:color w:val="000000"/>
                  <w:sz w:val="20"/>
                  <w:u w:val="none"/>
                  <w:effect w:val="none"/>
                </w:rPr>
                <w:t>Item 1A.</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57">
              <w:r>
                <w:rPr>
                  <w:rStyle w:val="InternetLink"/>
                  <w:rFonts w:ascii="Times New Roman;serif" w:hAnsi="Times New Roman;serif"/>
                  <w:b w:val="false"/>
                  <w:strike w:val="false"/>
                  <w:dstrike w:val="false"/>
                  <w:color w:val="000000"/>
                  <w:sz w:val="20"/>
                  <w:u w:val="none"/>
                  <w:effect w:val="none"/>
                </w:rPr>
                <w:t>Risk Factors</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57">
              <w:r>
                <w:rPr>
                  <w:rStyle w:val="InternetLink"/>
                  <w:rFonts w:ascii="Times New Roman;serif" w:hAnsi="Times New Roman;serif"/>
                  <w:b w:val="false"/>
                  <w:color w:val="0000FF"/>
                  <w:sz w:val="20"/>
                  <w:u w:val="single"/>
                </w:rPr>
                <w:t>95</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498">
              <w:r>
                <w:rPr>
                  <w:rStyle w:val="InternetLink"/>
                  <w:rFonts w:ascii="Times New Roman;serif" w:hAnsi="Times New Roman;serif"/>
                  <w:b w:val="false"/>
                  <w:strike w:val="false"/>
                  <w:dstrike w:val="false"/>
                  <w:color w:val="000080"/>
                  <w:sz w:val="20"/>
                  <w:u w:val="single"/>
                  <w:effect w:val="none"/>
                </w:rPr>
                <w:t>I</w:t>
              </w:r>
            </w:hyperlink>
            <w:hyperlink w:anchor="id3722755d3d3438f9d9f20f3d482411e_1498">
              <w:r>
                <w:rPr>
                  <w:rStyle w:val="InternetLink"/>
                  <w:rFonts w:ascii="Times New Roman;serif" w:hAnsi="Times New Roman;serif"/>
                  <w:b w:val="false"/>
                  <w:strike w:val="false"/>
                  <w:dstrike w:val="false"/>
                  <w:color w:val="000080"/>
                  <w:sz w:val="20"/>
                  <w:u w:val="single"/>
                  <w:effect w:val="none"/>
                </w:rPr>
                <w:t>tem 5.</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498">
              <w:r>
                <w:rPr>
                  <w:rStyle w:val="InternetLink"/>
                  <w:rFonts w:ascii="Times New Roman;serif" w:hAnsi="Times New Roman;serif"/>
                  <w:b w:val="false"/>
                  <w:strike w:val="false"/>
                  <w:dstrike w:val="false"/>
                  <w:color w:val="000080"/>
                  <w:sz w:val="20"/>
                  <w:u w:val="single"/>
                  <w:effect w:val="none"/>
                </w:rPr>
                <w:t>O</w:t>
              </w:r>
            </w:hyperlink>
            <w:hyperlink w:anchor="id3722755d3d3438f9d9f20f3d482411e_1498">
              <w:r>
                <w:rPr>
                  <w:rStyle w:val="InternetLink"/>
                  <w:rFonts w:ascii="Times New Roman;serif" w:hAnsi="Times New Roman;serif"/>
                  <w:b w:val="false"/>
                  <w:strike w:val="false"/>
                  <w:dstrike w:val="false"/>
                  <w:color w:val="000080"/>
                  <w:sz w:val="20"/>
                  <w:u w:val="single"/>
                  <w:effect w:val="none"/>
                </w:rPr>
                <w:t>ther Information</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498">
              <w:r>
                <w:rPr>
                  <w:rStyle w:val="InternetLink"/>
                  <w:rFonts w:ascii="Times New Roman;serif" w:hAnsi="Times New Roman;serif"/>
                  <w:b w:val="false"/>
                  <w:color w:val="0000FF"/>
                  <w:sz w:val="20"/>
                  <w:u w:val="single"/>
                </w:rPr>
                <w:t>96</w:t>
              </w:r>
            </w:hyperlink>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60">
              <w:r>
                <w:rPr>
                  <w:rStyle w:val="InternetLink"/>
                  <w:rFonts w:ascii="Times New Roman;serif" w:hAnsi="Times New Roman;serif"/>
                  <w:b w:val="false"/>
                  <w:strike w:val="false"/>
                  <w:dstrike w:val="false"/>
                  <w:color w:val="000000"/>
                  <w:sz w:val="20"/>
                  <w:u w:val="none"/>
                  <w:effect w:val="none"/>
                </w:rPr>
                <w:t>Item 6.</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60">
              <w:r>
                <w:rPr>
                  <w:rStyle w:val="InternetLink"/>
                  <w:rFonts w:ascii="Times New Roman;serif" w:hAnsi="Times New Roman;serif"/>
                  <w:b w:val="false"/>
                  <w:strike w:val="false"/>
                  <w:dstrike w:val="false"/>
                  <w:color w:val="000000"/>
                  <w:sz w:val="20"/>
                  <w:u w:val="none"/>
                  <w:effect w:val="none"/>
                </w:rPr>
                <w:t>Exhibits</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60">
              <w:r>
                <w:rPr>
                  <w:rStyle w:val="InternetLink"/>
                  <w:rFonts w:ascii="Times New Roman;serif" w:hAnsi="Times New Roman;serif"/>
                  <w:b w:val="false"/>
                  <w:color w:val="0000FF"/>
                  <w:sz w:val="20"/>
                  <w:u w:val="single"/>
                </w:rPr>
                <w:t>96</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0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3722755d3d3438f9d9f20f3d482411e_163">
              <w:r>
                <w:rPr>
                  <w:rStyle w:val="InternetLink"/>
                  <w:rFonts w:ascii="Times New Roman;serif" w:hAnsi="Times New Roman;serif"/>
                  <w:b w:val="false"/>
                  <w:strike w:val="false"/>
                  <w:dstrike w:val="false"/>
                  <w:color w:val="000000"/>
                  <w:sz w:val="20"/>
                  <w:u w:val="none"/>
                  <w:effect w:val="none"/>
                </w:rPr>
                <w:t>Signatures</w:t>
              </w:r>
            </w:hyperlink>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722755d3d3438f9d9f20f3d482411e_163">
              <w:r>
                <w:rPr>
                  <w:rStyle w:val="InternetLink"/>
                  <w:rFonts w:ascii="Times New Roman;serif" w:hAnsi="Times New Roman;serif"/>
                  <w:b w:val="false"/>
                  <w:color w:val="0000FF"/>
                  <w:sz w:val="20"/>
                  <w:u w:val="single"/>
                </w:rPr>
                <w:t>97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2024 and the following:</w:t>
      </w:r>
    </w:p>
    <w:p>
      <w:pPr>
        <w:pStyle w:val="TextBody"/>
        <w:bidi w:val="0"/>
        <w:spacing w:before="20" w:after="20"/>
        <w:jc w:val="left"/>
        <w:rPr/>
      </w:pPr>
      <w:r>
        <w:rPr/>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the potential for ongoing disruption in the financial markets and in commercial activity generally related to changes in monetary and fiscal policy, United States political developments, geopolitical events and other sources of instability, including the ongoing federal government shutdown;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the impacts of inflation, employment disruption, and other financial difficulties facing our borrowers;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whether we will release some or all of the valuation allowance offsetting our net U.S. deferred tax asset, and the timing and amount of such release;</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the timing for completion of our PHH Mortgage Corporation (PHH) rebranding and its impact on our business and third parties’ perceptions of us;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our ability to maintain and increase market share in our target markets, including in forward and reverse servicing;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breach or failure of Onity’s, our contractual counterparties’, or our vendors’ information technology or other security systems or privacy protections, including any failure to protect customers’ data, resulting in disruption to our operations, loss of income, reputational damage, costly litigation and regulatory penalties;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the amount of common stock or senior debt that we may repurchase under any future stock or debt repurchase programs, the timing of such repurchases, and the long-term impact, if any, of repurchases on the trading price of our stock or our financial condition;</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repay, renew and extend our other borrowings, borrow additional amounts as and when required, meet our mortgage servicing rights (MSR) or other asset investment objectives and comply with our debt agreements, including the financial and other covenants contained in them;</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the extent to which our strategic transactions and enterprise sales initiatives will generate additional subservicing volume and result in increased profitability;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impact of non-renewal by Rithm Capital Corp. (Rithm) of its subservicing agreements with us effective January 31, 2026, including the timing for servicing transfer, the extent to which we will restructure our operations and support functions and the timing for doing so, and our ability to offset reduced subservicing income with other income-generating activities;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uncertainty related to the extent to which MSR Asset Vehicle LLC will exercise its rights to sell MSRs which are presently subserviced by PHH and the impact to our subservicing portfolio;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ability to identify, enter into and close additional strategic transactions, including the ability to obtain regulatory approvals, enter into definitive financing arrangements, and satisfy closing conditions, and the timing for doing so;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efficiently integrate the operations and assets of acquired businesses and to retain their employees and customers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uncertainty related to the ability of third-party obligors and financing sources to fund servicing advances on a timely basis on loans serviced by us;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increased servicing costs and reduced or delayed servicing income due to rising borrower delinquency levels, forbearance plans, moratoria on evictions and delays in foreclosure proceedings;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the characteristics of our servicing portfolio, including prepayment speeds along with delinquency and advance rates;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continue to collect certain expedited payment or convenience fees and potential liability for charging such fees;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an increase in severe weather or natural disaster events resulting in costly disruptions to our operations and increased servicing costs due to property damage;</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successfully modify delinquent loans, manage foreclosures and maintain and sell foreclosed properties;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scrutiny of our compliance with COVID-19-related and post pandemic-related rules and regulations, including requirements instituted by state governments, the GSEs, Ginnie Mae and regulators;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the reactions of key counterparties, including lenders, the GSEs and Ginnie Mae, to our regulatory engagements and litigation matters;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any adverse developments in existing legal proceedings or the initiation of new legal proceedings;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our ability to efficiently manage our regulatory and contractual compliance obligations and fully comply with all applicable requirements, and the costs of doing so;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uncertainty related to changes in legislation, regulations, government programs and policies, industry initiatives, best servicing and lending practices, and media scrutiny of our business and industry;</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the extent to which changes in, or in the interpretation of, laws or regulations may require us to modify our business practices and expose us to increased expense, regulatory engagement and litigation risk, including with respect to the collection of expedited payment, or convenience, fees;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 xml:space="preserve">our ability to comply with our servicing agreements, including our ability to comply with our agreements with the GSEs and Ginnie Mae and maintain our seller/servicer and other statuses with them; </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servicer and credit ratings as well as other actions from various rating agencies, including the impact of prior or future downgrades of our servicer and credit ratings;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uncertainty related to the actions of loan owners and guarantors, including mortgage-backed securities investors, the GSEs, Ginnie Mae and trustees regarding loan put-backs, penalties and legal actions;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recruit and retain senior managers and key employees;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increased compensation and benefits expense as a result of rising inflation and labor market trends;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uncertainty related to our reserves, valuations, provisions and anticipated realization of assets;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effectively manage our exposure to interest rate changes and foreign exchange fluctuations;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effectively transform our operations in response to changing business needs, including our ability to do so without unanticipated adverse tax consequences;</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political or economic stability in the foreign countries in which we operate; and</w:t>
      </w:r>
    </w:p>
    <w:p>
      <w:pPr>
        <w:pStyle w:val="TextBody"/>
        <w:bidi w:val="0"/>
        <w:spacing w:lineRule="auto" w:line="288" w:before="20" w:after="20"/>
        <w:ind w:left="0" w:right="0" w:hanging="360"/>
        <w:jc w:val="left"/>
        <w:rPr/>
      </w:pPr>
      <w:r>
        <w:rPr>
          <w:color w:val="000000"/>
        </w:rPr>
        <w:t>•</w:t>
      </w:r>
      <w:r>
        <w:rPr>
          <w:rFonts w:ascii="Times New Roman;serif" w:hAnsi="Times New Roman;serif"/>
          <w:b w:val="false"/>
          <w:color w:val="000000"/>
          <w:sz w:val="20"/>
        </w:rPr>
        <w:t>our ability to maintain positive relationships with our large shareholders and obtain their support for management proposals requiring shareholder approval.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Further information on the risks specific to our business is detailed within this report and our other reports and filings with the SEC including our Annual Report on Form 10-K for the year ended December 31, 2024,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UNAUDITED CONSOLIDATED FINANCIAL STATEMENTS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ONITY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2789"/>
        <w:gridCol w:w="2141"/>
        <w:gridCol w:w="2159"/>
        <w:gridCol w:w="244"/>
        <w:gridCol w:w="1008"/>
        <w:gridCol w:w="126"/>
        <w:gridCol w:w="109"/>
        <w:gridCol w:w="109"/>
        <w:gridCol w:w="109"/>
        <w:gridCol w:w="240"/>
        <w:gridCol w:w="993"/>
        <w:gridCol w:w="178"/>
      </w:tblGrid>
      <w:tr>
        <w:trPr/>
        <w:tc>
          <w:tcPr>
            <w:tcW w:w="278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($31.4 and $29.1 related to variable interest entities (VIEs))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 (MSRs), at fair value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Advances, net ($346.0 and $481.8 related to VIEs)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 ($678.6 and $575.4 related to VIEs)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fair value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($37.6 and $31.9 related to VIEs)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($18.6 and $15.7 carried at fair value) ($60.5 and $42.0 related to VIEs)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loan repurchase asset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Conversion Mortgage-Backed Securities (HMBS) related borrowings, at fair value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liabilities, at fair value ($307.1 and $322.7 due to related party)</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match funded liabilities ($320.1 and $416.5 related to VIEs)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 net ($613.9 and $481.9 related to VIEs)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 net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($27.5 and $28.0 carried at fair value)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loan repurchase liability</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15,556.1 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(Notes 21 and 22)</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Mezzanine Equity</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B Preferred stock, $0.01 par value and $25.00 liquidation preference value; 2,400,000 shares authorized; 2,111,786 and 2,111,787 shares issued and outstanding at September 30, 2025 and December 31, 2024, respectively</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13,333,333 shares authorized; 8,058,874 and 7,873,053 shares issued and outstanding at September 30, 2025 and December 31, 2024, respectively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net of income taxes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mezzanine equity and stockholders’ equity</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840"/>
                <wp:effectExtent l="0" t="0" r="0" b="0"/>
                <wp:wrapNone/>
                <wp:docPr id="6"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ONITY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1587"/>
        <w:gridCol w:w="1236"/>
        <w:gridCol w:w="1246"/>
        <w:gridCol w:w="335"/>
        <w:gridCol w:w="777"/>
        <w:gridCol w:w="134"/>
        <w:gridCol w:w="134"/>
        <w:gridCol w:w="134"/>
        <w:gridCol w:w="134"/>
        <w:gridCol w:w="335"/>
        <w:gridCol w:w="777"/>
        <w:gridCol w:w="134"/>
        <w:gridCol w:w="109"/>
        <w:gridCol w:w="109"/>
        <w:gridCol w:w="109"/>
        <w:gridCol w:w="324"/>
        <w:gridCol w:w="771"/>
        <w:gridCol w:w="132"/>
        <w:gridCol w:w="132"/>
        <w:gridCol w:w="132"/>
        <w:gridCol w:w="132"/>
        <w:gridCol w:w="324"/>
        <w:gridCol w:w="771"/>
        <w:gridCol w:w="197"/>
      </w:tblGrid>
      <w:tr>
        <w:trPr/>
        <w:tc>
          <w:tcPr>
            <w:tcW w:w="158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subservicing fees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MSR valuation adjustments,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Servicing and origination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 ($11.0, $11.4, $33.9, and $42.1 on amounts due to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equity method investee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dividend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common stockholders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8,055,262 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7,860,572 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7,984,142 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7,797,974 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8,717,597 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8,055,393 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8,563,697 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8,006,981 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840"/>
                <wp:effectExtent l="0" t="0" r="0" b="0"/>
                <wp:wrapNone/>
                <wp:docPr id="7"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ONITY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356"/>
        <w:gridCol w:w="1159"/>
        <w:gridCol w:w="1175"/>
        <w:gridCol w:w="329"/>
        <w:gridCol w:w="798"/>
        <w:gridCol w:w="169"/>
        <w:gridCol w:w="169"/>
        <w:gridCol w:w="169"/>
        <w:gridCol w:w="169"/>
        <w:gridCol w:w="329"/>
        <w:gridCol w:w="798"/>
        <w:gridCol w:w="169"/>
        <w:gridCol w:w="109"/>
        <w:gridCol w:w="109"/>
        <w:gridCol w:w="109"/>
        <w:gridCol w:w="319"/>
        <w:gridCol w:w="774"/>
        <w:gridCol w:w="164"/>
        <w:gridCol w:w="164"/>
        <w:gridCol w:w="164"/>
        <w:gridCol w:w="164"/>
        <w:gridCol w:w="319"/>
        <w:gridCol w:w="774"/>
        <w:gridCol w:w="247"/>
      </w:tblGrid>
      <w:tr>
        <w:trPr/>
        <w:tc>
          <w:tcPr>
            <w:tcW w:w="13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Nine Months Ended September 30,</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unfunded pension plan obligation liability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840"/>
                <wp:effectExtent l="0" t="0" r="0" b="0"/>
                <wp:wrapNone/>
                <wp:docPr id="8"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ONITY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SEPTEMBER 30,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4"/>
        <w:gridCol w:w="290"/>
        <w:gridCol w:w="292"/>
        <w:gridCol w:w="488"/>
        <w:gridCol w:w="488"/>
        <w:gridCol w:w="226"/>
        <w:gridCol w:w="109"/>
        <w:gridCol w:w="109"/>
        <w:gridCol w:w="109"/>
        <w:gridCol w:w="226"/>
        <w:gridCol w:w="436"/>
        <w:gridCol w:w="119"/>
        <w:gridCol w:w="109"/>
        <w:gridCol w:w="109"/>
        <w:gridCol w:w="109"/>
        <w:gridCol w:w="235"/>
        <w:gridCol w:w="689"/>
        <w:gridCol w:w="122"/>
        <w:gridCol w:w="109"/>
        <w:gridCol w:w="109"/>
        <w:gridCol w:w="109"/>
        <w:gridCol w:w="298"/>
        <w:gridCol w:w="893"/>
        <w:gridCol w:w="155"/>
        <w:gridCol w:w="109"/>
        <w:gridCol w:w="109"/>
        <w:gridCol w:w="109"/>
        <w:gridCol w:w="451"/>
        <w:gridCol w:w="869"/>
        <w:gridCol w:w="234"/>
        <w:gridCol w:w="109"/>
        <w:gridCol w:w="109"/>
        <w:gridCol w:w="109"/>
        <w:gridCol w:w="109"/>
        <w:gridCol w:w="109"/>
        <w:gridCol w:w="211"/>
        <w:gridCol w:w="616"/>
        <w:gridCol w:w="160"/>
      </w:tblGrid>
      <w:tr>
        <w:trPr/>
        <w:tc>
          <w:tcPr>
            <w:tcW w:w="8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Retained Earnings (Accumulated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8,055,222 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dividend ($0.49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8,058,874 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7,845,055 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7,868,458 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840"/>
                <wp:effectExtent l="0" t="0" r="0" b="0"/>
                <wp:wrapNone/>
                <wp:docPr id="9" name="Frame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ONITY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NINE MONTHS ENDED SEPTEMBER 30,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735"/>
        <w:gridCol w:w="321"/>
        <w:gridCol w:w="322"/>
        <w:gridCol w:w="488"/>
        <w:gridCol w:w="488"/>
        <w:gridCol w:w="226"/>
        <w:gridCol w:w="109"/>
        <w:gridCol w:w="109"/>
        <w:gridCol w:w="109"/>
        <w:gridCol w:w="226"/>
        <w:gridCol w:w="436"/>
        <w:gridCol w:w="119"/>
        <w:gridCol w:w="109"/>
        <w:gridCol w:w="109"/>
        <w:gridCol w:w="109"/>
        <w:gridCol w:w="228"/>
        <w:gridCol w:w="670"/>
        <w:gridCol w:w="119"/>
        <w:gridCol w:w="109"/>
        <w:gridCol w:w="109"/>
        <w:gridCol w:w="109"/>
        <w:gridCol w:w="288"/>
        <w:gridCol w:w="861"/>
        <w:gridCol w:w="149"/>
        <w:gridCol w:w="109"/>
        <w:gridCol w:w="109"/>
        <w:gridCol w:w="109"/>
        <w:gridCol w:w="419"/>
        <w:gridCol w:w="836"/>
        <w:gridCol w:w="216"/>
        <w:gridCol w:w="109"/>
        <w:gridCol w:w="109"/>
        <w:gridCol w:w="109"/>
        <w:gridCol w:w="109"/>
        <w:gridCol w:w="109"/>
        <w:gridCol w:w="109"/>
        <w:gridCol w:w="109"/>
        <w:gridCol w:w="211"/>
        <w:gridCol w:w="616"/>
        <w:gridCol w:w="160"/>
      </w:tblGrid>
      <w:tr>
        <w:trPr/>
        <w:tc>
          <w:tcPr>
            <w:tcW w:w="7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 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7,873,053 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dividend ($1.48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common stock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and other</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income taxes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8,058,874 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7,684,401 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and other</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income taxes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7,868,458 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840"/>
                <wp:effectExtent l="0" t="0" r="0" b="0"/>
                <wp:wrapNone/>
                <wp:docPr id="10" name="Frame9"/>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ONITY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10205" w:type="dxa"/>
        <w:jc w:val="center"/>
        <w:tblInd w:w="0" w:type="dxa"/>
        <w:tblLayout w:type="fixed"/>
        <w:tblCellMar>
          <w:top w:w="28" w:type="dxa"/>
          <w:left w:w="28" w:type="dxa"/>
          <w:bottom w:w="28" w:type="dxa"/>
          <w:right w:w="28" w:type="dxa"/>
        </w:tblCellMar>
      </w:tblPr>
      <w:tblGrid>
        <w:gridCol w:w="2716"/>
        <w:gridCol w:w="2195"/>
        <w:gridCol w:w="2210"/>
        <w:gridCol w:w="311"/>
        <w:gridCol w:w="831"/>
        <w:gridCol w:w="147"/>
        <w:gridCol w:w="147"/>
        <w:gridCol w:w="147"/>
        <w:gridCol w:w="147"/>
        <w:gridCol w:w="311"/>
        <w:gridCol w:w="831"/>
        <w:gridCol w:w="212"/>
      </w:tblGrid>
      <w:tr>
        <w:trPr/>
        <w:tc>
          <w:tcPr>
            <w:tcW w:w="2716"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Nine Months Ended September 30,</w:t>
            </w:r>
          </w:p>
        </w:tc>
      </w:tr>
      <w:tr>
        <w:trPr/>
        <w:tc>
          <w:tcPr>
            <w:tcW w:w="7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MSR valuation adjustments,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bad debts (advances and receivables)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indemnification obligations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advances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receivables and other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derivatives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loans held for sale: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Origination and purchase of loans held for sale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(12,265.7)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sale and collections of loans held for sale </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Origination of loans held for investment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Principal payments received on loans held for investment </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MSRs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sale of MSRs </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(investment in) equity method investee,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advances in connection with MSR transactions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advances in connection with MSR transactions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real estate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premises and equipment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advance match funded liabilities,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mortgage loan financing facilities,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MSR financing facilities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MSR financing facilities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Senior notes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other financing liabilities - Sale of MSRs accounted for as secured financing</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other financing liabilities - Excess Servicing Spread (ESS) liability </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other financing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Proceeds from sale of Home Equity Conversion Mortgages (HECM, or reverse mortgages) accounted for as a financing (HMBS-related borrowings)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HMBS-related borrowings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stock dividend</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on exercise of common stock warrants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 (refunds), net</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Recognition of gross right-of-use asset and lease liability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MSRs and Other financing liabilities, at fair value:</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at fair value</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liability, at fair value - MSR pledged liability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unaudited consolidated balance sheets and the unaudited consolidated statements of cash flows:</w:t>
      </w:r>
    </w:p>
    <w:tbl>
      <w:tblPr>
        <w:tblW w:w="10205" w:type="dxa"/>
        <w:jc w:val="center"/>
        <w:tblInd w:w="0" w:type="dxa"/>
        <w:tblLayout w:type="fixed"/>
        <w:tblCellMar>
          <w:top w:w="28" w:type="dxa"/>
          <w:left w:w="28" w:type="dxa"/>
          <w:bottom w:w="28" w:type="dxa"/>
          <w:right w:w="28" w:type="dxa"/>
        </w:tblCellMar>
      </w:tblPr>
      <w:tblGrid>
        <w:gridCol w:w="2342"/>
        <w:gridCol w:w="2057"/>
        <w:gridCol w:w="2069"/>
        <w:gridCol w:w="377"/>
        <w:gridCol w:w="1107"/>
        <w:gridCol w:w="196"/>
        <w:gridCol w:w="109"/>
        <w:gridCol w:w="109"/>
        <w:gridCol w:w="109"/>
        <w:gridCol w:w="371"/>
        <w:gridCol w:w="1083"/>
        <w:gridCol w:w="276"/>
      </w:tblGrid>
      <w:tr>
        <w:trPr/>
        <w:tc>
          <w:tcPr>
            <w:tcW w:w="23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6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equivalents:</w:t>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accounts</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restricted cash</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reported in the statements of cash flows</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840"/>
                <wp:effectExtent l="0" t="0" r="0" b="0"/>
                <wp:wrapNone/>
                <wp:docPr id="11" name="Frame10"/>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ONITY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data and unless otherwise indicated)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69" w:type="dxa"/>
        <w:jc w:val="center"/>
        <w:tblInd w:w="0" w:type="dxa"/>
        <w:tblLayout w:type="fixed"/>
        <w:tblCellMar>
          <w:top w:w="28" w:type="dxa"/>
          <w:left w:w="28" w:type="dxa"/>
          <w:bottom w:w="28" w:type="dxa"/>
          <w:right w:w="28" w:type="dxa"/>
        </w:tblCellMar>
      </w:tblPr>
      <w:tblGrid>
        <w:gridCol w:w="1336"/>
        <w:gridCol w:w="1174"/>
        <w:gridCol w:w="1659"/>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1 - Organization and Basis of Presentation</w:t>
            </w:r>
          </w:p>
        </w:tc>
      </w:tr>
    </w:tbl>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Onity Group Inc. (NYSE: ONIT) (Onity, we, us and our) is a non-bank mortgage servicer and originator providing solutions to homeowners, clients, investors and others through its primary operating subsidiary, PHH Mortgage Corporation (PHH). PHH is a wholly-owned subsidiary of PHH Corporation, an intermediate holding company and wholly-owned subsidiary of Onity. We are headquartered in West Palm Beach, Florida with offices and operations in the United States (U.S.), the United States Virgin Islands (USVI), India and the Philippines. Onity is a Florida corporation organized in February 1988.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Onity directly or indirectly owns all of the outstanding common stock of its operating subsidiaries, including PHH since its acquisition on October 4, 2018, PHH Asset Services, LLC (PAS), Ocwen Financial Solutions Private Limited (OFSPL) and Ocwen USVI Services, LLC (OVIS). Effective November 27, 2024, Onity completed the sale of its 15% equity interest in MAV Canopy HoldCo I, LLC (MAV Canopy) which invests in mortgage servicing assets through its licensed mortgage subsidiary MSR Asset Vehicle LLC (MAV).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servicing activities related to our own MSR portfolio (primary) and on behalf of other servicers (subservicing),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had a total of approximately 4,200 employees at September 30, 2025 of which approximately 2,800 were located in India and approximately 400 were based in the Philippines. Our operations in India and the Philippines provide support services to our loan servicing and originations businesses and our corporate functions.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2025 are not necessarily indicative of the results that may be expected for any other interim period or for the year ending December 31, 2025. The unaudited consolidated financial statements presented herein should be read in conjunction with the audited consolidated financial statements and related notes thereto included in our Annual Report on Form 10-K for the year ended December 31, 2024.</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Amounts may not add in certain tables due to rounding.</w:t>
      </w:r>
    </w:p>
    <w:p>
      <w:pPr>
        <w:pStyle w:val="TextBody"/>
        <w:bidi w:val="0"/>
        <w:spacing w:lineRule="auto" w:line="288" w:before="120" w:after="120"/>
        <w:ind w:left="0" w:right="0" w:hanging="720"/>
        <w:jc w:val="left"/>
        <w:rPr>
          <w:rFonts w:ascii="Times New Roman;serif" w:hAnsi="Times New Roman;serif"/>
          <w:b/>
          <w:color w:val="000000"/>
          <w:sz w:val="20"/>
        </w:rPr>
      </w:pPr>
      <w:r>
        <w:rPr>
          <w:rFonts w:ascii="Times New Roman;serif" w:hAnsi="Times New Roman;serif"/>
          <w:b/>
          <w:color w:val="000000"/>
          <w:sz w:val="20"/>
        </w:rPr>
        <w:t>Use of Estimates and Assumptions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uses all available information; however, actual results could materially differ from those estimates and assumptions.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Recently Adopted Accounting Standards </w:t>
      </w:r>
    </w:p>
    <w:p>
      <w:pPr>
        <w:pStyle w:val="TextBody"/>
        <w:bidi w:val="0"/>
        <w:spacing w:lineRule="auto" w:line="268" w:before="120" w:after="120"/>
        <w:jc w:val="both"/>
        <w:rPr>
          <w:rFonts w:ascii="Times New Roman;serif" w:hAnsi="Times New Roman;serif"/>
          <w:b/>
          <w:color w:val="000000"/>
          <w:sz w:val="20"/>
        </w:rPr>
      </w:pPr>
      <w:r>
        <w:rPr>
          <w:rFonts w:ascii="Times New Roman;serif" w:hAnsi="Times New Roman;serif"/>
          <w:b/>
          <w:color w:val="000000"/>
          <w:sz w:val="20"/>
        </w:rPr>
        <w:t>Business Combinations - Joint Venture Formations (ASC 805-60): Recognition and Initial Measurement (ASU 2023-05)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amendments in this ASU require a joint venture to apply a new basis of accounting upon formation for the initial contribution of nonmonetary and monetary assets, initially measured at fair value (with exceptions to fair value measurement consistent with business combinations guidance). This ASU does not amend the definition of a joint venture, the accounting by an equity method investor for its investment in a joint venture, or the accounting by a joint venture for contributions received after its formation.</w:t>
      </w:r>
    </w:p>
    <w:p>
      <w:pPr>
        <w:pStyle w:val="TextBody"/>
        <w:bidi w:val="0"/>
        <w:spacing w:lineRule="auto" w:line="288" w:before="120" w:after="12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amendments in this ASU are effective prospectively for all joint venture formations with a formation date on or after January 1, 2025. A joint venture formed prior to the adoption date may elect to apply the new guidance retrospectively back to the original formation date. Our adoption of this standard did not have a material impact on our consolidated financial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Accounting Standards Issued but Not Yet Adopted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Income Taxes (ASC 740) Improvements to Income Tax Disclosures (ASU 2023-09)</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amendments in this ASU require disaggregated information about a reporting entity’s effective tax rate reconciliation, including a tabular rate reconciliation for specified categories and additional information for reconciling items that meet a quantitative threshold. The ASU also requires additional disaggregated information on income taxes paid to an individual jurisdiction equal to or greater than 5% of total income taxes paid.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amendments are effective in the 2025 annual period and in 2026 for interim periods and shall be applied on a prospective basis with the option to apply the standard retrospectively.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Intangibles—Goodwill and Other—Internal-Use Software (ASC 350-40): Targeted Improvements to the Accounting for Internal-Use Software (ASU 2025-06)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amendments in this ASU remove references to software development stages and require entities to start capitalizing software costs when (1) management has authorized and committed to funding the software project, and (2) it is probable that the project will be completed and the software will be used to perform the function intended (referred to as the “probable-to-complete recognition threshold”).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amendments in this ASU are effective in the 2028 annual period and in 2029 for interim reporting periods. Early adoption is permitted. The standard may be applied using a prospective transition approach, a modified transition approach that is based on the status of the project and whether software costs were capitalized before the date of adoption, or a retrospective transition approach.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95" w:type="dxa"/>
        <w:jc w:val="left"/>
        <w:tblInd w:w="0" w:type="dxa"/>
        <w:tblLayout w:type="fixed"/>
        <w:tblCellMar>
          <w:top w:w="28" w:type="dxa"/>
          <w:left w:w="28" w:type="dxa"/>
          <w:bottom w:w="28" w:type="dxa"/>
          <w:right w:w="28" w:type="dxa"/>
        </w:tblCellMar>
      </w:tblPr>
      <w:tblGrid>
        <w:gridCol w:w="1501"/>
        <w:gridCol w:w="1320"/>
        <w:gridCol w:w="1874"/>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Note 2 – Securitizations and Variable Interest Entities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loans held for sale and other related assets, (3) financings of advances and (4) MSR financings. Financing transactions that do not use SPEs or VIEs are disclosed in Note 12 – Borrowings. </w:t>
      </w:r>
    </w:p>
    <w:p>
      <w:pPr>
        <w:pStyle w:val="TextBody"/>
        <w:bidi w:val="0"/>
        <w:spacing w:lineRule="auto" w:line="288" w:before="120" w:after="283"/>
        <w:ind w:left="0" w:right="0" w:hanging="720"/>
        <w:jc w:val="left"/>
        <w:rPr>
          <w:rFonts w:ascii="Times New Roman;serif" w:hAnsi="Times New Roman;serif"/>
          <w:b/>
          <w:color w:val="000000"/>
          <w:sz w:val="20"/>
        </w:rPr>
      </w:pPr>
      <w:r>
        <w:rPr>
          <w:rFonts w:ascii="Times New Roman;serif" w:hAnsi="Times New Roman;serif"/>
          <w:b/>
          <w:color w:val="000000"/>
          <w:sz w:val="20"/>
        </w:rPr>
        <w:t>Securitizations of Residential Mortgage Loans</w:t>
      </w:r>
    </w:p>
    <w:p>
      <w:pPr>
        <w:pStyle w:val="TextBody"/>
        <w:bidi w:val="0"/>
        <w:spacing w:lineRule="auto" w:line="288" w:before="120" w:after="283"/>
        <w:jc w:val="left"/>
        <w:rPr/>
      </w:pPr>
      <w:r>
        <w:rPr>
          <w:rFonts w:ascii="Times New Roman;serif" w:hAnsi="Times New Roman;serif"/>
          <w:b w:val="false"/>
          <w:i/>
          <w:color w:val="000000"/>
          <w:sz w:val="20"/>
        </w:rPr>
        <w:t>Transfers of Forward Loans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cash flows received from and paid to securitization trusts related to transfers of loans accounted for as sales that were outstanding: </w:t>
      </w:r>
    </w:p>
    <w:tbl>
      <w:tblPr>
        <w:tblW w:w="10205" w:type="dxa"/>
        <w:jc w:val="left"/>
        <w:tblInd w:w="0" w:type="dxa"/>
        <w:tblLayout w:type="fixed"/>
        <w:tblCellMar>
          <w:top w:w="28" w:type="dxa"/>
          <w:left w:w="28" w:type="dxa"/>
          <w:bottom w:w="28" w:type="dxa"/>
          <w:right w:w="28" w:type="dxa"/>
        </w:tblCellMar>
      </w:tblPr>
      <w:tblGrid>
        <w:gridCol w:w="1462"/>
        <w:gridCol w:w="1285"/>
        <w:gridCol w:w="1289"/>
        <w:gridCol w:w="244"/>
        <w:gridCol w:w="889"/>
        <w:gridCol w:w="126"/>
        <w:gridCol w:w="126"/>
        <w:gridCol w:w="126"/>
        <w:gridCol w:w="126"/>
        <w:gridCol w:w="244"/>
        <w:gridCol w:w="889"/>
        <w:gridCol w:w="126"/>
        <w:gridCol w:w="109"/>
        <w:gridCol w:w="109"/>
        <w:gridCol w:w="109"/>
        <w:gridCol w:w="225"/>
        <w:gridCol w:w="930"/>
        <w:gridCol w:w="116"/>
        <w:gridCol w:w="116"/>
        <w:gridCol w:w="116"/>
        <w:gridCol w:w="116"/>
        <w:gridCol w:w="225"/>
        <w:gridCol w:w="930"/>
        <w:gridCol w:w="172"/>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36" w:type="dxa"/>
            <w:gridSpan w:val="3"/>
            <w:vMerge w:val="continue"/>
            <w:tcBorders/>
            <w:tcMar>
              <w:top w:w="0" w:type="dxa"/>
              <w:left w:w="0" w:type="dxa"/>
              <w:bottom w:w="0" w:type="dxa"/>
              <w:right w:w="0" w:type="dxa"/>
            </w:tcMar>
            <w:vAlign w:val="center"/>
          </w:tcPr>
          <w:p>
            <w:pPr>
              <w:pStyle w:val="Normal"/>
              <w:bidi w:val="0"/>
              <w:jc w:val="left"/>
              <w:rPr/>
            </w:pPr>
            <w:r>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securitizations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fees collected </w:t>
            </w:r>
            <w:r>
              <w:rPr>
                <w:rFonts w:ascii="Times New Roman;serif" w:hAnsi="Times New Roman;serif"/>
                <w:b w:val="false"/>
                <w:color w:val="000000"/>
                <w:sz w:val="13"/>
              </w:rPr>
              <w:t>(1)</w:t>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previously transferred assets, net of claims reimbursed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16,659.7 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(1)We receive servicing fees based upon the securitized loan unpaid principal balance (UPB) and certain ancillary fees, all of which are reported in Servicing and subservicing fees in the unaudited consolidated statements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these transfers, we retained MSRs of $116.0 million and $258.9 million during the three and nine months ended September 30, 2025, respectively, and $61.6 million and $163.9 million during the three and nine months ended September 30, 2024,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22 – Contingencies.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tbl>
      <w:tblPr>
        <w:tblW w:w="6386" w:type="dxa"/>
        <w:jc w:val="left"/>
        <w:tblInd w:w="0" w:type="dxa"/>
        <w:tblLayout w:type="fixed"/>
        <w:tblCellMar>
          <w:top w:w="28" w:type="dxa"/>
          <w:left w:w="28" w:type="dxa"/>
          <w:bottom w:w="28" w:type="dxa"/>
          <w:right w:w="28" w:type="dxa"/>
        </w:tblCellMar>
      </w:tblPr>
      <w:tblGrid>
        <w:gridCol w:w="911"/>
        <w:gridCol w:w="802"/>
        <w:gridCol w:w="806"/>
        <w:gridCol w:w="313"/>
        <w:gridCol w:w="1295"/>
        <w:gridCol w:w="162"/>
        <w:gridCol w:w="109"/>
        <w:gridCol w:w="109"/>
        <w:gridCol w:w="109"/>
        <w:gridCol w:w="302"/>
        <w:gridCol w:w="1248"/>
        <w:gridCol w:w="220"/>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MSRs, at fair value</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UPB of loans transferred </w:t>
            </w:r>
            <w:r>
              <w:rPr>
                <w:rFonts w:ascii="Times New Roman;serif" w:hAnsi="Times New Roman;serif"/>
                <w:b w:val="false"/>
                <w:color w:val="000000"/>
                <w:sz w:val="13"/>
              </w:rPr>
              <w:t>(1)</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49,641.2 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Maximum exposure to loss </w:t>
            </w:r>
            <w:r>
              <w:rPr>
                <w:rFonts w:ascii="Times New Roman;serif" w:hAnsi="Times New Roman;serif"/>
                <w:b w:val="false"/>
                <w:color w:val="000000"/>
                <w:sz w:val="13"/>
              </w:rPr>
              <w:t>(2)</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61,814.0 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50,505.0 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(1)Includes $15.5 billion and $11.7 billion of loans delivered to Ginnie Mae as of September 30, 2025 and December 31, 2024, respectively, and includes loan modifications repurchased and delivered through the Ginnie Mae Early Buyout Program (EBO). </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22 –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2.0% and 2.7%, respectively, of the transferred residential loans that we service were 60 days or more past due, including 60 days or more past due loans under forbearance. This includes 4.8% and 7.0%, respectively, of loans delivered to Ginnie Mae that are 60 days or more past due.</w:t>
      </w:r>
    </w:p>
    <w:p>
      <w:pPr>
        <w:pStyle w:val="TextBody"/>
        <w:bidi w:val="0"/>
        <w:spacing w:lineRule="auto" w:line="288" w:before="120" w:after="283"/>
        <w:jc w:val="left"/>
        <w:rPr/>
      </w:pPr>
      <w:r>
        <w:rPr>
          <w:rFonts w:ascii="Times New Roman;serif" w:hAnsi="Times New Roman;serif"/>
          <w:b w:val="false"/>
          <w:i/>
          <w:color w:val="000000"/>
          <w:sz w:val="20"/>
        </w:rPr>
        <w:t>Transfers of Reverse Mortgages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pool HECM loans into HMBS that we sell into the secondary market with servicing rights retained. As the transfers of the HECM loans do not qualify for sale accounting, we account for these transfers as secured financings, with the HECM loans classified as Loans held for investment, at fair value, on our consolidated balance sheets. Holders of participating interests in the HMBS have no recourse against the assets of Onity, except with respect to standard representations and warranties and our contractual obligation to service the HECM loans and the HMBS.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Financing of Loans Held for Sale, Receivables and Other Assets using SPEs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consolidate an SPE (trust) in connection with a warehouse mortgage loan financing facility structured as a gestation repurchase facility whereby Agency mortgage loans are transferred by PHH to the trust for collateralization purposes.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September 30, 2025 and December 31, 2024, $200.0 million and $200.0 million, respectively, loans held for sale were pledged as collateral for $200.0 million and $200.0 million, respectively, debt certificates issued by the trust. See Note 12 – Borrowings.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consolidate an SPE (trust) in connection with a warehouse mortgage loan financing facility structured as a repurchase facility with a $350.0 million borrowing capacity. On May 12, 2025, PHH sold beneficial interest certificates (Trust Certificates) issued by the trust and agreed to repurchase such Trust Certificates at a specified future date and specified price. PHH contributed a participation interest in mortgage loans, including claims account receivables and REO properties to the trust and received Trust Certificates representing beneficial interests in the trust assets. As of September 30, 2025, we borrowed $270.6 million under this facility and pledged $297.5 million assets as collateral, representing the participation interest the in loans held for sale, claims account receivables, net and REO properties. See Note 12 – Borrowings.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consolidate an SPE in connection with a warehouse mortgage loan financing facility structured as a repurchase facility with a $205.0 million borrowing capacity. PHH contributed to the SPE a participation interest in certain mortgage loans. On September 24, 2025, the SPE sold participation interest certificates issued by PHH and agreed to repurchase such participation interest certificates at a specified future date and specified price. PHH received cash and a 100% membership interest in the SPE in exchange for the contributed participation interest. As of September 30, 2025, we borrowed $144.9 million under this facility and pledged $149.6 million assets as collateral, representing the participation interest in the loans held for sale. See Note 12 – Borrowings.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finance certain reverse mortgage buyouts that are insured by the FHA, including loans held for sale, claim receivables from the Department of Housing and Urban Development (HUD) and REO properties, through private placement securitizations, referred to as OLIT transactions. The securitized assets include assets we purchased from third parties along with mortgage buyouts from our own reverse mortgage portfolio. The securitization trusts issued senior and mezzanine class Notes to third party investors. We retain certain mezzanine class Notes and ownership interests and service the underlying assets. As servicer, we are required to make certain servicing and principal advances that will not be reimbursable to us until all payments of interest and principal have been made to noteholders. We determined we were the primary beneficiary, and thus consolidate the securitization trusts and related depositor. Recourse for the Notes is limited to the assets of the respective securitization trusts. Also refer to Note 12 – Borrowings.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carrying value and classification of the assets and liabilities reported on our consolidated balance sheet that are associated with the OLIT securitized reverse mortgage loans buyouts and financing liabilities:</w:t>
      </w:r>
    </w:p>
    <w:tbl>
      <w:tblPr>
        <w:tblW w:w="10205" w:type="dxa"/>
        <w:jc w:val="left"/>
        <w:tblInd w:w="0" w:type="dxa"/>
        <w:tblLayout w:type="fixed"/>
        <w:tblCellMar>
          <w:top w:w="28" w:type="dxa"/>
          <w:left w:w="28" w:type="dxa"/>
          <w:bottom w:w="28" w:type="dxa"/>
          <w:right w:w="28" w:type="dxa"/>
        </w:tblCellMar>
      </w:tblPr>
      <w:tblGrid>
        <w:gridCol w:w="2374"/>
        <w:gridCol w:w="2056"/>
        <w:gridCol w:w="2071"/>
        <w:gridCol w:w="378"/>
        <w:gridCol w:w="1111"/>
        <w:gridCol w:w="197"/>
        <w:gridCol w:w="109"/>
        <w:gridCol w:w="109"/>
        <w:gridCol w:w="109"/>
        <w:gridCol w:w="362"/>
        <w:gridCol w:w="1058"/>
        <w:gridCol w:w="271"/>
      </w:tblGrid>
      <w:tr>
        <w:trPr/>
        <w:tc>
          <w:tcPr>
            <w:tcW w:w="2374"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loans (Loans held for sale, at fair value)</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 (Other assets)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and Interest reserve accounts (Restricted cash)</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6501"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borrowing UPB (Mortgage loan financing facilities, net)</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 (Mortgage loan financing facilities,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Accrued interest (Other liabilities)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Financings of Servicing Advances using SPEs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pledged certain servicing advances as collateral to our advance financing facilities, referred to as advance match funded liabilities, with the use of SPEs that we consolidate and include in our consolidated financial statements. Holders of the debt issued by these entities have recourse only to the assets of the SPE for satisfaction of the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carrying value and classification of the assets and liabilities of the advance financing facilities:</w:t>
      </w:r>
    </w:p>
    <w:tbl>
      <w:tblPr>
        <w:tblW w:w="7224" w:type="dxa"/>
        <w:jc w:val="left"/>
        <w:tblInd w:w="0" w:type="dxa"/>
        <w:tblLayout w:type="fixed"/>
        <w:tblCellMar>
          <w:top w:w="28" w:type="dxa"/>
          <w:left w:w="28" w:type="dxa"/>
          <w:bottom w:w="28" w:type="dxa"/>
          <w:right w:w="28" w:type="dxa"/>
        </w:tblCellMar>
      </w:tblPr>
      <w:tblGrid>
        <w:gridCol w:w="1217"/>
        <w:gridCol w:w="1069"/>
        <w:gridCol w:w="1073"/>
        <w:gridCol w:w="397"/>
        <w:gridCol w:w="1165"/>
        <w:gridCol w:w="207"/>
        <w:gridCol w:w="109"/>
        <w:gridCol w:w="109"/>
        <w:gridCol w:w="109"/>
        <w:gridCol w:w="380"/>
        <w:gridCol w:w="1110"/>
        <w:gridCol w:w="279"/>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Match funded advances (Advances, net)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accounts (Restricted cash)</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match funded liabilities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MSR Financings using SPEs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consolidate four SPEs (referred to as ESR Trusts) in connection with third-party financing facilities secured by certain of our Fannie Mae and Freddie Mac MSRs (GSE MSRs) and one SPE (PMC PLS ESR Issuer LLC or PLS Issuer) in connection with our PLS MSR financing facility. Ocwen Excess Spread-Collateralized Notes, Series 2022-PLS1 Class A (PLS Notes) issued by the SPE were redeemed on its maturity in February 2025. Concurrently, in February 2025, in connection with a PLS MSR financing agreement (repurchase agreement) PHH sold the membership interest certificate representing 100% of the limited liability company interests in PLS Issuer and agreed to repurchase such membership interest certificate at a specified future date and specified price.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carrying value and classification of the assets and liabilities of the GSE MSR financing facility:</w:t>
      </w:r>
    </w:p>
    <w:tbl>
      <w:tblPr>
        <w:tblW w:w="9175" w:type="dxa"/>
        <w:jc w:val="center"/>
        <w:tblInd w:w="0" w:type="dxa"/>
        <w:tblLayout w:type="fixed"/>
        <w:tblCellMar>
          <w:top w:w="28" w:type="dxa"/>
          <w:left w:w="28" w:type="dxa"/>
          <w:bottom w:w="28" w:type="dxa"/>
          <w:right w:w="28" w:type="dxa"/>
        </w:tblCellMar>
      </w:tblPr>
      <w:tblGrid>
        <w:gridCol w:w="1925"/>
        <w:gridCol w:w="1686"/>
        <w:gridCol w:w="1699"/>
        <w:gridCol w:w="397"/>
        <w:gridCol w:w="1165"/>
        <w:gridCol w:w="207"/>
        <w:gridCol w:w="109"/>
        <w:gridCol w:w="109"/>
        <w:gridCol w:w="109"/>
        <w:gridCol w:w="380"/>
        <w:gridCol w:w="1110"/>
        <w:gridCol w:w="279"/>
      </w:tblGrid>
      <w:tr>
        <w:trPr/>
        <w:tc>
          <w:tcPr>
            <w:tcW w:w="192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MSRs pledged (MSRs, at fair value)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account (Restricted cash)</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borrowings (MSR financing facilities, net) </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Unamortized debt issuance costs (MSR financing facilities, net) </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4" w:type="dxa"/>
        <w:jc w:val="left"/>
        <w:tblInd w:w="0" w:type="dxa"/>
        <w:tblLayout w:type="fixed"/>
        <w:tblCellMar>
          <w:top w:w="28" w:type="dxa"/>
          <w:left w:w="28" w:type="dxa"/>
          <w:bottom w:w="28" w:type="dxa"/>
          <w:right w:w="28" w:type="dxa"/>
        </w:tblCellMar>
      </w:tblPr>
      <w:tblGrid>
        <w:gridCol w:w="581"/>
        <w:gridCol w:w="511"/>
        <w:gridCol w:w="722"/>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3 – Fair Value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and the estimated fair values of our financial instruments and certain of our nonfinancial assets measured at fair value on a recurring or non-recurring basis or disclosed, but not measured, at fair value are as follows:</w:t>
      </w:r>
    </w:p>
    <w:tbl>
      <w:tblPr>
        <w:tblW w:w="10205" w:type="dxa"/>
        <w:jc w:val="left"/>
        <w:tblInd w:w="0" w:type="dxa"/>
        <w:tblLayout w:type="fixed"/>
        <w:tblCellMar>
          <w:top w:w="28" w:type="dxa"/>
          <w:left w:w="28" w:type="dxa"/>
          <w:bottom w:w="28" w:type="dxa"/>
          <w:right w:w="28" w:type="dxa"/>
        </w:tblCellMar>
      </w:tblPr>
      <w:tblGrid>
        <w:gridCol w:w="1168"/>
        <w:gridCol w:w="962"/>
        <w:gridCol w:w="965"/>
        <w:gridCol w:w="195"/>
        <w:gridCol w:w="195"/>
        <w:gridCol w:w="196"/>
        <w:gridCol w:w="109"/>
        <w:gridCol w:w="109"/>
        <w:gridCol w:w="109"/>
        <w:gridCol w:w="247"/>
        <w:gridCol w:w="1020"/>
        <w:gridCol w:w="127"/>
        <w:gridCol w:w="109"/>
        <w:gridCol w:w="109"/>
        <w:gridCol w:w="109"/>
        <w:gridCol w:w="211"/>
        <w:gridCol w:w="871"/>
        <w:gridCol w:w="109"/>
        <w:gridCol w:w="109"/>
        <w:gridCol w:w="109"/>
        <w:gridCol w:w="109"/>
        <w:gridCol w:w="247"/>
        <w:gridCol w:w="1020"/>
        <w:gridCol w:w="127"/>
        <w:gridCol w:w="109"/>
        <w:gridCol w:w="109"/>
        <w:gridCol w:w="109"/>
        <w:gridCol w:w="211"/>
        <w:gridCol w:w="871"/>
        <w:gridCol w:w="155"/>
      </w:tblGrid>
      <w:tr>
        <w:trPr/>
        <w:tc>
          <w:tcPr>
            <w:tcW w:w="1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held for sale, at fair value </w:t>
            </w:r>
            <w:r>
              <w:rPr>
                <w:rFonts w:ascii="Times New Roman;serif" w:hAnsi="Times New Roman;serif"/>
                <w:b w:val="false"/>
                <w:color w:val="000000"/>
                <w:sz w:val="13"/>
              </w:rPr>
              <w:t>(a) (d)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held for investment, at fair value </w:t>
            </w:r>
            <w:r>
              <w:rPr>
                <w:rFonts w:ascii="Times New Roman;serif" w:hAnsi="Times New Roman;serif"/>
                <w:b w:val="false"/>
                <w:color w:val="000000"/>
                <w:sz w:val="13"/>
              </w:rPr>
              <w:t>(a)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Advances, net </w:t>
            </w:r>
            <w:r>
              <w:rPr>
                <w:rFonts w:ascii="Times New Roman;serif" w:hAnsi="Times New Roman;serif"/>
                <w:b w:val="false"/>
                <w:color w:val="000000"/>
                <w:sz w:val="13"/>
              </w:rPr>
              <w:t>(b)</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Receivables, net </w:t>
            </w:r>
            <w:r>
              <w:rPr>
                <w:rFonts w:ascii="Times New Roman;serif" w:hAnsi="Times New Roman;serif"/>
                <w:b w:val="false"/>
                <w:color w:val="000000"/>
                <w:sz w:val="13"/>
              </w:rPr>
              <w:t>(b)</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Advance match funded liabilities </w:t>
            </w:r>
            <w:r>
              <w:rPr>
                <w:rFonts w:ascii="Times New Roman;serif" w:hAnsi="Times New Roman;serif"/>
                <w:b w:val="false"/>
                <w:color w:val="000000"/>
                <w:sz w:val="13"/>
              </w:rPr>
              <w:t>(b)</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HMBS-related borrowings, at fair value </w:t>
            </w:r>
            <w:r>
              <w:rPr>
                <w:rFonts w:ascii="Times New Roman;serif" w:hAnsi="Times New Roman;serif"/>
                <w:b w:val="false"/>
                <w:color w:val="000000"/>
                <w:sz w:val="13"/>
              </w:rPr>
              <w:t>(a)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financing liabilities, at fair value </w:t>
            </w:r>
            <w:r>
              <w:rPr>
                <w:rFonts w:ascii="Times New Roman;serif" w:hAnsi="Times New Roman;serif"/>
                <w:b w:val="false"/>
                <w:color w:val="000000"/>
                <w:sz w:val="13"/>
              </w:rPr>
              <w:t>(a)</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Mortgage loan financing facilities </w:t>
            </w:r>
            <w:r>
              <w:rPr>
                <w:rFonts w:ascii="Times New Roman;serif" w:hAnsi="Times New Roman;serif"/>
                <w:b w:val="false"/>
                <w:color w:val="000000"/>
                <w:sz w:val="13"/>
              </w:rPr>
              <w:t>(b) (c)</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MSR financing facilities </w:t>
            </w:r>
            <w:r>
              <w:rPr>
                <w:rFonts w:ascii="Times New Roman;serif" w:hAnsi="Times New Roman;serif"/>
                <w:b w:val="false"/>
                <w:color w:val="000000"/>
                <w:sz w:val="13"/>
              </w:rPr>
              <w:t>(b) (c)</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notes </w:t>
            </w:r>
            <w:r>
              <w:rPr>
                <w:rFonts w:ascii="Times New Roman;serif" w:hAnsi="Times New Roman;serif"/>
                <w:b w:val="false"/>
                <w:color w:val="000000"/>
                <w:sz w:val="13"/>
              </w:rPr>
              <w:t>(b) (c)</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4"/>
        <w:gridCol w:w="1074"/>
        <w:gridCol w:w="1077"/>
        <w:gridCol w:w="195"/>
        <w:gridCol w:w="195"/>
        <w:gridCol w:w="196"/>
        <w:gridCol w:w="109"/>
        <w:gridCol w:w="109"/>
        <w:gridCol w:w="109"/>
        <w:gridCol w:w="257"/>
        <w:gridCol w:w="937"/>
        <w:gridCol w:w="133"/>
        <w:gridCol w:w="109"/>
        <w:gridCol w:w="109"/>
        <w:gridCol w:w="109"/>
        <w:gridCol w:w="211"/>
        <w:gridCol w:w="766"/>
        <w:gridCol w:w="109"/>
        <w:gridCol w:w="109"/>
        <w:gridCol w:w="109"/>
        <w:gridCol w:w="109"/>
        <w:gridCol w:w="257"/>
        <w:gridCol w:w="937"/>
        <w:gridCol w:w="133"/>
        <w:gridCol w:w="109"/>
        <w:gridCol w:w="109"/>
        <w:gridCol w:w="109"/>
        <w:gridCol w:w="211"/>
        <w:gridCol w:w="766"/>
        <w:gridCol w:w="159"/>
      </w:tblGrid>
      <w:tr>
        <w:trPr/>
        <w:tc>
          <w:tcPr>
            <w:tcW w:w="128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 assets (liabilities),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lock commitments (IRLCs) </w:t>
            </w:r>
            <w:r>
              <w:rPr>
                <w:rFonts w:ascii="Times New Roman;serif" w:hAnsi="Times New Roman;serif"/>
                <w:b w:val="false"/>
                <w:color w:val="000000"/>
                <w:sz w:val="13"/>
              </w:rPr>
              <w:t xml:space="preserve">(a) </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derivatives </w:t>
            </w:r>
            <w:r>
              <w:rPr>
                <w:rFonts w:ascii="Times New Roman;serif" w:hAnsi="Times New Roman;serif"/>
                <w:b w:val="false"/>
                <w:color w:val="000000"/>
                <w:sz w:val="13"/>
              </w:rPr>
              <w:t>(a)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MSRs </w:t>
            </w:r>
            <w:r>
              <w:rPr>
                <w:rFonts w:ascii="Times New Roman;serif" w:hAnsi="Times New Roman;serif"/>
                <w:b w:val="false"/>
                <w:color w:val="000000"/>
                <w:sz w:val="13"/>
              </w:rPr>
              <w:t xml:space="preserve">(a) </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(a)Measured at fair value on a recurring basis in our financial statements.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(b)Disclosed, but not measured at fair value in our financial statements. </w:t>
      </w:r>
    </w:p>
    <w:p>
      <w:pPr>
        <w:pStyle w:val="TextBody"/>
        <w:bidi w:val="0"/>
        <w:spacing w:lineRule="auto" w:line="288" w:before="0" w:after="0"/>
        <w:ind w:left="0" w:right="0" w:hanging="360"/>
        <w:jc w:val="left"/>
        <w:rPr/>
      </w:pPr>
      <w:r>
        <w:rPr>
          <w:rFonts w:ascii="Times New Roman;serif" w:hAnsi="Times New Roman;serif"/>
          <w:b w:val="false"/>
          <w:color w:val="000000"/>
          <w:sz w:val="18"/>
        </w:rPr>
        <w:t>(c)The carrying values are net of unamortized debt issuance costs and discount. See Note 12 – Borrowings for additional information</w:t>
      </w:r>
      <w:r>
        <w:rPr>
          <w:rFonts w:ascii="Times New Roman;serif" w:hAnsi="Times New Roman;serif"/>
          <w:b/>
          <w:color w:val="000000"/>
          <w:sz w:val="18"/>
        </w:rPr>
        <w:t>.</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(d)The newly originated portfolio of loans held for sale pending securitization with the Agencies or sale is classified as Level 2; all other loans are classified as Level 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the changes in fair value of certain Level 3 assets and liabilities that we measure at fair value on a recurring basis (refer to the respective notes for other Level 3 assets and liabilities):</w:t>
      </w:r>
    </w:p>
    <w:tbl>
      <w:tblPr>
        <w:tblW w:w="10205" w:type="dxa"/>
        <w:jc w:val="left"/>
        <w:tblInd w:w="0" w:type="dxa"/>
        <w:tblLayout w:type="fixed"/>
        <w:tblCellMar>
          <w:top w:w="28" w:type="dxa"/>
          <w:left w:w="28" w:type="dxa"/>
          <w:bottom w:w="28" w:type="dxa"/>
          <w:right w:w="28" w:type="dxa"/>
        </w:tblCellMar>
      </w:tblPr>
      <w:tblGrid>
        <w:gridCol w:w="1298"/>
        <w:gridCol w:w="1029"/>
        <w:gridCol w:w="1036"/>
        <w:gridCol w:w="109"/>
        <w:gridCol w:w="109"/>
        <w:gridCol w:w="109"/>
        <w:gridCol w:w="442"/>
        <w:gridCol w:w="1293"/>
        <w:gridCol w:w="228"/>
        <w:gridCol w:w="109"/>
        <w:gridCol w:w="109"/>
        <w:gridCol w:w="109"/>
        <w:gridCol w:w="211"/>
        <w:gridCol w:w="511"/>
        <w:gridCol w:w="109"/>
        <w:gridCol w:w="109"/>
        <w:gridCol w:w="109"/>
        <w:gridCol w:w="109"/>
        <w:gridCol w:w="442"/>
        <w:gridCol w:w="1293"/>
        <w:gridCol w:w="228"/>
        <w:gridCol w:w="109"/>
        <w:gridCol w:w="109"/>
        <w:gridCol w:w="109"/>
        <w:gridCol w:w="211"/>
        <w:gridCol w:w="406"/>
        <w:gridCol w:w="160"/>
      </w:tblGrid>
      <w:tr>
        <w:trPr/>
        <w:tc>
          <w:tcPr>
            <w:tcW w:w="129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Sale -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IRLCs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Sale -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IRLCs</w:t>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issuances, 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Issuances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Transfers from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held for sale, at fair value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(incl. capitalization upon Ginnie Mae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additions (disposition/derecognition)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 in fair value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8"/>
        <w:gridCol w:w="1029"/>
        <w:gridCol w:w="1036"/>
        <w:gridCol w:w="109"/>
        <w:gridCol w:w="442"/>
        <w:gridCol w:w="1293"/>
        <w:gridCol w:w="228"/>
        <w:gridCol w:w="109"/>
        <w:gridCol w:w="109"/>
        <w:gridCol w:w="109"/>
        <w:gridCol w:w="109"/>
        <w:gridCol w:w="109"/>
        <w:gridCol w:w="211"/>
        <w:gridCol w:w="511"/>
        <w:gridCol w:w="109"/>
        <w:gridCol w:w="109"/>
        <w:gridCol w:w="109"/>
        <w:gridCol w:w="109"/>
        <w:gridCol w:w="442"/>
        <w:gridCol w:w="1293"/>
        <w:gridCol w:w="228"/>
        <w:gridCol w:w="109"/>
        <w:gridCol w:w="109"/>
        <w:gridCol w:w="109"/>
        <w:gridCol w:w="211"/>
        <w:gridCol w:w="406"/>
        <w:gridCol w:w="160"/>
      </w:tblGrid>
      <w:tr>
        <w:trPr/>
        <w:tc>
          <w:tcPr>
            <w:tcW w:w="129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9"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104" w:type="dxa"/>
            <w:gridSpan w:val="6"/>
            <w:tcBorders/>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04" w:type="dxa"/>
            <w:gridSpan w:val="6"/>
            <w:tcBorders/>
          </w:tcPr>
          <w:p>
            <w:pPr>
              <w:pStyle w:val="TableContents"/>
              <w:bidi w:val="0"/>
              <w:spacing w:before="0" w:after="283"/>
              <w:jc w:val="left"/>
              <w:rPr>
                <w:sz w:val="4"/>
                <w:szCs w:val="4"/>
              </w:rPr>
            </w:pPr>
            <w:r>
              <w:rPr>
                <w:sz w:val="4"/>
                <w:szCs w:val="4"/>
              </w:rPr>
            </w:r>
          </w:p>
        </w:tc>
      </w:tr>
      <w:tr>
        <w:trPr/>
        <w:tc>
          <w:tcPr>
            <w:tcW w:w="3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Sale -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IRLCs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Sale -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IRLCs</w:t>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issuances, sales and settlements</w:t>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other</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Issuances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Transfers from (to):</w:t>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held for sale, at fair value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 (Other assets)</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Advances (incl. capitalization upon Ginnie Mae modification)</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additions (disposition/derecognition)</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Change in fair value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3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(1)IRLC activity (issuances and transfers) represent changes in fair value included in earnings. This activity is presented on a gross basis in the table for disclosure purposes. See Note 15 – Derivative Financial Instruments and Hedging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significant unobservable assumptions that we make to estimate the fair value of certain assets and liabilities classified as Level 3 and measured at fair value on a recurring basis are provided below.</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Loans Held for Sale</w:t>
      </w:r>
    </w:p>
    <w:p>
      <w:pPr>
        <w:pStyle w:val="TextBody"/>
        <w:bidi w:val="0"/>
        <w:spacing w:lineRule="auto" w:line="288" w:before="120" w:after="120"/>
        <w:jc w:val="left"/>
        <w:rPr/>
      </w:pPr>
      <w:r>
        <w:rPr>
          <w:rFonts w:ascii="Times New Roman;serif" w:hAnsi="Times New Roman;serif"/>
          <w:b w:val="false"/>
          <w:color w:val="000000"/>
          <w:sz w:val="20"/>
        </w:rPr>
        <w:t>Repurchased Ginnie Mae forward and reverse loans are classified as Level 3 within the valuation hierarchy. We repurchase certain loans from Ginnie Mae guaranteed securitizations in connection with loan modifications, strategic EBO and loan resolution activity as part of our contractual obligations as the servicer of the loans. The fair value of the forward mortgage loans we purchased from Ginnie Mae guaranteed securitizations is estimated using both observable and unobservable inputs, including</w:t>
      </w:r>
      <w:r>
        <w:rPr>
          <w:color w:val="000000"/>
        </w:rPr>
        <w:t xml:space="preserve"> </w:t>
      </w:r>
      <w:r>
        <w:rPr>
          <w:rFonts w:ascii="Times New Roman;serif" w:hAnsi="Times New Roman;serif"/>
          <w:b w:val="false"/>
          <w:color w:val="000000"/>
          <w:sz w:val="20"/>
        </w:rPr>
        <w:t xml:space="preserve">estimated default, prepayment, and discount rates. Significant unobservable inputs in estimating fair value include the estimated default rate and, for reverse loans the prepayment rate and liquidation timeline.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Loans Held for Investment - Reverse Mortgages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Reverse mortgage loans held for investment are carried at fair value and classified as Level 3 within the valuation hierarchy. These loans are not actively traded, and quoted market prices are not available. We measure these loans at fair value based on the expected future cash flows discounted over the expected life of the loans at a rate commensurate with the risk of the estimated cash flows, including future draw commitments for HECM loans. We engage third-party valuation experts in the determination of fair value.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55"/>
        <w:gridCol w:w="2241"/>
        <w:gridCol w:w="2252"/>
        <w:gridCol w:w="311"/>
        <w:gridCol w:w="308"/>
        <w:gridCol w:w="771"/>
        <w:gridCol w:w="109"/>
        <w:gridCol w:w="109"/>
        <w:gridCol w:w="109"/>
        <w:gridCol w:w="296"/>
        <w:gridCol w:w="292"/>
        <w:gridCol w:w="852"/>
      </w:tblGrid>
      <w:tr>
        <w:trPr/>
        <w:tc>
          <w:tcPr>
            <w:tcW w:w="2555"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unobservable assumptions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Range </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0.6 to 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0.4 to 7.6</w:t>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Conditional prepayment rate (CPR), including voluntary and involuntary prepayments </w:t>
            </w:r>
            <w:r>
              <w:rPr>
                <w:rFonts w:ascii="Times New Roman;serif" w:hAnsi="Times New Roman;serif"/>
                <w:b w:val="false"/>
                <w:color w:val="000000"/>
                <w:sz w:val="13"/>
              </w:rPr>
              <w:t>(a)</w:t>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Range </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13.1% to 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13.1% to 31.6%</w:t>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 xml:space="preserve">(a) Annualized rate of lifetime projected prepayments as a percentage of the UPB at the beginning of any given period.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changes in any of these assumptions in isolation could result in a significant change in fair value.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MSRs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 them, we understand the methodologies and assumptions used to develop the prices based on our ongoing due diligence, which includes regular discussions with the valuation experts. We evaluate the reasonableness of our third-party experts’ assumptions using historical experience adjusted for prevailing market conditions and benchmarks of assumptions and value estimates.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In addition, changes in market interest rates impact float income. The significant unobservable assumptions used in the valuation of these MSRs include prepayment speeds, delinquency rates, cost to service and discount rates. </w:t>
      </w:r>
    </w:p>
    <w:tbl>
      <w:tblPr>
        <w:tblW w:w="8835" w:type="dxa"/>
        <w:jc w:val="center"/>
        <w:tblInd w:w="0" w:type="dxa"/>
        <w:tblLayout w:type="fixed"/>
        <w:tblCellMar>
          <w:top w:w="28" w:type="dxa"/>
          <w:left w:w="28" w:type="dxa"/>
          <w:bottom w:w="28" w:type="dxa"/>
          <w:right w:w="28" w:type="dxa"/>
        </w:tblCellMar>
      </w:tblPr>
      <w:tblGrid>
        <w:gridCol w:w="1348"/>
        <w:gridCol w:w="1183"/>
        <w:gridCol w:w="1188"/>
        <w:gridCol w:w="233"/>
        <w:gridCol w:w="399"/>
        <w:gridCol w:w="300"/>
        <w:gridCol w:w="120"/>
        <w:gridCol w:w="120"/>
        <w:gridCol w:w="120"/>
        <w:gridCol w:w="561"/>
        <w:gridCol w:w="289"/>
        <w:gridCol w:w="291"/>
        <w:gridCol w:w="109"/>
        <w:gridCol w:w="109"/>
        <w:gridCol w:w="109"/>
        <w:gridCol w:w="211"/>
        <w:gridCol w:w="361"/>
        <w:gridCol w:w="271"/>
        <w:gridCol w:w="109"/>
        <w:gridCol w:w="109"/>
        <w:gridCol w:w="109"/>
        <w:gridCol w:w="252"/>
        <w:gridCol w:w="556"/>
        <w:gridCol w:w="378"/>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unobservable assumptions</w:t>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Agency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Non-Agency</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prepayment speed</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delinquency rate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to service (in dollars)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September 30, 2025 given hypothetical increases in lifetime prepayments and yield assumptions:</w:t>
      </w:r>
    </w:p>
    <w:tbl>
      <w:tblPr>
        <w:tblW w:w="8513" w:type="dxa"/>
        <w:jc w:val="left"/>
        <w:tblInd w:w="0" w:type="dxa"/>
        <w:tblLayout w:type="fixed"/>
        <w:tblCellMar>
          <w:top w:w="28" w:type="dxa"/>
          <w:left w:w="28" w:type="dxa"/>
          <w:bottom w:w="28" w:type="dxa"/>
          <w:right w:w="28" w:type="dxa"/>
        </w:tblCellMar>
      </w:tblPr>
      <w:tblGrid>
        <w:gridCol w:w="2257"/>
        <w:gridCol w:w="1980"/>
        <w:gridCol w:w="1987"/>
        <w:gridCol w:w="211"/>
        <w:gridCol w:w="586"/>
        <w:gridCol w:w="109"/>
        <w:gridCol w:w="109"/>
        <w:gridCol w:w="109"/>
        <w:gridCol w:w="109"/>
        <w:gridCol w:w="211"/>
        <w:gridCol w:w="691"/>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Adverse change in fair value</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weighted average prepayment speeds (in percentage points)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due to change in weighted average prepayment speeds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weighted average discount rate (in percentage points)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due to change in weighted average discount rate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Financing Liabilities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HMBS-Related Borrowings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unobservable assumptions include yield spread and discount rate. The yield spread and discount rate assumption for these liabilities are primarily based on an assessment of current market yields for newly issued HMBS, expected duration and current market interest rates. </w:t>
      </w:r>
    </w:p>
    <w:tbl>
      <w:tblPr>
        <w:tblW w:w="6489" w:type="dxa"/>
        <w:jc w:val="center"/>
        <w:tblInd w:w="0" w:type="dxa"/>
        <w:tblLayout w:type="fixed"/>
        <w:tblCellMar>
          <w:top w:w="28" w:type="dxa"/>
          <w:left w:w="28" w:type="dxa"/>
          <w:bottom w:w="28" w:type="dxa"/>
          <w:right w:w="28" w:type="dxa"/>
        </w:tblCellMar>
      </w:tblPr>
      <w:tblGrid>
        <w:gridCol w:w="1196"/>
        <w:gridCol w:w="1049"/>
        <w:gridCol w:w="1054"/>
        <w:gridCol w:w="313"/>
        <w:gridCol w:w="313"/>
        <w:gridCol w:w="783"/>
        <w:gridCol w:w="109"/>
        <w:gridCol w:w="109"/>
        <w:gridCol w:w="109"/>
        <w:gridCol w:w="296"/>
        <w:gridCol w:w="296"/>
        <w:gridCol w:w="862"/>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unobservable assumptions</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Range </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0.6 to 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0.4 to 7.6</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 prepayment rate</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Range </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13.1% to 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13.1% to 31.6%</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changes in any of these assumptions in isolation could result in a significant change in fair value. The effects of changes in the assumptions used to value the HMBS-related borrowings are partially offset by the effects of changes in the assumptions used to value the associated pledged loans held for investment, excluding future draw commitments.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Pledged MSR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Pledged MSR liabilities are carried at fair value and classified as Level 3 within the valuation hierarchy. We determine the fair value of the pledged MSR liability following a similar approach as for the associated transferred MSRs. Fair value of the pledged MSR liability in connection with the MSR capital partner transactions (including MAV) is determined using the fair value mark provided by third-party valuation expert, consistent with the associated MSR, using the same methodology and assumptions, while considering cash flows contractually retained by PHH and expected life of subservicing agreement, when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6715" w:type="dxa"/>
        <w:jc w:val="left"/>
        <w:tblInd w:w="0" w:type="dxa"/>
        <w:tblLayout w:type="fixed"/>
        <w:tblCellMar>
          <w:top w:w="28" w:type="dxa"/>
          <w:left w:w="28" w:type="dxa"/>
          <w:bottom w:w="28" w:type="dxa"/>
          <w:right w:w="28" w:type="dxa"/>
        </w:tblCellMar>
      </w:tblPr>
      <w:tblGrid>
        <w:gridCol w:w="1370"/>
        <w:gridCol w:w="1202"/>
        <w:gridCol w:w="1207"/>
        <w:gridCol w:w="289"/>
        <w:gridCol w:w="641"/>
        <w:gridCol w:w="375"/>
        <w:gridCol w:w="109"/>
        <w:gridCol w:w="109"/>
        <w:gridCol w:w="109"/>
        <w:gridCol w:w="276"/>
        <w:gridCol w:w="612"/>
        <w:gridCol w:w="416"/>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unobservable assumptions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prepayment speed</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delinquency rate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subservicing life (in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to service (in dollars)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changes in these assumptions in isolation would result in a significant change in fair value.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ESS Financing Liability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Excess Servicing Spread (ESS) financing liability is carried at fair value and classified as Level 3 within the valuation hierarchy. The ESS financing liability consists of the obligation to remit to a third party a specified percentage of future servicing fee collections on reference pools of mortgage loans, which we are entitled to as owner of the related MSRs.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to incorporate discount rate assumption updates for the underlying MSR or other factors, as provided by third-party valuation expert. At September 30, 2025 and December 31, 2024, the weighted average discount rate of the ESS financing liability was 9.9% and 10.0%, respectively. Refer to MSRs above for a description of other significant unobservable assumptions.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Derivative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IRLCs are classified as Level 3 assets as fallout rates were determined to be significant unobservable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45" w:type="dxa"/>
        <w:jc w:val="left"/>
        <w:tblInd w:w="0" w:type="dxa"/>
        <w:tblLayout w:type="fixed"/>
        <w:tblCellMar>
          <w:top w:w="28" w:type="dxa"/>
          <w:left w:w="28" w:type="dxa"/>
          <w:bottom w:w="28" w:type="dxa"/>
          <w:right w:w="28" w:type="dxa"/>
        </w:tblCellMar>
      </w:tblPr>
      <w:tblGrid>
        <w:gridCol w:w="1166"/>
        <w:gridCol w:w="1023"/>
        <w:gridCol w:w="1456"/>
      </w:tblGrid>
      <w:tr>
        <w:trPr/>
        <w:tc>
          <w:tcPr>
            <w:tcW w:w="116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Note 4 – Loans Held for Sale - Fair Value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estimated fair value of Loans held for sale: </w:t>
      </w:r>
    </w:p>
    <w:tbl>
      <w:tblPr>
        <w:tblW w:w="6260" w:type="dxa"/>
        <w:jc w:val="left"/>
        <w:tblInd w:w="0" w:type="dxa"/>
        <w:tblLayout w:type="fixed"/>
        <w:tblCellMar>
          <w:top w:w="28" w:type="dxa"/>
          <w:left w:w="28" w:type="dxa"/>
          <w:bottom w:w="28" w:type="dxa"/>
          <w:right w:w="28" w:type="dxa"/>
        </w:tblCellMar>
      </w:tblPr>
      <w:tblGrid>
        <w:gridCol w:w="788"/>
        <w:gridCol w:w="691"/>
        <w:gridCol w:w="696"/>
        <w:gridCol w:w="344"/>
        <w:gridCol w:w="1249"/>
        <w:gridCol w:w="177"/>
        <w:gridCol w:w="109"/>
        <w:gridCol w:w="109"/>
        <w:gridCol w:w="109"/>
        <w:gridCol w:w="335"/>
        <w:gridCol w:w="1217"/>
        <w:gridCol w:w="173"/>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principal balance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 (discount)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Loans held for sale, at fair value by type:</w:t>
      </w:r>
    </w:p>
    <w:tbl>
      <w:tblPr>
        <w:tblW w:w="9882" w:type="dxa"/>
        <w:jc w:val="left"/>
        <w:tblInd w:w="0" w:type="dxa"/>
        <w:tblLayout w:type="fixed"/>
        <w:tblCellMar>
          <w:top w:w="28" w:type="dxa"/>
          <w:left w:w="28" w:type="dxa"/>
          <w:bottom w:w="28" w:type="dxa"/>
          <w:right w:w="28" w:type="dxa"/>
        </w:tblCellMar>
      </w:tblPr>
      <w:tblGrid>
        <w:gridCol w:w="2171"/>
        <w:gridCol w:w="1912"/>
        <w:gridCol w:w="1932"/>
        <w:gridCol w:w="344"/>
        <w:gridCol w:w="1249"/>
        <w:gridCol w:w="177"/>
        <w:gridCol w:w="109"/>
        <w:gridCol w:w="109"/>
        <w:gridCol w:w="109"/>
        <w:gridCol w:w="330"/>
        <w:gridCol w:w="1199"/>
        <w:gridCol w:w="241"/>
      </w:tblGrid>
      <w:tr>
        <w:trPr/>
        <w:tc>
          <w:tcPr>
            <w:tcW w:w="217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 loans</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Forward loans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Forward loans repurchased from Ginnie Mae guaranteed securitization </w:t>
            </w:r>
            <w:r>
              <w:rPr>
                <w:rFonts w:ascii="Times New Roman;serif" w:hAnsi="Times New Roman;serif"/>
                <w:b w:val="false"/>
                <w:color w:val="000000"/>
                <w:sz w:val="13"/>
              </w:rPr>
              <w:t>(1)</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Reverse loans </w:t>
            </w:r>
            <w:r>
              <w:rPr>
                <w:rFonts w:ascii="Times New Roman;serif" w:hAnsi="Times New Roman;serif"/>
                <w:b w:val="false"/>
                <w:color w:val="000000"/>
                <w:sz w:val="13"/>
              </w:rPr>
              <w:t>(2)</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residential mortgage loans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(1)Pursuant to Ginnie Mae servicing guidelines.</w:t>
      </w:r>
    </w:p>
    <w:p>
      <w:pPr>
        <w:pStyle w:val="TextBody"/>
        <w:bidi w:val="0"/>
        <w:spacing w:lineRule="auto" w:line="288" w:before="0" w:after="120"/>
        <w:ind w:left="0" w:right="0" w:hanging="360"/>
        <w:jc w:val="left"/>
        <w:rPr/>
      </w:pPr>
      <w:r>
        <w:rPr>
          <w:rFonts w:ascii="Times New Roman;serif" w:hAnsi="Times New Roman;serif"/>
          <w:b w:val="false"/>
          <w:color w:val="000000"/>
          <w:sz w:val="18"/>
          <w:shd w:fill="FFFFFF" w:val="clear"/>
        </w:rPr>
        <w:t>(2)</w:t>
      </w:r>
      <w:r>
        <w:rPr>
          <w:rFonts w:ascii="Times New Roman;serif" w:hAnsi="Times New Roman;serif"/>
          <w:b w:val="false"/>
          <w:color w:val="000000"/>
          <w:sz w:val="18"/>
        </w:rPr>
        <w:t xml:space="preserve">Includes reverse mortgage loans purchased from Ginnie Mae securitization pools that reached the 98% of maximum claim amount and are generally liquidated through foreclosure and subsequent sale of the REO properties. As of September 30, 2025 and December 31, 2024, the balance includes $478.6 million and $375.4 million, respectively, of loans pledged as collateral for the Asset-Backed Notes issued by OLIT. Also see Note 2 – Securitizations and Variable Interest Entities and Note 12 –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activity of Loans held for sale, at fair value: </w:t>
      </w:r>
    </w:p>
    <w:tbl>
      <w:tblPr>
        <w:tblW w:w="10205" w:type="dxa"/>
        <w:jc w:val="center"/>
        <w:tblInd w:w="0" w:type="dxa"/>
        <w:tblLayout w:type="fixed"/>
        <w:tblCellMar>
          <w:top w:w="28" w:type="dxa"/>
          <w:left w:w="28" w:type="dxa"/>
          <w:bottom w:w="28" w:type="dxa"/>
          <w:right w:w="28" w:type="dxa"/>
        </w:tblCellMar>
      </w:tblPr>
      <w:tblGrid>
        <w:gridCol w:w="1516"/>
        <w:gridCol w:w="1264"/>
        <w:gridCol w:w="1270"/>
        <w:gridCol w:w="247"/>
        <w:gridCol w:w="899"/>
        <w:gridCol w:w="127"/>
        <w:gridCol w:w="127"/>
        <w:gridCol w:w="127"/>
        <w:gridCol w:w="127"/>
        <w:gridCol w:w="247"/>
        <w:gridCol w:w="899"/>
        <w:gridCol w:w="127"/>
        <w:gridCol w:w="109"/>
        <w:gridCol w:w="109"/>
        <w:gridCol w:w="109"/>
        <w:gridCol w:w="239"/>
        <w:gridCol w:w="871"/>
        <w:gridCol w:w="123"/>
        <w:gridCol w:w="123"/>
        <w:gridCol w:w="123"/>
        <w:gridCol w:w="123"/>
        <w:gridCol w:w="239"/>
        <w:gridCol w:w="871"/>
        <w:gridCol w:w="189"/>
      </w:tblGrid>
      <w:tr>
        <w:trPr/>
        <w:tc>
          <w:tcPr>
            <w:tcW w:w="151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050"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50" w:type="dxa"/>
            <w:gridSpan w:val="3"/>
            <w:vMerge w:val="continue"/>
            <w:tcBorders/>
            <w:tcMar>
              <w:top w:w="0" w:type="dxa"/>
              <w:left w:w="0" w:type="dxa"/>
              <w:bottom w:w="0" w:type="dxa"/>
              <w:right w:w="0" w:type="dxa"/>
            </w:tcMar>
            <w:vAlign w:val="center"/>
          </w:tcPr>
          <w:p>
            <w:pPr>
              <w:pStyle w:val="Normal"/>
              <w:bidi w:val="0"/>
              <w:jc w:val="left"/>
              <w:rPr/>
            </w:pPr>
            <w:r>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and purchases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(16,636.6)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collections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from (to):</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held for investment, at fair value </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 (Other assets)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(incl. capitalization upon Ginnie Mae modifications)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Fair value gain (loss) on loans held for sale, at fair value </w:t>
            </w:r>
            <w:r>
              <w:rPr>
                <w:rFonts w:ascii="Times New Roman;serif" w:hAnsi="Times New Roman;serif"/>
                <w:b w:val="false"/>
                <w:color w:val="000000"/>
                <w:sz w:val="13"/>
              </w:rPr>
              <w:t>(1)</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(1)See below table of Gain (loss) on loans held for sale, net, excluding MSRs retained on transfers of forward mortgage loans. </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(2)Includes capitalized interest on reverse loans, reported within Interest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Gain (loss) of loans held for sale at fair value, net:</w:t>
      </w:r>
    </w:p>
    <w:tbl>
      <w:tblPr>
        <w:tblW w:w="10205" w:type="dxa"/>
        <w:jc w:val="left"/>
        <w:tblInd w:w="0" w:type="dxa"/>
        <w:tblLayout w:type="fixed"/>
        <w:tblCellMar>
          <w:top w:w="28" w:type="dxa"/>
          <w:left w:w="28" w:type="dxa"/>
          <w:bottom w:w="28" w:type="dxa"/>
          <w:right w:w="28" w:type="dxa"/>
        </w:tblCellMar>
      </w:tblPr>
      <w:tblGrid>
        <w:gridCol w:w="1527"/>
        <w:gridCol w:w="1244"/>
        <w:gridCol w:w="1256"/>
        <w:gridCol w:w="296"/>
        <w:gridCol w:w="866"/>
        <w:gridCol w:w="153"/>
        <w:gridCol w:w="153"/>
        <w:gridCol w:w="153"/>
        <w:gridCol w:w="153"/>
        <w:gridCol w:w="296"/>
        <w:gridCol w:w="718"/>
        <w:gridCol w:w="153"/>
        <w:gridCol w:w="109"/>
        <w:gridCol w:w="109"/>
        <w:gridCol w:w="109"/>
        <w:gridCol w:w="273"/>
        <w:gridCol w:w="798"/>
        <w:gridCol w:w="140"/>
        <w:gridCol w:w="140"/>
        <w:gridCol w:w="140"/>
        <w:gridCol w:w="140"/>
        <w:gridCol w:w="273"/>
        <w:gridCol w:w="798"/>
        <w:gridCol w:w="208"/>
      </w:tblGrid>
      <w:tr>
        <w:trPr/>
        <w:tc>
          <w:tcPr>
            <w:tcW w:w="15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27"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 xml:space="preserve">Gain (Loss) on Loans Held for Sale, Net </w:t>
            </w:r>
          </w:p>
        </w:tc>
        <w:tc>
          <w:tcPr>
            <w:tcW w:w="29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27" w:type="dxa"/>
            <w:gridSpan w:val="3"/>
            <w:vMerge w:val="continue"/>
            <w:tcBorders/>
            <w:tcMar>
              <w:top w:w="0" w:type="dxa"/>
              <w:left w:w="0" w:type="dxa"/>
              <w:bottom w:w="0" w:type="dxa"/>
              <w:right w:w="0" w:type="dxa"/>
            </w:tcMar>
            <w:vAlign w:val="center"/>
          </w:tcPr>
          <w:p>
            <w:pPr>
              <w:pStyle w:val="Normal"/>
              <w:bidi w:val="0"/>
              <w:jc w:val="left"/>
              <w:rPr/>
            </w:pPr>
            <w:r>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MSRs retained on transfers of forward mortgage loans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(loss) on sale of forward mortgage loans </w:t>
            </w:r>
            <w:r>
              <w:rPr>
                <w:rFonts w:ascii="Times New Roman;serif" w:hAnsi="Times New Roman;serif"/>
                <w:b w:val="false"/>
                <w:color w:val="000000"/>
                <w:sz w:val="13"/>
              </w:rPr>
              <w:t>(1)</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Gain (loss) on sale of repurchased Ginnie Mae loans </w:t>
            </w:r>
            <w:r>
              <w:rPr>
                <w:rFonts w:ascii="Times New Roman;serif" w:hAnsi="Times New Roman;serif"/>
                <w:b w:val="false"/>
                <w:color w:val="000000"/>
                <w:sz w:val="13"/>
              </w:rPr>
              <w:t>(1)</w:t>
            </w:r>
            <w:r>
              <w:rPr>
                <w:color w:val="000000"/>
              </w:rPr>
              <w:t xml:space="preserve"> </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loans held for sale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at fair value</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economic hedge derivative instruments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IRLCs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representation and warranty obligations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4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(1)Realized gain (loss) on sale of loans, excluding retained MSRs.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88" w:type="dxa"/>
        <w:jc w:val="left"/>
        <w:tblInd w:w="0" w:type="dxa"/>
        <w:tblLayout w:type="fixed"/>
        <w:tblCellMar>
          <w:top w:w="28" w:type="dxa"/>
          <w:left w:w="28" w:type="dxa"/>
          <w:bottom w:w="28" w:type="dxa"/>
          <w:right w:w="28" w:type="dxa"/>
        </w:tblCellMar>
      </w:tblPr>
      <w:tblGrid>
        <w:gridCol w:w="182"/>
        <w:gridCol w:w="160"/>
        <w:gridCol w:w="160"/>
        <w:gridCol w:w="160"/>
        <w:gridCol w:w="160"/>
        <w:gridCol w:w="160"/>
        <w:gridCol w:w="160"/>
        <w:gridCol w:w="160"/>
        <w:gridCol w:w="160"/>
        <w:gridCol w:w="160"/>
        <w:gridCol w:w="160"/>
        <w:gridCol w:w="160"/>
        <w:gridCol w:w="160"/>
        <w:gridCol w:w="160"/>
        <w:gridCol w:w="226"/>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48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 5 - Reverse Mortgages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estimated fair value of reverse mortgage loans held for investment: </w:t>
      </w:r>
    </w:p>
    <w:tbl>
      <w:tblPr>
        <w:tblW w:w="6259" w:type="dxa"/>
        <w:jc w:val="center"/>
        <w:tblInd w:w="0" w:type="dxa"/>
        <w:tblLayout w:type="fixed"/>
        <w:tblCellMar>
          <w:top w:w="28" w:type="dxa"/>
          <w:left w:w="28" w:type="dxa"/>
          <w:bottom w:w="28" w:type="dxa"/>
          <w:right w:w="28" w:type="dxa"/>
        </w:tblCellMar>
      </w:tblPr>
      <w:tblGrid>
        <w:gridCol w:w="788"/>
        <w:gridCol w:w="691"/>
        <w:gridCol w:w="696"/>
        <w:gridCol w:w="313"/>
        <w:gridCol w:w="1295"/>
        <w:gridCol w:w="162"/>
        <w:gridCol w:w="109"/>
        <w:gridCol w:w="109"/>
        <w:gridCol w:w="109"/>
        <w:gridCol w:w="305"/>
        <w:gridCol w:w="1262"/>
        <w:gridCol w:w="157"/>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Unpaid principal balance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adjustments</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reverse mortgage loans held for investment, at fair value by type:</w:t>
      </w:r>
    </w:p>
    <w:tbl>
      <w:tblPr>
        <w:tblW w:w="9627" w:type="dxa"/>
        <w:jc w:val="left"/>
        <w:tblInd w:w="0" w:type="dxa"/>
        <w:tblLayout w:type="fixed"/>
        <w:tblCellMar>
          <w:top w:w="28" w:type="dxa"/>
          <w:left w:w="28" w:type="dxa"/>
          <w:bottom w:w="28" w:type="dxa"/>
          <w:right w:w="28" w:type="dxa"/>
        </w:tblCellMar>
      </w:tblPr>
      <w:tblGrid>
        <w:gridCol w:w="2088"/>
        <w:gridCol w:w="1834"/>
        <w:gridCol w:w="1838"/>
        <w:gridCol w:w="313"/>
        <w:gridCol w:w="1295"/>
        <w:gridCol w:w="162"/>
        <w:gridCol w:w="109"/>
        <w:gridCol w:w="109"/>
        <w:gridCol w:w="109"/>
        <w:gridCol w:w="302"/>
        <w:gridCol w:w="1248"/>
        <w:gridCol w:w="220"/>
      </w:tblGrid>
      <w:tr>
        <w:trPr/>
        <w:tc>
          <w:tcPr>
            <w:tcW w:w="208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HECM loans - securitized, pledged to HMBS-related borrowings </w:t>
            </w:r>
            <w:r>
              <w:rPr>
                <w:rFonts w:ascii="Times New Roman;serif" w:hAnsi="Times New Roman;serif"/>
                <w:b w:val="false"/>
                <w:color w:val="000000"/>
                <w:sz w:val="13"/>
              </w:rPr>
              <w:t>(1)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New HECM loan originations and HECM loan tails </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unsecuritized</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(1)The Ginnie Mae securitization of conventional, HECM loans does not qualify for sale accounting treatment and is accounted for as a secured financing transaction, with the recognition of both loans and HMBS-related borrowing on the consolidated balance sheets. </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(2)Tails include draws on securitized HECM loans, mortgage insurance premium, servicing fee and other advances which we subsequently securitize.</w:t>
      </w:r>
    </w:p>
    <w:p>
      <w:pPr>
        <w:pStyle w:val="TextBody"/>
        <w:bidi w:val="0"/>
        <w:spacing w:lineRule="auto" w:line="288" w:before="0" w:after="6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reverse mortgage loans held for investment and HMBS related borrowings that do not qualify for sale accounting:</w:t>
      </w:r>
    </w:p>
    <w:tbl>
      <w:tblPr>
        <w:tblW w:w="10205" w:type="dxa"/>
        <w:jc w:val="left"/>
        <w:tblInd w:w="0" w:type="dxa"/>
        <w:tblLayout w:type="fixed"/>
        <w:tblCellMar>
          <w:top w:w="28" w:type="dxa"/>
          <w:left w:w="28" w:type="dxa"/>
          <w:bottom w:w="28" w:type="dxa"/>
          <w:right w:w="28" w:type="dxa"/>
        </w:tblCellMar>
      </w:tblPr>
      <w:tblGrid>
        <w:gridCol w:w="951"/>
        <w:gridCol w:w="679"/>
        <w:gridCol w:w="682"/>
        <w:gridCol w:w="346"/>
        <w:gridCol w:w="1432"/>
        <w:gridCol w:w="179"/>
        <w:gridCol w:w="109"/>
        <w:gridCol w:w="109"/>
        <w:gridCol w:w="109"/>
        <w:gridCol w:w="265"/>
        <w:gridCol w:w="1145"/>
        <w:gridCol w:w="137"/>
        <w:gridCol w:w="109"/>
        <w:gridCol w:w="109"/>
        <w:gridCol w:w="109"/>
        <w:gridCol w:w="365"/>
        <w:gridCol w:w="1327"/>
        <w:gridCol w:w="188"/>
        <w:gridCol w:w="109"/>
        <w:gridCol w:w="109"/>
        <w:gridCol w:w="109"/>
        <w:gridCol w:w="272"/>
        <w:gridCol w:w="1050"/>
        <w:gridCol w:w="206"/>
      </w:tblGrid>
      <w:tr>
        <w:trPr/>
        <w:tc>
          <w:tcPr>
            <w:tcW w:w="9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HMBS - Related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HMBS - Related Borrowings</w:t>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10,470.8 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(8,035.4)</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Originations </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Securitization of HECM loans accounted for as a financing</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proceeds from securitization of HECM loans and tails</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(principal payments received)</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to:</w:t>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 (Other assets)</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gains (losses) included in earnings </w:t>
            </w:r>
            <w:r>
              <w:rPr>
                <w:rFonts w:ascii="Times New Roman;serif" w:hAnsi="Times New Roman;serif"/>
                <w:b w:val="false"/>
                <w:color w:val="000000"/>
                <w:sz w:val="13"/>
              </w:rPr>
              <w:t>(1)</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8,326.3 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(8,132.5)</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8"/>
        <w:gridCol w:w="676"/>
        <w:gridCol w:w="680"/>
        <w:gridCol w:w="346"/>
        <w:gridCol w:w="1428"/>
        <w:gridCol w:w="178"/>
        <w:gridCol w:w="109"/>
        <w:gridCol w:w="109"/>
        <w:gridCol w:w="109"/>
        <w:gridCol w:w="266"/>
        <w:gridCol w:w="1152"/>
        <w:gridCol w:w="137"/>
        <w:gridCol w:w="109"/>
        <w:gridCol w:w="109"/>
        <w:gridCol w:w="109"/>
        <w:gridCol w:w="364"/>
        <w:gridCol w:w="1323"/>
        <w:gridCol w:w="188"/>
        <w:gridCol w:w="109"/>
        <w:gridCol w:w="109"/>
        <w:gridCol w:w="109"/>
        <w:gridCol w:w="274"/>
        <w:gridCol w:w="1057"/>
        <w:gridCol w:w="207"/>
      </w:tblGrid>
      <w:tr>
        <w:trPr/>
        <w:tc>
          <w:tcPr>
            <w:tcW w:w="94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HMBS - Related Borrowings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HMBS - Related Borrowings </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(7,797.3)</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Originations </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Securitization of HECM loans accounted for as a financing</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proceeds from securitization of HECM loans and tails</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(principal payments received)</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to:</w:t>
            </w:r>
          </w:p>
        </w:tc>
        <w:tc>
          <w:tcPr>
            <w:tcW w:w="1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 (Other assets)</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gains (losses) included in earnings </w:t>
            </w:r>
            <w:r>
              <w:rPr>
                <w:rFonts w:ascii="Times New Roman;serif" w:hAnsi="Times New Roman;serif"/>
                <w:b w:val="false"/>
                <w:color w:val="000000"/>
                <w:sz w:val="13"/>
              </w:rPr>
              <w:t>(1)</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8,326.3 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(8,132.5)</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(1)See further breakdown of the net gain (loss) in the table below. Includes interest accruals.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 2024, we acquired certain reverse mortgage assets of MAM and investment funds managed by Waterfall Asset Management, LLC that own MAM (collectively “Waterfall”). The acquired assets were subserviced by PHH and included HECM reverse mortgage loans and mortgage servicing rights with a UPB of $2.9 billion (which are reported on our consolidated balance sheet as Loans held for investment, at fair value along with HMBS-related borrowings, at fair value), $20.0 million cash, and reverse mortgage buyouts, advances, tails and other related assets and liabilities. In consideration of the net acquired assets, Onity issued shares of a new series of preferred stock. Included in Other liabilities is the consideration for assets transferred with a UPB of $14.2 million for which the final amount of consideration is subject to post-closing adjustment to be agreed upon by the parties.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gains (losses) on reverse loans held for investment and HMBS-related borrowings included in earnings:</w:t>
      </w:r>
    </w:p>
    <w:tbl>
      <w:tblPr>
        <w:tblW w:w="10205" w:type="dxa"/>
        <w:jc w:val="left"/>
        <w:tblInd w:w="0" w:type="dxa"/>
        <w:tblLayout w:type="fixed"/>
        <w:tblCellMar>
          <w:top w:w="28" w:type="dxa"/>
          <w:left w:w="28" w:type="dxa"/>
          <w:bottom w:w="28" w:type="dxa"/>
          <w:right w:w="28" w:type="dxa"/>
        </w:tblCellMar>
      </w:tblPr>
      <w:tblGrid>
        <w:gridCol w:w="1546"/>
        <w:gridCol w:w="1283"/>
        <w:gridCol w:w="1289"/>
        <w:gridCol w:w="278"/>
        <w:gridCol w:w="814"/>
        <w:gridCol w:w="143"/>
        <w:gridCol w:w="143"/>
        <w:gridCol w:w="143"/>
        <w:gridCol w:w="143"/>
        <w:gridCol w:w="278"/>
        <w:gridCol w:w="814"/>
        <w:gridCol w:w="143"/>
        <w:gridCol w:w="109"/>
        <w:gridCol w:w="109"/>
        <w:gridCol w:w="109"/>
        <w:gridCol w:w="268"/>
        <w:gridCol w:w="784"/>
        <w:gridCol w:w="138"/>
        <w:gridCol w:w="138"/>
        <w:gridCol w:w="138"/>
        <w:gridCol w:w="138"/>
        <w:gridCol w:w="268"/>
        <w:gridCol w:w="784"/>
        <w:gridCol w:w="205"/>
      </w:tblGrid>
      <w:tr>
        <w:trPr/>
        <w:tc>
          <w:tcPr>
            <w:tcW w:w="15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Fair value gains (losses) included in earnings</w:t>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gains (losses) of Reverse loans held for investment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gains (losses) of HMBS related borrowings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fair value gains (losses) included in earnings</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Gain (loss) on reverse loans held for investment and HMBS-related borrowings, net:</w:t>
      </w:r>
    </w:p>
    <w:tbl>
      <w:tblPr>
        <w:tblW w:w="10205" w:type="dxa"/>
        <w:jc w:val="left"/>
        <w:tblInd w:w="0" w:type="dxa"/>
        <w:tblLayout w:type="fixed"/>
        <w:tblCellMar>
          <w:top w:w="28" w:type="dxa"/>
          <w:left w:w="28" w:type="dxa"/>
          <w:bottom w:w="28" w:type="dxa"/>
          <w:right w:w="28" w:type="dxa"/>
        </w:tblCellMar>
      </w:tblPr>
      <w:tblGrid>
        <w:gridCol w:w="1740"/>
        <w:gridCol w:w="1518"/>
        <w:gridCol w:w="1522"/>
        <w:gridCol w:w="271"/>
        <w:gridCol w:w="656"/>
        <w:gridCol w:w="140"/>
        <w:gridCol w:w="140"/>
        <w:gridCol w:w="140"/>
        <w:gridCol w:w="140"/>
        <w:gridCol w:w="271"/>
        <w:gridCol w:w="656"/>
        <w:gridCol w:w="140"/>
        <w:gridCol w:w="109"/>
        <w:gridCol w:w="109"/>
        <w:gridCol w:w="109"/>
        <w:gridCol w:w="263"/>
        <w:gridCol w:w="638"/>
        <w:gridCol w:w="136"/>
        <w:gridCol w:w="136"/>
        <w:gridCol w:w="136"/>
        <w:gridCol w:w="136"/>
        <w:gridCol w:w="263"/>
        <w:gridCol w:w="638"/>
        <w:gridCol w:w="198"/>
      </w:tblGrid>
      <w:tr>
        <w:trPr/>
        <w:tc>
          <w:tcPr>
            <w:tcW w:w="174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Gain on Reverse Loans Held for Investment and HMBS-related Borrowings, Net</w:t>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new originations </w:t>
            </w:r>
            <w:r>
              <w:rPr>
                <w:rFonts w:ascii="Times New Roman;serif" w:hAnsi="Times New Roman;serif"/>
                <w:b w:val="false"/>
                <w:color w:val="000000"/>
                <w:sz w:val="13"/>
              </w:rPr>
              <w:t>(1)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interest income (servicing fee) </w:t>
            </w:r>
            <w:r>
              <w:rPr>
                <w:rFonts w:ascii="Times New Roman;serif" w:hAnsi="Times New Roman;serif"/>
                <w:b w:val="false"/>
                <w:color w:val="000000"/>
                <w:sz w:val="13"/>
              </w:rPr>
              <w:t>(2)</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change in fair value of securitized loans held for investment and HMBS-related borrowings, net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Fair value gains (losses) included in earnings </w:t>
            </w:r>
            <w:r>
              <w:rPr>
                <w:rFonts w:ascii="Times New Roman;serif" w:hAnsi="Times New Roman;serif"/>
                <w:b w:val="false"/>
                <w:color w:val="000000"/>
                <w:sz w:val="13"/>
              </w:rPr>
              <w:t>(3)</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fees and other</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78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(1)Includes the changes in fair value of newly originated loans held for investment in the period from interest rate lock commitment date through securitization date.</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(2)Includes the interest income on loans held for investment less the interest expense on HMBS-related borrowings. The net interest income includes the servicing fee Onity is contractually entitled to on securitized loans. </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(3)See breakdown between Loans held for investment and HMBS-related borrowings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55" w:type="dxa"/>
        <w:jc w:val="left"/>
        <w:tblInd w:w="0" w:type="dxa"/>
        <w:tblLayout w:type="fixed"/>
        <w:tblCellMar>
          <w:top w:w="28" w:type="dxa"/>
          <w:left w:w="28" w:type="dxa"/>
          <w:bottom w:w="28" w:type="dxa"/>
          <w:right w:w="28" w:type="dxa"/>
        </w:tblCellMar>
      </w:tblPr>
      <w:tblGrid>
        <w:gridCol w:w="561"/>
        <w:gridCol w:w="494"/>
        <w:gridCol w:w="700"/>
      </w:tblGrid>
      <w:tr>
        <w:trPr/>
        <w:tc>
          <w:tcPr>
            <w:tcW w:w="5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 xml:space="preserve">Note 6 – Advances </w:t>
            </w:r>
          </w:p>
        </w:tc>
      </w:tr>
    </w:tbl>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composition of servicing advances by type: </w:t>
      </w:r>
    </w:p>
    <w:tbl>
      <w:tblPr>
        <w:tblW w:w="7525" w:type="dxa"/>
        <w:jc w:val="left"/>
        <w:tblInd w:w="0" w:type="dxa"/>
        <w:tblLayout w:type="fixed"/>
        <w:tblCellMar>
          <w:top w:w="28" w:type="dxa"/>
          <w:left w:w="28" w:type="dxa"/>
          <w:bottom w:w="28" w:type="dxa"/>
          <w:right w:w="28" w:type="dxa"/>
        </w:tblCellMar>
      </w:tblPr>
      <w:tblGrid>
        <w:gridCol w:w="1326"/>
        <w:gridCol w:w="1163"/>
        <w:gridCol w:w="1171"/>
        <w:gridCol w:w="397"/>
        <w:gridCol w:w="1165"/>
        <w:gridCol w:w="207"/>
        <w:gridCol w:w="109"/>
        <w:gridCol w:w="109"/>
        <w:gridCol w:w="109"/>
        <w:gridCol w:w="380"/>
        <w:gridCol w:w="1110"/>
        <w:gridCol w:w="279"/>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and interest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and insurance</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Foreclosures, bankruptcy, REO and other </w:t>
            </w:r>
            <w:r>
              <w:rPr>
                <w:rFonts w:ascii="Times New Roman;serif" w:hAnsi="Times New Roman;serif"/>
                <w:b w:val="false"/>
                <w:color w:val="000000"/>
                <w:sz w:val="13"/>
              </w:rPr>
              <w:t>(1)</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advances, before allowance for losses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losses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Advances, net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     No state represented a balance exceeding 5% of the total advances (based on the underlying property location of the related mortgage loans), except for the state of New York with $26.8 million.</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composition of servicing advances by investor: </w:t>
      </w:r>
    </w:p>
    <w:tbl>
      <w:tblPr>
        <w:tblW w:w="5140" w:type="dxa"/>
        <w:jc w:val="left"/>
        <w:tblInd w:w="0" w:type="dxa"/>
        <w:tblLayout w:type="fixed"/>
        <w:tblCellMar>
          <w:top w:w="28" w:type="dxa"/>
          <w:left w:w="28" w:type="dxa"/>
          <w:bottom w:w="28" w:type="dxa"/>
          <w:right w:w="28" w:type="dxa"/>
        </w:tblCellMar>
      </w:tblPr>
      <w:tblGrid>
        <w:gridCol w:w="460"/>
        <w:gridCol w:w="405"/>
        <w:gridCol w:w="410"/>
        <w:gridCol w:w="397"/>
        <w:gridCol w:w="1165"/>
        <w:gridCol w:w="207"/>
        <w:gridCol w:w="109"/>
        <w:gridCol w:w="109"/>
        <w:gridCol w:w="109"/>
        <w:gridCol w:w="380"/>
        <w:gridCol w:w="1110"/>
        <w:gridCol w:w="279"/>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GSE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Ginnie Mae</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Non-Agency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Advances, net</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activity in net advances: </w:t>
      </w:r>
    </w:p>
    <w:tbl>
      <w:tblPr>
        <w:tblW w:w="10205" w:type="dxa"/>
        <w:jc w:val="center"/>
        <w:tblInd w:w="0" w:type="dxa"/>
        <w:tblLayout w:type="fixed"/>
        <w:tblCellMar>
          <w:top w:w="28" w:type="dxa"/>
          <w:left w:w="28" w:type="dxa"/>
          <w:bottom w:w="28" w:type="dxa"/>
          <w:right w:w="28" w:type="dxa"/>
        </w:tblCellMar>
      </w:tblPr>
      <w:tblGrid>
        <w:gridCol w:w="1637"/>
        <w:gridCol w:w="1400"/>
        <w:gridCol w:w="1409"/>
        <w:gridCol w:w="261"/>
        <w:gridCol w:w="764"/>
        <w:gridCol w:w="134"/>
        <w:gridCol w:w="134"/>
        <w:gridCol w:w="134"/>
        <w:gridCol w:w="134"/>
        <w:gridCol w:w="261"/>
        <w:gridCol w:w="764"/>
        <w:gridCol w:w="134"/>
        <w:gridCol w:w="109"/>
        <w:gridCol w:w="109"/>
        <w:gridCol w:w="109"/>
        <w:gridCol w:w="254"/>
        <w:gridCol w:w="742"/>
        <w:gridCol w:w="130"/>
        <w:gridCol w:w="130"/>
        <w:gridCol w:w="130"/>
        <w:gridCol w:w="130"/>
        <w:gridCol w:w="254"/>
        <w:gridCol w:w="742"/>
        <w:gridCol w:w="200"/>
      </w:tblGrid>
      <w:tr>
        <w:trPr/>
        <w:tc>
          <w:tcPr>
            <w:tcW w:w="163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before Allowance for Losses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advances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from (to) Receivables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of advances </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advances in connection with the purchase of MSRs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Transfer to Loans held for sale (incl. capitalization upon Ginnie Mae modifications)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Collections of advances and other </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before Allowance for Losses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 Allowance for Losses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expense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charge-offs and other </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 Allowance for Losses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94" w:type="dxa"/>
        <w:jc w:val="left"/>
        <w:tblInd w:w="0" w:type="dxa"/>
        <w:tblLayout w:type="fixed"/>
        <w:tblCellMar>
          <w:top w:w="28" w:type="dxa"/>
          <w:left w:w="28" w:type="dxa"/>
          <w:bottom w:w="28" w:type="dxa"/>
          <w:right w:w="28" w:type="dxa"/>
        </w:tblCellMar>
      </w:tblPr>
      <w:tblGrid>
        <w:gridCol w:w="830"/>
        <w:gridCol w:w="729"/>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Note 7 – Mortgage Servicing</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composition of our MSR portfolio:</w:t>
      </w:r>
    </w:p>
    <w:tbl>
      <w:tblPr>
        <w:tblW w:w="10205" w:type="dxa"/>
        <w:jc w:val="left"/>
        <w:tblInd w:w="0" w:type="dxa"/>
        <w:tblLayout w:type="fixed"/>
        <w:tblCellMar>
          <w:top w:w="28" w:type="dxa"/>
          <w:left w:w="28" w:type="dxa"/>
          <w:bottom w:w="28" w:type="dxa"/>
          <w:right w:w="28" w:type="dxa"/>
        </w:tblCellMar>
      </w:tblPr>
      <w:tblGrid>
        <w:gridCol w:w="1743"/>
        <w:gridCol w:w="1473"/>
        <w:gridCol w:w="1480"/>
        <w:gridCol w:w="211"/>
        <w:gridCol w:w="766"/>
        <w:gridCol w:w="109"/>
        <w:gridCol w:w="296"/>
        <w:gridCol w:w="867"/>
        <w:gridCol w:w="154"/>
        <w:gridCol w:w="109"/>
        <w:gridCol w:w="109"/>
        <w:gridCol w:w="109"/>
        <w:gridCol w:w="211"/>
        <w:gridCol w:w="766"/>
        <w:gridCol w:w="109"/>
        <w:gridCol w:w="296"/>
        <w:gridCol w:w="867"/>
        <w:gridCol w:w="154"/>
        <w:gridCol w:w="109"/>
        <w:gridCol w:w="109"/>
        <w:gridCol w:w="158"/>
      </w:tblGrid>
      <w:tr>
        <w:trPr/>
        <w:tc>
          <w:tcPr>
            <w:tcW w:w="174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MSR UPB and Fair Value</w:t>
            </w:r>
          </w:p>
        </w:tc>
        <w:tc>
          <w:tcPr>
            <w:tcW w:w="2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469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UPB ($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 MSRs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Rithm and others transferred MSRs </w:t>
            </w:r>
            <w:r>
              <w:rPr>
                <w:rFonts w:ascii="Times New Roman;serif" w:hAnsi="Times New Roman;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MAV transferred MSRs </w:t>
            </w:r>
            <w:r>
              <w:rPr>
                <w:rFonts w:ascii="Times New Roman;serif" w:hAnsi="Times New Roman;serif"/>
                <w:b w:val="false"/>
                <w:color w:val="000000"/>
                <w:sz w:val="13"/>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Total transferred MSR, subject to Pledged MSR liability, at fair value </w:t>
            </w:r>
            <w:r>
              <w:rPr>
                <w:rFonts w:ascii="Times New Roman;serif" w:hAnsi="Times New Roman;serif"/>
                <w:b w:val="false"/>
                <w:color w:val="000000"/>
                <w:sz w:val="13"/>
              </w:rPr>
              <w:t>(2)</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MSRs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(1)Includes $333.1 million and $338.7 million fair value of MSRs pledged to ESS financing liabilities at September 30, 2025 and December 31, 2024, respectively.</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(2)MSRs subject to sale or transfer agreements that do not meet sale accounting criteria. See Note 8 — Other Financing Liabilities, at Fair Value.</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composition of our MSR portfolio by investor: </w:t>
      </w:r>
    </w:p>
    <w:tbl>
      <w:tblPr>
        <w:tblW w:w="8700" w:type="dxa"/>
        <w:jc w:val="left"/>
        <w:tblInd w:w="0" w:type="dxa"/>
        <w:tblLayout w:type="fixed"/>
        <w:tblCellMar>
          <w:top w:w="28" w:type="dxa"/>
          <w:left w:w="28" w:type="dxa"/>
          <w:bottom w:w="28" w:type="dxa"/>
          <w:right w:w="28" w:type="dxa"/>
        </w:tblCellMar>
      </w:tblPr>
      <w:tblGrid>
        <w:gridCol w:w="831"/>
        <w:gridCol w:w="730"/>
        <w:gridCol w:w="734"/>
        <w:gridCol w:w="211"/>
        <w:gridCol w:w="766"/>
        <w:gridCol w:w="109"/>
        <w:gridCol w:w="109"/>
        <w:gridCol w:w="109"/>
        <w:gridCol w:w="109"/>
        <w:gridCol w:w="324"/>
        <w:gridCol w:w="947"/>
        <w:gridCol w:w="169"/>
        <w:gridCol w:w="109"/>
        <w:gridCol w:w="109"/>
        <w:gridCol w:w="109"/>
        <w:gridCol w:w="211"/>
        <w:gridCol w:w="766"/>
        <w:gridCol w:w="109"/>
        <w:gridCol w:w="109"/>
        <w:gridCol w:w="109"/>
        <w:gridCol w:w="109"/>
        <w:gridCol w:w="324"/>
        <w:gridCol w:w="947"/>
        <w:gridCol w:w="16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MSR UPB and Fair Value</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UPB ($ billions)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Ginnie Mae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Non-Agency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MSRs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60" w:after="12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delinquency status of the loans underlying our MSRs:</w:t>
      </w:r>
    </w:p>
    <w:tbl>
      <w:tblPr>
        <w:tblW w:w="10205" w:type="dxa"/>
        <w:jc w:val="center"/>
        <w:tblInd w:w="0" w:type="dxa"/>
        <w:tblLayout w:type="fixed"/>
        <w:tblCellMar>
          <w:top w:w="28" w:type="dxa"/>
          <w:left w:w="28" w:type="dxa"/>
          <w:bottom w:w="28" w:type="dxa"/>
          <w:right w:w="28" w:type="dxa"/>
        </w:tblCellMar>
      </w:tblPr>
      <w:tblGrid>
        <w:gridCol w:w="455"/>
        <w:gridCol w:w="400"/>
        <w:gridCol w:w="402"/>
        <w:gridCol w:w="203"/>
        <w:gridCol w:w="203"/>
        <w:gridCol w:w="276"/>
        <w:gridCol w:w="109"/>
        <w:gridCol w:w="109"/>
        <w:gridCol w:w="109"/>
        <w:gridCol w:w="243"/>
        <w:gridCol w:w="175"/>
        <w:gridCol w:w="413"/>
        <w:gridCol w:w="109"/>
        <w:gridCol w:w="109"/>
        <w:gridCol w:w="109"/>
        <w:gridCol w:w="273"/>
        <w:gridCol w:w="243"/>
        <w:gridCol w:w="501"/>
        <w:gridCol w:w="109"/>
        <w:gridCol w:w="109"/>
        <w:gridCol w:w="109"/>
        <w:gridCol w:w="203"/>
        <w:gridCol w:w="203"/>
        <w:gridCol w:w="317"/>
        <w:gridCol w:w="109"/>
        <w:gridCol w:w="109"/>
        <w:gridCol w:w="109"/>
        <w:gridCol w:w="203"/>
        <w:gridCol w:w="203"/>
        <w:gridCol w:w="276"/>
        <w:gridCol w:w="109"/>
        <w:gridCol w:w="109"/>
        <w:gridCol w:w="109"/>
        <w:gridCol w:w="305"/>
        <w:gridCol w:w="211"/>
        <w:gridCol w:w="413"/>
        <w:gridCol w:w="109"/>
        <w:gridCol w:w="109"/>
        <w:gridCol w:w="109"/>
        <w:gridCol w:w="273"/>
        <w:gridCol w:w="243"/>
        <w:gridCol w:w="501"/>
        <w:gridCol w:w="109"/>
        <w:gridCol w:w="109"/>
        <w:gridCol w:w="109"/>
        <w:gridCol w:w="203"/>
        <w:gridCol w:w="203"/>
        <w:gridCol w:w="372"/>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Delinquent loans</w:t>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Ginnie Mae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 - 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Ginnie Mae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 - 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days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 days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 days or more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30-60-90 days or more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120"/>
        <w:jc w:val="center"/>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our MSRs at fair value:</w:t>
      </w:r>
    </w:p>
    <w:tbl>
      <w:tblPr>
        <w:tblW w:w="10205" w:type="dxa"/>
        <w:jc w:val="left"/>
        <w:tblInd w:w="0" w:type="dxa"/>
        <w:tblLayout w:type="fixed"/>
        <w:tblCellMar>
          <w:top w:w="28" w:type="dxa"/>
          <w:left w:w="28" w:type="dxa"/>
          <w:bottom w:w="28" w:type="dxa"/>
          <w:right w:w="28" w:type="dxa"/>
        </w:tblCellMar>
      </w:tblPr>
      <w:tblGrid>
        <w:gridCol w:w="1399"/>
        <w:gridCol w:w="1204"/>
        <w:gridCol w:w="1208"/>
        <w:gridCol w:w="109"/>
        <w:gridCol w:w="253"/>
        <w:gridCol w:w="921"/>
        <w:gridCol w:w="131"/>
        <w:gridCol w:w="131"/>
        <w:gridCol w:w="131"/>
        <w:gridCol w:w="131"/>
        <w:gridCol w:w="253"/>
        <w:gridCol w:w="921"/>
        <w:gridCol w:w="131"/>
        <w:gridCol w:w="109"/>
        <w:gridCol w:w="109"/>
        <w:gridCol w:w="109"/>
        <w:gridCol w:w="244"/>
        <w:gridCol w:w="889"/>
        <w:gridCol w:w="126"/>
        <w:gridCol w:w="126"/>
        <w:gridCol w:w="126"/>
        <w:gridCol w:w="126"/>
        <w:gridCol w:w="244"/>
        <w:gridCol w:w="889"/>
        <w:gridCol w:w="185"/>
      </w:tblGrid>
      <w:tr>
        <w:trPr/>
        <w:tc>
          <w:tcPr>
            <w:tcW w:w="13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11" w:type="dxa"/>
            <w:gridSpan w:val="3"/>
            <w:vMerge w:val="restart"/>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Mortgage Servicing Rights – At Fair Value</w:t>
            </w:r>
          </w:p>
        </w:tc>
        <w:tc>
          <w:tcPr>
            <w:tcW w:w="109" w:type="dxa"/>
            <w:tcBorders/>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on the sale of residential 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MSRs</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Servicing transfers and adjustments </w:t>
            </w:r>
            <w:r>
              <w:rPr>
                <w:rFonts w:ascii="Times New Roman;serif" w:hAnsi="Times New Roman;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(sales)</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valuation inputs or assumptions </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Realization of cash flows </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gains (losses) recognized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(1)During the three months ended June 30, 2024, upon the sale of certain GSE MSRs by MAV to a third party, we derecognized $85.7 million of those MSRs that were previously sold to MAV in transactions that did not qualify for sale accounting treatment. We derecognized the MSRs from our balance sheet along with the associated Pledged MSR liability - see Note 8 — Other Financing Liabilities, at Fair Value.</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8" w:type="dxa"/>
            <w:gridSpan w:val="27"/>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servicing and subservicing fee revenue:</w:t>
      </w:r>
    </w:p>
    <w:tbl>
      <w:tblPr>
        <w:tblW w:w="10205" w:type="dxa"/>
        <w:jc w:val="left"/>
        <w:tblInd w:w="0" w:type="dxa"/>
        <w:tblLayout w:type="fixed"/>
        <w:tblCellMar>
          <w:top w:w="28" w:type="dxa"/>
          <w:left w:w="28" w:type="dxa"/>
          <w:bottom w:w="28" w:type="dxa"/>
          <w:right w:w="28" w:type="dxa"/>
        </w:tblCellMar>
      </w:tblPr>
      <w:tblGrid>
        <w:gridCol w:w="1482"/>
        <w:gridCol w:w="1236"/>
        <w:gridCol w:w="1242"/>
        <w:gridCol w:w="286"/>
        <w:gridCol w:w="837"/>
        <w:gridCol w:w="147"/>
        <w:gridCol w:w="147"/>
        <w:gridCol w:w="147"/>
        <w:gridCol w:w="147"/>
        <w:gridCol w:w="286"/>
        <w:gridCol w:w="837"/>
        <w:gridCol w:w="147"/>
        <w:gridCol w:w="109"/>
        <w:gridCol w:w="109"/>
        <w:gridCol w:w="109"/>
        <w:gridCol w:w="275"/>
        <w:gridCol w:w="805"/>
        <w:gridCol w:w="141"/>
        <w:gridCol w:w="141"/>
        <w:gridCol w:w="141"/>
        <w:gridCol w:w="141"/>
        <w:gridCol w:w="275"/>
        <w:gridCol w:w="805"/>
        <w:gridCol w:w="213"/>
      </w:tblGrid>
      <w:tr>
        <w:trPr/>
        <w:tc>
          <w:tcPr>
            <w:tcW w:w="148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Servicing Revenue</w:t>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60" w:type="dxa"/>
            <w:gridSpan w:val="3"/>
            <w:vMerge w:val="continue"/>
            <w:tcBorders/>
            <w:tcMar>
              <w:top w:w="0" w:type="dxa"/>
              <w:left w:w="0" w:type="dxa"/>
              <w:bottom w:w="0" w:type="dxa"/>
              <w:right w:w="0" w:type="dxa"/>
            </w:tcMar>
            <w:vAlign w:val="center"/>
          </w:tcPr>
          <w:p>
            <w:pPr>
              <w:pStyle w:val="Normal"/>
              <w:bidi w:val="0"/>
              <w:jc w:val="left"/>
              <w:rPr/>
            </w:pPr>
            <w:r>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and subservicing fees</w:t>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Subservicing fee </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MAV - Subservicing fee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MAV - Servicing fee / Transferred MSR </w:t>
            </w:r>
            <w:r>
              <w:rPr>
                <w:rFonts w:ascii="Times New Roman;serif" w:hAnsi="Times New Roman;serif"/>
                <w:b w:val="false"/>
                <w:color w:val="000000"/>
                <w:sz w:val="13"/>
              </w:rPr>
              <w:t>(1)</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Rithm and Others-Servicing fee/Transferred MSR </w:t>
            </w:r>
            <w:r>
              <w:rPr>
                <w:rFonts w:ascii="Times New Roman;serif" w:hAnsi="Times New Roman;serif"/>
                <w:b w:val="false"/>
                <w:color w:val="000000"/>
                <w:sz w:val="12"/>
              </w:rPr>
              <w:t>(1)</w:t>
            </w:r>
            <w:r>
              <w:rPr>
                <w:color w:val="000000"/>
              </w:rPr>
              <w:t xml:space="preserve">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income</w:t>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Custodial accounts (float earnings)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Late charges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subservicing ancillary fees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Servicing and subservicing fees</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 MSR and Subservicing</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Transferred MSR </w:t>
            </w:r>
            <w:r>
              <w:rPr>
                <w:rFonts w:ascii="Times New Roman;serif" w:hAnsi="Times New Roman;serif"/>
                <w:b w:val="false"/>
                <w:color w:val="000000"/>
                <w:sz w:val="13"/>
              </w:rPr>
              <w:t>(1) (2)</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8"/>
        </w:rPr>
        <w:t>(1)Servicing fees collected on behalf of respective parties related to transferred MSRs that do not achieve sale accounting. See Note 8 — Other Financing Liabilities, at Fair Value</w:t>
      </w:r>
      <w:r>
        <w:rPr>
          <w:rFonts w:ascii="Times New Roman;serif" w:hAnsi="Times New Roman;serif"/>
          <w:b/>
          <w:color w:val="000000"/>
          <w:sz w:val="18"/>
        </w:rPr>
        <w:t>.</w:t>
      </w:r>
    </w:p>
    <w:p>
      <w:pPr>
        <w:pStyle w:val="TextBody"/>
        <w:bidi w:val="0"/>
        <w:spacing w:lineRule="auto" w:line="288" w:before="0" w:after="0"/>
        <w:ind w:left="0" w:right="0" w:hanging="360"/>
        <w:jc w:val="left"/>
        <w:rPr/>
      </w:pPr>
      <w:r>
        <w:rPr>
          <w:rFonts w:ascii="Times New Roman;serif" w:hAnsi="Times New Roman;serif"/>
          <w:b w:val="false"/>
          <w:color w:val="000000"/>
          <w:sz w:val="18"/>
        </w:rPr>
        <w:t>(2)Includes $4.2 million and $11.6 million</w:t>
      </w:r>
      <w:r>
        <w:rPr>
          <w:color w:val="000000"/>
        </w:rPr>
        <w:t xml:space="preserve"> </w:t>
      </w:r>
      <w:r>
        <w:rPr>
          <w:rFonts w:ascii="Times New Roman;serif" w:hAnsi="Times New Roman;serif"/>
          <w:b w:val="false"/>
          <w:color w:val="000000"/>
          <w:sz w:val="18"/>
        </w:rPr>
        <w:t>for the three and nine months ended September 30, 2025, respectively, and $4.4 million and $12.1 million for the three and nine months ended September 30, 2024, respectively, of ancillary income associated with transferred MSRs that do not achieve sale accounting.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Float balances, on which we earn interest referred to as float earnings (balances in custodial accounts, which represent collections of principal and interest that we receive from borrowers on behalf of investors and tax and insurance payments) are held in escrow by unaffiliated banks and are excluded from our consolidated balance sheets. Float balances amounted to $3.17 billion and $2.04 billion at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4514" w:type="dxa"/>
        <w:jc w:val="left"/>
        <w:tblInd w:w="0" w:type="dxa"/>
        <w:tblLayout w:type="fixed"/>
        <w:tblCellMar>
          <w:top w:w="28" w:type="dxa"/>
          <w:left w:w="28" w:type="dxa"/>
          <w:bottom w:w="28" w:type="dxa"/>
          <w:right w:w="28" w:type="dxa"/>
        </w:tblCellMar>
      </w:tblPr>
      <w:tblGrid>
        <w:gridCol w:w="1446"/>
        <w:gridCol w:w="1271"/>
        <w:gridCol w:w="1797"/>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8 — Other Financing Liabilities, at Fair Value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financing liabilities carried at fair value which include pledged MSR liabilities recorded in connection with MSR transfers, subservicing retained, that do not qualify for sale accounting, liabilities of consolidated mortgage-backed securitization trusts and MSR excess servicing spread (ESS) financing liability carried at fair value (see Note 12 – Borrowings for ESS financing liability carried at amortized cost). </w:t>
      </w:r>
    </w:p>
    <w:tbl>
      <w:tblPr>
        <w:tblW w:w="10205" w:type="dxa"/>
        <w:jc w:val="left"/>
        <w:tblInd w:w="0" w:type="dxa"/>
        <w:tblLayout w:type="fixed"/>
        <w:tblCellMar>
          <w:top w:w="28" w:type="dxa"/>
          <w:left w:w="28" w:type="dxa"/>
          <w:bottom w:w="28" w:type="dxa"/>
          <w:right w:w="28" w:type="dxa"/>
        </w:tblCellMar>
      </w:tblPr>
      <w:tblGrid>
        <w:gridCol w:w="1405"/>
        <w:gridCol w:w="1221"/>
        <w:gridCol w:w="1228"/>
        <w:gridCol w:w="325"/>
        <w:gridCol w:w="325"/>
        <w:gridCol w:w="326"/>
        <w:gridCol w:w="109"/>
        <w:gridCol w:w="109"/>
        <w:gridCol w:w="109"/>
        <w:gridCol w:w="109"/>
        <w:gridCol w:w="109"/>
        <w:gridCol w:w="290"/>
        <w:gridCol w:w="290"/>
        <w:gridCol w:w="291"/>
        <w:gridCol w:w="109"/>
        <w:gridCol w:w="109"/>
        <w:gridCol w:w="109"/>
        <w:gridCol w:w="370"/>
        <w:gridCol w:w="1087"/>
        <w:gridCol w:w="193"/>
        <w:gridCol w:w="109"/>
        <w:gridCol w:w="109"/>
        <w:gridCol w:w="109"/>
        <w:gridCol w:w="354"/>
        <w:gridCol w:w="1036"/>
        <w:gridCol w:w="265"/>
      </w:tblGrid>
      <w:tr>
        <w:trPr/>
        <w:tc>
          <w:tcPr>
            <w:tcW w:w="140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Balance</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 Type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MSR transfers not qualifying for sale accounting</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Pledged MSR liability, at fair value - MAV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Rights to MSRs Agreements, at fair value - Rithm </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MSRs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Pledged MSR liability, at fair value - Others </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Pledged MSR liability, at fair value</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ESS financing liability, at fair value</w:t>
            </w:r>
            <w:r>
              <w:rPr>
                <w:color w:val="000000"/>
              </w:rPr>
              <w:t xml:space="preserve"> </w:t>
            </w:r>
            <w:r>
              <w:rPr>
                <w:rFonts w:ascii="Times New Roman;serif" w:hAnsi="Times New Roman;serif"/>
                <w:b w:val="false"/>
                <w:color w:val="000000"/>
                <w:sz w:val="13"/>
              </w:rPr>
              <w:t>(2)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MSRs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financing liabilities, at fair value</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(1)MSRs transferred in transactions which do not qualify for sale accounting treatment. Until such time as the transaction qualifies as a sale for accounting purposes, we continue to recognize the MSRs and the related financing liability (referred as Pledged MSR liability) on our consolidated balance sheets, as well as the full amount of servicing fee collected as revenue and the servicing fee remitted as Pledged MSR liability expense in our consolidated statements of operations. The fair value of the Pledged MSR liability may differ from the fair value of the associated transferred MSR asset mostly due to the portion of ancillary income that is contractually retained by PHH or other contractual cash flows.</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(2)Consists of the obligation to remit to third parties a specified percentage of future servicing fee collections (servicing spread) on reference pools of MSRs, which we are entitled to as owner of the related MSRs. The servicing spread remittance is reported in Pledged MSR liability expense and fair value gains and losses of the ESS financing liability are reported in MSR valuation adjustment, net - See Note 9 – MSR Valuation Adjustments,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of the Other financing liabilities, at fair value that are classified as Level 3 within the valuation hierarchy.</w:t>
      </w:r>
    </w:p>
    <w:tbl>
      <w:tblPr>
        <w:tblW w:w="10205" w:type="dxa"/>
        <w:jc w:val="center"/>
        <w:tblInd w:w="0" w:type="dxa"/>
        <w:tblLayout w:type="fixed"/>
        <w:tblCellMar>
          <w:top w:w="28" w:type="dxa"/>
          <w:left w:w="28" w:type="dxa"/>
          <w:bottom w:w="28" w:type="dxa"/>
          <w:right w:w="28" w:type="dxa"/>
        </w:tblCellMar>
      </w:tblPr>
      <w:tblGrid>
        <w:gridCol w:w="1183"/>
        <w:gridCol w:w="885"/>
        <w:gridCol w:w="891"/>
        <w:gridCol w:w="109"/>
        <w:gridCol w:w="355"/>
        <w:gridCol w:w="1038"/>
        <w:gridCol w:w="183"/>
        <w:gridCol w:w="183"/>
        <w:gridCol w:w="183"/>
        <w:gridCol w:w="183"/>
        <w:gridCol w:w="183"/>
        <w:gridCol w:w="109"/>
        <w:gridCol w:w="202"/>
        <w:gridCol w:w="202"/>
        <w:gridCol w:w="392"/>
        <w:gridCol w:w="1145"/>
        <w:gridCol w:w="202"/>
        <w:gridCol w:w="109"/>
        <w:gridCol w:w="109"/>
        <w:gridCol w:w="109"/>
        <w:gridCol w:w="211"/>
        <w:gridCol w:w="616"/>
        <w:gridCol w:w="109"/>
        <w:gridCol w:w="109"/>
        <w:gridCol w:w="109"/>
        <w:gridCol w:w="109"/>
        <w:gridCol w:w="211"/>
        <w:gridCol w:w="616"/>
        <w:gridCol w:w="160"/>
      </w:tblGrid>
      <w:tr>
        <w:trPr/>
        <w:tc>
          <w:tcPr>
            <w:tcW w:w="11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577" w:type="dxa"/>
            <w:gridSpan w:val="12"/>
            <w:tcBorders/>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Pledged MSR liability and ESS financing liability</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ESS issuances</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transfers</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transfers to MAV</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MSR transfers to Rithm and others</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MSR transfers</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Derecognition of financing liability</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Derecognition of financing liability - Rithm</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Derecognition of financing liability - MAV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financing liability - Others</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derecognition of financing liability </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Fair value (gain) loss</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fair value due to inputs and assumptions </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Realization of expected cash flows</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(gain) loss</w:t>
            </w:r>
          </w:p>
        </w:tc>
        <w:tc>
          <w:tcPr>
            <w:tcW w:w="109" w:type="dxa"/>
            <w:tcBorders/>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8"/>
        </w:rPr>
        <w:t>(1)During the three months ended June 30, 2024, we derecognized a portion of the MAV Pledged MSR liability upon sale of the related MSRs by MAV to a third party with a UPB of $5.5 billion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Pledged MSR liability expense recorded in connection with the MSR sale agreements with MAV, Rithm, and others that do not qualify for sale accounting, including the ESS financing liabilities.</w:t>
      </w:r>
    </w:p>
    <w:tbl>
      <w:tblPr>
        <w:tblW w:w="10205" w:type="dxa"/>
        <w:jc w:val="left"/>
        <w:tblInd w:w="0" w:type="dxa"/>
        <w:tblLayout w:type="fixed"/>
        <w:tblCellMar>
          <w:top w:w="28" w:type="dxa"/>
          <w:left w:w="28" w:type="dxa"/>
          <w:bottom w:w="28" w:type="dxa"/>
          <w:right w:w="28" w:type="dxa"/>
        </w:tblCellMar>
      </w:tblPr>
      <w:tblGrid>
        <w:gridCol w:w="1241"/>
        <w:gridCol w:w="838"/>
        <w:gridCol w:w="842"/>
        <w:gridCol w:w="289"/>
        <w:gridCol w:w="700"/>
        <w:gridCol w:w="149"/>
        <w:gridCol w:w="109"/>
        <w:gridCol w:w="109"/>
        <w:gridCol w:w="109"/>
        <w:gridCol w:w="211"/>
        <w:gridCol w:w="511"/>
        <w:gridCol w:w="109"/>
        <w:gridCol w:w="109"/>
        <w:gridCol w:w="109"/>
        <w:gridCol w:w="109"/>
        <w:gridCol w:w="211"/>
        <w:gridCol w:w="511"/>
        <w:gridCol w:w="109"/>
        <w:gridCol w:w="109"/>
        <w:gridCol w:w="109"/>
        <w:gridCol w:w="109"/>
        <w:gridCol w:w="289"/>
        <w:gridCol w:w="700"/>
        <w:gridCol w:w="149"/>
        <w:gridCol w:w="109"/>
        <w:gridCol w:w="109"/>
        <w:gridCol w:w="109"/>
        <w:gridCol w:w="211"/>
        <w:gridCol w:w="511"/>
        <w:gridCol w:w="109"/>
        <w:gridCol w:w="109"/>
        <w:gridCol w:w="109"/>
        <w:gridCol w:w="109"/>
        <w:gridCol w:w="211"/>
        <w:gridCol w:w="511"/>
        <w:gridCol w:w="158"/>
      </w:tblGrid>
      <w:tr>
        <w:trPr/>
        <w:tc>
          <w:tcPr>
            <w:tcW w:w="124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Rithm and Others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Rithm and Others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 collected on behalf of MAV, Rithm and others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Subservicing fee retained by Onity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fee/income and other settlement (including expense reimbursement)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MSR net servicing fee remittance</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 servicing spread remittance</w:t>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3"/>
        <w:gridCol w:w="785"/>
        <w:gridCol w:w="788"/>
        <w:gridCol w:w="281"/>
        <w:gridCol w:w="682"/>
        <w:gridCol w:w="145"/>
        <w:gridCol w:w="109"/>
        <w:gridCol w:w="109"/>
        <w:gridCol w:w="109"/>
        <w:gridCol w:w="211"/>
        <w:gridCol w:w="511"/>
        <w:gridCol w:w="109"/>
        <w:gridCol w:w="109"/>
        <w:gridCol w:w="109"/>
        <w:gridCol w:w="109"/>
        <w:gridCol w:w="211"/>
        <w:gridCol w:w="616"/>
        <w:gridCol w:w="109"/>
        <w:gridCol w:w="109"/>
        <w:gridCol w:w="109"/>
        <w:gridCol w:w="109"/>
        <w:gridCol w:w="282"/>
        <w:gridCol w:w="684"/>
        <w:gridCol w:w="146"/>
        <w:gridCol w:w="109"/>
        <w:gridCol w:w="109"/>
        <w:gridCol w:w="109"/>
        <w:gridCol w:w="211"/>
        <w:gridCol w:w="511"/>
        <w:gridCol w:w="109"/>
        <w:gridCol w:w="109"/>
        <w:gridCol w:w="109"/>
        <w:gridCol w:w="109"/>
        <w:gridCol w:w="211"/>
        <w:gridCol w:w="616"/>
        <w:gridCol w:w="159"/>
      </w:tblGrid>
      <w:tr>
        <w:trPr/>
        <w:tc>
          <w:tcPr>
            <w:tcW w:w="11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Rithm and Others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Rithm and Others</w:t>
            </w:r>
            <w:r>
              <w:rPr>
                <w:color w:val="000000"/>
              </w:rPr>
              <w:t xml:space="preserve"> </w:t>
            </w:r>
            <w:r>
              <w:rPr>
                <w:rFonts w:ascii="Times New Roman;serif" w:hAnsi="Times New Roman;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 collected on behalf of Rithm, MAV and others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Subservicing fee retained by Onity</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fee/income and other settlement (including expense reimbursement)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MSR net servicing fee remittance</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 servicing spread remittance</w:t>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18"/>
        </w:rPr>
      </w:pPr>
      <w:r>
        <w:rPr>
          <w:rFonts w:ascii="Times New Roman;serif" w:hAnsi="Times New Roman;serif"/>
          <w:b w:val="false"/>
          <w:color w:val="000000"/>
          <w:sz w:val="18"/>
        </w:rPr>
        <w:t>(1) The information related to Rithm in the above tables relates to the MSR portfolio, referred to as Rights to MSRs (or RMSR), that does not qualify for sale accounting and represented $8.5 billion of UPB as of September 30, 2025 - see below discussion. Other subservicing agreements with Rithm are not reflected in the above table.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MAV (Related Party) Transactions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PHH entered into agreements to sell MSR portfolios to its related party MAV, on a bulk and flow basis, for which PHH has been retained as subservicer. While MSR legal title has transferred to MAV, the transactions do not qualify for sale accounting treatment primarily due to the termination restrictions of the subservicing agreement. Accordingly, we continue to report the MSR and an associated Pledged MSR liability on our consolidated balance sheet.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Rithm Transactions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Starting in 2012, Onity and PHH entered into agreements to sell MSRs and the related servicing advances to Rithm, for which PHH has been retained as subservicer. As of September 30, 2025, all transactions met sale accounting treatment except for the agreement to sell an $8.5 billion MSR portfolio to Rithm, referred to as Rights to MSRs (or RMSR). While most of the economics and risks of the MSR and related advances have contractually transferred to Rithm, the MSR legal title was retained by Onity and the third-party consents required for title transfer were not obtained, causing the transactions to be accounted for as secured financings. Accordingly, we continue to report the $108.1 million MSR and an associated Pledged MSR liability on our consolidated balance sheet (the remaining is treated as subservicing).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RMSR agreement and subservicing agreements are subject to automatic one-year renewals, unless Onity provides seven months’ advance notice of termination, or Rithm provides three months’ advance notice of termination. In November 2024, Onity and Rithm agreed to extend the subservicing agreements through February 1, 2026, with subsequent, automatic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color w:val="000000"/>
          <w:sz w:val="20"/>
        </w:rPr>
        <w:t>one-year renewals if notice of termination is not provided by July 1, 2026 by Onity or November 1, 2025 by Rithm. Also refer to Note 21 — Commitments, Client Concentration and Note 23 – Subsequent Events.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If Rithm exercises its termination right of the $8.5 billion RMSR agreement, Rithm has the option of seeking (i) the transfer of the MSRs through a sale to a third party of its Rights to MSRs (together with a transfer of Onity’s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specified in the RMSR Agreements. If Rithm is not able to sell the Rights to MSRs or establish a substitute RMSR arrangement with another servicer, Rithm has the right to revoke its termination notice and re-instate the applicable servicing addendum or to establish a subservicing arrangement whereby the MSRs remaining subject to the RMSR Agreements would be transferred to up to three subservicers who would subservice under Onity’s oversight. If such a subservicing arrangement were established, Onity would receive an oversight fee and reimbursement of expenses. We may also agree on alternative arrangements that are not contemplated under our existing agreements or that are variations of those contemplated under our existing agreements.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MSR Capital Partner Transactions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PHH entered into agreements to sell MSR portfolios to different unrelated third parties, referred to as MSR capital partners, on a bulk and flow basis, for which PHH has been retained as subservicer. While MSR legal title has transferred to the MSR capital partners, the transactions do not qualify for sale accounting treatment primarily due to the termination restrictions of the subservicing agreements. Accordingly, we continue to report the MSR and an associated Pledged MSR liability on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9 – MSR Valuation Adjustments, Net</w:t>
      </w:r>
    </w:p>
    <w:p>
      <w:pPr>
        <w:pStyle w:val="TextBody"/>
        <w:bidi w:val="0"/>
        <w:spacing w:lineRule="auto" w:line="288" w:before="120" w:after="120"/>
        <w:jc w:val="left"/>
        <w:rPr/>
      </w:pPr>
      <w:r>
        <w:rPr>
          <w:rFonts w:ascii="Times New Roman;serif" w:hAnsi="Times New Roman;serif"/>
          <w:b w:val="false"/>
          <w:color w:val="000000"/>
          <w:sz w:val="20"/>
        </w:rPr>
        <w:t>The table below presents the components of MSR valuation adjustments, net, that include four MSR related instruments which we account for at fair value with changes in fair value recorded in earnings (also refer to Note 7 – Mortgage Servicing</w:t>
      </w:r>
      <w:r>
        <w:rPr>
          <w:color w:val="000000"/>
        </w:rPr>
        <w:t xml:space="preserve"> </w:t>
      </w:r>
      <w:r>
        <w:rPr>
          <w:rFonts w:ascii="Times New Roman;serif" w:hAnsi="Times New Roman;serif"/>
          <w:b w:val="false"/>
          <w:color w:val="000000"/>
          <w:sz w:val="20"/>
        </w:rPr>
        <w:t xml:space="preserve">and Note 8 — Other Financing Liabilities, at Fair Value): </w:t>
      </w:r>
    </w:p>
    <w:p>
      <w:pPr>
        <w:pStyle w:val="TextBody"/>
        <w:bidi w:val="0"/>
        <w:spacing w:lineRule="auto" w:line="288" w:before="12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(i) the fair value changes of the total MSR portfolio (Total MSRs) recorded on our consolidated balance sheets ($2.8 billion fair value asset at September 30, 2025). Total MSRs include owned MSRs and MSRs that have been sold or transferred to third parties in transactions that do not achieve sale accounting criteria. Owned MSRs include MSRs subject to ESS financing transactions; </w:t>
      </w:r>
    </w:p>
    <w:p>
      <w:pPr>
        <w:pStyle w:val="TextBody"/>
        <w:bidi w:val="0"/>
        <w:spacing w:lineRule="auto" w:line="288" w:before="12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(ii) the fair value changes of the Pledged MSR liabilities recorded as liabilities on our consolidated balance sheets when MSR sale accounting criteria are not achieved ($566.7 million fair value liability at September 30, 2025);</w:t>
      </w:r>
    </w:p>
    <w:p>
      <w:pPr>
        <w:pStyle w:val="TextBody"/>
        <w:bidi w:val="0"/>
        <w:spacing w:lineRule="auto" w:line="288" w:before="12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(iii) the fair value changes of the ESS financing liabilities for which we elected the fair value option ($255.3 million fair value liability at September 30, 2025); and </w:t>
      </w:r>
    </w:p>
    <w:p>
      <w:pPr>
        <w:pStyle w:val="TextBody"/>
        <w:bidi w:val="0"/>
        <w:spacing w:lineRule="auto" w:line="288" w:before="12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(iv) the fair value changes of the derivative instruments economically hedging the MSR exposure.</w:t>
      </w:r>
    </w:p>
    <w:tbl>
      <w:tblPr>
        <w:tblW w:w="10205" w:type="dxa"/>
        <w:jc w:val="left"/>
        <w:tblInd w:w="0" w:type="dxa"/>
        <w:tblLayout w:type="fixed"/>
        <w:tblCellMar>
          <w:top w:w="28" w:type="dxa"/>
          <w:left w:w="28" w:type="dxa"/>
          <w:bottom w:w="28" w:type="dxa"/>
          <w:right w:w="28" w:type="dxa"/>
        </w:tblCellMar>
      </w:tblPr>
      <w:tblGrid>
        <w:gridCol w:w="1654"/>
        <w:gridCol w:w="1349"/>
        <w:gridCol w:w="1319"/>
        <w:gridCol w:w="264"/>
        <w:gridCol w:w="715"/>
        <w:gridCol w:w="136"/>
        <w:gridCol w:w="136"/>
        <w:gridCol w:w="136"/>
        <w:gridCol w:w="136"/>
        <w:gridCol w:w="264"/>
        <w:gridCol w:w="847"/>
        <w:gridCol w:w="136"/>
        <w:gridCol w:w="109"/>
        <w:gridCol w:w="109"/>
        <w:gridCol w:w="109"/>
        <w:gridCol w:w="248"/>
        <w:gridCol w:w="793"/>
        <w:gridCol w:w="128"/>
        <w:gridCol w:w="128"/>
        <w:gridCol w:w="128"/>
        <w:gridCol w:w="128"/>
        <w:gridCol w:w="248"/>
        <w:gridCol w:w="793"/>
        <w:gridCol w:w="192"/>
      </w:tblGrid>
      <w:tr>
        <w:trPr/>
        <w:tc>
          <w:tcPr>
            <w:tcW w:w="165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MSRs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Pledged MSR liabilities</w:t>
            </w:r>
            <w:r>
              <w:rPr>
                <w:color w:val="000000"/>
              </w:rPr>
              <w:t xml:space="preserve"> </w:t>
            </w:r>
            <w:r>
              <w:rPr>
                <w:rFonts w:ascii="Times New Roman;serif" w:hAnsi="Times New Roman;serif"/>
                <w:b w:val="false"/>
                <w:color w:val="000000"/>
                <w:sz w:val="13"/>
              </w:rPr>
              <w:t>(1)</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ESS financing liabilities </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Derivative fair value gain (loss) (MSR economic hedges)</w:t>
            </w:r>
            <w:r>
              <w:rPr>
                <w:color w:val="000000"/>
              </w:rPr>
              <w:t xml:space="preserve"> </w:t>
            </w:r>
            <w:r>
              <w:rPr>
                <w:rFonts w:ascii="Times New Roman;serif" w:hAnsi="Times New Roman;serif"/>
                <w:b w:val="false"/>
                <w:color w:val="000000"/>
                <w:sz w:val="13"/>
              </w:rPr>
              <w:t>(2)</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MSR valuation adjustments, net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changes in fair value due to realization of expected cash flows, net</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Total changes in fair value due to rates and assumptions</w:t>
            </w:r>
            <w:r>
              <w:rPr>
                <w:color w:val="000000"/>
              </w:rPr>
              <w:t xml:space="preserve"> </w:t>
            </w:r>
            <w:r>
              <w:rPr>
                <w:rFonts w:ascii="Times New Roman;serif" w:hAnsi="Times New Roman;serif"/>
                <w:b w:val="false"/>
                <w:color w:val="000000"/>
                <w:sz w:val="13"/>
              </w:rPr>
              <w:t>(3)</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32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(1)MSR transfers that do not achieve sale accounting.</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(2)Also refer to Note 15 – Derivative Financial Instruments and Hedging Activities.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(3)Including MSR hedging derivative gains (losses); excludes reverse mortgage exposure (see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MSR valuation adjustments, net exclude fair value changes of reverse mortgage loans net of HMBS related-borrowings which are included in our economic MSR interest rate risk hedge strategy (refer to Note 15 – Derivative Financial Instruments and Hedging Activities), and are separately presented as Gain on reverse loans held for investment and HMBS-related borrowings, net (Other change in fair value of securitized loans held for investment and HMBS-related borrowings, net) within our consolidated statements of operations (refer to Note 5 - Reverse Mortgages).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10" w:type="dxa"/>
        <w:jc w:val="center"/>
        <w:tblInd w:w="0" w:type="dxa"/>
        <w:tblLayout w:type="fixed"/>
        <w:tblCellMar>
          <w:top w:w="28" w:type="dxa"/>
          <w:left w:w="28" w:type="dxa"/>
          <w:bottom w:w="28" w:type="dxa"/>
          <w:right w:w="28" w:type="dxa"/>
        </w:tblCellMar>
      </w:tblPr>
      <w:tblGrid>
        <w:gridCol w:w="644"/>
        <w:gridCol w:w="566"/>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10 – Receivables</w:t>
            </w:r>
          </w:p>
        </w:tc>
      </w:tr>
    </w:tbl>
    <w:tbl>
      <w:tblPr>
        <w:tblW w:w="9534" w:type="dxa"/>
        <w:jc w:val="left"/>
        <w:tblInd w:w="0" w:type="dxa"/>
        <w:tblLayout w:type="fixed"/>
        <w:tblCellMar>
          <w:top w:w="28" w:type="dxa"/>
          <w:left w:w="28" w:type="dxa"/>
          <w:bottom w:w="28" w:type="dxa"/>
          <w:right w:w="28" w:type="dxa"/>
        </w:tblCellMar>
      </w:tblPr>
      <w:tblGrid>
        <w:gridCol w:w="2053"/>
        <w:gridCol w:w="1806"/>
        <w:gridCol w:w="1810"/>
        <w:gridCol w:w="397"/>
        <w:gridCol w:w="1165"/>
        <w:gridCol w:w="207"/>
        <w:gridCol w:w="109"/>
        <w:gridCol w:w="109"/>
        <w:gridCol w:w="109"/>
        <w:gridCol w:w="380"/>
        <w:gridCol w:w="1110"/>
        <w:gridCol w:w="279"/>
      </w:tblGrid>
      <w:tr>
        <w:trPr/>
        <w:tc>
          <w:tcPr>
            <w:tcW w:w="205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Servicing-related receivables:</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Government-insured loan claims - Reverse</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Government-insured loan claims - Forward</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custodial accounts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Subservicing fees and reimbursable expenses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sale of MSRs (holdback)</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Subservicing fees, reimbursable expenses and other - Due from MAV</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 receivable</w:t>
            </w:r>
            <w:r>
              <w:rPr>
                <w:color w:val="000000"/>
              </w:rPr>
              <w:t xml:space="preserve"> </w:t>
            </w:r>
            <w:r>
              <w:rPr>
                <w:rFonts w:ascii="Times New Roman;serif" w:hAnsi="Times New Roman;serif"/>
                <w:b w:val="false"/>
                <w:color w:val="000000"/>
                <w:sz w:val="13"/>
              </w:rPr>
              <w:t>(1)</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receivables </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losses </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pPr>
      <w:r>
        <w:rPr>
          <w:rFonts w:ascii="Times New Roman;serif" w:hAnsi="Times New Roman;serif"/>
          <w:b w:val="false"/>
          <w:color w:val="000000"/>
          <w:sz w:val="18"/>
        </w:rPr>
        <w:t>(1)Includes $27.6 million at September 30, 2025 from the USVI Bureau of Internal Revenue (BIR) for a refund of income taxes paid in prior years. In December 2022, we executed an agreement with the BIR for payment of the income tax refunds related to tax years 2013 through 2015, plus accrued interest, over a two-year period ending December 31, 2024. The BIR did not make the payment that was due on December 31, 2023 nor any subsequent payments pursuant to the agreement.</w:t>
      </w:r>
      <w:r>
        <w:rPr>
          <w:color w:val="000000"/>
        </w:rPr>
        <w:t xml:space="preserve"> </w:t>
      </w:r>
      <w:r>
        <w:rPr>
          <w:rFonts w:ascii="Times New Roman;serif" w:hAnsi="Times New Roman;serif"/>
          <w:b w:val="false"/>
          <w:color w:val="000000"/>
          <w:sz w:val="18"/>
        </w:rPr>
        <w:t xml:space="preserve">On February 8, 2024, we filed a lawsuit against the USVI for the refund of income taxes paid in prior years and for the USVI’s breach of the above-referenced agreement; the USVI is defending against such claims and contesting that such refunds are owed. On April 30, 2025, the USVI filed an additional lawsuit against us alleging that we did not meet the conditions for receiving benefits under our Economic Development Commission Certificate. We have filed a motion to dismiss, which remains pending. See Note 22 – Contingencies for additional information. </w:t>
      </w:r>
    </w:p>
    <w:tbl>
      <w:tblPr>
        <w:tblW w:w="8708" w:type="dxa"/>
        <w:jc w:val="left"/>
        <w:tblInd w:w="0" w:type="dxa"/>
        <w:tblLayout w:type="fixed"/>
        <w:tblCellMar>
          <w:top w:w="28" w:type="dxa"/>
          <w:left w:w="28" w:type="dxa"/>
          <w:bottom w:w="28" w:type="dxa"/>
          <w:right w:w="28" w:type="dxa"/>
        </w:tblCellMar>
      </w:tblPr>
      <w:tblGrid>
        <w:gridCol w:w="804"/>
        <w:gridCol w:w="707"/>
        <w:gridCol w:w="709"/>
        <w:gridCol w:w="331"/>
        <w:gridCol w:w="801"/>
        <w:gridCol w:w="171"/>
        <w:gridCol w:w="171"/>
        <w:gridCol w:w="171"/>
        <w:gridCol w:w="171"/>
        <w:gridCol w:w="331"/>
        <w:gridCol w:w="801"/>
        <w:gridCol w:w="171"/>
        <w:gridCol w:w="109"/>
        <w:gridCol w:w="109"/>
        <w:gridCol w:w="109"/>
        <w:gridCol w:w="315"/>
        <w:gridCol w:w="765"/>
        <w:gridCol w:w="163"/>
        <w:gridCol w:w="163"/>
        <w:gridCol w:w="163"/>
        <w:gridCol w:w="163"/>
        <w:gridCol w:w="315"/>
        <w:gridCol w:w="765"/>
        <w:gridCol w:w="230"/>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Allowance for Losses </w:t>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220"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Beginning balance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other, net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the allowance for losses related to FHA-, VA- or USDA insured loans repurchased from Ginnie Mae guaranteed securitizations (government-insured claims) was $9.9 million and $17.2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2055" w:type="dxa"/>
        <w:jc w:val="center"/>
        <w:tblInd w:w="0" w:type="dxa"/>
        <w:tblLayout w:type="fixed"/>
        <w:tblCellMar>
          <w:top w:w="28" w:type="dxa"/>
          <w:left w:w="28" w:type="dxa"/>
          <w:bottom w:w="28" w:type="dxa"/>
          <w:right w:w="28" w:type="dxa"/>
        </w:tblCellMar>
      </w:tblPr>
      <w:tblGrid>
        <w:gridCol w:w="658"/>
        <w:gridCol w:w="579"/>
        <w:gridCol w:w="818"/>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11 – Other Assets</w:t>
            </w:r>
          </w:p>
        </w:tc>
      </w:tr>
    </w:tbl>
    <w:tbl>
      <w:tblPr>
        <w:tblW w:w="10205" w:type="dxa"/>
        <w:jc w:val="left"/>
        <w:tblInd w:w="0" w:type="dxa"/>
        <w:tblLayout w:type="fixed"/>
        <w:tblCellMar>
          <w:top w:w="28" w:type="dxa"/>
          <w:left w:w="28" w:type="dxa"/>
          <w:bottom w:w="28" w:type="dxa"/>
          <w:right w:w="28" w:type="dxa"/>
        </w:tblCellMar>
      </w:tblPr>
      <w:tblGrid>
        <w:gridCol w:w="2452"/>
        <w:gridCol w:w="2052"/>
        <w:gridCol w:w="2062"/>
        <w:gridCol w:w="371"/>
        <w:gridCol w:w="1089"/>
        <w:gridCol w:w="193"/>
        <w:gridCol w:w="109"/>
        <w:gridCol w:w="109"/>
        <w:gridCol w:w="109"/>
        <w:gridCol w:w="355"/>
        <w:gridCol w:w="1038"/>
        <w:gridCol w:w="266"/>
      </w:tblGrid>
      <w:tr>
        <w:trPr/>
        <w:tc>
          <w:tcPr>
            <w:tcW w:w="245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REO ($58.3 and $39.4 related to VIEs)</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(including prepaid lender fees)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at fair value - See Note 15</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 (net of accumulated amortization of $13.7 million and $13.1 million)</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margin deposit</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representation, warranty and indemnification claims - Agency MSR sale</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10" w:type="dxa"/>
        <w:jc w:val="center"/>
        <w:tblInd w:w="0" w:type="dxa"/>
        <w:tblLayout w:type="fixed"/>
        <w:tblCellMar>
          <w:top w:w="28" w:type="dxa"/>
          <w:left w:w="28" w:type="dxa"/>
          <w:bottom w:w="28" w:type="dxa"/>
          <w:right w:w="28" w:type="dxa"/>
        </w:tblCellMar>
      </w:tblPr>
      <w:tblGrid>
        <w:gridCol w:w="644"/>
        <w:gridCol w:w="566"/>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12 – Borrowings</w:t>
            </w:r>
          </w:p>
        </w:tc>
      </w:tr>
    </w:tbl>
    <w:tbl>
      <w:tblPr>
        <w:tblW w:w="10205" w:type="dxa"/>
        <w:jc w:val="center"/>
        <w:tblInd w:w="0" w:type="dxa"/>
        <w:tblLayout w:type="fixed"/>
        <w:tblCellMar>
          <w:top w:w="28" w:type="dxa"/>
          <w:left w:w="28" w:type="dxa"/>
          <w:bottom w:w="28" w:type="dxa"/>
          <w:right w:w="28" w:type="dxa"/>
        </w:tblCellMar>
      </w:tblPr>
      <w:tblGrid>
        <w:gridCol w:w="921"/>
        <w:gridCol w:w="763"/>
        <w:gridCol w:w="767"/>
        <w:gridCol w:w="109"/>
        <w:gridCol w:w="109"/>
        <w:gridCol w:w="109"/>
        <w:gridCol w:w="109"/>
        <w:gridCol w:w="109"/>
        <w:gridCol w:w="427"/>
        <w:gridCol w:w="427"/>
        <w:gridCol w:w="428"/>
        <w:gridCol w:w="109"/>
        <w:gridCol w:w="109"/>
        <w:gridCol w:w="109"/>
        <w:gridCol w:w="264"/>
        <w:gridCol w:w="641"/>
        <w:gridCol w:w="341"/>
        <w:gridCol w:w="111"/>
        <w:gridCol w:w="111"/>
        <w:gridCol w:w="111"/>
        <w:gridCol w:w="216"/>
        <w:gridCol w:w="631"/>
        <w:gridCol w:w="277"/>
        <w:gridCol w:w="109"/>
        <w:gridCol w:w="109"/>
        <w:gridCol w:w="109"/>
        <w:gridCol w:w="251"/>
        <w:gridCol w:w="736"/>
        <w:gridCol w:w="131"/>
        <w:gridCol w:w="109"/>
        <w:gridCol w:w="109"/>
        <w:gridCol w:w="109"/>
        <w:gridCol w:w="240"/>
        <w:gridCol w:w="701"/>
        <w:gridCol w:w="184"/>
      </w:tblGrid>
      <w:tr>
        <w:trPr/>
        <w:tc>
          <w:tcPr>
            <w:tcW w:w="92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Advance Match Funded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Balance</w:t>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Expected Repayment Date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Uncommitted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$350 million</w:t>
            </w:r>
            <w:r>
              <w:rPr>
                <w:color w:val="000000"/>
              </w:rPr>
              <w:t xml:space="preserve"> </w:t>
            </w:r>
            <w:r>
              <w:rPr>
                <w:rFonts w:ascii="Times New Roman;serif" w:hAnsi="Times New Roman;serif"/>
                <w:b w:val="false"/>
                <w:color w:val="000000"/>
                <w:sz w:val="20"/>
              </w:rPr>
              <w:t>Ocwen Master Advance Receivables Trust (OMART)</w:t>
            </w:r>
            <w:r>
              <w:rPr>
                <w:color w:val="000000"/>
              </w:rPr>
              <w:t xml:space="preserve"> </w:t>
            </w:r>
            <w:r>
              <w:rPr>
                <w:rFonts w:ascii="Times New Roman;serif" w:hAnsi="Times New Roman;serif"/>
                <w:b w:val="false"/>
                <w:color w:val="000000"/>
                <w:sz w:val="20"/>
              </w:rPr>
              <w:t xml:space="preserve">- Advance Receivables Backed Notes - Series 2025-VF1 </w:t>
            </w:r>
            <w:r>
              <w:rPr>
                <w:rFonts w:ascii="Times New Roman;serif" w:hAnsi="Times New Roman;serif"/>
                <w:b w:val="false"/>
                <w:color w:val="000000"/>
                <w:sz w:val="13"/>
              </w:rPr>
              <w:t>(2)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20"/>
              </w:rPr>
              <w:t>$100 million Ocwen GSE Advance Funding (OGAF) - Advance Receivables Backed Notes, Series 2015-VF1</w:t>
            </w:r>
            <w:r>
              <w:rPr>
                <w:color w:val="000000"/>
              </w:rPr>
              <w:t xml:space="preserve"> </w:t>
            </w:r>
            <w:r>
              <w:rPr>
                <w:rFonts w:ascii="Times New Roman;serif" w:hAnsi="Times New Roman;serif"/>
                <w:b w:val="false"/>
                <w:color w:val="000000"/>
                <w:sz w:val="13"/>
              </w:rPr>
              <w:t>(2)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20"/>
              </w:rPr>
              <w:t xml:space="preserve">$350 million PGAF Issuer LLC - Advance Receivables Backed Notes, Series 2025-VF1 </w:t>
            </w:r>
            <w:r>
              <w:rPr>
                <w:rFonts w:ascii="Times New Roman;serif" w:hAnsi="Times New Roman;serif"/>
                <w:b w:val="false"/>
                <w:color w:val="000000"/>
                <w:sz w:val="13"/>
              </w:rPr>
              <w:t>(2)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$14.4 million EBO Advance facility</w:t>
            </w:r>
            <w:r>
              <w:rPr>
                <w:color w:val="000000"/>
              </w:rPr>
              <w:t xml:space="preserve"> </w:t>
            </w:r>
            <w:r>
              <w:rPr>
                <w:rFonts w:ascii="Times New Roman;serif" w:hAnsi="Times New Roman;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Advance match funded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interest rate </w:t>
            </w:r>
            <w:r>
              <w:rPr>
                <w:rFonts w:ascii="Times New Roman;serif" w:hAnsi="Times New Roman;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97"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(1)The Expected Repayment Date of our facilities, as defined, is the date on which the revolving period ends under each advance facility note and repayment of the outstanding balance is required if the note is not renewed or extended. In certain of our advance facilities, there are multiple notes outstanding. </w:t>
      </w:r>
    </w:p>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(2)The committed borrowing capacity under the OMART, OGAF and PGAF facilities is available to us provided that we have sufficient eligible collateral to pledge. At September 30, 2025, none of the remaining borrowing capacity of these advance financing notes could be used based on the amount of eligible collateral.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(3)In May 2025, the borrowing capacity was reduced from $500.0 million to $350.0 million, of which uncommitted borrowing capacity was reduced from $50.0 million to zero. In September 2025, we issued variable-rate notes (Series 2025-VF1) with a maximum borrowing capacity of $350.0 million and an Expected Repayment Date of September 2027. These notes replaced the Series 2015-VF5 notes with the same borrowing capacity and an Expected Repayment Date of September 2025.</w:t>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(4)In May 2025, the Expected Repayment Date was extended to May 2027 and the borrowing capacity was reduced from $200.0 million to $100.0 million to continue financing certain GSE servicing advances at PHH.</w:t>
      </w:r>
    </w:p>
    <w:p>
      <w:pPr>
        <w:pStyle w:val="TextBody"/>
        <w:bidi w:val="0"/>
        <w:spacing w:lineRule="auto" w:line="268" w:before="0" w:after="0"/>
        <w:ind w:left="0" w:right="0" w:hanging="360"/>
        <w:jc w:val="left"/>
        <w:rPr/>
      </w:pPr>
      <w:r>
        <w:rPr>
          <w:rFonts w:ascii="Times New Roman;serif" w:hAnsi="Times New Roman;serif"/>
          <w:b w:val="false"/>
          <w:color w:val="000000"/>
          <w:sz w:val="18"/>
        </w:rPr>
        <w:t>(5)In May 2025, we issued variable-rate notes (Series 2025-VF1) with a maximum borrowing capacity of $350.0 million and an Expected Repayment Date of May 2027 to finance certain GSE servicing advances at PHH Asset Services L</w:t>
      </w:r>
      <w:r>
        <w:rPr>
          <w:rFonts w:ascii="Times New Roman;serif" w:hAnsi="Times New Roman;serif"/>
          <w:b w:val="false"/>
          <w:color w:val="000000"/>
          <w:sz w:val="20"/>
        </w:rPr>
        <w:t>LC (</w:t>
      </w:r>
      <w:r>
        <w:rPr>
          <w:rFonts w:ascii="Times New Roman;serif" w:hAnsi="Times New Roman;serif"/>
          <w:b w:val="false"/>
          <w:color w:val="000000"/>
          <w:sz w:val="18"/>
        </w:rPr>
        <w:t>PAS).</w:t>
      </w:r>
    </w:p>
    <w:p>
      <w:pPr>
        <w:pStyle w:val="TextBody"/>
        <w:bidi w:val="0"/>
        <w:spacing w:lineRule="auto" w:line="288" w:before="20" w:after="20"/>
        <w:ind w:left="0" w:right="0" w:hanging="360"/>
        <w:jc w:val="left"/>
        <w:rPr/>
      </w:pPr>
      <w:r>
        <w:rPr>
          <w:rFonts w:ascii="Times New Roman;serif" w:hAnsi="Times New Roman;serif"/>
          <w:b w:val="false"/>
          <w:color w:val="000000"/>
          <w:sz w:val="18"/>
          <w:shd w:fill="FFFFFF" w:val="clear"/>
        </w:rPr>
        <w:t>(6)</w:t>
      </w:r>
      <w:r>
        <w:rPr>
          <w:rFonts w:ascii="Times New Roman;serif" w:hAnsi="Times New Roman;serif"/>
          <w:b w:val="false"/>
          <w:color w:val="000000"/>
          <w:sz w:val="18"/>
        </w:rPr>
        <w:t>At September 30, 2025, none of the remaining borrowing capacity of the facility could be used based on the amount of eligible collateral.</w:t>
      </w:r>
    </w:p>
    <w:p>
      <w:pPr>
        <w:pStyle w:val="TextBody"/>
        <w:bidi w:val="0"/>
        <w:spacing w:lineRule="auto" w:line="288" w:before="20" w:after="120"/>
        <w:ind w:left="0" w:right="0" w:hanging="360"/>
        <w:jc w:val="left"/>
        <w:rPr/>
      </w:pPr>
      <w:r>
        <w:rPr>
          <w:rFonts w:ascii="Times New Roman;serif" w:hAnsi="Times New Roman;serif"/>
          <w:b w:val="false"/>
          <w:color w:val="000000"/>
          <w:sz w:val="18"/>
          <w:shd w:fill="FFFFFF" w:val="clear"/>
        </w:rPr>
        <w:t>(7)</w:t>
      </w:r>
      <w:r>
        <w:rPr>
          <w:rFonts w:ascii="Times New Roman;serif" w:hAnsi="Times New Roman;serif"/>
          <w:b w:val="false"/>
          <w:color w:val="000000"/>
          <w:sz w:val="18"/>
        </w:rPr>
        <w:t xml:space="preserve">The weighted average interest rate excludes the effect of the amortization of prepaid lender fees. At September 30, 2025 and December 31, 2024, the balance of unamortized prepaid lender fees was $2.1 million and $2.1 million, respectively, and are included in Other assets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2745" w:type="dxa"/>
        <w:jc w:val="left"/>
        <w:tblInd w:w="0" w:type="dxa"/>
        <w:tblLayout w:type="fixed"/>
        <w:tblCellMar>
          <w:top w:w="28" w:type="dxa"/>
          <w:left w:w="28" w:type="dxa"/>
          <w:bottom w:w="28" w:type="dxa"/>
          <w:right w:w="28" w:type="dxa"/>
        </w:tblCellMar>
      </w:tblPr>
      <w:tblGrid>
        <w:gridCol w:w="505"/>
        <w:gridCol w:w="410"/>
        <w:gridCol w:w="136"/>
        <w:gridCol w:w="136"/>
        <w:gridCol w:w="533"/>
        <w:gridCol w:w="422"/>
        <w:gridCol w:w="141"/>
        <w:gridCol w:w="109"/>
        <w:gridCol w:w="109"/>
        <w:gridCol w:w="109"/>
        <w:gridCol w:w="314"/>
        <w:gridCol w:w="314"/>
        <w:gridCol w:w="318"/>
        <w:gridCol w:w="109"/>
        <w:gridCol w:w="109"/>
        <w:gridCol w:w="211"/>
        <w:gridCol w:w="766"/>
        <w:gridCol w:w="109"/>
        <w:gridCol w:w="242"/>
        <w:gridCol w:w="878"/>
        <w:gridCol w:w="126"/>
        <w:gridCol w:w="211"/>
        <w:gridCol w:w="766"/>
        <w:gridCol w:w="271"/>
        <w:gridCol w:w="236"/>
        <w:gridCol w:w="691"/>
        <w:gridCol w:w="124"/>
        <w:gridCol w:w="211"/>
        <w:gridCol w:w="766"/>
        <w:gridCol w:w="271"/>
        <w:gridCol w:w="211"/>
        <w:gridCol w:w="766"/>
        <w:gridCol w:w="109"/>
        <w:gridCol w:w="383"/>
        <w:gridCol w:w="383"/>
        <w:gridCol w:w="109"/>
        <w:gridCol w:w="211"/>
        <w:gridCol w:w="76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3" w:type="dxa"/>
            <w:gridSpan w:val="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Mortgage Loan Financing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Remaining Borrowing Capacity </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Balance</w:t>
            </w:r>
          </w:p>
        </w:tc>
        <w:tc>
          <w:tcPr>
            <w:tcW w:w="1131" w:type="dxa"/>
            <w:gridSpan w:val="3"/>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 Type</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Uncommitted</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Committed </w:t>
            </w:r>
            <w:r>
              <w:rPr>
                <w:rFonts w:ascii="Times New Roman;serif" w:hAnsi="Times New Roman;serif"/>
                <w:b/>
                <w:color w:val="000000"/>
                <w:sz w:val="13"/>
              </w:rPr>
              <w:t>(1)</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10" w:type="dxa"/>
            <w:gridSpan w:val="10"/>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Financing Agreements</w:t>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i/>
                <w:color w:val="000000"/>
                <w:sz w:val="20"/>
              </w:rPr>
              <w:t xml:space="preserve">Total mortgage warehouse facilities </w:t>
            </w:r>
            <w:r>
              <w:rPr>
                <w:rFonts w:ascii="Times New Roman;serif" w:hAnsi="Times New Roman;serif"/>
                <w:b w:val="false"/>
                <w:i/>
                <w:color w:val="000000"/>
                <w:sz w:val="13"/>
              </w:rPr>
              <w:t>(2)</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Loans held for sale (LHFS), Loans Held for Investment (LHFI), Servicing Advances, Receivables and REO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2025-October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10"/>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Securitization Notes:</w:t>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OLIT Asset-Backed Notes, Series 2023-HB1 </w:t>
            </w:r>
            <w:r>
              <w:rPr>
                <w:rFonts w:ascii="Times New Roman;serif" w:hAnsi="Times New Roman;serif"/>
                <w:b w:val="false"/>
                <w:color w:val="000000"/>
                <w:sz w:val="13"/>
              </w:rPr>
              <w:t>(3)</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Reverse LHFS,</w:t>
              <w:br/>
              <w:t>Receivables and 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OLIT Asset-Backed Notes, Series 2024-HB1 </w:t>
            </w:r>
            <w:r>
              <w:rPr>
                <w:rFonts w:ascii="Times New Roman;serif" w:hAnsi="Times New Roman;serif"/>
                <w:b w:val="false"/>
                <w:color w:val="000000"/>
                <w:sz w:val="13"/>
              </w:rPr>
              <w:t>(3)</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Reverse LHFS,</w:t>
              <w:br/>
              <w:t>Receivables and 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OLIT Asset-Backed Notes, Series 2024-HB2 </w:t>
            </w:r>
            <w:r>
              <w:rPr>
                <w:rFonts w:ascii="Times New Roman;serif" w:hAnsi="Times New Roman;serif"/>
                <w:b w:val="false"/>
                <w:color w:val="000000"/>
                <w:sz w:val="13"/>
              </w:rPr>
              <w:t>(3)</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Reverse LHFS,</w:t>
              <w:br/>
              <w:t>Receivables and 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OLIT Asset-Backed Notes, Series 2025-HB1 </w:t>
            </w:r>
            <w:r>
              <w:rPr>
                <w:rFonts w:ascii="Times New Roman;serif" w:hAnsi="Times New Roman;serif"/>
                <w:b w:val="false"/>
                <w:color w:val="000000"/>
                <w:sz w:val="13"/>
              </w:rPr>
              <w:t>(3)</w:t>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Reverse LHFS,</w:t>
              <w:br/>
              <w:t>Receivables and 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2038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10"/>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reverse mortgage securitization notes</w:t>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Pr>
          <w:p>
            <w:pPr>
              <w:pStyle w:val="TableContents"/>
              <w:bidi w:val="0"/>
              <w:spacing w:before="0" w:after="283"/>
              <w:jc w:val="left"/>
              <w:rPr>
                <w:sz w:val="4"/>
                <w:szCs w:val="4"/>
              </w:rPr>
            </w:pPr>
            <w:r>
              <w:rPr>
                <w:sz w:val="4"/>
                <w:szCs w:val="4"/>
              </w:rPr>
            </w:r>
          </w:p>
        </w:tc>
      </w:tr>
      <w:tr>
        <w:trPr/>
        <w:tc>
          <w:tcPr>
            <w:tcW w:w="2610" w:type="dxa"/>
            <w:gridSpan w:val="1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Mortgage loan financing facilities</w:t>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Pr>
          <w:p>
            <w:pPr>
              <w:pStyle w:val="TableContents"/>
              <w:bidi w:val="0"/>
              <w:spacing w:before="0" w:after="283"/>
              <w:jc w:val="left"/>
              <w:rPr>
                <w:sz w:val="4"/>
                <w:szCs w:val="4"/>
              </w:rPr>
            </w:pPr>
            <w:r>
              <w:rPr>
                <w:sz w:val="4"/>
                <w:szCs w:val="4"/>
              </w:rPr>
            </w:r>
          </w:p>
        </w:tc>
      </w:tr>
      <w:tr>
        <w:trPr/>
        <w:tc>
          <w:tcPr>
            <w:tcW w:w="486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 - OLIT Notes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Pr>
          <w:p>
            <w:pPr>
              <w:pStyle w:val="TableContents"/>
              <w:bidi w:val="0"/>
              <w:spacing w:before="0" w:after="283"/>
              <w:jc w:val="left"/>
              <w:rPr>
                <w:sz w:val="4"/>
                <w:szCs w:val="4"/>
              </w:rPr>
            </w:pPr>
            <w:r>
              <w:rPr>
                <w:sz w:val="4"/>
                <w:szCs w:val="4"/>
              </w:rPr>
            </w:r>
          </w:p>
        </w:tc>
      </w:tr>
      <w:tr>
        <w:trPr/>
        <w:tc>
          <w:tcPr>
            <w:tcW w:w="486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Mortgage loan financing facilities, net</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interest rate </w:t>
            </w:r>
            <w:r>
              <w:rPr>
                <w:rFonts w:ascii="Times New Roman;serif" w:hAnsi="Times New Roman;serif"/>
                <w:b w:val="false"/>
                <w:color w:val="000000"/>
                <w:sz w:val="13"/>
              </w:rPr>
              <w:t>(4)</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092"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(1)Of the borrowing capacity on mortgage loan financing facilities extended on a committed basis, none of the remaining borrowing capacity could be used at September 30, 2025 based on the amount of eligible collateral that could be pledged on a committed basis.</w:t>
      </w:r>
    </w:p>
    <w:p>
      <w:pPr>
        <w:pStyle w:val="TextBody"/>
        <w:bidi w:val="0"/>
        <w:spacing w:lineRule="auto" w:line="256"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(2)We use mortgage loan repurchase agreements, participation agreements and other warehouse facilities with various financial institutions to fund newly-originated or purchased loans on a short-term basis until they are sold or securitized to secondary market investors, and to fund repurchases of certain Ginnie Mae forward loans, HECM loans and other types of loans or mortgage related assets. Our warehouse facilities generally have maximum terms of 364 days, and have typically been, and are expected to be renewed, replaced or extended annually.</w:t>
      </w:r>
    </w:p>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(3)In June 2023, February 2024, September 2024 and July 2025, OLIT issued different classes of Asset-Backed Notes with an initial principal amount of $264.9 million, $268.6 million, $330.6 million and $322.5 million at a discount and a mandatory 3-year call date of June 2026, February 2027, August 2027 and June 2028, respectively. We have the option to redeem the notes at any time prior to the mandatory call date, at a 1% premium for a specified period of time after issuance (generally one year) and at par value thereafter. The notes have a stated interest rate of 3.0%, 3.0%, 5.0% and 3.0%, respectively. Payments of interest and principal are made from available funds from a pool of reverse mortgage buyout loans and REOs in accordance with the indenture priority of payments. Also see Note 2 – Securitizations and Variable Interest Entities. </w:t>
      </w:r>
    </w:p>
    <w:p>
      <w:pPr>
        <w:pStyle w:val="TextBody"/>
        <w:bidi w:val="0"/>
        <w:spacing w:lineRule="auto" w:line="288" w:before="2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(4)The weighted average interest rate excludes the effect of the amortization of discount, debt issuance costs, and prepaid lender fees. At September 30, 2025 and December 31, 2024, unamortized prepaid lender fees were $1.1 million and $1.0 million, respectively, and are included in Other assets in our consolidated balance sheets. At September 30, 2025 and December 31, 2024, 1-Month (1M) Term Secured Overnight Financing Rate (SOFR) was 4.13% and 4.33%,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539" w:type="dxa"/>
        <w:jc w:val="left"/>
        <w:tblInd w:w="0" w:type="dxa"/>
        <w:tblLayout w:type="fixed"/>
        <w:tblCellMar>
          <w:top w:w="28" w:type="dxa"/>
          <w:left w:w="28" w:type="dxa"/>
          <w:bottom w:w="28" w:type="dxa"/>
          <w:right w:w="28" w:type="dxa"/>
        </w:tblCellMar>
      </w:tblPr>
      <w:tblGrid>
        <w:gridCol w:w="1331"/>
        <w:gridCol w:w="235"/>
        <w:gridCol w:w="235"/>
        <w:gridCol w:w="238"/>
        <w:gridCol w:w="325"/>
        <w:gridCol w:w="325"/>
        <w:gridCol w:w="326"/>
        <w:gridCol w:w="109"/>
        <w:gridCol w:w="109"/>
        <w:gridCol w:w="109"/>
        <w:gridCol w:w="109"/>
        <w:gridCol w:w="109"/>
        <w:gridCol w:w="211"/>
        <w:gridCol w:w="616"/>
        <w:gridCol w:w="109"/>
        <w:gridCol w:w="109"/>
        <w:gridCol w:w="109"/>
        <w:gridCol w:w="109"/>
        <w:gridCol w:w="374"/>
        <w:gridCol w:w="763"/>
        <w:gridCol w:w="109"/>
        <w:gridCol w:w="203"/>
        <w:gridCol w:w="203"/>
        <w:gridCol w:w="109"/>
        <w:gridCol w:w="211"/>
        <w:gridCol w:w="766"/>
        <w:gridCol w:w="109"/>
        <w:gridCol w:w="210"/>
        <w:gridCol w:w="211"/>
        <w:gridCol w:w="109"/>
        <w:gridCol w:w="248"/>
        <w:gridCol w:w="649"/>
        <w:gridCol w:w="109"/>
        <w:gridCol w:w="109"/>
        <w:gridCol w:w="109"/>
        <w:gridCol w:w="109"/>
        <w:gridCol w:w="216"/>
        <w:gridCol w:w="631"/>
        <w:gridCol w:w="159"/>
      </w:tblGrid>
      <w:tr>
        <w:trPr/>
        <w:tc>
          <w:tcPr>
            <w:tcW w:w="13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39" w:type="dxa"/>
            <w:gridSpan w:val="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MSR Financing Facilities</w:t>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Borrowing Capacity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Balance</w:t>
            </w:r>
          </w:p>
        </w:tc>
        <w:tc>
          <w:tcPr>
            <w:tcW w:w="1006"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 Type</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Uncommitted</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Committed </w:t>
            </w:r>
            <w:r>
              <w:rPr>
                <w:rFonts w:ascii="Times New Roman;serif" w:hAnsi="Times New Roman;serif"/>
                <w:b/>
                <w:color w:val="000000"/>
                <w:sz w:val="13"/>
              </w:rPr>
              <w:t>(1)</w:t>
            </w:r>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$750 million GSE MSR financing facility (2)</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$400 million Ginnie Mae MSR financing facility (3)</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 Advances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$70 million PLS MSR financing facility (4)</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$250 million GSE MSR financing facility (5)</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Secured Notes, Ocwen Asset Servicing Income Series Notes, Series 2014-1 </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Ocwen Excess Spread-Collateralized Notes, Series 2022-PLS1 (6)</w:t>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MSR financing facilities</w:t>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8"/>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 PLS facilities (7)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Pr>
          <w:p>
            <w:pPr>
              <w:pStyle w:val="TableContents"/>
              <w:bidi w:val="0"/>
              <w:spacing w:before="0" w:after="283"/>
              <w:jc w:val="left"/>
              <w:rPr>
                <w:sz w:val="4"/>
                <w:szCs w:val="4"/>
              </w:rPr>
            </w:pPr>
            <w:r>
              <w:rPr>
                <w:sz w:val="4"/>
                <w:szCs w:val="4"/>
              </w:rPr>
            </w:r>
          </w:p>
        </w:tc>
      </w:tr>
      <w:tr>
        <w:trPr/>
        <w:tc>
          <w:tcPr>
            <w:tcW w:w="2039"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MSR financing facilities, net</w:t>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interest rate (7) </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w:t>
            </w:r>
          </w:p>
        </w:tc>
        <w:tc>
          <w:tcPr>
            <w:tcW w:w="2339"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(1)Of the borrowing capacity on MSR financing facilities extended on a committed basis, $23.4 million of the remaining borrowing capacity could be used at September 30, 2025 based on the amount of eligible collateral that was pledged and could be financed on a committed basis.</w:t>
      </w:r>
    </w:p>
    <w:p>
      <w:pPr>
        <w:pStyle w:val="TextBody"/>
        <w:bidi w:val="0"/>
        <w:spacing w:lineRule="auto" w:line="288" w:before="0" w:after="0"/>
        <w:ind w:left="0" w:right="0" w:hanging="360"/>
        <w:jc w:val="left"/>
        <w:rPr/>
      </w:pPr>
      <w:r>
        <w:rPr>
          <w:rFonts w:ascii="Times New Roman;serif" w:hAnsi="Times New Roman;serif"/>
          <w:b w:val="false"/>
          <w:color w:val="000000"/>
          <w:sz w:val="18"/>
          <w:shd w:fill="FFFFFF" w:val="clear"/>
        </w:rPr>
        <w:t>(2)</w:t>
      </w:r>
      <w:r>
        <w:rPr>
          <w:rFonts w:ascii="Times New Roman;serif" w:hAnsi="Times New Roman;serif"/>
          <w:b w:val="false"/>
          <w:color w:val="000000"/>
          <w:sz w:val="18"/>
        </w:rPr>
        <w:t>Our obligations under this facility are secured by a lien on certain GSE MSRs. Onity guarantees the obligations under this facility. See Note 2 – Securitizations and Variable Interest Entities for additional information. We are subject to daily margining requirements under the terms of the facility. In May 2025, the facility was extended to PAS with similar terms to the existing facility with an aggregate borrowing capacity of $650.0 million, that was further increased to $750.0 million in June 2025. In August 2025, the maturity date was extended to January 2026.</w:t>
      </w:r>
    </w:p>
    <w:p>
      <w:pPr>
        <w:pStyle w:val="TextBody"/>
        <w:bidi w:val="0"/>
        <w:spacing w:lineRule="auto" w:line="288" w:before="20" w:after="20"/>
        <w:ind w:left="0" w:right="0" w:hanging="360"/>
        <w:jc w:val="left"/>
        <w:rPr/>
      </w:pPr>
      <w:r>
        <w:rPr>
          <w:rFonts w:ascii="Times New Roman;serif" w:hAnsi="Times New Roman;serif"/>
          <w:b w:val="false"/>
          <w:color w:val="000000"/>
          <w:sz w:val="18"/>
          <w:shd w:fill="FFFFFF" w:val="clear"/>
        </w:rPr>
        <w:t>(3)</w:t>
      </w:r>
      <w:r>
        <w:rPr>
          <w:rFonts w:ascii="Times New Roman;serif" w:hAnsi="Times New Roman;serif"/>
          <w:b w:val="false"/>
          <w:color w:val="000000"/>
          <w:sz w:val="18"/>
        </w:rPr>
        <w:t>Our obligations under this facility are secured by a lien on the related Ginnie Mae MSRs and servicing advances. Onity guarantees the obligations under the facility. We are subject to daily margining requirements under the terms of the facility. In February 2025, the maturity date was extended to February 2026. In June 2025, the borrowing capacity was increased to $400.0 million from $300.0 million</w:t>
      </w:r>
      <w:r>
        <w:rPr>
          <w:rFonts w:ascii="Times New Roman;serif" w:hAnsi="Times New Roman;serif"/>
          <w:b w:val="false"/>
          <w:color w:val="000000"/>
          <w:sz w:val="20"/>
        </w:rPr>
        <w:t>.</w:t>
      </w:r>
    </w:p>
    <w:p>
      <w:pPr>
        <w:pStyle w:val="TextBody"/>
        <w:bidi w:val="0"/>
        <w:spacing w:lineRule="auto" w:line="288" w:before="20" w:after="20"/>
        <w:ind w:left="0" w:right="0" w:hanging="360"/>
        <w:jc w:val="left"/>
        <w:rPr/>
      </w:pPr>
      <w:r>
        <w:rPr>
          <w:rFonts w:ascii="Times New Roman;serif" w:hAnsi="Times New Roman;serif"/>
          <w:b w:val="false"/>
          <w:color w:val="000000"/>
          <w:sz w:val="18"/>
          <w:shd w:fill="FFFFFF" w:val="clear"/>
        </w:rPr>
        <w:t>(4)</w:t>
      </w:r>
      <w:r>
        <w:rPr>
          <w:rFonts w:ascii="Times New Roman;serif" w:hAnsi="Times New Roman;serif"/>
          <w:b w:val="false"/>
          <w:color w:val="000000"/>
          <w:sz w:val="18"/>
        </w:rPr>
        <w:t>The final payment on the PLS Notes (see (6) below) was made from proceeds received on this new $70.0 million repurchase agreement entered into in February 2025 with a maturity date of February 2026, pursuant to which PHH sold the membership interest certificate representing 100% of the limited liability company interests in PLS Issuer and agreed to repurchase such membership interest certificate at a specified future date at the price set forth in the repurchase agreement. Onity guarantees the obligations of PHH under the facility subject to the terms and conditions set forth in the guaranty secured by a lien on the related PLS MSRs. See Note 2 – Securitizations and Variable Interest Entities</w:t>
      </w:r>
      <w:r>
        <w:rPr>
          <w:color w:val="000000"/>
        </w:rPr>
        <w:t xml:space="preserve"> </w:t>
      </w:r>
      <w:r>
        <w:rPr>
          <w:rFonts w:ascii="Times New Roman;serif" w:hAnsi="Times New Roman;serif"/>
          <w:b w:val="false"/>
          <w:color w:val="000000"/>
          <w:sz w:val="18"/>
        </w:rPr>
        <w:t xml:space="preserve">for additional information. </w:t>
      </w:r>
    </w:p>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(5)This facility is secured by a lien on certain of our GSE MSRs and is subject to daily margining requirements. In February 2025, the borrowing capacity was reduced to $250.0 million from $400.0 million and the maturity date was modified to June 30, 2025. In May 2025, we repaid the amount due under the existing PHH facility and PAS entered into a new facility with similar terms, including the same borrowing capacity and a new maturity date of May 2027. Onity guarantees the obligations under the facility.</w:t>
      </w:r>
    </w:p>
    <w:p>
      <w:pPr>
        <w:pStyle w:val="TextBody"/>
        <w:bidi w:val="0"/>
        <w:spacing w:lineRule="auto" w:line="288" w:before="20" w:after="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(6)The single class PLS Notes were an amortizing debt instrument with an original principal amount of $75.0 million and a fixed interest rate of 5.114%. The PLS Notes were issued by a trust (PLS Issuer) that is included in our consolidated financial statements, and PLS Issuer’s obligations under the facility were secured by a lien on the related PLS MSRs. Onity guaranteed the obligations of PLS Issuer under the facility. The final principal payment was made on the due date in February 2025. See Note 2 – Securitizations and Variable Interest Entities for additional information. </w:t>
      </w:r>
    </w:p>
    <w:p>
      <w:pPr>
        <w:pStyle w:val="TextBody"/>
        <w:bidi w:val="0"/>
        <w:spacing w:lineRule="auto" w:line="288" w:before="2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(7)Weighted average interest rate excludes the effect of the amortization of debt issuance costs and prepaid lender fees. At September 30, 2025 and December 31, 2024, unamortized prepaid lender fees related to revolving-type MSR financing facilities were $3.1 million and $2.1 million, respectively, and are included in Other assets in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205" w:type="dxa"/>
        <w:jc w:val="center"/>
        <w:tblInd w:w="0" w:type="dxa"/>
        <w:tblLayout w:type="fixed"/>
        <w:tblCellMar>
          <w:top w:w="28" w:type="dxa"/>
          <w:left w:w="28" w:type="dxa"/>
          <w:bottom w:w="28" w:type="dxa"/>
          <w:right w:w="28" w:type="dxa"/>
        </w:tblCellMar>
      </w:tblPr>
      <w:tblGrid>
        <w:gridCol w:w="1308"/>
        <w:gridCol w:w="1096"/>
        <w:gridCol w:w="1097"/>
        <w:gridCol w:w="453"/>
        <w:gridCol w:w="453"/>
        <w:gridCol w:w="455"/>
        <w:gridCol w:w="109"/>
        <w:gridCol w:w="109"/>
        <w:gridCol w:w="109"/>
        <w:gridCol w:w="447"/>
        <w:gridCol w:w="447"/>
        <w:gridCol w:w="453"/>
        <w:gridCol w:w="374"/>
        <w:gridCol w:w="1098"/>
        <w:gridCol w:w="195"/>
        <w:gridCol w:w="109"/>
        <w:gridCol w:w="109"/>
        <w:gridCol w:w="109"/>
        <w:gridCol w:w="358"/>
        <w:gridCol w:w="1047"/>
        <w:gridCol w:w="270"/>
      </w:tblGrid>
      <w:tr>
        <w:trPr/>
        <w:tc>
          <w:tcPr>
            <w:tcW w:w="130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5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Notes</w:t>
            </w:r>
          </w:p>
        </w:tc>
        <w:tc>
          <w:tcPr>
            <w:tcW w:w="13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Balance</w:t>
            </w:r>
          </w:p>
        </w:tc>
      </w:tr>
      <w:tr>
        <w:trPr/>
        <w:tc>
          <w:tcPr>
            <w:tcW w:w="3501" w:type="dxa"/>
            <w:gridSpan w:val="3"/>
            <w:vMerge w:val="continue"/>
            <w:tcBorders/>
            <w:tcMar>
              <w:top w:w="0" w:type="dxa"/>
              <w:left w:w="0" w:type="dxa"/>
              <w:bottom w:w="0" w:type="dxa"/>
              <w:right w:w="0" w:type="dxa"/>
            </w:tcMar>
            <w:vAlign w:val="center"/>
          </w:tcPr>
          <w:p>
            <w:pPr>
              <w:pStyle w:val="Normal"/>
              <w:bidi w:val="0"/>
              <w:jc w:val="left"/>
              <w:rPr/>
            </w:pPr>
            <w:r>
              <w:rPr/>
            </w:r>
          </w:p>
        </w:tc>
        <w:tc>
          <w:tcPr>
            <w:tcW w:w="13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Due 2029</w:t>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2029</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(1)Excludes the effect of the amortization of debt issuance costs and discount.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November 6, 2024, PHH Corporation issued $500.0 million aggregate principal amount of 9.875% Senior Notes due November 1, 2029 (Senior Notes Due 2029) at a price of 99.556% of the principal amount in a syndicated private placement. Interest on the Senior Notes is payable semi-annually in arrears on May 1 and November 1 of each year, beginning on May 1, 2025, and principal is due at maturity. The Senior Notes are guaranteed by Onity and certain wholly-owned subsidiaries including PMC and PAS) (collectively “restricted subsidiaries”). The Senior Notes are secured by the equity interests of the restricted subsidiaries and any Available Cash in excess of Agency Requirements, as defined.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or after November 1, 2026, PHH Corporation may redeem some or all of the Senior Notes at its option at the following redemption prices, plus accrued and unpaid interest:</w:t>
      </w:r>
    </w:p>
    <w:tbl>
      <w:tblPr>
        <w:tblW w:w="9923" w:type="dxa"/>
        <w:jc w:val="left"/>
        <w:tblInd w:w="0" w:type="dxa"/>
        <w:tblLayout w:type="fixed"/>
        <w:tblCellMar>
          <w:top w:w="28" w:type="dxa"/>
          <w:left w:w="28" w:type="dxa"/>
          <w:bottom w:w="28" w:type="dxa"/>
          <w:right w:w="28" w:type="dxa"/>
        </w:tblCellMar>
      </w:tblPr>
      <w:tblGrid>
        <w:gridCol w:w="2818"/>
        <w:gridCol w:w="2477"/>
        <w:gridCol w:w="2490"/>
        <w:gridCol w:w="109"/>
        <w:gridCol w:w="109"/>
        <w:gridCol w:w="109"/>
        <w:gridCol w:w="413"/>
        <w:gridCol w:w="413"/>
        <w:gridCol w:w="985"/>
      </w:tblGrid>
      <w:tr>
        <w:trPr/>
        <w:tc>
          <w:tcPr>
            <w:tcW w:w="2818"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Redemption Year</w:t>
            </w:r>
            <w:r>
              <w:rPr>
                <w:color w:val="000000"/>
              </w:rPr>
              <w:t xml:space="preserve"> </w:t>
            </w:r>
            <w:r>
              <w:rPr>
                <w:rFonts w:ascii="Times New Roman;serif" w:hAnsi="Times New Roman;serif"/>
                <w:b w:val="false"/>
                <w:color w:val="000000"/>
                <w:sz w:val="20"/>
              </w:rPr>
              <w:t>(12-month period beginning on November 1st of the years indicated below)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Redemption Price</w:t>
            </w:r>
          </w:p>
        </w:tc>
      </w:tr>
      <w:tr>
        <w:trPr/>
        <w:tc>
          <w:tcPr>
            <w:tcW w:w="7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104.938 </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102.469 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November 1, 2026, PHH Corporation may redeem some or all of the Senior Notes at its option at a redemption price equal to 100% of the principal amount of the Notes being redeemed with a “make-whole” premium, as defined, plus accrued and unpaid interest. In addition, prior to November 1, 2026, PHH Corporation may redeem up to 40% of the aggregate principal amount of the Notes with the net cash proceeds from certain equity offerings by Onity at the redemption price equal to 109.875% of the principal amount plus accrued and unpaid interest.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Indenture contains customary covenants for debt securities of this type that limit the ability of PHH Corporation, Onity and its restricted subsidiaries to, among other things, (i) incur or guarantee additional Indebtedness, as defined, (ii) incur liens, (iii) pay dividends on or make distributions or make other restricted payments, (iv) make investments, (v) consolidate, merge, sell or otherwise dispose of certain assets, and (vi) enter into transactions with certain affiliates.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Credit Ratings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 2025, Moody’s affirmed the Caa1 rating of the $500 million PHH Corporation Senior Notes due in 2029. Moody’s also affirmed the B3 corporate family rating of Onity. The entities’ outlooks are stable.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21, 2024, S&amp;P assigned a B- rating to the $500 million PHH Corporation Senior Notes due in 2029. S&amp;P also affirmed the B- rating of Onity with a Stable Outlook.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debt agreements in effect as of September 30, 2025, we are subject to various affirmative and negative covenants. Collectively, these covenants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Financial covenants, including, but not limited to, specified levels of net worth, liquidity and leverage;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Covenants to operate in material compliance with applicable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on our ability to engage in various activities, including but not limited to incurring or guarantying additional forms of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or of PHH Corporation, PHH or PAS and their respective subsidiaries, creating liens on assets to secure debt, and entering into transactions with affiliates;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Monitoring and reporting of various specified transactions or events, including specific reporting on defined events affecting collateral underlying certain debt agreements;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Requirements to provide audited financial statements within specified timeframes, including requirements that Onity’s financial statements and the related audit report be unqualified as to going concern.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most restrictive consolidated net worth requirement contained in our debt agreements with borrowings outstanding at September 30, 2025 is a minimum of $275.0 million and $125.0 million, tangible net worth for Onity and PHH, respectively. The most restrictive liquidity requirement under our debt agreements with borrowings outstanding at September 30, 2025 is for a minimum of $65.0 million and $20.0 million for Onity and PHH, respectively. None of our debt agreements have any tangible net worth or liquidity requirements at PAS due to the guarantee of Onity. See Note 20 – Regulatory Requirements for our regulatory capital and liquidity requirements.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we were in compliance with all of the covenants in our debt agreements as of the date of these unaudited consolidated financial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Collateral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assets pledged as collateral for secured borrowings are as follows at September 30, 2025. Assets may also be subject to other liens or restrictions under various agreements. </w:t>
      </w:r>
    </w:p>
    <w:tbl>
      <w:tblPr>
        <w:tblW w:w="10205" w:type="dxa"/>
        <w:jc w:val="center"/>
        <w:tblInd w:w="0" w:type="dxa"/>
        <w:tblLayout w:type="fixed"/>
        <w:tblCellMar>
          <w:top w:w="28" w:type="dxa"/>
          <w:left w:w="28" w:type="dxa"/>
          <w:bottom w:w="28" w:type="dxa"/>
          <w:right w:w="28" w:type="dxa"/>
        </w:tblCellMar>
      </w:tblPr>
      <w:tblGrid>
        <w:gridCol w:w="898"/>
        <w:gridCol w:w="567"/>
        <w:gridCol w:w="576"/>
        <w:gridCol w:w="211"/>
        <w:gridCol w:w="871"/>
        <w:gridCol w:w="109"/>
        <w:gridCol w:w="109"/>
        <w:gridCol w:w="109"/>
        <w:gridCol w:w="109"/>
        <w:gridCol w:w="211"/>
        <w:gridCol w:w="871"/>
        <w:gridCol w:w="109"/>
        <w:gridCol w:w="109"/>
        <w:gridCol w:w="109"/>
        <w:gridCol w:w="109"/>
        <w:gridCol w:w="305"/>
        <w:gridCol w:w="1261"/>
        <w:gridCol w:w="158"/>
        <w:gridCol w:w="109"/>
        <w:gridCol w:w="109"/>
        <w:gridCol w:w="109"/>
        <w:gridCol w:w="109"/>
        <w:gridCol w:w="109"/>
        <w:gridCol w:w="109"/>
        <w:gridCol w:w="109"/>
        <w:gridCol w:w="109"/>
        <w:gridCol w:w="109"/>
        <w:gridCol w:w="708"/>
        <w:gridCol w:w="708"/>
        <w:gridCol w:w="1007"/>
      </w:tblGrid>
      <w:tr>
        <w:trPr/>
        <w:tc>
          <w:tcPr>
            <w:tcW w:w="89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Pledged </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Collateralized Financings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Liability Categories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 (1)</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Multiple </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 MSRs, excluding ESS (3)(5)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MSR financing facilities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Transferred MSRs, including ESS (4)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liabilities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Advances, net (5)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match funded liabilities and MSR financing facilities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 - securitized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HMBS related borrowings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 unsecuritized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REO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(7)</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14,386.8 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(1)Includes $154.2 million Available Cash held by Regulated Subsidiary Guarantors, as defined, pursuant to the Senior Notes Due 2029.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(2)Pledged assets primarily include amounts specifically designated to repay debt and to provide over-collateralization for MSR financing facilities, mortgage loan financing facilities and match funded debt facilities (debt service accounts).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(3)Pledged assets exceed the MSR asset balance primarily due to the netting of certain PLS MSR portfolios with negative and positive fair values as eligible collateral.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(4)Includes MSRs transferred to MAV, Rithm and others, and ESS pledged MSRs that are accounted for as secured financings. </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(5)$30.5 million drawn under the $400.0 million Ginnie Mae MSR financing facility is used to finance Ginnie Mae related advances.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(6)Reverse mortgage loans and real estate owned are pledged as collateral to the HMBS beneficial interest holders and are not available to satisfy the claims of our creditors. Ginnie Mae, as guarantor of the HMBS, is obligated to the holders of the HMBS in an instance of PHH’s default on its servicing obligations, or if the proceeds realized on HECMs are insufficient to repay all outstanding HMBS related obligations. Ginnie Mae has recourse to PHH in connection with certain claims relating to the performance and obligations of PHH as both issuer of HMBS and servicer of HECMs underlying HMBS.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(7)The total of selected assets disclosed in the above table does not represent the total consolidated assets of Onity. For example, the total excludes contingent loan repurchase asset, premises and equipment and certain other assets. </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(8)Amounts represent UPB and fair value for borrowings accounted for at amortized cost and fair value,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2415" w:type="dxa"/>
        <w:jc w:val="center"/>
        <w:tblInd w:w="0" w:type="dxa"/>
        <w:tblLayout w:type="fixed"/>
        <w:tblCellMar>
          <w:top w:w="28" w:type="dxa"/>
          <w:left w:w="28" w:type="dxa"/>
          <w:bottom w:w="28" w:type="dxa"/>
          <w:right w:w="28" w:type="dxa"/>
        </w:tblCellMar>
      </w:tblPr>
      <w:tblGrid>
        <w:gridCol w:w="774"/>
        <w:gridCol w:w="680"/>
        <w:gridCol w:w="961"/>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13 – Other Liabilities</w:t>
            </w:r>
          </w:p>
        </w:tc>
      </w:tr>
    </w:tbl>
    <w:tbl>
      <w:tblPr>
        <w:tblW w:w="8905" w:type="dxa"/>
        <w:jc w:val="left"/>
        <w:tblInd w:w="0" w:type="dxa"/>
        <w:tblLayout w:type="fixed"/>
        <w:tblCellMar>
          <w:top w:w="28" w:type="dxa"/>
          <w:left w:w="28" w:type="dxa"/>
          <w:bottom w:w="28" w:type="dxa"/>
          <w:right w:w="28" w:type="dxa"/>
        </w:tblCellMar>
      </w:tblPr>
      <w:tblGrid>
        <w:gridCol w:w="1826"/>
        <w:gridCol w:w="1605"/>
        <w:gridCol w:w="1609"/>
        <w:gridCol w:w="397"/>
        <w:gridCol w:w="1165"/>
        <w:gridCol w:w="207"/>
        <w:gridCol w:w="109"/>
        <w:gridCol w:w="109"/>
        <w:gridCol w:w="109"/>
        <w:gridCol w:w="380"/>
        <w:gridCol w:w="1110"/>
        <w:gridCol w:w="279"/>
      </w:tblGrid>
      <w:tr>
        <w:trPr/>
        <w:tc>
          <w:tcPr>
            <w:tcW w:w="182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Servicing-related obligations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expenses </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Checks held for escheat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to Rithm - Advance collections and servicing fees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fees and settlements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indemnification obligations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at fair value - See Note 15</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related payables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for unfunded pension obligation and gratuity plans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insurance premium payable</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purchase price holdback</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servicing fee spread payable</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Liability for uncertain tax positions </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69" w:type="dxa"/>
        <w:jc w:val="left"/>
        <w:tblInd w:w="0" w:type="dxa"/>
        <w:tblLayout w:type="fixed"/>
        <w:tblCellMar>
          <w:top w:w="28" w:type="dxa"/>
          <w:left w:w="28" w:type="dxa"/>
          <w:bottom w:w="28" w:type="dxa"/>
          <w:right w:w="28" w:type="dxa"/>
        </w:tblCellMar>
      </w:tblPr>
      <w:tblGrid>
        <w:gridCol w:w="203"/>
        <w:gridCol w:w="178"/>
        <w:gridCol w:w="178"/>
        <w:gridCol w:w="178"/>
        <w:gridCol w:w="178"/>
        <w:gridCol w:w="178"/>
        <w:gridCol w:w="178"/>
        <w:gridCol w:w="178"/>
        <w:gridCol w:w="178"/>
        <w:gridCol w:w="178"/>
        <w:gridCol w:w="178"/>
        <w:gridCol w:w="178"/>
        <w:gridCol w:w="178"/>
        <w:gridCol w:w="178"/>
        <w:gridCol w:w="252"/>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69" w:type="dxa"/>
            <w:gridSpan w:val="15"/>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14 – Stockholders’ Equity</w:t>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55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2021, in connection with certain transactions with Oaktree Capital Management L.P. and certain affiliates, including managed investment funds and accounts (collectively Oaktree), we issued to Oaktree warrants to purchase 1,184,768 and 261,248 shares of our common stock at a price per share of $26.82 and $24.31, that may be exercised at any time through March 4, 2027 and May 3, 2025, respectively, in cash or pursuant to a cashless exercise, as defined. The warrants were reported within Stockholders’ Equity with an aggregated $20.8 million allocated fair value.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23, 2024, the warrants were amended to provide that upon their exercise Oaktree can elect the cash exercise option only with the consent of Onity and, without the consent of Onity, the exercise price can only be paid via the net share settlement option (cashless exercise). The amendment did not result in any change in the accounting or equity presentation of the warrants.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February 13, 2025, Oaktree exercised its right to purchase 261,248 shares of our common stock in a net share settlement, at the exercise price of $24.31 per share, entitling Oaktree to an estimated 92,788 shares of common stock based on the trailing average stock price, as defined. Pursuant to the warrant agreement, as amended, Onity elected to settle in cash the exercise of the warrants, resulting in a $3.5 million cash payment to Oaktree and an equal reduction of Stockholders’ Equity. The warrant exercise did not result in any change to the number of issued and outstanding shares of common stock.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remaining 1,184,768 warrants held by Oaktree had an intrinsic value of $15.6 million (equivalent to approximately 389,586 shares under a net share settlement option), that is the difference between the $39.96 stock price and $26.82 exercise price. If Oaktree elects a cashless exercise of the warrants, whether Onity elects to pay cash or issue shares (net share settlement option), any final settlement would be based on the trailing average stock price, as defined.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74" w:type="dxa"/>
        <w:jc w:val="left"/>
        <w:tblInd w:w="0" w:type="dxa"/>
        <w:tblLayout w:type="fixed"/>
        <w:tblCellMar>
          <w:top w:w="28" w:type="dxa"/>
          <w:left w:w="28" w:type="dxa"/>
          <w:bottom w:w="28" w:type="dxa"/>
          <w:right w:w="28" w:type="dxa"/>
        </w:tblCellMar>
      </w:tblPr>
      <w:tblGrid>
        <w:gridCol w:w="1850"/>
        <w:gridCol w:w="1626"/>
        <w:gridCol w:w="2298"/>
      </w:tblGrid>
      <w:tr>
        <w:trPr/>
        <w:tc>
          <w:tcPr>
            <w:tcW w:w="185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15 – Derivative Financial Instruments and Hedging Activities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fair value, notional and maturity of our derivative instruments. The notional amount of our contracts does not represent our exposure to credit loss. None of the derivatives were designated as a hedge for accounting purposes as of or during any of the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824"/>
        <w:gridCol w:w="723"/>
        <w:gridCol w:w="726"/>
        <w:gridCol w:w="109"/>
        <w:gridCol w:w="637"/>
        <w:gridCol w:w="622"/>
        <w:gridCol w:w="624"/>
        <w:gridCol w:w="211"/>
        <w:gridCol w:w="766"/>
        <w:gridCol w:w="109"/>
        <w:gridCol w:w="220"/>
        <w:gridCol w:w="585"/>
        <w:gridCol w:w="114"/>
        <w:gridCol w:w="109"/>
        <w:gridCol w:w="109"/>
        <w:gridCol w:w="109"/>
        <w:gridCol w:w="516"/>
        <w:gridCol w:w="516"/>
        <w:gridCol w:w="518"/>
        <w:gridCol w:w="211"/>
        <w:gridCol w:w="766"/>
        <w:gridCol w:w="109"/>
        <w:gridCol w:w="220"/>
        <w:gridCol w:w="584"/>
        <w:gridCol w:w="168"/>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Maturities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 (Other assets)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sales of Reverse loans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loans IRLCs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October 2025 - February 2026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loans IRLCs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2025 - January 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forward MBS trades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October 2025 - December 2025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 March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sales of Forward loans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futures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loans IRLCs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 May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sales of Reverse loans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forward MBS trades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October 2025 - December 2025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 February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futures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option contracts</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net gains and losses of our derivative instruments recognized in our unaudited consolidated statements of operations.</w:t>
      </w:r>
    </w:p>
    <w:tbl>
      <w:tblPr>
        <w:tblW w:w="10205" w:type="dxa"/>
        <w:jc w:val="left"/>
        <w:tblInd w:w="0" w:type="dxa"/>
        <w:tblLayout w:type="fixed"/>
        <w:tblCellMar>
          <w:top w:w="28" w:type="dxa"/>
          <w:left w:w="28" w:type="dxa"/>
          <w:bottom w:w="28" w:type="dxa"/>
          <w:right w:w="28" w:type="dxa"/>
        </w:tblCellMar>
      </w:tblPr>
      <w:tblGrid>
        <w:gridCol w:w="1004"/>
        <w:gridCol w:w="765"/>
        <w:gridCol w:w="778"/>
        <w:gridCol w:w="236"/>
        <w:gridCol w:w="609"/>
        <w:gridCol w:w="121"/>
        <w:gridCol w:w="121"/>
        <w:gridCol w:w="121"/>
        <w:gridCol w:w="121"/>
        <w:gridCol w:w="236"/>
        <w:gridCol w:w="571"/>
        <w:gridCol w:w="121"/>
        <w:gridCol w:w="109"/>
        <w:gridCol w:w="109"/>
        <w:gridCol w:w="109"/>
        <w:gridCol w:w="230"/>
        <w:gridCol w:w="594"/>
        <w:gridCol w:w="118"/>
        <w:gridCol w:w="118"/>
        <w:gridCol w:w="118"/>
        <w:gridCol w:w="118"/>
        <w:gridCol w:w="230"/>
        <w:gridCol w:w="594"/>
        <w:gridCol w:w="118"/>
        <w:gridCol w:w="109"/>
        <w:gridCol w:w="109"/>
        <w:gridCol w:w="109"/>
        <w:gridCol w:w="908"/>
        <w:gridCol w:w="655"/>
        <w:gridCol w:w="946"/>
      </w:tblGrid>
      <w:tr>
        <w:trPr/>
        <w:tc>
          <w:tcPr>
            <w:tcW w:w="100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 Statement Line</w:t>
            </w:r>
          </w:p>
        </w:tc>
      </w:tr>
      <w:tr>
        <w:trPr/>
        <w:tc>
          <w:tcPr>
            <w:tcW w:w="25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Gain (Loss)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loans IRLCs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w:t>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loans IRLCs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trades (economically hedging forward pipeline trades and EBO pipeline)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 (Economic hedge)</w:t>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trades (economically hedging forward pipeline trades and EBO pipeline)</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 (Economic hedge)</w:t>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futures, TBA trades and interest rate option contracts </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valuation adjustments, net</w:t>
            </w:r>
          </w:p>
        </w:tc>
      </w:tr>
      <w:tr>
        <w:trPr/>
        <w:tc>
          <w:tcPr>
            <w:tcW w:w="2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sales of Reverse loans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r>
        <w:trPr/>
        <w:tc>
          <w:tcPr>
            <w:tcW w:w="2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MSR Hedging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MSRs are carried at fair value with changes in fair value being recorded in earnings in the period in which the changes occur. The fair value of MSRs is subject to changes in market interest rates among other inputs and assumptions.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Agency MSR portfolio,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expected Agency MSR bulk transactions subject to letters of intent (LOI),</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less the Agency MSRs subject to our sale agreements with MAV and others, also referred to as Pledged MSR liabilities (See Note 8 — Other Financing Liabilities, at Fair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less the asset value for securitized HECM loans, net of the corresponding HMBS-related borrowings,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other interest-rate sensitive exposures, including our ESS financing liabilities and reverse mortgage buyouts, as deemed appropriate by the Market Risk Committee.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hedge coverage ratio, defined as the ratio of hedge and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improve hedge effectiveness and/or optimize asset returns.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Effective December 2023, we established a targeted hedge coverage ratio range between 95% and 105%. In April 2024, we changed the risk measure to a dollar DV01 that resulted in an equivalent range of approximately 90% to 110%. In May 2025, we established a new targeted hedge coverage ratio of 85% with a range between 80% and 100%.</w:t>
      </w:r>
    </w:p>
    <w:p>
      <w:pPr>
        <w:pStyle w:val="TextBody"/>
        <w:bidi w:val="0"/>
        <w:spacing w:lineRule="auto" w:line="288" w:before="120" w:after="120"/>
        <w:jc w:val="left"/>
        <w:rPr/>
      </w:pPr>
      <w:r>
        <w:rPr>
          <w:rFonts w:ascii="Times New Roman;serif" w:hAnsi="Times New Roman;serif"/>
          <w:b w:val="false"/>
          <w:color w:val="000000"/>
          <w:sz w:val="20"/>
        </w:rPr>
        <w:t>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We continuously evaluate the use of hedging instruments with the objective of enhancing the effectiveness of our interest rate hedging strategy.</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derivative instruments include forward trades of MBS or Agency TBAs with different banking counterparties, exchange-traded interest rate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Pipeline Hedging - Interest Rate Lock Commitments and Loans Held for Sale, at Fair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our Originations business, we are exposed to interest rate risk and related price risk during the period from the date of the interest rate lock commitment through (i) 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to preserve the initial gain on sale margin at lock date. Actual fair value changes of derivatives may not fully offset fair value changes of the IRLCs and loans due to many factors including basis risk or market volatility, We report changes in fair value of these derivative instruments as gain or loss on economic hedge instruments within either Gain on loans held for sale, net or Gain on reverse loans held for investment and HMBS-related borrowings, net in our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2400" w:type="dxa"/>
        <w:jc w:val="left"/>
        <w:tblInd w:w="0" w:type="dxa"/>
        <w:tblLayout w:type="fixed"/>
        <w:tblCellMar>
          <w:top w:w="28" w:type="dxa"/>
          <w:left w:w="28" w:type="dxa"/>
          <w:bottom w:w="28" w:type="dxa"/>
          <w:right w:w="28" w:type="dxa"/>
        </w:tblCellMar>
      </w:tblPr>
      <w:tblGrid>
        <w:gridCol w:w="769"/>
        <w:gridCol w:w="676"/>
        <w:gridCol w:w="955"/>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180" w:after="60"/>
              <w:ind w:left="0" w:right="0" w:hanging="1440"/>
              <w:jc w:val="left"/>
              <w:rPr>
                <w:rFonts w:ascii="Times New Roman;serif" w:hAnsi="Times New Roman;serif"/>
                <w:b/>
                <w:color w:val="000000"/>
                <w:sz w:val="20"/>
              </w:rPr>
            </w:pPr>
            <w:r>
              <w:rPr>
                <w:rFonts w:ascii="Times New Roman;serif" w:hAnsi="Times New Roman;serif"/>
                <w:b/>
                <w:color w:val="000000"/>
                <w:sz w:val="20"/>
              </w:rPr>
              <w:t>Note 16 – Interest Expense</w:t>
            </w:r>
          </w:p>
        </w:tc>
      </w:tr>
    </w:tbl>
    <w:tbl>
      <w:tblPr>
        <w:tblW w:w="9382" w:type="dxa"/>
        <w:jc w:val="left"/>
        <w:tblInd w:w="0" w:type="dxa"/>
        <w:tblLayout w:type="fixed"/>
        <w:tblCellMar>
          <w:top w:w="28" w:type="dxa"/>
          <w:left w:w="28" w:type="dxa"/>
          <w:bottom w:w="28" w:type="dxa"/>
          <w:right w:w="28" w:type="dxa"/>
        </w:tblCellMar>
      </w:tblPr>
      <w:tblGrid>
        <w:gridCol w:w="1049"/>
        <w:gridCol w:w="920"/>
        <w:gridCol w:w="926"/>
        <w:gridCol w:w="331"/>
        <w:gridCol w:w="801"/>
        <w:gridCol w:w="171"/>
        <w:gridCol w:w="171"/>
        <w:gridCol w:w="171"/>
        <w:gridCol w:w="171"/>
        <w:gridCol w:w="331"/>
        <w:gridCol w:w="801"/>
        <w:gridCol w:w="171"/>
        <w:gridCol w:w="109"/>
        <w:gridCol w:w="109"/>
        <w:gridCol w:w="109"/>
        <w:gridCol w:w="286"/>
        <w:gridCol w:w="836"/>
        <w:gridCol w:w="147"/>
        <w:gridCol w:w="147"/>
        <w:gridCol w:w="147"/>
        <w:gridCol w:w="147"/>
        <w:gridCol w:w="286"/>
        <w:gridCol w:w="836"/>
        <w:gridCol w:w="209"/>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9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895"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 Due 2029</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match funded liabilities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Onity Senior Secured Notes </w:t>
            </w:r>
            <w:r>
              <w:rPr>
                <w:rFonts w:ascii="Times New Roman;serif" w:hAnsi="Times New Roman;serif"/>
                <w:b w:val="false"/>
                <w:color w:val="000000"/>
                <w:sz w:val="13"/>
              </w:rPr>
              <w:t>(1)</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PMC Senior Secured Notes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Escrow</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(1)Notes issued to Oaktree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44" w:type="dxa"/>
        <w:jc w:val="left"/>
        <w:tblInd w:w="0" w:type="dxa"/>
        <w:tblLayout w:type="fixed"/>
        <w:tblCellMar>
          <w:top w:w="28" w:type="dxa"/>
          <w:left w:w="28" w:type="dxa"/>
          <w:bottom w:w="28" w:type="dxa"/>
          <w:right w:w="28" w:type="dxa"/>
        </w:tblCellMar>
      </w:tblPr>
      <w:tblGrid>
        <w:gridCol w:w="156"/>
        <w:gridCol w:w="138"/>
        <w:gridCol w:w="138"/>
        <w:gridCol w:w="138"/>
        <w:gridCol w:w="138"/>
        <w:gridCol w:w="138"/>
        <w:gridCol w:w="138"/>
        <w:gridCol w:w="138"/>
        <w:gridCol w:w="138"/>
        <w:gridCol w:w="138"/>
        <w:gridCol w:w="138"/>
        <w:gridCol w:w="138"/>
        <w:gridCol w:w="138"/>
        <w:gridCol w:w="138"/>
        <w:gridCol w:w="194"/>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44"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Note 17 - Income Taxes</w:t>
            </w:r>
          </w:p>
        </w:tc>
      </w:tr>
    </w:tbl>
    <w:p>
      <w:pPr>
        <w:pStyle w:val="TextBody"/>
        <w:bidi w:val="0"/>
        <w:spacing w:before="0" w:after="0"/>
        <w:jc w:val="left"/>
        <w:rPr/>
      </w:pPr>
      <w:r>
        <w:rPr/>
      </w:r>
    </w:p>
    <w:tbl>
      <w:tblPr>
        <w:tblW w:w="8945" w:type="dxa"/>
        <w:jc w:val="left"/>
        <w:tblInd w:w="0" w:type="dxa"/>
        <w:tblLayout w:type="fixed"/>
        <w:tblCellMar>
          <w:top w:w="28" w:type="dxa"/>
          <w:left w:w="28" w:type="dxa"/>
          <w:bottom w:w="28" w:type="dxa"/>
          <w:right w:w="28" w:type="dxa"/>
        </w:tblCellMar>
      </w:tblPr>
      <w:tblGrid>
        <w:gridCol w:w="891"/>
        <w:gridCol w:w="781"/>
        <w:gridCol w:w="787"/>
        <w:gridCol w:w="284"/>
        <w:gridCol w:w="689"/>
        <w:gridCol w:w="365"/>
        <w:gridCol w:w="147"/>
        <w:gridCol w:w="147"/>
        <w:gridCol w:w="147"/>
        <w:gridCol w:w="284"/>
        <w:gridCol w:w="689"/>
        <w:gridCol w:w="365"/>
        <w:gridCol w:w="109"/>
        <w:gridCol w:w="109"/>
        <w:gridCol w:w="109"/>
        <w:gridCol w:w="272"/>
        <w:gridCol w:w="660"/>
        <w:gridCol w:w="350"/>
        <w:gridCol w:w="140"/>
        <w:gridCol w:w="140"/>
        <w:gridCol w:w="140"/>
        <w:gridCol w:w="272"/>
        <w:gridCol w:w="660"/>
        <w:gridCol w:w="408"/>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$7.3 million income tax benefit for the nine months ended September 30, 2025 includes the recognition of a $13.3 million benefit due to the favorable resolution of a prior-year uncertain tax position during the first quarter of 2025, partially offset by a $4.2 million Federal return-to-provision adjustment recorded during the third quarter of 2025 driven by certain tax planning strategies pursued by Onity at the time of filing the 2024 tax return.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annual effective tax rate is generally lower than the 21% federal statutory income tax rate primarily due to the full valuation allowance recorded on our net U.S. federal and state deferred tax assets ($179.8 million as of December 31, 2024). The realization of deferred tax assets is dependent on our ability to generate sufficient future taxable income. 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Other factors considered in these evaluations are future reversals of temporary differences, tax character and the impact of tax planning strategies that may be implemented, if warranted. We determined that a full valuation allowance at September 30, 2025 remained appropriate.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it is reasonably possible that by December 31, 2025, we could release some of our valuation allowance that currently offsets our net U.S. deferred tax asset. The accounting guidance (ASC 740, Income Taxes) states that “a cumulative loss in recent years is a significant piece of negative evidence that is difficult to overcome”. We believe it is reasonably possible that by December 31, 2025, we would have transitioned from a cumulative loss in recent years to cumulative income in the U.S. jurisdiction as a result of Onity improving its earnings in the more recent years. Any release of our valuation allowance requires significant judgment and is contingent on continued analysis of the positive and negative evidence and actual and expected future profitability. As such, the exact timing and amount of any valuation allowance release is subject to change. We will continue to maintain a full valuation allowance on our U.S. net deferred tax asset until there is sufficient positive evidence to support the reversal of all or some portion of this allowance. Release of the valuation allowance would result in an increase to Deferred tax assets, net on our consolidated balance sheet, and a corresponding non-cash decrease to income tax expense (thus an increase to net income and stockholders’ equity).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reconciliation bill commonly referred to as the “One Big Beautiful Bill Act” (OBBBA) was signed into law. The OBBBA includes significant amendments to the Internal Revenue Code including, but not limited to, the restoration of 100% bonus depreciation, the reinstatement of expensing for domestic research and experimental (R&amp;E) expenditures, modifications to Section 163(j) interest expense limitations, updates to the rules for global intangible low-taxed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income (GILTI) and foreign-derived intangible income (FDII), and the expansion of Section 162(m) executive compensation aggregation requirements. Onity has evaluated the potential impact of this legislation on its consolidated financial statements, including effects on current and deferred taxes, and has determined the tax impacts of this new legislation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85" w:type="dxa"/>
        <w:jc w:val="left"/>
        <w:tblInd w:w="0" w:type="dxa"/>
        <w:tblLayout w:type="fixed"/>
        <w:tblCellMar>
          <w:top w:w="28" w:type="dxa"/>
          <w:left w:w="28" w:type="dxa"/>
          <w:bottom w:w="28" w:type="dxa"/>
          <w:right w:w="28" w:type="dxa"/>
        </w:tblCellMar>
      </w:tblPr>
      <w:tblGrid>
        <w:gridCol w:w="1341"/>
        <w:gridCol w:w="1179"/>
        <w:gridCol w:w="1665"/>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Note 18 – Basic and Diluted Earnings per Share</w:t>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Basic earnings or loss per share excludes common stock equivalents and is calculated by dividing net income or loss attributable to common stockholders by the weighted average number of shares of common stock outstanding during the period. We calculate diluted earnings or loss per share by dividing net income or loss attributable to common stockholders by the weighted average number of shares of common stock outstanding including the potential dilutive shares of common stock related to outstanding restricted stock awards, stock options and warrants as determined using the treasury stock method.</w:t>
      </w:r>
    </w:p>
    <w:tbl>
      <w:tblPr>
        <w:tblW w:w="10205" w:type="dxa"/>
        <w:jc w:val="left"/>
        <w:tblInd w:w="0" w:type="dxa"/>
        <w:tblLayout w:type="fixed"/>
        <w:tblCellMar>
          <w:top w:w="28" w:type="dxa"/>
          <w:left w:w="28" w:type="dxa"/>
          <w:bottom w:w="28" w:type="dxa"/>
          <w:right w:w="28" w:type="dxa"/>
        </w:tblCellMar>
      </w:tblPr>
      <w:tblGrid>
        <w:gridCol w:w="1718"/>
        <w:gridCol w:w="1318"/>
        <w:gridCol w:w="1328"/>
        <w:gridCol w:w="331"/>
        <w:gridCol w:w="710"/>
        <w:gridCol w:w="135"/>
        <w:gridCol w:w="135"/>
        <w:gridCol w:w="135"/>
        <w:gridCol w:w="135"/>
        <w:gridCol w:w="331"/>
        <w:gridCol w:w="710"/>
        <w:gridCol w:w="135"/>
        <w:gridCol w:w="109"/>
        <w:gridCol w:w="109"/>
        <w:gridCol w:w="109"/>
        <w:gridCol w:w="315"/>
        <w:gridCol w:w="704"/>
        <w:gridCol w:w="131"/>
        <w:gridCol w:w="131"/>
        <w:gridCol w:w="131"/>
        <w:gridCol w:w="131"/>
        <w:gridCol w:w="315"/>
        <w:gridCol w:w="704"/>
        <w:gridCol w:w="195"/>
      </w:tblGrid>
      <w:tr>
        <w:trPr/>
        <w:tc>
          <w:tcPr>
            <w:tcW w:w="17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6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8,055,262 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7,860,572 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7,984,142 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7,797,974 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Diluted earnings per share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8,055,262 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7,860,572 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7,984,142 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7,797,974 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elements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awards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awards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weighted average shares of common stock</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8,717,597 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8,055,393 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8,563,697 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8,006,981 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Stock options and common stock awards excluded from the computation of diluted earnings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Anti-dilutive </w:t>
            </w:r>
            <w:r>
              <w:rPr>
                <w:rFonts w:ascii="Times New Roman;serif" w:hAnsi="Times New Roman;serif"/>
                <w:b w:val="false"/>
                <w:color w:val="000000"/>
                <w:sz w:val="13"/>
              </w:rPr>
              <w:t>(1)</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Market-based </w:t>
            </w:r>
            <w:r>
              <w:rPr>
                <w:rFonts w:ascii="Times New Roman;serif" w:hAnsi="Times New Roman;serif"/>
                <w:b w:val="false"/>
                <w:color w:val="000000"/>
                <w:sz w:val="13"/>
              </w:rPr>
              <w:t>(2)</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(1)Includes stock options and stock awards that are anti-dilutive based on the application of the treasury stock method.</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(2)Shares that are issuable upon the achievement of certain market-based performance criteria related to Onity’s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0" w:type="dxa"/>
        <w:jc w:val="left"/>
        <w:tblInd w:w="0" w:type="dxa"/>
        <w:tblLayout w:type="fixed"/>
        <w:tblCellMar>
          <w:top w:w="28" w:type="dxa"/>
          <w:left w:w="28" w:type="dxa"/>
          <w:bottom w:w="28" w:type="dxa"/>
          <w:right w:w="28" w:type="dxa"/>
        </w:tblCellMar>
      </w:tblPr>
      <w:tblGrid>
        <w:gridCol w:w="1086"/>
        <w:gridCol w:w="955"/>
        <w:gridCol w:w="1349"/>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19 – Business Segment Reporting</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segments reflect the internal reporting that our Chief Executive Officer, whom we have determined to be our Chief Operating Decision Maker (CODM), uses to evaluate our operating and financial performance and to assess the allocation of our resources. The CODM uses pre-tax income calculated both on a GAAP basis and on a managed or adjusted basis, as internally defined, to assess the segment performance and allocate resources. The segment information presented below is prepared under GAAP, consistent with the amounts included in our consolidated financial statements. Our current reportable business segments consist of Servicing, Originations, and Corporate. </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before="60" w:after="283"/>
        <w:jc w:val="left"/>
        <w:rPr/>
      </w:pPr>
      <w:r>
        <w:rPr/>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81"/>
        <w:gridCol w:w="918"/>
        <w:gridCol w:w="921"/>
        <w:gridCol w:w="320"/>
        <w:gridCol w:w="936"/>
        <w:gridCol w:w="165"/>
        <w:gridCol w:w="165"/>
        <w:gridCol w:w="165"/>
        <w:gridCol w:w="165"/>
        <w:gridCol w:w="535"/>
        <w:gridCol w:w="797"/>
        <w:gridCol w:w="165"/>
        <w:gridCol w:w="109"/>
        <w:gridCol w:w="109"/>
        <w:gridCol w:w="109"/>
        <w:gridCol w:w="247"/>
        <w:gridCol w:w="616"/>
        <w:gridCol w:w="128"/>
        <w:gridCol w:w="109"/>
        <w:gridCol w:w="109"/>
        <w:gridCol w:w="109"/>
        <w:gridCol w:w="109"/>
        <w:gridCol w:w="109"/>
        <w:gridCol w:w="387"/>
        <w:gridCol w:w="1131"/>
        <w:gridCol w:w="291"/>
      </w:tblGrid>
      <w:tr>
        <w:trPr/>
        <w:tc>
          <w:tcPr>
            <w:tcW w:w="128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53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information for our segments prepared under GAAP is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1918" w:type="dxa"/>
            <w:gridSpan w:val="4"/>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Servicing</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Segments Consolidated</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subservicing fees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loans held for sale, net</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MSR valuation adjustments, net</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Servicing and origination </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allocations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510"/>
        <w:gridCol w:w="1167"/>
        <w:gridCol w:w="1171"/>
        <w:gridCol w:w="211"/>
        <w:gridCol w:w="616"/>
        <w:gridCol w:w="109"/>
        <w:gridCol w:w="109"/>
        <w:gridCol w:w="109"/>
        <w:gridCol w:w="109"/>
        <w:gridCol w:w="301"/>
        <w:gridCol w:w="729"/>
        <w:gridCol w:w="156"/>
        <w:gridCol w:w="109"/>
        <w:gridCol w:w="109"/>
        <w:gridCol w:w="109"/>
        <w:gridCol w:w="247"/>
        <w:gridCol w:w="616"/>
        <w:gridCol w:w="128"/>
        <w:gridCol w:w="109"/>
        <w:gridCol w:w="109"/>
        <w:gridCol w:w="109"/>
        <w:gridCol w:w="109"/>
        <w:gridCol w:w="109"/>
        <w:gridCol w:w="490"/>
        <w:gridCol w:w="1191"/>
        <w:gridCol w:w="364"/>
      </w:tblGrid>
      <w:tr>
        <w:trPr/>
        <w:tc>
          <w:tcPr>
            <w:tcW w:w="15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2154" w:type="dxa"/>
            <w:gridSpan w:val="4"/>
            <w:tcBorders/>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Segments Consolidated</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MSR valuation adjustments,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Servicing and origination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allocations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equity method investee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510"/>
        <w:gridCol w:w="1167"/>
        <w:gridCol w:w="1171"/>
        <w:gridCol w:w="211"/>
        <w:gridCol w:w="616"/>
        <w:gridCol w:w="109"/>
        <w:gridCol w:w="109"/>
        <w:gridCol w:w="109"/>
        <w:gridCol w:w="109"/>
        <w:gridCol w:w="301"/>
        <w:gridCol w:w="729"/>
        <w:gridCol w:w="156"/>
        <w:gridCol w:w="109"/>
        <w:gridCol w:w="109"/>
        <w:gridCol w:w="109"/>
        <w:gridCol w:w="247"/>
        <w:gridCol w:w="616"/>
        <w:gridCol w:w="128"/>
        <w:gridCol w:w="109"/>
        <w:gridCol w:w="109"/>
        <w:gridCol w:w="109"/>
        <w:gridCol w:w="109"/>
        <w:gridCol w:w="109"/>
        <w:gridCol w:w="438"/>
        <w:gridCol w:w="1282"/>
        <w:gridCol w:w="325"/>
      </w:tblGrid>
      <w:tr>
        <w:trPr/>
        <w:tc>
          <w:tcPr>
            <w:tcW w:w="15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2154" w:type="dxa"/>
            <w:gridSpan w:val="4"/>
            <w:tcBorders/>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Segments Consolidated</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Gain (loss) on loans held for sale,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MSR valuation adjustments,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Servicing and origination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allocations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510"/>
        <w:gridCol w:w="1167"/>
        <w:gridCol w:w="1171"/>
        <w:gridCol w:w="211"/>
        <w:gridCol w:w="616"/>
        <w:gridCol w:w="109"/>
        <w:gridCol w:w="109"/>
        <w:gridCol w:w="109"/>
        <w:gridCol w:w="109"/>
        <w:gridCol w:w="301"/>
        <w:gridCol w:w="729"/>
        <w:gridCol w:w="156"/>
        <w:gridCol w:w="109"/>
        <w:gridCol w:w="109"/>
        <w:gridCol w:w="109"/>
        <w:gridCol w:w="247"/>
        <w:gridCol w:w="616"/>
        <w:gridCol w:w="128"/>
        <w:gridCol w:w="109"/>
        <w:gridCol w:w="109"/>
        <w:gridCol w:w="109"/>
        <w:gridCol w:w="109"/>
        <w:gridCol w:w="109"/>
        <w:gridCol w:w="438"/>
        <w:gridCol w:w="1282"/>
        <w:gridCol w:w="325"/>
      </w:tblGrid>
      <w:tr>
        <w:trPr/>
        <w:tc>
          <w:tcPr>
            <w:tcW w:w="151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2154" w:type="dxa"/>
            <w:gridSpan w:val="4"/>
            <w:tcBorders/>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Segments Consolidated</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Gain on loans held for sale,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MSR valuation adjustments,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Servicing and origination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allocations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equity method investee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r>
    </w:tbl>
    <w:tbl>
      <w:tblPr>
        <w:tblW w:w="9172" w:type="dxa"/>
        <w:jc w:val="left"/>
        <w:tblInd w:w="0" w:type="dxa"/>
        <w:tblLayout w:type="fixed"/>
        <w:tblCellMar>
          <w:top w:w="28" w:type="dxa"/>
          <w:left w:w="28" w:type="dxa"/>
          <w:bottom w:w="28" w:type="dxa"/>
          <w:right w:w="28" w:type="dxa"/>
        </w:tblCellMar>
      </w:tblPr>
      <w:tblGrid>
        <w:gridCol w:w="629"/>
        <w:gridCol w:w="554"/>
        <w:gridCol w:w="557"/>
        <w:gridCol w:w="211"/>
        <w:gridCol w:w="871"/>
        <w:gridCol w:w="109"/>
        <w:gridCol w:w="109"/>
        <w:gridCol w:w="109"/>
        <w:gridCol w:w="109"/>
        <w:gridCol w:w="230"/>
        <w:gridCol w:w="836"/>
        <w:gridCol w:w="120"/>
        <w:gridCol w:w="109"/>
        <w:gridCol w:w="109"/>
        <w:gridCol w:w="109"/>
        <w:gridCol w:w="223"/>
        <w:gridCol w:w="652"/>
        <w:gridCol w:w="116"/>
        <w:gridCol w:w="109"/>
        <w:gridCol w:w="109"/>
        <w:gridCol w:w="109"/>
        <w:gridCol w:w="109"/>
        <w:gridCol w:w="109"/>
        <w:gridCol w:w="488"/>
        <w:gridCol w:w="2018"/>
        <w:gridCol w:w="35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Business Segments Consolidated</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79" w:type="dxa"/>
        <w:jc w:val="left"/>
        <w:tblInd w:w="0" w:type="dxa"/>
        <w:tblLayout w:type="fixed"/>
        <w:tblCellMar>
          <w:top w:w="28" w:type="dxa"/>
          <w:left w:w="28" w:type="dxa"/>
          <w:bottom w:w="28" w:type="dxa"/>
          <w:right w:w="28" w:type="dxa"/>
        </w:tblCellMar>
      </w:tblPr>
      <w:tblGrid>
        <w:gridCol w:w="1019"/>
        <w:gridCol w:w="895"/>
        <w:gridCol w:w="1265"/>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20 – Regulatory Requirements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extensive regulation and supervision by federal, state, local and foreign governmental authorities, including the Consumer Financial Protection Bureau (CFPB), the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Home Mortgage Disclosure Act (HMDA), the Federal Trade Commission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Regulatory capital and liquidity requirements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seller/servicer obligations under agreements with the GSEs, HUD, FHA, VA and Ginnie Mae, including capital requirements related to tangible net worth, as defined by the applicable agency, daily liquidity requirements, an obligation to provide audited financial statements within 90 days of the applicable entity’s fiscal year end as well as extensive requirements regarding servicing, selling and other matters. Net worth and liquidity regulatory requirements are generally based on the UPB of serviced assets.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licensed entities are required to maintain a 6% minimum ratio of tangible net worth to total assets (leverage ratio) pursuant to Agency rules. As issuer of HMBS, PHH received an exemption to exclude securitized reverse mortgage loans held for investment pledged to HMBS ($9.9 billion at September 30, 2025) from total assets in the computation of the leverage ratio due to the “lack of true sale accounting treatment of the HMBS Program” as per the Ginnie Mae guide.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PHH is required to maintain a minimum of 6% risk-based capital ratio (RBCR) pursuant to Ginnie Mae’s risk-based capital requirements. Ginnie Mae issued PHH a waiver extending the deadline by which PHH must meet the RBCR requirements to October 1, 2025. In the second quarter of 2025, in order to achieve and maintain compliance with the Ginnie Mae RBCR requirements, PHH transferred certain GSE MSR investment activities previously conducted by PHH to a dedicated licensed entity PAS, a wholly-owned subsidiary of PHH Corporation, with PHH retaining the subservicing. As of September 30, 2025, we believe PHH was in compliance with RBCR requirements.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We believe our licensed entities were in compliance with all of their minimum net worth and liquidity requirements, as defined, at September 30, 2025. The most restrictive of the various net worth and liquidity requirements for licensing and seller/servicer obligations were as follows for our licensed entities at September 30, 2025:</w:t>
      </w:r>
    </w:p>
    <w:tbl>
      <w:tblPr>
        <w:tblW w:w="4078" w:type="dxa"/>
        <w:jc w:val="center"/>
        <w:tblInd w:w="0" w:type="dxa"/>
        <w:tblLayout w:type="fixed"/>
        <w:tblCellMar>
          <w:top w:w="28" w:type="dxa"/>
          <w:left w:w="28" w:type="dxa"/>
          <w:bottom w:w="28" w:type="dxa"/>
          <w:right w:w="28" w:type="dxa"/>
        </w:tblCellMar>
      </w:tblPr>
      <w:tblGrid>
        <w:gridCol w:w="657"/>
        <w:gridCol w:w="578"/>
        <w:gridCol w:w="579"/>
        <w:gridCol w:w="435"/>
        <w:gridCol w:w="284"/>
        <w:gridCol w:w="287"/>
        <w:gridCol w:w="109"/>
        <w:gridCol w:w="109"/>
        <w:gridCol w:w="109"/>
        <w:gridCol w:w="272"/>
        <w:gridCol w:w="272"/>
        <w:gridCol w:w="387"/>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worth</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PHH</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Liquidity </w:t>
            </w:r>
            <w:r>
              <w:rPr>
                <w:rFonts w:ascii="Times New Roman;serif" w:hAnsi="Times New Roman;serif"/>
                <w:b w:val="false"/>
                <w:color w:val="000000"/>
                <w:sz w:val="13"/>
              </w:rPr>
              <w:t>(4)</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PHH - FHFA </w:t>
            </w:r>
            <w:r>
              <w:rPr>
                <w:rFonts w:ascii="Times New Roman;serif" w:hAnsi="Times New Roman;serif"/>
                <w:b w:val="false"/>
                <w:color w:val="000000"/>
                <w:sz w:val="13"/>
              </w:rPr>
              <w:t>(1)</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PHH - Ginnie Mae </w:t>
            </w:r>
            <w:r>
              <w:rPr>
                <w:rFonts w:ascii="Times New Roman;serif" w:hAnsi="Times New Roman;serif"/>
                <w:b w:val="false"/>
                <w:color w:val="000000"/>
                <w:sz w:val="13"/>
              </w:rPr>
              <w:t>(2)</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PAS - FHFA </w:t>
            </w:r>
            <w:r>
              <w:rPr>
                <w:rFonts w:ascii="Times New Roman;serif" w:hAnsi="Times New Roman;serif"/>
                <w:b w:val="false"/>
                <w:color w:val="000000"/>
                <w:sz w:val="13"/>
              </w:rPr>
              <w:t>(3)</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w:t>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(1)Reported liquidity includes $94.2 million cash and $47.9 million of additional eligible liquidity, defined by the FHFA as 50 percent of the unused portion of committed Agency servicing advance facilities.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(2)Reported liquidity includes Servicing advances as eligible liquidity pursuant to Ginnie Mae’s liquidity requirements.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(3)Reported liquidity includes $60.0 million cash and $157.2 million of additional eligible liquidity, defined by the FHFA as 50 percent of the unused portion of committed Agency servicing advance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liquidity displayed in the above table reflects liquidity measures as defined by regulators that differ from liquidity available to finance the business. At September 30, 2025, our total liquidity of $221.3 million included $172.8 million of unrestricted cash and $48.5 million total available committed and uncommitted borrowing capacity based on the amount of eligible collateral.</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New York Department of Financial Services (NY DFS)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NY DFS currently limits our ability to acquire MSRs with respect to New York loans, so that Onity may not increase its aggregate portfolio of New York loans serviced or subserviced by Onity by more than 2% per year. This restriction will remain in place until the NY DFS conducts a review and determines that Onity has developed a satisfactory infrastructure to board sizable portfolios of MSRs. We believe we have complied with all terms required by the NY DFS.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80" w:type="dxa"/>
        <w:jc w:val="left"/>
        <w:tblInd w:w="0" w:type="dxa"/>
        <w:tblLayout w:type="fixed"/>
        <w:tblCellMar>
          <w:top w:w="28" w:type="dxa"/>
          <w:left w:w="28" w:type="dxa"/>
          <w:bottom w:w="28" w:type="dxa"/>
          <w:right w:w="28" w:type="dxa"/>
        </w:tblCellMar>
      </w:tblPr>
      <w:tblGrid>
        <w:gridCol w:w="730"/>
        <w:gridCol w:w="640"/>
        <w:gridCol w:w="910"/>
      </w:tblGrid>
      <w:tr>
        <w:trPr/>
        <w:tc>
          <w:tcPr>
            <w:tcW w:w="7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21 — Commitments</w:t>
            </w:r>
          </w:p>
        </w:tc>
      </w:tr>
    </w:tbl>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Servicer Advance Obligations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as servicer or master servicer, we are required to advance loan principal and interest payments (P&amp;I), property taxes and insurance premiums (T&amp;I) on behalf of the borrower, if delinquent. We also advance legal fees, inspection, maintenance, and preservation costs (Corporate advances) on properties that are in default or have been foreclosed. Our obligations to make these advances are governed by servicing agreements or guides, depending on investors or guarantor. Advances made by us as primary servicer are generally recovered from the borrower or the mortgage loan investor. To the extent there are funds held for future distribution in the custodial accounts, generally we are permitted to borrow from these amounts if P&amp;I advances are required. Advances are primarily recovered from the borrower via a cure of the delinquency, proceeds from sale of loan collateral, mortgage insurance proceeds, or the investor.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PLS loans, generally, we may stop advancing for P&amp;I once future advances are deemed non-recoverable from the anticipated net proceeds of the property, although we are generally obligated to continue T&amp;I and Corporate advances until the loan delinquency is cured or until a completion of a foreclosure and sale of the REO.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We are also required to advance both T&amp;I and Corporate advances until cure or liquidation.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GSE loans, we are required to advance P&amp;I until the borrower is 120 days delinquent for Fannie Mae loans, but advance only interest payments for the same length of delinquency for Freddie Mac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completion of the foreclosure sale.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subservicer, we are required to make T&amp;I and Corporate advances and in some cases P&amp;I advances on behalf of servicers in accordance with the servicing agreements or guides. Servicers are generally required to reimburse us within 30 days of our advancing under the terms of the subservicing agreements. We are generally reimbursed by Rithm the same day we fund P&amp;I advances, or within no more than three days for servicing advances and certain P&amp;I advances under the Onity agreements.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Rithm is obligated to fund new servicing advances with respect to the MSRs underlying the Rights to MSRs (RMSR), pursuant to the servicing agreements. Rithm has the responsibility to fund advances for loans where they own the MSR, i.e., are the servicer of record. We are dependent upon Rithm for funding the servicing advance obligations for Rights to MSRs where we are the servicer of record. As the servicer of record, we are contractually required under our servicing agreements to make certain servicing advances even if Rithm does not perform its contractual obligations to fund those advances. </w:t>
      </w: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Unfunded Lending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originated floating-rate reverse mortgage loans under which the borrowers have additional borrowing capacity of $3.0 billion at September 30, 2025. This additional borrowing capacity is available on a scheduled or unscheduled payment basis. During the nine months ended September 30, 2025, we funded $236.6 million out of the $3.1 billion borrowing capacity as of December 31, 2024. We also had short-term commitments to lend $2.4 billion and $33.9 million in connection with our forward and reverse mortgage loan IRLCs, respectively, outstanding at September 30, 2025. We finance originated and purchased forward and reverse mortgage loans with repurchase and participation agreements, also referred to as warehouse lines, prior to their respective securitization.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HMBS Issuer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an HMBS issuer, we assume certain obligations related to each security issued. The most significant obligation is the requirement to purchase loans out of the Ginnie Mae securitization pools once the outstanding principal balance of a reverse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loan is equal to or greater than 98% of the maximum claim amount (MCA repurchases). The table below provides the breakdown of the portfolio UPB with respect to the percentage of the MCA at September 30, 2025. </w:t>
      </w:r>
    </w:p>
    <w:tbl>
      <w:tblPr>
        <w:tblW w:w="8300" w:type="dxa"/>
        <w:jc w:val="left"/>
        <w:tblInd w:w="0" w:type="dxa"/>
        <w:tblLayout w:type="fixed"/>
        <w:tblCellMar>
          <w:top w:w="28" w:type="dxa"/>
          <w:left w:w="28" w:type="dxa"/>
          <w:bottom w:w="28" w:type="dxa"/>
          <w:right w:w="28" w:type="dxa"/>
        </w:tblCellMar>
      </w:tblPr>
      <w:tblGrid>
        <w:gridCol w:w="2595"/>
        <w:gridCol w:w="2283"/>
        <w:gridCol w:w="2291"/>
        <w:gridCol w:w="211"/>
        <w:gridCol w:w="766"/>
        <w:gridCol w:w="154"/>
      </w:tblGrid>
      <w:tr>
        <w:trPr/>
        <w:tc>
          <w:tcPr>
            <w:tcW w:w="259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HECM loans at less than 92% MCA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HECM loans at equal to or greater than 92% and less than 95% MCA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HECM loans at equal to or greater than 95% MCA and less than 98% MCA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Securitized HECM loans UPB</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we repurchased HECM loans from Ginnie Mae securitizations in the amount of $394.4 million and $125.0 million, respectively. Activity with regard to HMBS repurchases for the nine months ended September 30, 2025 is as follows:</w:t>
      </w:r>
    </w:p>
    <w:tbl>
      <w:tblPr>
        <w:tblW w:w="5775" w:type="dxa"/>
        <w:jc w:val="center"/>
        <w:tblInd w:w="0" w:type="dxa"/>
        <w:tblLayout w:type="fixed"/>
        <w:tblCellMar>
          <w:top w:w="28" w:type="dxa"/>
          <w:left w:w="28" w:type="dxa"/>
          <w:bottom w:w="28" w:type="dxa"/>
          <w:right w:w="28" w:type="dxa"/>
        </w:tblCellMar>
      </w:tblPr>
      <w:tblGrid>
        <w:gridCol w:w="614"/>
        <w:gridCol w:w="539"/>
        <w:gridCol w:w="542"/>
        <w:gridCol w:w="109"/>
        <w:gridCol w:w="109"/>
        <w:gridCol w:w="217"/>
        <w:gridCol w:w="526"/>
        <w:gridCol w:w="112"/>
        <w:gridCol w:w="109"/>
        <w:gridCol w:w="109"/>
        <w:gridCol w:w="109"/>
        <w:gridCol w:w="109"/>
        <w:gridCol w:w="109"/>
        <w:gridCol w:w="211"/>
        <w:gridCol w:w="616"/>
        <w:gridCol w:w="109"/>
        <w:gridCol w:w="109"/>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007" w:type="dxa"/>
            <w:gridSpan w:val="16"/>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Active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Inactive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Recoveries, net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(1)Includes amounts received upon assignment of loan to HUD, loan payoff, REO liquidation and claim proceeds less any amounts charged off as unrecoverable.</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(2)Excludes $1.1 billion UPB in loans directly assigned to HUD from the underlying Ginnie Mae securities without a cash repurchase from us.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Client Concentration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Servicing segment has exposure to concentration risk and client retention risk. </w:t>
      </w:r>
    </w:p>
    <w:p>
      <w:pPr>
        <w:pStyle w:val="TextBody"/>
        <w:bidi w:val="0"/>
        <w:spacing w:lineRule="auto" w:line="288" w:before="120" w:after="120"/>
        <w:jc w:val="left"/>
        <w:rPr/>
      </w:pPr>
      <w:r>
        <w:rPr>
          <w:rFonts w:ascii="Times New Roman;serif" w:hAnsi="Times New Roman;serif"/>
          <w:b w:val="false"/>
          <w:color w:val="000000"/>
          <w:sz w:val="20"/>
        </w:rPr>
        <w:t xml:space="preserve">For the nine months ended September 30, 2025, servicing and subservicing fees from Rithm amounted to $60.2 million, or 13% of total servicing and subservicing fees (excluding ancillary income) ($73.5 million and 16% in the nine months ended September 30, 2024, respectively), and the related Rithm Pledged MSR liability expense amounted to $27.6 million and $27.6 million in the respective periods. As of September 30, 2025, Rithm represented $33.0 billion, or 10% of the UPB and 20% of the loan count of our total servicing and subservicing portfolio, and approximately 55% of all delinquent loans that Onity services. Our subservicing agreements with Rithm provide for </w:t>
      </w:r>
      <w:r>
        <w:rPr>
          <w:rFonts w:ascii="Times New Roman;serif" w:hAnsi="Times New Roman;serif"/>
          <w:b w:val="false"/>
          <w:color w:val="000000"/>
          <w:sz w:val="20"/>
          <w:shd w:fill="FFFFFF" w:val="clear"/>
        </w:rPr>
        <w:t>automatic one-year renewals, unless</w:t>
      </w:r>
      <w:r>
        <w:rPr>
          <w:color w:val="000000"/>
        </w:rPr>
        <w:t xml:space="preserve"> </w:t>
      </w:r>
      <w:r>
        <w:rPr>
          <w:rFonts w:ascii="Times New Roman;serif" w:hAnsi="Times New Roman;serif"/>
          <w:b w:val="false"/>
          <w:color w:val="000000"/>
          <w:sz w:val="20"/>
        </w:rPr>
        <w:t>Onity or Rithm provide advance notice of termination. During the three months ended March 31, 2025 Rithm exercised their previously agreed right to transfer up to 15% of the mortgage loans to another subservicer and transferred $5.7 billion in UPB to its own servicing platform.</w:t>
      </w:r>
    </w:p>
    <w:p>
      <w:pPr>
        <w:pStyle w:val="TextBody"/>
        <w:bidi w:val="0"/>
        <w:spacing w:lineRule="auto" w:line="288" w:before="120" w:after="120"/>
        <w:jc w:val="left"/>
        <w:rPr/>
      </w:pPr>
      <w:r>
        <w:rPr>
          <w:rFonts w:ascii="Times New Roman;serif" w:hAnsi="Times New Roman;serif"/>
          <w:b w:val="false"/>
          <w:color w:val="000000"/>
          <w:sz w:val="20"/>
        </w:rPr>
        <w:t>If Rithm exercises its right to terminate the subservicing agreements for convenience by November 1, 2025 or for cause at any time, we might need to right-size certain aspects of our servicing business as well as the related corporate support functions, and we may need to adjust our daily liquidity management due to the reduction of servicing float balances associated with the Rithm agreements. Also refer to Note 8 — Other Financing Liabilities, at Fair Value, Note 13 – Other Liabilities and Note 23 – Subsequent Events.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left"/>
        <w:tblInd w:w="0" w:type="dxa"/>
        <w:tblLayout w:type="fixed"/>
        <w:tblCellMar>
          <w:top w:w="28" w:type="dxa"/>
          <w:left w:w="28" w:type="dxa"/>
          <w:bottom w:w="28" w:type="dxa"/>
          <w:right w:w="28" w:type="dxa"/>
        </w:tblCellMar>
      </w:tblPr>
      <w:tblGrid>
        <w:gridCol w:w="702"/>
        <w:gridCol w:w="617"/>
        <w:gridCol w:w="871"/>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22 – Contingencies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Onity against certain current or former officers and directors or others, and those brought under the False Claims Act by private citizens on behalf of the U.S. In addition, we may be a party or potential party to threatened or pending legal proceedings involving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applicable taxing authorities; and parties who provide or provided consulting, subservicing, or other services to Onity.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claims related to untimely recording of mortgage satisfactions, claims related to data privacy, and claims related to tax deficiencies owed by and tax refunds due to us. In some of these proceedings, claims for substantial monetary damages are asserted against us. For example, we are currently or have been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(5) we failed to subservice loans appropriately pursuant to subservicing and other agreements, (6) we did not comply with specific state and federal wage and hour laws for certain non-exempt employees, and (7) our written certifications documenting our entitlement to benefits under the Treasury Department’s Home Affordable Modification Program and similar federal government programs allegedly violated the False Claims Act. In the future, we are likely to become subject to other private legal proceedings alleging failures to comply with applicable laws and regulations, including putative class actions, in the ordinary course of our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$27.7 million at September 30, 2025. We cannot currently estimate the amount, if any, of reasonably possible losses above amounts that have been recorded at September 30, 2025. </w:t>
      </w:r>
    </w:p>
    <w:p>
      <w:pPr>
        <w:pStyle w:val="TextBody"/>
        <w:bidi w:val="0"/>
        <w:spacing w:lineRule="auto" w:line="288" w:before="120" w:after="120"/>
        <w:jc w:val="left"/>
        <w:rPr/>
      </w:pPr>
      <w:r>
        <w:rPr>
          <w:rFonts w:ascii="Times New Roman;serif" w:hAnsi="Times New Roman;serif"/>
          <w:b w:val="false"/>
          <w:color w:val="000000"/>
          <w:sz w:val="20"/>
        </w:rPr>
        <w:t xml:space="preserve">As previously disclosed, we are subject to individual lawsuits relating to our FDCPA compliance and putative state law class actions based on the FDCPA and similar state statutes. We are currently defending a class action lawsuit challenging, under state and federal law, our practice of charging borrowers a fee to use certain optional payment methods, in </w:t>
      </w:r>
      <w:r>
        <w:rPr>
          <w:rFonts w:ascii="Times New Roman;serif" w:hAnsi="Times New Roman;serif"/>
          <w:b w:val="false"/>
          <w:i/>
          <w:color w:val="000000"/>
          <w:sz w:val="20"/>
        </w:rPr>
        <w:t xml:space="preserve">Jones v. PHH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i/>
          <w:color w:val="000000"/>
          <w:sz w:val="20"/>
        </w:rPr>
        <w:t>Mortg. Corp., et al.</w:t>
      </w:r>
      <w:r>
        <w:rPr>
          <w:color w:val="000000"/>
        </w:rPr>
        <w:t xml:space="preserve"> </w:t>
      </w:r>
      <w:r>
        <w:rPr>
          <w:rFonts w:ascii="Times New Roman;serif" w:hAnsi="Times New Roman;serif"/>
          <w:b w:val="false"/>
          <w:color w:val="000000"/>
          <w:sz w:val="20"/>
        </w:rPr>
        <w:t>(D. NJ),</w:t>
      </w:r>
      <w:r>
        <w:rPr>
          <w:color w:val="000000"/>
        </w:rPr>
        <w:t xml:space="preserve"> </w:t>
      </w:r>
      <w:r>
        <w:rPr>
          <w:rFonts w:ascii="Times New Roman;serif" w:hAnsi="Times New Roman;serif"/>
          <w:b w:val="false"/>
          <w:color w:val="000000"/>
          <w:sz w:val="20"/>
        </w:rPr>
        <w:t xml:space="preserve">which we moved to dismiss. In July 2024, the court granted the motion in part, dismissing the majority of the claims. Onity filed an answer to the surviving claims in August 2024. In October 2024, </w:t>
      </w:r>
      <w:r>
        <w:rPr>
          <w:rFonts w:ascii="Times New Roman;serif" w:hAnsi="Times New Roman;serif"/>
          <w:b w:val="false"/>
          <w:i/>
          <w:color w:val="000000"/>
          <w:sz w:val="20"/>
        </w:rPr>
        <w:t>Knapp v. PHH Mortg. Corp., et al</w:t>
      </w:r>
      <w:r>
        <w:rPr>
          <w:rFonts w:ascii="Times New Roman;serif" w:hAnsi="Times New Roman;serif"/>
          <w:b w:val="false"/>
          <w:color w:val="000000"/>
          <w:sz w:val="20"/>
        </w:rPr>
        <w:t xml:space="preserve">. (D. OR) was filed in state court in Oregon. We removed the matter to federal court in Oregon in November 2024, and filed our motion to dismiss the complaint in December 2024. In April 2025, the assigned magistrate judge issued findings and a recommendation that the Court deny our motion; in May, we filed objections to the recommendation and sought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review. In July 2025, following oral argument before the court, the plaintiff voluntarily dismissed its case. In February 2025, </w:t>
      </w:r>
      <w:r>
        <w:rPr>
          <w:rFonts w:ascii="Times New Roman;serif" w:hAnsi="Times New Roman;serif"/>
          <w:b w:val="false"/>
          <w:i/>
          <w:color w:val="000000"/>
          <w:sz w:val="20"/>
        </w:rPr>
        <w:t>Smith-Fowler v. PHH Mortgage Corp.</w:t>
      </w:r>
      <w:r>
        <w:rPr>
          <w:color w:val="000000"/>
        </w:rPr>
        <w:t xml:space="preserve"> </w:t>
      </w:r>
      <w:r>
        <w:rPr>
          <w:rFonts w:ascii="Times New Roman;serif" w:hAnsi="Times New Roman;serif"/>
          <w:b w:val="false"/>
          <w:color w:val="000000"/>
          <w:sz w:val="20"/>
        </w:rPr>
        <w:t xml:space="preserve">(D.D.C) was filed in federal court in Washington, D.C. We filed a motion to dismiss the complaint in May 2025. While our motion to dismiss was still pending, plaintiff Smith voluntarily dismissed all his claims and plaintiff Fowler voluntarily reduced the scope of his convenience fee claims. Our motion to dismiss is fully briefed and remains pending. In addition, between November 2022 and June 2023, we settled the previously disclosed cases of </w:t>
      </w:r>
      <w:r>
        <w:rPr>
          <w:rFonts w:ascii="Times New Roman;serif" w:hAnsi="Times New Roman;serif"/>
          <w:b w:val="false"/>
          <w:i/>
          <w:color w:val="000000"/>
          <w:sz w:val="20"/>
        </w:rPr>
        <w:t>Morris v. PHH Mortg. Corp., et al.</w:t>
      </w:r>
      <w:r>
        <w:rPr>
          <w:color w:val="000000"/>
        </w:rPr>
        <w:t xml:space="preserve"> </w:t>
      </w:r>
      <w:r>
        <w:rPr>
          <w:rFonts w:ascii="Times New Roman;serif" w:hAnsi="Times New Roman;serif"/>
          <w:b w:val="false"/>
          <w:color w:val="000000"/>
          <w:sz w:val="20"/>
        </w:rPr>
        <w:t xml:space="preserve">(S.D. FL), </w:t>
      </w:r>
      <w:r>
        <w:rPr>
          <w:rFonts w:ascii="Times New Roman;serif" w:hAnsi="Times New Roman;serif"/>
          <w:b w:val="false"/>
          <w:i/>
          <w:color w:val="000000"/>
          <w:sz w:val="20"/>
        </w:rPr>
        <w:t>Torliatt v. PHH Mortg. Corp., et al.</w:t>
      </w:r>
      <w:r>
        <w:rPr>
          <w:color w:val="000000"/>
        </w:rPr>
        <w:t xml:space="preserve"> </w:t>
      </w:r>
      <w:r>
        <w:rPr>
          <w:rFonts w:ascii="Times New Roman;serif" w:hAnsi="Times New Roman;serif"/>
          <w:b w:val="false"/>
          <w:color w:val="000000"/>
          <w:sz w:val="20"/>
        </w:rPr>
        <w:t xml:space="preserve">(N.D. CA), </w:t>
      </w:r>
      <w:r>
        <w:rPr>
          <w:rFonts w:ascii="Times New Roman;serif" w:hAnsi="Times New Roman;serif"/>
          <w:b w:val="false"/>
          <w:i/>
          <w:color w:val="000000"/>
          <w:sz w:val="20"/>
        </w:rPr>
        <w:t>Thacker v. PHH Mortg. Corp., et al.</w:t>
      </w:r>
      <w:r>
        <w:rPr>
          <w:color w:val="000000"/>
        </w:rPr>
        <w:t xml:space="preserve"> </w:t>
      </w:r>
      <w:r>
        <w:rPr>
          <w:rFonts w:ascii="Times New Roman;serif" w:hAnsi="Times New Roman;serif"/>
          <w:b w:val="false"/>
          <w:color w:val="000000"/>
          <w:sz w:val="20"/>
        </w:rPr>
        <w:t xml:space="preserve">(N.D. WV), </w:t>
      </w:r>
      <w:r>
        <w:rPr>
          <w:rFonts w:ascii="Times New Roman;serif" w:hAnsi="Times New Roman;serif"/>
          <w:b w:val="false"/>
          <w:i/>
          <w:color w:val="000000"/>
          <w:sz w:val="20"/>
        </w:rPr>
        <w:t>Forest v. PHH Mortg. Corp., et al.</w:t>
      </w:r>
      <w:r>
        <w:rPr>
          <w:color w:val="000000"/>
        </w:rPr>
        <w:t xml:space="preserve"> </w:t>
      </w:r>
      <w:r>
        <w:rPr>
          <w:rFonts w:ascii="Times New Roman;serif" w:hAnsi="Times New Roman;serif"/>
          <w:b w:val="false"/>
          <w:color w:val="000000"/>
          <w:sz w:val="20"/>
        </w:rPr>
        <w:t xml:space="preserve">(D. RI), and </w:t>
      </w:r>
      <w:r>
        <w:rPr>
          <w:rFonts w:ascii="Times New Roman;serif" w:hAnsi="Times New Roman;serif"/>
          <w:b w:val="false"/>
          <w:i/>
          <w:color w:val="000000"/>
          <w:sz w:val="20"/>
        </w:rPr>
        <w:t xml:space="preserve">Williams v. PHH Mortg. Corp., et al. </w:t>
      </w:r>
      <w:r>
        <w:rPr>
          <w:rFonts w:ascii="Times New Roman;serif" w:hAnsi="Times New Roman;serif"/>
          <w:b w:val="false"/>
          <w:color w:val="000000"/>
          <w:sz w:val="20"/>
        </w:rPr>
        <w:t xml:space="preserve">(S.D. TX). </w:t>
      </w:r>
    </w:p>
    <w:p>
      <w:pPr>
        <w:pStyle w:val="TextBody"/>
        <w:bidi w:val="0"/>
        <w:spacing w:lineRule="auto" w:line="288" w:before="120" w:after="120"/>
        <w:jc w:val="left"/>
        <w:rPr/>
      </w:pPr>
      <w:r>
        <w:rPr>
          <w:rFonts w:ascii="Times New Roman;serif" w:hAnsi="Times New Roman;serif"/>
          <w:b w:val="false"/>
          <w:color w:val="000000"/>
          <w:sz w:val="20"/>
        </w:rPr>
        <w:t xml:space="preserve">In addition, we continue to be involved in legacy matters arising prior to Onity’s October 2018 acquisition of PHH Corporation, including a putative class action filed in 2008 in the United States District Court for the Eastern District of California against PHH Corporation and related entities alleging that PHH Corporation’s legacy mortgage reinsurance arrangements between its captive reinsurer, Atrium Insurance Corporation, and certain mortgage insurance providers violated RESPA. See </w:t>
      </w:r>
      <w:r>
        <w:rPr>
          <w:rFonts w:ascii="Times New Roman;serif" w:hAnsi="Times New Roman;serif"/>
          <w:b w:val="false"/>
          <w:i/>
          <w:color w:val="000000"/>
          <w:sz w:val="20"/>
        </w:rPr>
        <w:t>Munoz v. PHH Mortgage Corp. et al.</w:t>
      </w:r>
      <w:r>
        <w:rPr>
          <w:color w:val="000000"/>
        </w:rPr>
        <w:t xml:space="preserve"> </w:t>
      </w:r>
      <w:r>
        <w:rPr>
          <w:rFonts w:ascii="Times New Roman;serif" w:hAnsi="Times New Roman;serif"/>
          <w:b w:val="false"/>
          <w:color w:val="000000"/>
          <w:sz w:val="20"/>
        </w:rPr>
        <w:t>(Eastern District of California). In June 2015, the court certified a class of borrowers who obtained loans with private mortgage insurance through PHH’s captive reinsurance arrangement between June 2007 and December 2009. PHH asserted numerous legal defenses against the claims. Following pre-trial developments in August 2020, the only issues remaining for trial were whether the plaintiffs had standing to bring their claims and whether the reinsurance services provided by PHH Corporation’s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in February 2023 that court reversed and remanded for further proceedings. Following additional proceedings, on March 19, 2025, the parties reached an agreement in principle to settle the litigation and on August 11, 2025, the Court granted preliminary approval of the settlement.</w:t>
      </w:r>
      <w:r>
        <w:rPr>
          <w:color w:val="000000"/>
        </w:rPr>
        <w:t xml:space="preserve"> </w:t>
      </w:r>
      <w:r>
        <w:rPr>
          <w:rFonts w:ascii="Times New Roman;serif" w:hAnsi="Times New Roman;serif"/>
          <w:b w:val="false"/>
          <w:color w:val="000000"/>
          <w:sz w:val="20"/>
        </w:rPr>
        <w:t>We are currently going through the settlement administration process and the Motion for Final Approval is expected to be filed in the fourth quarter of 2025.</w:t>
      </w:r>
      <w:r>
        <w:rPr>
          <w:color w:val="000000"/>
        </w:rPr>
        <w:t xml:space="preserve"> </w:t>
      </w:r>
      <w:r>
        <w:rPr>
          <w:rFonts w:ascii="Times New Roman;serif" w:hAnsi="Times New Roman;serif"/>
          <w:b w:val="false"/>
          <w:color w:val="000000"/>
          <w:sz w:val="20"/>
        </w:rPr>
        <w:t>Our current accrual with respect to this matter is included in the $27.7 million legal and regulatory accrual referenced above. At this time, Onity is unable to predict the outcome of this lawsuit if the court does not approve the settlement. If our efforts to defend this lawsuit are not successful, our business, reputation, financial condition, liquidity and results of operations could be materially and adversely affected.</w:t>
      </w:r>
    </w:p>
    <w:p>
      <w:pPr>
        <w:pStyle w:val="TextBody"/>
        <w:bidi w:val="0"/>
        <w:spacing w:lineRule="auto" w:line="288" w:before="120" w:after="120"/>
        <w:jc w:val="left"/>
        <w:rPr/>
      </w:pPr>
      <w:r>
        <w:rPr>
          <w:rFonts w:ascii="Times New Roman;serif" w:hAnsi="Times New Roman;serif"/>
          <w:b w:val="false"/>
          <w:color w:val="000000"/>
          <w:sz w:val="20"/>
        </w:rPr>
        <w:t>Onity is a defendant in a certified class action in the U.S. District Court in the Eastern District of California where the plaintiffs claim Onity marked up fees for property valuations and title searches in violation of California state law. See</w:t>
      </w:r>
      <w:r>
        <w:rPr>
          <w:color w:val="000000"/>
        </w:rPr>
        <w:t xml:space="preserve"> </w:t>
      </w:r>
      <w:r>
        <w:rPr>
          <w:rFonts w:ascii="Times New Roman;serif" w:hAnsi="Times New Roman;serif"/>
          <w:b w:val="false"/>
          <w:i/>
          <w:color w:val="000000"/>
          <w:sz w:val="20"/>
        </w:rPr>
        <w:t>Weiner v. Ocwen Financial Corp., et al</w:t>
      </w:r>
      <w:r>
        <w:rPr>
          <w:rFonts w:ascii="Times New Roman;serif" w:hAnsi="Times New Roman;serif"/>
          <w:b w:val="false"/>
          <w:color w:val="000000"/>
          <w:sz w:val="20"/>
        </w:rPr>
        <w:t xml:space="preserve">. In May 2020, the court ruled that plaintiff’s recoverable damages are limited to out-of-pocket costs, </w:t>
      </w:r>
      <w:r>
        <w:rPr>
          <w:rFonts w:ascii="Times New Roman;serif" w:hAnsi="Times New Roman;serif"/>
          <w:b w:val="false"/>
          <w:i/>
          <w:color w:val="000000"/>
          <w:sz w:val="20"/>
        </w:rPr>
        <w:t>i.e.</w:t>
      </w:r>
      <w:r>
        <w:rPr>
          <w:rFonts w:ascii="Times New Roman;serif" w:hAnsi="Times New Roman;serif"/>
          <w:b w:val="false"/>
          <w:color w:val="000000"/>
          <w:sz w:val="20"/>
        </w:rPr>
        <w:t>, the amount of marked-up fees actually paid, rather than the entire cost of the valuation that plaintiffs sought. In October 2023, the parties reached a tentative settlement to resolve the lawsuit prior to trial. On March 29, 2024, the district court entered an order granting preliminary approval of the parties’ settlement agreement and directing notice to the settlement class.</w:t>
      </w:r>
      <w:r>
        <w:rPr>
          <w:color w:val="000000"/>
        </w:rPr>
        <w:t xml:space="preserve"> </w:t>
      </w:r>
      <w:r>
        <w:rPr>
          <w:rFonts w:ascii="Times New Roman;serif" w:hAnsi="Times New Roman;serif"/>
          <w:b w:val="false"/>
          <w:color w:val="000000"/>
          <w:sz w:val="20"/>
        </w:rPr>
        <w:t>The notice process began on April 29, 2024 and concluded on September 29, 2025. On October 10, 2024, the Court entered an order approving the settlement.</w:t>
      </w:r>
    </w:p>
    <w:p>
      <w:pPr>
        <w:pStyle w:val="TextBody"/>
        <w:bidi w:val="0"/>
        <w:spacing w:lineRule="auto" w:line="288" w:before="120" w:after="120"/>
        <w:jc w:val="left"/>
        <w:rPr/>
      </w:pPr>
      <w:r>
        <w:rPr>
          <w:rFonts w:ascii="Times New Roman;serif" w:hAnsi="Times New Roman;serif"/>
          <w:b w:val="false"/>
          <w:color w:val="000000"/>
          <w:sz w:val="20"/>
        </w:rPr>
        <w:t>As previously disclosed, we are in ongoing litigation with the United States Virgin Islands (“USVI”) regarding our entitlement to refunds of income taxes paid in prior years, plus accrued interest. The USVI is defending against such claims and contesting that such refunds are owed. See Note 10 – Receivables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On April 30, 2025, the USVI filed an additional lawsuit in the Superior Court of the Virgin Islands against us alleging that we did not meet the conditions for receiving benefits under our Economic Development Commission Certificate. We have filed a motion to remove that matter to federal court and a motion to dismiss it, both of which remain pending. We intend to vigorously pursue our rights with respect to these various matters. Onity is unable to predict the outcome of the matters, the possible loss or range of loss, if any, associated with the resolution of such matters, or the potential impact on us or our operations. If our efforts to settle or defend these matters are not successful, our business, financial condition liquidity and results of operations could be materially and adversely affected.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Onity has received several letters from trustees and master servicers purporting to put Onity on notice that the trustees and master servicers may ultimately seek indemnification from Onity in connection with the litigations. Onity has not yet been impleaded into any of these cases, but it has produced and continues to produce documents to the parties in response to third-party subpoenas.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Onity was, however, impleaded as a third-party defendant into five consolidated loan repurchase cases first filed against Nomura Credit &amp; Capital, Inc. in 2012 and 2013. We vigorously defended ourselves in those cases against allegations by the mortgage loan seller-defendant that Onity failed to inform its contractual counterparties that it had discovered defective loans in the course of servicing them and had otherwise failed to service the loans in accordance with accepted standards. In September 2023, the Court granted in part Onity’s motion for summary judgment, dismissing Nomura’s “failure to notify” claim in its entirety; the Court, however, denied Onity’s motion with respect to Nomura’s second claim alleging failure to service loans in accordance with accepted standards. Subsequent appeals by both parties were denied. In January 2025, the parties agreed to settle the five loan repurchase cases and each has now been dismissed with prejudice.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several RMBS trustees have received notices of events of default alleging material failures by servicers to comply with applicable servicing agreements. Although Onity has not been sued by an RMBS trustee in response to an event of default notice, there is a risk that Onity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Onity,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Onity were to be terminated as servicer, or other related legal actions were pursued against Onity, it could have an adverse effect on Onity’s business, reputation, financial condition, liquidity, and 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Regulatory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regularly receive information requests and other inquiries, both formal and informal in nature, from our state financial regulators as part of their general regulatory oversight of our licensed servicing and lending businesses, as well as from state attorneys general, the CFPB and other federal agencies, including the Department of Justice, HUD and various inspectors general. For example, we have received requests regarding the charging of certain fees to borrowers (including our practice of charging borrowers a fee to use certain optional payment methods, or “convenience fees”);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For example, we are currently engaged with several regulators related to borrower convenience fees and we recently resolved one such matter with HUD, which requires us to credit/refund consumers for convenience fees charged on FHA-insured loans since May 1, 2020. We have in the past resolved, and may in the future resolve, these or other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 Our current accrual with respect to these matters is included in the $27.7 million legal and regulatory accrual referenced above.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Loan Put-Back and Related Contingencies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exposure to representation, warranty and indemnification obligations relating to our lending, loan sales and securitization activities, and servicing practices. 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September 30, 2024, we had outstanding representation and warranty repurchase demands of $35.7 million UPB (100 loans) and $20.5 million UPB (70 loans), respectively. We review each demand and monitor through resolution, primarily through rescission, loan repurchase or make-whole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liability for representation and warranty obligations and similar indemnification obligations:</w:t>
      </w:r>
    </w:p>
    <w:tbl>
      <w:tblPr>
        <w:tblW w:w="9642" w:type="dxa"/>
        <w:jc w:val="left"/>
        <w:tblInd w:w="0" w:type="dxa"/>
        <w:tblLayout w:type="fixed"/>
        <w:tblCellMar>
          <w:top w:w="28" w:type="dxa"/>
          <w:left w:w="28" w:type="dxa"/>
          <w:bottom w:w="28" w:type="dxa"/>
          <w:right w:w="28" w:type="dxa"/>
        </w:tblCellMar>
      </w:tblPr>
      <w:tblGrid>
        <w:gridCol w:w="2392"/>
        <w:gridCol w:w="2097"/>
        <w:gridCol w:w="2111"/>
        <w:gridCol w:w="315"/>
        <w:gridCol w:w="765"/>
        <w:gridCol w:w="163"/>
        <w:gridCol w:w="163"/>
        <w:gridCol w:w="163"/>
        <w:gridCol w:w="163"/>
        <w:gridCol w:w="315"/>
        <w:gridCol w:w="765"/>
        <w:gridCol w:w="230"/>
      </w:tblGrid>
      <w:tr>
        <w:trPr/>
        <w:tc>
          <w:tcPr>
            <w:tcW w:w="239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Beginning balance </w:t>
            </w:r>
            <w:r>
              <w:rPr>
                <w:rFonts w:ascii="Times New Roman;serif" w:hAnsi="Times New Roman;serif"/>
                <w:b w:val="false"/>
                <w:color w:val="000000"/>
                <w:sz w:val="13"/>
              </w:rPr>
              <w:t>(1)</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(reversal of) representation and warranty obligations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representation and warranty obligations - New production liability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Charge-offs and other </w:t>
            </w:r>
            <w:r>
              <w:rPr>
                <w:rFonts w:ascii="Times New Roman;serif" w:hAnsi="Times New Roman;serif"/>
                <w:b w:val="false"/>
                <w:color w:val="000000"/>
                <w:sz w:val="13"/>
              </w:rPr>
              <w:t xml:space="preserve">(2)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Ending balance</w:t>
            </w:r>
            <w:r>
              <w:rPr>
                <w:color w:val="000000"/>
              </w:rPr>
              <w:t xml:space="preserve"> </w:t>
            </w:r>
            <w:r>
              <w:rPr>
                <w:rFonts w:ascii="Times New Roman;serif" w:hAnsi="Times New Roman;serif"/>
                <w:b w:val="false"/>
                <w:color w:val="000000"/>
                <w:sz w:val="13"/>
              </w:rPr>
              <w:t>(1)</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liability for representation and warranty obligations is reported in Other liabilities (a component of Liability for indemnification obligations) on our unaudited consolidated balance sheets.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(2)Includes reclassification of principal and interest losses in connection with repurchased loans, make-whole, indemnification and fee payments and settlements net of recoveries, if any.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23 – Subsequent Events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Notice of non-renewal of subservicing agreements by Rithm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we were notified by one of our largest subservicing clients, Rithm, of its intent to not renew its subservicing agreements effective January 31, 2026. The termination is for convenience and not for cause.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agreements accounted for approximately $33.0 billion, or 10% of the UPB and 20% of the loan count of our total servicing and subservicing portfolio, and approximately 55% of all delinquent loans that Onity services, as of September 30,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servicing transfer to Rithm’s own servicing platform is expected to occur in the first and second quarters of 2026. The transfer of $8.5 billion of UPB of these agreements is subject to the receipt of necessary consents from trustees and others, the timing and success of which are uncertain. Refer to Note 8 — Other Financing Liabilities, at Fair Value, Rithm Transactions and Note 21 — Commitments, Client Concentration.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servicing and subservicing fees from Rithm amounted to $60.2 million (excluding ancillary income), and the related Rithm Pledged MSR liability expense amounted to $27.6 million.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the float amount associated with the advance collections and servicing fees of the servicing portfolio will be repaid to Rithm in cash based on the amount due upon transfer (refer to Note 13 – Other Liabilities, Due to Rithm).</w:t>
      </w:r>
    </w:p>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 including for charts, except per share amounts and unless otherwise indicated. Amounts may not add in certain tables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61" w:type="dxa"/>
        <w:jc w:val="left"/>
        <w:tblInd w:w="0" w:type="dxa"/>
        <w:tblLayout w:type="fixed"/>
        <w:tblCellMar>
          <w:top w:w="28" w:type="dxa"/>
          <w:left w:w="28" w:type="dxa"/>
          <w:bottom w:w="28" w:type="dxa"/>
          <w:right w:w="28" w:type="dxa"/>
        </w:tblCellMar>
      </w:tblPr>
      <w:tblGrid>
        <w:gridCol w:w="404"/>
        <w:gridCol w:w="355"/>
        <w:gridCol w:w="502"/>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OVERVIEW</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non-bank mortgage servicer and originator providing solutions through our primary brands, PHH Mortgage and Liberty Reverse Mortgage. PHH is one of the largest non-bank servicers in the country based on UPB, focused on delivering a variety of servicing and lending programs. PHH is also one of the largest correspondent lenders in the U.S. based on origination UPB. Liberty is one of the nation’s largest reverse mortgage lenders and servicers based on origination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securitization UPB, dedicated to education and providing loans that help customers meet their personal and financial needs by drawing upon their home equity. We serviced or subserviced 1.4 million loans with a total UPB of $315.5 billion on behalf of more than 3,900 investors and 118 subservicing clients as of September 30, 2025.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w:t>
      </w:r>
    </w:p>
    <w:p>
      <w:pPr>
        <w:pStyle w:val="TextBody"/>
        <w:bidi w:val="0"/>
        <w:spacing w:lineRule="auto" w:line="288" w:before="120" w:after="120"/>
        <w:jc w:val="left"/>
        <w:rPr/>
      </w:pPr>
      <w:r>
        <w:rPr>
          <w:rFonts w:ascii="Times New Roman;serif" w:hAnsi="Times New Roman;serif"/>
          <w:b w:val="false"/>
          <w:i/>
          <w:color w:val="000000"/>
          <w:sz w:val="20"/>
        </w:rPr>
        <w:t>Volume Overview</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new volume of Originations by channel on a current and comparative basis. The volume of Originations is a key driver of the profitability of our Originations segment, along with margins, and also a key driver of the replenishment and growth of our Servicing segment. In the third quarter of 2025, we added $24.1 billion of new volume, with $10.9 billion of subservicing additions, $11.9 billion of new Originations production and $1.3 billion bulk acquisitions, as further detailed in the below table. </w:t>
      </w:r>
    </w:p>
    <w:tbl>
      <w:tblPr>
        <w:tblW w:w="10205" w:type="dxa"/>
        <w:jc w:val="left"/>
        <w:tblInd w:w="0" w:type="dxa"/>
        <w:tblLayout w:type="fixed"/>
        <w:tblCellMar>
          <w:top w:w="28" w:type="dxa"/>
          <w:left w:w="28" w:type="dxa"/>
          <w:bottom w:w="28" w:type="dxa"/>
          <w:right w:w="28" w:type="dxa"/>
        </w:tblCellMar>
      </w:tblPr>
      <w:tblGrid>
        <w:gridCol w:w="868"/>
        <w:gridCol w:w="629"/>
        <w:gridCol w:w="634"/>
        <w:gridCol w:w="275"/>
        <w:gridCol w:w="668"/>
        <w:gridCol w:w="143"/>
        <w:gridCol w:w="109"/>
        <w:gridCol w:w="109"/>
        <w:gridCol w:w="109"/>
        <w:gridCol w:w="211"/>
        <w:gridCol w:w="511"/>
        <w:gridCol w:w="109"/>
        <w:gridCol w:w="109"/>
        <w:gridCol w:w="109"/>
        <w:gridCol w:w="109"/>
        <w:gridCol w:w="109"/>
        <w:gridCol w:w="362"/>
        <w:gridCol w:w="362"/>
        <w:gridCol w:w="363"/>
        <w:gridCol w:w="114"/>
        <w:gridCol w:w="114"/>
        <w:gridCol w:w="114"/>
        <w:gridCol w:w="275"/>
        <w:gridCol w:w="668"/>
        <w:gridCol w:w="143"/>
        <w:gridCol w:w="109"/>
        <w:gridCol w:w="109"/>
        <w:gridCol w:w="109"/>
        <w:gridCol w:w="301"/>
        <w:gridCol w:w="581"/>
        <w:gridCol w:w="155"/>
        <w:gridCol w:w="109"/>
        <w:gridCol w:w="109"/>
        <w:gridCol w:w="109"/>
        <w:gridCol w:w="304"/>
        <w:gridCol w:w="651"/>
        <w:gridCol w:w="233"/>
      </w:tblGrid>
      <w:tr>
        <w:trPr/>
        <w:tc>
          <w:tcPr>
            <w:tcW w:w="86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billions</w:t>
            </w:r>
          </w:p>
        </w:tc>
        <w:tc>
          <w:tcPr>
            <w:tcW w:w="4109"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UPB</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188" w:type="dxa"/>
            <w:gridSpan w:val="3"/>
            <w:tcBorders/>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Q3 2025 vs. 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YTD 2025 vs. YTD 2024</w:t>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1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originations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Retail - Consumer Direct MSR</w:t>
            </w:r>
            <w:r>
              <w:rPr>
                <w:color w:val="000000"/>
              </w:rPr>
              <w:t xml:space="preserve"> </w:t>
            </w:r>
            <w:r>
              <w:rPr>
                <w:rFonts w:ascii="Times New Roman;serif" w:hAnsi="Times New Roman;serif"/>
                <w:b w:val="false"/>
                <w:color w:val="000000"/>
                <w:sz w:val="13"/>
              </w:rPr>
              <w:t>(1)</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Correspondent MSR</w:t>
            </w:r>
            <w:r>
              <w:rPr>
                <w:color w:val="000000"/>
              </w:rPr>
              <w:t xml:space="preserve"> </w:t>
            </w:r>
            <w:r>
              <w:rPr>
                <w:rFonts w:ascii="Times New Roman;serif" w:hAnsi="Times New Roman;serif"/>
                <w:b w:val="false"/>
                <w:color w:val="000000"/>
                <w:sz w:val="13"/>
              </w:rPr>
              <w:t>(1)</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Flow and Agency Cash Window MSR purchases</w:t>
            </w:r>
            <w:r>
              <w:rPr>
                <w:color w:val="000000"/>
              </w:rPr>
              <w:t xml:space="preserve"> </w:t>
            </w:r>
            <w:r>
              <w:rPr>
                <w:rFonts w:ascii="Times New Roman;serif" w:hAnsi="Times New Roman;serif"/>
                <w:b w:val="false"/>
                <w:color w:val="000000"/>
                <w:sz w:val="13"/>
              </w:rPr>
              <w:t>(2)</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Reverse mortgage origination</w:t>
            </w:r>
            <w:r>
              <w:rPr>
                <w:color w:val="000000"/>
              </w:rPr>
              <w:t xml:space="preserve"> </w:t>
            </w:r>
            <w:r>
              <w:rPr>
                <w:rFonts w:ascii="Times New Roman;serif" w:hAnsi="Times New Roman;serif"/>
                <w:b w:val="false"/>
                <w:color w:val="000000"/>
                <w:sz w:val="13"/>
              </w:rPr>
              <w:t>(3)</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Originations production</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Bulk MSR purchases </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servicing additions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forward subservicing</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new subservicing</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Total subservicing additions</w:t>
            </w:r>
            <w:r>
              <w:rPr>
                <w:color w:val="000000"/>
              </w:rPr>
              <w:t xml:space="preserve"> </w:t>
            </w:r>
            <w:r>
              <w:rPr>
                <w:rFonts w:ascii="Times New Roman;serif" w:hAnsi="Times New Roman;serif"/>
                <w:b w:val="false"/>
                <w:color w:val="000000"/>
                <w:sz w:val="13"/>
              </w:rPr>
              <w:t>(4)</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servicing and subservicing UPB additions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(1)Represents the UPB of loans that have been originated or purchased (funded) during the respective periods and for which we recognize a new MSR on our consolidated balance sheets upon sale or securitization.</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(2)Represents the UPB of loans for which the MSR is purchased.</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(3)Represents the UPB of reverse mortgage loans that have been securitized on a servicing retained basis. The loans are recognized on our consolidated balance sheets under GAAP without any separate recognition of MSRs.</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(4)Includes interim subservicing, including the volume of UPB associated with short-term interim subservicing for certain clients as a support to their originate-to-sell business.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average volume of our Servicing segment, on a current and comparative basis. The average servicing volume is a key driver of the profitability of our Servicing segment. The relative weight of performing and delinquent loans or servicing and subservicing also drive the amount and timing of gross revenue and expenses. Our average total servicing and subservicing UPB increased by $4.5 billion or 1.5% during the third quarter of 2025 compared to the prior quarter (5.9% annualized) and increased by $8.3 billion or 2.8% as compared to the prior year nine months, net of runoff. For comparison purposes, the total estimated industry mortgage debt outstanding increased 2.5% quarter over quarter (annualized) and 2.7% year over year (source: Mortgage Bankers Association (MBA) Mortgage Finance Forecast as of October 19, 2025).</w:t>
      </w:r>
    </w:p>
    <w:tbl>
      <w:tblPr>
        <w:tblW w:w="10205" w:type="dxa"/>
        <w:jc w:val="left"/>
        <w:tblInd w:w="0" w:type="dxa"/>
        <w:tblLayout w:type="fixed"/>
        <w:tblCellMar>
          <w:top w:w="28" w:type="dxa"/>
          <w:left w:w="28" w:type="dxa"/>
          <w:bottom w:w="28" w:type="dxa"/>
          <w:right w:w="28" w:type="dxa"/>
        </w:tblCellMar>
      </w:tblPr>
      <w:tblGrid>
        <w:gridCol w:w="924"/>
        <w:gridCol w:w="570"/>
        <w:gridCol w:w="573"/>
        <w:gridCol w:w="541"/>
        <w:gridCol w:w="319"/>
        <w:gridCol w:w="281"/>
        <w:gridCol w:w="129"/>
        <w:gridCol w:w="129"/>
        <w:gridCol w:w="129"/>
        <w:gridCol w:w="337"/>
        <w:gridCol w:w="285"/>
        <w:gridCol w:w="286"/>
        <w:gridCol w:w="109"/>
        <w:gridCol w:w="109"/>
        <w:gridCol w:w="109"/>
        <w:gridCol w:w="541"/>
        <w:gridCol w:w="319"/>
        <w:gridCol w:w="281"/>
        <w:gridCol w:w="125"/>
        <w:gridCol w:w="125"/>
        <w:gridCol w:w="125"/>
        <w:gridCol w:w="541"/>
        <w:gridCol w:w="319"/>
        <w:gridCol w:w="281"/>
        <w:gridCol w:w="109"/>
        <w:gridCol w:w="109"/>
        <w:gridCol w:w="109"/>
        <w:gridCol w:w="317"/>
        <w:gridCol w:w="317"/>
        <w:gridCol w:w="319"/>
        <w:gridCol w:w="110"/>
        <w:gridCol w:w="110"/>
        <w:gridCol w:w="110"/>
        <w:gridCol w:w="320"/>
        <w:gridCol w:w="320"/>
        <w:gridCol w:w="468"/>
      </w:tblGrid>
      <w:tr>
        <w:trPr/>
        <w:tc>
          <w:tcPr>
            <w:tcW w:w="92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billions</w:t>
            </w:r>
          </w:p>
        </w:tc>
        <w:tc>
          <w:tcPr>
            <w:tcW w:w="54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2025 vs. Q2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 2025 vs. YTD 2024</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MSR</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MSR transferred to MSR capital partners</w:t>
            </w:r>
            <w:r>
              <w:rPr>
                <w:color w:val="000000"/>
              </w:rPr>
              <w:t xml:space="preserve"> </w:t>
            </w:r>
            <w:r>
              <w:rPr>
                <w:rFonts w:ascii="Times New Roman;serif" w:hAnsi="Times New Roman;serif"/>
                <w:b w:val="false"/>
                <w:color w:val="000000"/>
                <w:sz w:val="13"/>
              </w:rPr>
              <w:t>(1)</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Subservicing (including reverse subservicing)</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Reverse mortgage loans and others </w:t>
            </w:r>
            <w:r>
              <w:rPr>
                <w:rFonts w:ascii="Times New Roman;serif" w:hAnsi="Times New Roman;serif"/>
                <w:b w:val="false"/>
                <w:color w:val="000000"/>
                <w:sz w:val="13"/>
              </w:rPr>
              <w:t>(2)</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servicing and subservicing UPB (average)</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MSRs sold or transferred to Rithm, MAV and other MSR capital partners with subservicing retained and that do not qualify for derecognition / sale accounting. Reported as MSR at fair value on our consolidated balance sheet along with an associated Pledged MSR liability, economically deemed as subservicing relationship,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(2) Reverse mortgage loans and other servicing (including whole loans) carried on balance sheet.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June 30, 2025, the total servicing and subservicing UPB amounted to $315.5 billion and $309.5 billion, respectively, a net increase of $6.0 billion or 1.9% (7.7% annualized).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Market Update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key market interest rates which are important drivers of our businesses. As further discussed, the 30-year fixed rate mortgage is a key driver of Originations volume and prepayments in Servicing, the 10-year Treasury rate is a key benchmark for MSR valuation and hedging activities, and the 1-month SOFR is a key benchmark for the profitability of our Servicing segment (including float earnings and asset-backed financing cost). </w:t>
      </w:r>
    </w:p>
    <w:tbl>
      <w:tblPr>
        <w:tblW w:w="9606" w:type="dxa"/>
        <w:jc w:val="left"/>
        <w:tblInd w:w="0" w:type="dxa"/>
        <w:tblLayout w:type="fixed"/>
        <w:tblCellMar>
          <w:top w:w="28" w:type="dxa"/>
          <w:left w:w="28" w:type="dxa"/>
          <w:bottom w:w="28" w:type="dxa"/>
          <w:right w:w="28" w:type="dxa"/>
        </w:tblCellMar>
      </w:tblPr>
      <w:tblGrid>
        <w:gridCol w:w="1198"/>
        <w:gridCol w:w="1055"/>
        <w:gridCol w:w="1062"/>
        <w:gridCol w:w="434"/>
        <w:gridCol w:w="434"/>
        <w:gridCol w:w="436"/>
        <w:gridCol w:w="208"/>
        <w:gridCol w:w="208"/>
        <w:gridCol w:w="208"/>
        <w:gridCol w:w="270"/>
        <w:gridCol w:w="270"/>
        <w:gridCol w:w="270"/>
        <w:gridCol w:w="109"/>
        <w:gridCol w:w="109"/>
        <w:gridCol w:w="109"/>
        <w:gridCol w:w="434"/>
        <w:gridCol w:w="434"/>
        <w:gridCol w:w="436"/>
        <w:gridCol w:w="191"/>
        <w:gridCol w:w="191"/>
        <w:gridCol w:w="191"/>
        <w:gridCol w:w="394"/>
        <w:gridCol w:w="394"/>
        <w:gridCol w:w="561"/>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30-year fixed rate mortgage (FRM) </w:t>
            </w:r>
            <w:r>
              <w:rPr>
                <w:rFonts w:ascii="Times New Roman;serif" w:hAnsi="Times New Roman;serif"/>
                <w:b w:val="false"/>
                <w:color w:val="000000"/>
                <w:sz w:val="13"/>
              </w:rPr>
              <w:t>(1)</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20"/>
              </w:rPr>
              <w:t xml:space="preserve">10-year Treasury rate </w:t>
            </w:r>
            <w:r>
              <w:rPr>
                <w:rFonts w:ascii="Times New Roman;serif" w:hAnsi="Times New Roman;serif"/>
                <w:b w:val="false"/>
                <w:color w:val="000000"/>
                <w:sz w:val="20"/>
              </w:rPr>
              <w:t>(end of period)</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20"/>
              </w:rPr>
              <w:t>1-month Term SOFR</w:t>
            </w:r>
            <w:r>
              <w:rPr>
                <w:color w:val="000000"/>
              </w:rPr>
              <w:t xml:space="preserve"> </w:t>
            </w:r>
            <w:r>
              <w:rPr>
                <w:rFonts w:ascii="Times New Roman;serif" w:hAnsi="Times New Roman;serif"/>
                <w:b w:val="false"/>
                <w:color w:val="000000"/>
                <w:sz w:val="20"/>
              </w:rPr>
              <w:t>(average)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rFonts w:ascii="Times New Roman;serif" w:hAnsi="Times New Roman;serif"/>
          <w:b w:val="false"/>
          <w:color w:val="000000"/>
          <w:sz w:val="18"/>
        </w:rPr>
        <w:t>(1)Source: Freddie Mac PMMS - Primary Mortgage Market Survey</w:t>
      </w:r>
      <w:r>
        <w:rPr>
          <w:color w:val="000000"/>
        </w:rPr>
        <w:t xml:space="preserve">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30-year fixed rate mortgage rate declined 47 basis points in the third quarter of 2025 driving higher refinancing and home purchase activity. The average 30-year fixed rate mortgage rate declined 20 basis points quarter over quarter and remained mostly flat when comparing the first nine months of 2025 and 2024. The 30-year fixed rate mortgage rate remains at elevated levels relative to the past decade, impacting borrower affordability and overall origination market volumes. The average 30-year fixed rate mortgage between 2015 to 2024 was 4.85% excluding the 2020 and 2021 years impacted by Covid 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2024, the Federal Reserve reduced its federal funds target rate a total of 1 percentage point between September and December 2024 (50-basis point reduction in September and two consecutive 25-basis point reductions in November and December). On September 17, 2025 the Federal Reserve reduced its federal funds target rate 25-basis points, which was the first time it changed its target rate in 2025. The 1-month SOFR largely followed the federal fund rate, as illustrated in the below graph, resulting in an average rate mostly flat quarter over quarter and a 98 basis points decline year over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further illustrated in the below graph, the 10-year Treasury rate declined slightly in the third quarter of 2025 (8 basis points) and declined 42 basis points during the nine months ended September 30, 2025 compared to a decrease of 7 basis points during the same period of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market interest rates over the current and comparative periods:</w:t>
      </w:r>
    </w:p>
    <w:p>
      <w:pPr>
        <w:pStyle w:val="TextBody"/>
        <w:bidi w:val="0"/>
        <w:spacing w:before="120" w:after="120"/>
        <w:jc w:val="center"/>
        <w:rPr/>
      </w:pPr>
      <w:r>
        <w:rPr/>
        <w:drawing>
          <wp:inline distT="0" distB="0" distL="0" distR="0">
            <wp:extent cx="4924425" cy="2647950"/>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3"/>
                    <a:stretch>
                      <a:fillRect/>
                    </a:stretch>
                  </pic:blipFill>
                  <pic:spPr bwMode="auto">
                    <a:xfrm>
                      <a:off x="0" y="0"/>
                      <a:ext cx="4924425" cy="2647950"/>
                    </a:xfrm>
                    <a:prstGeom prst="rect">
                      <a:avLst/>
                    </a:prstGeom>
                  </pic:spPr>
                </pic:pic>
              </a:graphicData>
            </a:graphic>
          </wp:inline>
        </w:drawing>
      </w:r>
      <w:bookmarkStart w:id="1" w:name="i-2"/>
      <w:bookmarkEnd w:id="1"/>
    </w:p>
    <w:p>
      <w:pPr>
        <w:pStyle w:val="TextBody"/>
        <w:bidi w:val="0"/>
        <w:spacing w:lineRule="auto" w:line="288" w:before="0" w:after="0"/>
        <w:jc w:val="left"/>
        <w:rPr/>
      </w:pPr>
      <w:r>
        <w:rPr>
          <w:rFonts w:ascii="Times New Roman;serif" w:hAnsi="Times New Roman;serif"/>
          <w:b w:val="false"/>
          <w:color w:val="000000"/>
          <w:sz w:val="20"/>
        </w:rPr>
        <w:t xml:space="preserve">Another key driver of our Originations business is the overall mortgage origination market volume, that, in addition to interest rates, is sensitive to home sales and home prices and other macroeconomic conditions, such as gross domestic product and unemployment. We source a large part of our Originations volume from Correspondent lenders and the industry volume is a relevant benchmark. The following graphs present the industry origination volumes (in $ billions, average of the MBA and Fannie Mae data) in the current and comparative periods. </w:t>
        <w:br/>
      </w:r>
      <w:r>
        <w:rPr/>
        <w:drawing>
          <wp:inline distT="0" distB="0" distL="0" distR="0">
            <wp:extent cx="2924175" cy="2466975"/>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2924175" cy="2466975"/>
                    </a:xfrm>
                    <a:prstGeom prst="rect">
                      <a:avLst/>
                    </a:prstGeom>
                  </pic:spPr>
                </pic:pic>
              </a:graphicData>
            </a:graphic>
          </wp:inline>
        </w:drawing>
      </w:r>
      <w:bookmarkStart w:id="2" w:name="i-3"/>
      <w:bookmarkEnd w:id="2"/>
      <w:r>
        <w:rPr>
          <w:color w:val="000000"/>
        </w:rPr>
        <w:t xml:space="preserve"> </w:t>
      </w:r>
      <w:r>
        <w:rPr/>
        <w:drawing>
          <wp:inline distT="0" distB="0" distL="0" distR="0">
            <wp:extent cx="2924175" cy="2466975"/>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5"/>
                    <a:stretch>
                      <a:fillRect/>
                    </a:stretch>
                  </pic:blipFill>
                  <pic:spPr bwMode="auto">
                    <a:xfrm>
                      <a:off x="0" y="0"/>
                      <a:ext cx="2924175" cy="2466975"/>
                    </a:xfrm>
                    <a:prstGeom prst="rect">
                      <a:avLst/>
                    </a:prstGeom>
                  </pic:spPr>
                </pic:pic>
              </a:graphicData>
            </a:graphic>
          </wp:inline>
        </w:drawing>
      </w:r>
      <w:bookmarkStart w:id="3" w:name="i-4"/>
      <w:bookmarkEnd w:id="3"/>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Source: MBA Mortgage Finance Forecast as of October 19, 2025 and Fannie Mae Housing Forecast as of October 13, 2025. Most recent current period volumes are forecasts. In $ billions.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industry volume grew 3% quarter over quarter (Q3 2025 vs Q2 2025), led by a stronger increase in refinance activity, and grew 16% year over year (Q3 2025 vs Q3 2024), also driven by higher refinance originations as borrowers responded to favorable interest rates movements. On a year-to-date basis (YTD), the average industry volume grew 15% in the first nine months of 2025 as compared with the first nine months of 2024. Comparatively, our Originations volume growth (funded volume of Correspondent and Consumer Direct) outpaced the industry for all periods presented, as summarized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7866" w:type="dxa"/>
        <w:jc w:val="center"/>
        <w:tblInd w:w="0" w:type="dxa"/>
        <w:tblLayout w:type="fixed"/>
        <w:tblCellMar>
          <w:top w:w="28" w:type="dxa"/>
          <w:left w:w="28" w:type="dxa"/>
          <w:bottom w:w="28" w:type="dxa"/>
          <w:right w:w="28" w:type="dxa"/>
        </w:tblCellMar>
      </w:tblPr>
      <w:tblGrid>
        <w:gridCol w:w="1352"/>
        <w:gridCol w:w="1190"/>
        <w:gridCol w:w="1193"/>
        <w:gridCol w:w="364"/>
        <w:gridCol w:w="364"/>
        <w:gridCol w:w="366"/>
        <w:gridCol w:w="109"/>
        <w:gridCol w:w="109"/>
        <w:gridCol w:w="109"/>
        <w:gridCol w:w="364"/>
        <w:gridCol w:w="364"/>
        <w:gridCol w:w="366"/>
        <w:gridCol w:w="109"/>
        <w:gridCol w:w="109"/>
        <w:gridCol w:w="109"/>
        <w:gridCol w:w="377"/>
        <w:gridCol w:w="377"/>
        <w:gridCol w:w="535"/>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Q3 2025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Q3 2025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YTD 2025 vs.</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YTD 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Comparative Origination Volume Growth </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Industry (see above)</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Onity</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for the third quarter of 2025</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Net income attributable to common stockholders of $18 million, or $2.19 per share basic and $2.03 diluted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Servicing and subservicing fee revenue of $217 million, with $316 billion total servicing and subservicing UPB</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Originations gain on sale of $31 million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$4 million MSR valuation gain attributable to input and assumption changes, net of hedging</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Financial condition at September 30, 2025</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Stockholders’ equity of $501 million, or $62.21 book value per common share</w:t>
      </w:r>
      <w:r>
        <w:rPr>
          <w:color w:val="000000"/>
        </w:rPr>
        <w:t xml:space="preserv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MSR investment of $2.8 billion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Total liquidity of $221 million, and cash position of $173 million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Total assets of $16.1 billion </w:t>
      </w:r>
    </w:p>
    <w:p>
      <w:pPr>
        <w:pStyle w:val="TextBody"/>
        <w:bidi w:val="0"/>
        <w:spacing w:lineRule="auto" w:line="288" w:before="180" w:after="120"/>
        <w:jc w:val="left"/>
        <w:rPr/>
      </w:pPr>
      <w:r>
        <w:rPr>
          <w:rFonts w:ascii="Times New Roman;serif" w:hAnsi="Times New Roman;serif"/>
          <w:b/>
          <w:color w:val="000000"/>
          <w:sz w:val="20"/>
        </w:rPr>
        <w:t>Business Strategy</w:t>
      </w:r>
      <w:r>
        <w:rPr>
          <w:color w:val="000000"/>
        </w:rPr>
        <w:t xml:space="preserv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We established the following strategy to deliver sustainable profitability and create long-term value for all stakeholders:</w:t>
      </w:r>
    </w:p>
    <w:p>
      <w:pPr>
        <w:pStyle w:val="TextBody"/>
        <w:bidi w:val="0"/>
        <w:spacing w:lineRule="auto" w:line="288" w:before="0" w:after="60"/>
        <w:ind w:left="0" w:right="0" w:hanging="360"/>
        <w:jc w:val="left"/>
        <w:rPr/>
      </w:pPr>
      <w:r>
        <w:rPr>
          <w:color w:val="000000"/>
        </w:rPr>
        <w:t>•</w:t>
      </w:r>
      <w:r>
        <w:rPr>
          <w:rFonts w:ascii="Times New Roman;serif" w:hAnsi="Times New Roman;serif"/>
          <w:b/>
          <w:i/>
          <w:color w:val="000000"/>
          <w:sz w:val="20"/>
        </w:rPr>
        <w:t>Balance and diversification:</w:t>
      </w:r>
      <w:r>
        <w:rPr>
          <w:color w:val="000000"/>
        </w:rPr>
        <w:t xml:space="preserve"> </w:t>
      </w:r>
      <w:r>
        <w:rPr>
          <w:rFonts w:ascii="Times New Roman;serif" w:hAnsi="Times New Roman;serif"/>
          <w:b w:val="false"/>
          <w:color w:val="000000"/>
          <w:sz w:val="20"/>
        </w:rPr>
        <w:t>Maintain a scale position in origination and servicing to address market-cycle opportunities;</w:t>
      </w:r>
    </w:p>
    <w:p>
      <w:pPr>
        <w:pStyle w:val="TextBody"/>
        <w:bidi w:val="0"/>
        <w:spacing w:lineRule="auto" w:line="288" w:before="0" w:after="60"/>
        <w:ind w:left="0" w:right="0" w:hanging="360"/>
        <w:jc w:val="left"/>
        <w:rPr/>
      </w:pPr>
      <w:r>
        <w:rPr>
          <w:color w:val="000000"/>
        </w:rPr>
        <w:t>•</w:t>
      </w:r>
      <w:r>
        <w:rPr>
          <w:rFonts w:ascii="Times New Roman;serif" w:hAnsi="Times New Roman;serif"/>
          <w:b/>
          <w:i/>
          <w:color w:val="000000"/>
          <w:sz w:val="20"/>
        </w:rPr>
        <w:t>Prudent capital-light growth:</w:t>
      </w:r>
      <w:r>
        <w:rPr>
          <w:color w:val="000000"/>
        </w:rPr>
        <w:t xml:space="preserve"> </w:t>
      </w:r>
      <w:r>
        <w:rPr>
          <w:rFonts w:ascii="Times New Roman;serif" w:hAnsi="Times New Roman;serif"/>
          <w:b w:val="false"/>
          <w:color w:val="000000"/>
          <w:sz w:val="20"/>
        </w:rPr>
        <w:t>Emphasize capital-light subservicing to drive servicing portfolio UPB growth and expand higher margin products and origination channels to drive accretive MSR investments;</w:t>
      </w:r>
    </w:p>
    <w:p>
      <w:pPr>
        <w:pStyle w:val="TextBody"/>
        <w:bidi w:val="0"/>
        <w:spacing w:lineRule="auto" w:line="288" w:before="0" w:after="60"/>
        <w:ind w:left="0" w:right="0" w:hanging="360"/>
        <w:jc w:val="left"/>
        <w:rPr/>
      </w:pPr>
      <w:r>
        <w:rPr>
          <w:color w:val="000000"/>
        </w:rPr>
        <w:t>•</w:t>
      </w:r>
      <w:r>
        <w:rPr>
          <w:rFonts w:ascii="Times New Roman;serif" w:hAnsi="Times New Roman;serif"/>
          <w:b/>
          <w:i/>
          <w:color w:val="000000"/>
          <w:sz w:val="20"/>
        </w:rPr>
        <w:t>Industry-leading cost structure:</w:t>
      </w:r>
      <w:r>
        <w:rPr>
          <w:color w:val="000000"/>
        </w:rPr>
        <w:t xml:space="preserve"> </w:t>
      </w:r>
      <w:r>
        <w:rPr>
          <w:rFonts w:ascii="Times New Roman;serif" w:hAnsi="Times New Roman;serif"/>
          <w:b w:val="false"/>
          <w:color w:val="000000"/>
          <w:sz w:val="20"/>
        </w:rPr>
        <w:t xml:space="preserve">Achieve industry cost leadership through continuous cost and process improvement, optimizing global operations and technology, and drive innovation, including artificial intelligence based solutions; </w:t>
      </w:r>
    </w:p>
    <w:p>
      <w:pPr>
        <w:pStyle w:val="TextBody"/>
        <w:bidi w:val="0"/>
        <w:spacing w:lineRule="auto" w:line="288" w:before="0" w:after="60"/>
        <w:ind w:left="0" w:right="0" w:hanging="360"/>
        <w:jc w:val="left"/>
        <w:rPr/>
      </w:pPr>
      <w:r>
        <w:rPr>
          <w:color w:val="000000"/>
        </w:rPr>
        <w:t>•</w:t>
      </w:r>
      <w:r>
        <w:rPr>
          <w:rFonts w:ascii="Times New Roman;serif" w:hAnsi="Times New Roman;serif"/>
          <w:b/>
          <w:i/>
          <w:color w:val="000000"/>
          <w:sz w:val="20"/>
        </w:rPr>
        <w:t>Top-tier operating performance and capabilities:</w:t>
      </w:r>
      <w:r>
        <w:rPr>
          <w:color w:val="000000"/>
        </w:rPr>
        <w:t xml:space="preserve"> </w:t>
      </w:r>
      <w:r>
        <w:rPr>
          <w:rFonts w:ascii="Times New Roman;serif" w:hAnsi="Times New Roman;serif"/>
          <w:b w:val="false"/>
          <w:color w:val="000000"/>
          <w:sz w:val="20"/>
        </w:rPr>
        <w:t>Deliver industry top-tier servicing operational performance and increase borrower and client satisfaction;</w:t>
      </w:r>
    </w:p>
    <w:p>
      <w:pPr>
        <w:pStyle w:val="TextBody"/>
        <w:bidi w:val="0"/>
        <w:spacing w:lineRule="auto" w:line="288" w:before="0" w:after="60"/>
        <w:ind w:left="0" w:right="0" w:hanging="360"/>
        <w:jc w:val="left"/>
        <w:rPr/>
      </w:pPr>
      <w:r>
        <w:rPr>
          <w:color w:val="000000"/>
        </w:rPr>
        <w:t>•</w:t>
      </w:r>
      <w:r>
        <w:rPr>
          <w:rFonts w:ascii="Times New Roman;serif" w:hAnsi="Times New Roman;serif"/>
          <w:b/>
          <w:i/>
          <w:color w:val="000000"/>
          <w:sz w:val="20"/>
        </w:rPr>
        <w:t>Dynamic asset management:</w:t>
      </w:r>
      <w:r>
        <w:rPr>
          <w:color w:val="000000"/>
        </w:rPr>
        <w:t xml:space="preserve"> </w:t>
      </w:r>
      <w:r>
        <w:rPr>
          <w:rFonts w:ascii="Times New Roman;serif" w:hAnsi="Times New Roman;serif"/>
          <w:b w:val="false"/>
          <w:color w:val="000000"/>
          <w:sz w:val="20"/>
        </w:rPr>
        <w:t>Optimize investment returns and liquidity through dynamic and opportunistic asset purchases and sales.</w:t>
      </w:r>
    </w:p>
    <w:p>
      <w:pPr>
        <w:pStyle w:val="TextBody"/>
        <w:bidi w:val="0"/>
        <w:spacing w:lineRule="auto" w:line="288" w:before="120" w:after="180"/>
        <w:jc w:val="left"/>
        <w:rPr/>
      </w:pPr>
      <w:r>
        <w:rPr>
          <w:rFonts w:ascii="Times New Roman;serif" w:hAnsi="Times New Roman;serif"/>
          <w:b w:val="false"/>
          <w:color w:val="000000"/>
          <w:sz w:val="20"/>
        </w:rPr>
        <w:t>Our growth and asset management strategy includes purchasing assets and/or operations of complementary businesses, by means of acquisition, merger or other transaction forms. Our strategy may also include pursuing large transactions, including bulk purchases or sales of MSRs</w:t>
      </w:r>
      <w:r>
        <w:rPr>
          <w:rFonts w:ascii="Times New Roman;serif" w:hAnsi="Times New Roman;serif"/>
          <w:b w:val="false"/>
          <w:color w:val="293849"/>
          <w:sz w:val="20"/>
        </w:rPr>
        <w:t xml:space="preserve">. </w:t>
      </w:r>
      <w:r>
        <w:rPr>
          <w:rFonts w:ascii="Times New Roman;serif" w:hAnsi="Times New Roman;serif"/>
          <w:b w:val="false"/>
          <w:color w:val="000000"/>
          <w:sz w:val="20"/>
        </w:rPr>
        <w:t xml:space="preserve">We have engaged in such transactions in the past, and we continue to explore opportunities that may be accretive to our business and stockholders’ value. </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results of operations and financial condition should be read in conjunction with our unaudited consolidated financial statements and the related notes appearing elsewhere in this Quarterly Report on Form 10-Q and with our audited consolidated financial statements and related notes and management’s discussion and analysis of financial condition and results of operations appearing in our Annual Report filed on Form 10-K for the fiscal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616"/>
        <w:gridCol w:w="420"/>
        <w:gridCol w:w="421"/>
        <w:gridCol w:w="516"/>
        <w:gridCol w:w="316"/>
        <w:gridCol w:w="268"/>
        <w:gridCol w:w="118"/>
        <w:gridCol w:w="118"/>
        <w:gridCol w:w="118"/>
        <w:gridCol w:w="322"/>
        <w:gridCol w:w="285"/>
        <w:gridCol w:w="286"/>
        <w:gridCol w:w="109"/>
        <w:gridCol w:w="109"/>
        <w:gridCol w:w="109"/>
        <w:gridCol w:w="109"/>
        <w:gridCol w:w="109"/>
        <w:gridCol w:w="330"/>
        <w:gridCol w:w="330"/>
        <w:gridCol w:w="331"/>
        <w:gridCol w:w="109"/>
        <w:gridCol w:w="109"/>
        <w:gridCol w:w="109"/>
        <w:gridCol w:w="109"/>
        <w:gridCol w:w="516"/>
        <w:gridCol w:w="316"/>
        <w:gridCol w:w="268"/>
        <w:gridCol w:w="117"/>
        <w:gridCol w:w="117"/>
        <w:gridCol w:w="117"/>
        <w:gridCol w:w="516"/>
        <w:gridCol w:w="316"/>
        <w:gridCol w:w="268"/>
        <w:gridCol w:w="109"/>
        <w:gridCol w:w="109"/>
        <w:gridCol w:w="109"/>
        <w:gridCol w:w="109"/>
        <w:gridCol w:w="109"/>
        <w:gridCol w:w="109"/>
        <w:gridCol w:w="109"/>
        <w:gridCol w:w="244"/>
        <w:gridCol w:w="245"/>
        <w:gridCol w:w="626"/>
      </w:tblGrid>
      <w:tr>
        <w:trPr/>
        <w:tc>
          <w:tcPr>
            <w:tcW w:w="6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457"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Condensed Statements of Operations</w:t>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57" w:type="dxa"/>
            <w:gridSpan w:val="3"/>
            <w:vMerge w:val="continue"/>
            <w:tcBorders/>
            <w:tcMar>
              <w:top w:w="0" w:type="dxa"/>
              <w:left w:w="0" w:type="dxa"/>
              <w:bottom w:w="0" w:type="dxa"/>
              <w:right w:w="0" w:type="dxa"/>
            </w:tcMar>
            <w:vAlign w:val="center"/>
          </w:tcPr>
          <w:p>
            <w:pPr>
              <w:pStyle w:val="Normal"/>
              <w:bidi w:val="0"/>
              <w:jc w:val="left"/>
              <w:rPr/>
            </w:pPr>
            <w:r>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7" w:type="dxa"/>
            <w:gridSpan w:val="3"/>
            <w:vMerge w:val="continue"/>
            <w:tcBorders/>
            <w:tcMar>
              <w:top w:w="0" w:type="dxa"/>
              <w:left w:w="0" w:type="dxa"/>
              <w:bottom w:w="0" w:type="dxa"/>
              <w:right w:w="0" w:type="dxa"/>
            </w:tcMar>
            <w:vAlign w:val="center"/>
          </w:tcPr>
          <w:p>
            <w:pPr>
              <w:pStyle w:val="Normal"/>
              <w:bidi w:val="0"/>
              <w:jc w:val="left"/>
              <w:rPr/>
            </w:pPr>
            <w:r>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valuation adjustments, net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n/m: not meaningful</w:t>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 displays income before income taxes by segment for the periods presented (also refer to the respective segment discussions):</w:t>
      </w:r>
    </w:p>
    <w:p>
      <w:pPr>
        <w:pStyle w:val="TextBody"/>
        <w:bidi w:val="0"/>
        <w:spacing w:lineRule="auto" w:line="288" w:before="120" w:after="120"/>
        <w:jc w:val="center"/>
        <w:rPr/>
      </w:pPr>
      <w:r>
        <w:rPr/>
        <w:drawing>
          <wp:inline distT="0" distB="0" distL="0" distR="0">
            <wp:extent cx="1828800" cy="1828800"/>
            <wp:effectExtent l="0" t="0" r="0" b="0"/>
            <wp:docPr id="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 descr=""/>
                    <pic:cNvPicPr>
                      <a:picLocks noChangeAspect="1" noChangeArrowheads="1"/>
                    </pic:cNvPicPr>
                  </pic:nvPicPr>
                  <pic:blipFill>
                    <a:blip r:embed="rId6"/>
                    <a:stretch>
                      <a:fillRect/>
                    </a:stretch>
                  </pic:blipFill>
                  <pic:spPr bwMode="auto">
                    <a:xfrm>
                      <a:off x="0" y="0"/>
                      <a:ext cx="1828800" cy="1828800"/>
                    </a:xfrm>
                    <a:prstGeom prst="rect">
                      <a:avLst/>
                    </a:prstGeom>
                  </pic:spPr>
                </pic:pic>
              </a:graphicData>
            </a:graphic>
          </wp:inline>
        </w:drawing>
      </w:r>
      <w:bookmarkStart w:id="4" w:name="i-5"/>
      <w:bookmarkEnd w:id="4"/>
      <w:r>
        <w:rPr>
          <w:color w:val="000000"/>
        </w:rPr>
        <w:t xml:space="preserve"> </w:t>
      </w:r>
      <w:r>
        <w:rPr/>
        <w:drawing>
          <wp:inline distT="0" distB="0" distL="0" distR="0">
            <wp:extent cx="3657600" cy="1828800"/>
            <wp:effectExtent l="0" t="0" r="0" b="0"/>
            <wp:docPr id="6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 descr=""/>
                    <pic:cNvPicPr>
                      <a:picLocks noChangeAspect="1" noChangeArrowheads="1"/>
                    </pic:cNvPicPr>
                  </pic:nvPicPr>
                  <pic:blipFill>
                    <a:blip r:embed="rId7"/>
                    <a:stretch>
                      <a:fillRect/>
                    </a:stretch>
                  </pic:blipFill>
                  <pic:spPr bwMode="auto">
                    <a:xfrm>
                      <a:off x="0" y="0"/>
                      <a:ext cx="3657600" cy="1828800"/>
                    </a:xfrm>
                    <a:prstGeom prst="rect">
                      <a:avLst/>
                    </a:prstGeom>
                  </pic:spPr>
                </pic:pic>
              </a:graphicData>
            </a:graphic>
          </wp:inline>
        </w:drawing>
      </w:r>
      <w:bookmarkStart w:id="5" w:name="i-6"/>
      <w:bookmarkEnd w:id="5"/>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Onity reported $18.7 million of net income in the third quarter of 2025, compared to $21.5 million in the second quarter of 2025, reflecting a steady income before income taxes and an additional $3.0 million income tax expense quarter over quarter. The following discusses certain notable changes: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$33.7 million increase in revenue, mostly driven by a $23.7 million increase in Gain on loans held for sale, with higher margins and higher volumes in Originations (+$15.3 million gain) and favorable fair value changes of reverse buyouts. In addition, Servicing and subservicing fees increased $6.2 million with higher float earnings and a higher average servicing UPB.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$17.7 million higher loss on MSR valuation adjustments, net largely driven by favorable assumption updates in the second quarter of 2025, higher MSR runoff expense in the third quarter of 2025, and the impact of interest rates, net of hedging.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$16.2 million increase in Operating expenses, mostly explained by reimbursements received in the second quarter of 2025 related to prior years’ legal expenses.</w: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presents revenue by type for the periods presented: </w:t>
      </w:r>
    </w:p>
    <w:tbl>
      <w:tblPr>
        <w:tblW w:w="10205" w:type="dxa"/>
        <w:jc w:val="left"/>
        <w:tblInd w:w="0" w:type="dxa"/>
        <w:tblLayout w:type="fixed"/>
        <w:tblCellMar>
          <w:top w:w="28" w:type="dxa"/>
          <w:left w:w="28" w:type="dxa"/>
          <w:bottom w:w="28" w:type="dxa"/>
          <w:right w:w="28" w:type="dxa"/>
        </w:tblCellMar>
      </w:tblPr>
      <w:tblGrid>
        <w:gridCol w:w="695"/>
        <w:gridCol w:w="579"/>
        <w:gridCol w:w="584"/>
        <w:gridCol w:w="512"/>
        <w:gridCol w:w="316"/>
        <w:gridCol w:w="266"/>
        <w:gridCol w:w="117"/>
        <w:gridCol w:w="117"/>
        <w:gridCol w:w="117"/>
        <w:gridCol w:w="319"/>
        <w:gridCol w:w="285"/>
        <w:gridCol w:w="286"/>
        <w:gridCol w:w="109"/>
        <w:gridCol w:w="109"/>
        <w:gridCol w:w="109"/>
        <w:gridCol w:w="109"/>
        <w:gridCol w:w="109"/>
        <w:gridCol w:w="233"/>
        <w:gridCol w:w="233"/>
        <w:gridCol w:w="551"/>
        <w:gridCol w:w="109"/>
        <w:gridCol w:w="109"/>
        <w:gridCol w:w="109"/>
        <w:gridCol w:w="512"/>
        <w:gridCol w:w="316"/>
        <w:gridCol w:w="266"/>
        <w:gridCol w:w="115"/>
        <w:gridCol w:w="115"/>
        <w:gridCol w:w="115"/>
        <w:gridCol w:w="512"/>
        <w:gridCol w:w="316"/>
        <w:gridCol w:w="266"/>
        <w:gridCol w:w="109"/>
        <w:gridCol w:w="109"/>
        <w:gridCol w:w="109"/>
        <w:gridCol w:w="109"/>
        <w:gridCol w:w="109"/>
        <w:gridCol w:w="211"/>
        <w:gridCol w:w="211"/>
        <w:gridCol w:w="623"/>
      </w:tblGrid>
      <w:tr>
        <w:trPr/>
        <w:tc>
          <w:tcPr>
            <w:tcW w:w="69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8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58"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8"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subservicing fees</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18"/>
              </w:rPr>
            </w:pPr>
            <w:r>
              <w:rPr>
                <w:rFonts w:ascii="Times New Roman;serif" w:hAnsi="Times New Roman;serif"/>
                <w:b w:val="false"/>
                <w:color w:val="FFFFFF"/>
                <w:sz w:val="18"/>
              </w:rPr>
              <w:t>n/m: not meaningful</w:t>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chart displays total revenue by segment for the periods presented (also refer to the respective segment discussions):</w:t>
      </w:r>
    </w:p>
    <w:p>
      <w:pPr>
        <w:pStyle w:val="TextBody"/>
        <w:bidi w:val="0"/>
        <w:spacing w:lineRule="auto" w:line="288" w:before="120" w:after="120"/>
        <w:jc w:val="center"/>
        <w:rPr/>
      </w:pPr>
      <w:r>
        <w:rPr/>
        <w:drawing>
          <wp:inline distT="0" distB="0" distL="0" distR="0">
            <wp:extent cx="1828800" cy="1638300"/>
            <wp:effectExtent l="0" t="0" r="0" b="0"/>
            <wp:docPr id="6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7" descr=""/>
                    <pic:cNvPicPr>
                      <a:picLocks noChangeAspect="1" noChangeArrowheads="1"/>
                    </pic:cNvPicPr>
                  </pic:nvPicPr>
                  <pic:blipFill>
                    <a:blip r:embed="rId8"/>
                    <a:stretch>
                      <a:fillRect/>
                    </a:stretch>
                  </pic:blipFill>
                  <pic:spPr bwMode="auto">
                    <a:xfrm>
                      <a:off x="0" y="0"/>
                      <a:ext cx="1828800" cy="1638300"/>
                    </a:xfrm>
                    <a:prstGeom prst="rect">
                      <a:avLst/>
                    </a:prstGeom>
                  </pic:spPr>
                </pic:pic>
              </a:graphicData>
            </a:graphic>
          </wp:inline>
        </w:drawing>
      </w:r>
      <w:bookmarkStart w:id="6" w:name="i-7"/>
      <w:bookmarkEnd w:id="6"/>
      <w:r>
        <w:rPr>
          <w:color w:val="000000"/>
        </w:rPr>
        <w:t xml:space="preserve"> </w:t>
      </w:r>
      <w:r>
        <w:rPr/>
        <w:drawing>
          <wp:inline distT="0" distB="0" distL="0" distR="0">
            <wp:extent cx="3657600" cy="1638300"/>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9"/>
                    <a:stretch>
                      <a:fillRect/>
                    </a:stretch>
                  </pic:blipFill>
                  <pic:spPr bwMode="auto">
                    <a:xfrm>
                      <a:off x="0" y="0"/>
                      <a:ext cx="3657600" cy="1638300"/>
                    </a:xfrm>
                    <a:prstGeom prst="rect">
                      <a:avLst/>
                    </a:prstGeom>
                  </pic:spPr>
                </pic:pic>
              </a:graphicData>
            </a:graphic>
          </wp:inline>
        </w:drawing>
      </w:r>
      <w:bookmarkStart w:id="7" w:name="i-8"/>
      <w:bookmarkEnd w:id="7"/>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months ended September 30, 2025 increased $33.7 million, or 14% compared to the three months ended June 30, 2025 due to a $16.0 million, or 7% increase, in Servicing revenue and a $17.6 million, or 60% increase, in Originations revenue.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$16.0 million increase in Servicing revenue is mostly attributed to higher Servicing and subservicing fees and higher Gain on loans held for sale. Servicing and subservicing fees increased $6.2 million driven by seasonally-increased float earnings and a higher average servicing UPB. Gain on loans held for sale improved $8.4 million largely due to losses in the prior quarter on new buyouts.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$17.6 million increase in Originations revenue is primarily attributed to a $15.3 million increase in Gain on loans held for sale, due to the combined effect of higher margins and higher loan production volume in both Consumer Direct and Correspondent channels.</w:t>
      </w:r>
    </w:p>
    <w:p>
      <w:pPr>
        <w:pStyle w:val="TextBody"/>
        <w:bidi w:val="0"/>
        <w:spacing w:lineRule="auto" w:line="288" w:before="1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total revenue for the nine months ended September 30, 2025 was $25.5 million, or 3% higher, due to a $26.3 million, or a 33% increase, in Originations revenue, and stable Servicing revenue.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The $26.3 million increase in Originations revenue is primarily driven by an $18.7 million increase in Gain on loans held for sale, net in our Consumer Direct channel and a $6.2 million increase in fee revenue attributed to a 44% higher loan production volume.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Servicing revenue remained overall stable, with three contributing factors. First, Servicing and subservicing fees increased $7.5 million driven by MSR growth. Second, Gain on reverse loans held for investment and HMBS-related borrowings, net increased $6.2 million with higher net interest income</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0"/>
        </w:rPr>
        <w:t xml:space="preserve">due to the reverse portfolio acquisition from Waterfall in the fourth quarter of 2024) and a favorable change in rates and assumptions. Third, offsetting these increases was a $16.4 million unfavorable Gain on loans held for sale variance year-over-year, mostly driven by losses on reverse mortgage buyouts in 2025 (largely attributable to the acquired reverse portfolio from Waterfall) and gains in 2024 on previously acquired reverse mortgage buyouts.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MSR Valuation Adjustments, Net </w:t>
      </w:r>
    </w:p>
    <w:p>
      <w:pPr>
        <w:pStyle w:val="TextBody"/>
        <w:bidi w:val="0"/>
        <w:spacing w:lineRule="auto" w:line="256"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key components of MSR valuation adjustments, net which include MSRs, MSR pledged liabilities and ESS financing liabilities at fair value, together with MSR hedging derivatives:</w:t>
      </w:r>
    </w:p>
    <w:tbl>
      <w:tblPr>
        <w:tblW w:w="10205" w:type="dxa"/>
        <w:jc w:val="left"/>
        <w:tblInd w:w="0" w:type="dxa"/>
        <w:tblLayout w:type="fixed"/>
        <w:tblCellMar>
          <w:top w:w="28" w:type="dxa"/>
          <w:left w:w="28" w:type="dxa"/>
          <w:bottom w:w="28" w:type="dxa"/>
          <w:right w:w="28" w:type="dxa"/>
        </w:tblCellMar>
      </w:tblPr>
      <w:tblGrid>
        <w:gridCol w:w="1531"/>
        <w:gridCol w:w="1324"/>
        <w:gridCol w:w="1331"/>
        <w:gridCol w:w="306"/>
        <w:gridCol w:w="767"/>
        <w:gridCol w:w="160"/>
        <w:gridCol w:w="109"/>
        <w:gridCol w:w="109"/>
        <w:gridCol w:w="109"/>
        <w:gridCol w:w="211"/>
        <w:gridCol w:w="571"/>
        <w:gridCol w:w="109"/>
        <w:gridCol w:w="109"/>
        <w:gridCol w:w="109"/>
        <w:gridCol w:w="109"/>
        <w:gridCol w:w="268"/>
        <w:gridCol w:w="832"/>
        <w:gridCol w:w="132"/>
        <w:gridCol w:w="126"/>
        <w:gridCol w:w="126"/>
        <w:gridCol w:w="126"/>
        <w:gridCol w:w="126"/>
        <w:gridCol w:w="257"/>
        <w:gridCol w:w="843"/>
        <w:gridCol w:w="132"/>
        <w:gridCol w:w="109"/>
        <w:gridCol w:w="164"/>
      </w:tblGrid>
      <w:tr>
        <w:trPr/>
        <w:tc>
          <w:tcPr>
            <w:tcW w:w="15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505" w:type="dxa"/>
            <w:gridSpan w:val="5"/>
            <w:tcBorders/>
          </w:tcPr>
          <w:p>
            <w:pPr>
              <w:pStyle w:val="TableContents"/>
              <w:bidi w:val="0"/>
              <w:spacing w:before="0" w:after="283"/>
              <w:jc w:val="left"/>
              <w:rPr>
                <w:sz w:val="4"/>
                <w:szCs w:val="4"/>
              </w:rPr>
            </w:pPr>
            <w:r>
              <w:rPr>
                <w:sz w:val="4"/>
                <w:szCs w:val="4"/>
              </w:rPr>
            </w:r>
          </w:p>
        </w:tc>
      </w:tr>
      <w:tr>
        <w:trPr/>
        <w:tc>
          <w:tcPr>
            <w:tcW w:w="4186" w:type="dxa"/>
            <w:gridSpan w:val="3"/>
            <w:vMerge w:val="continue"/>
            <w:tcBorders/>
            <w:tcMar>
              <w:top w:w="0" w:type="dxa"/>
              <w:left w:w="0" w:type="dxa"/>
              <w:bottom w:w="0" w:type="dxa"/>
              <w:right w:w="0" w:type="dxa"/>
            </w:tcMar>
            <w:vAlign w:val="center"/>
          </w:tcPr>
          <w:p>
            <w:pPr>
              <w:pStyle w:val="Normal"/>
              <w:bidi w:val="0"/>
              <w:jc w:val="left"/>
              <w:rPr/>
            </w:pPr>
            <w:r>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86" w:type="dxa"/>
            <w:gridSpan w:val="3"/>
            <w:vMerge w:val="continue"/>
            <w:tcBorders/>
            <w:tcMar>
              <w:top w:w="0" w:type="dxa"/>
              <w:left w:w="0" w:type="dxa"/>
              <w:bottom w:w="0" w:type="dxa"/>
              <w:right w:w="0" w:type="dxa"/>
            </w:tcMar>
            <w:vAlign w:val="center"/>
          </w:tcPr>
          <w:p>
            <w:pPr>
              <w:pStyle w:val="Normal"/>
              <w:bidi w:val="0"/>
              <w:jc w:val="left"/>
              <w:rPr/>
            </w:pPr>
            <w:r>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Realization of expected cash flows (runoff)</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gains (losses) due to input and assumption changes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hedging derivative fair value gain (loss)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MSR valuation adjustments, net</w:t>
            </w:r>
            <w:r>
              <w:rPr>
                <w:color w:val="000000"/>
              </w:rPr>
              <w:t xml:space="preserve"> </w:t>
            </w:r>
            <w:r>
              <w:rPr>
                <w:rFonts w:ascii="Times New Roman;serif" w:hAnsi="Times New Roman;serif"/>
                <w:b/>
                <w:color w:val="000000"/>
                <w:sz w:val="13"/>
              </w:rPr>
              <w:t>(1)</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(1)Excludes fair value changes of reverse mortgage loans held for investment and HMBS related borrowing due to rates and assumptions that are part of the MSR hedging strategy. Refer to MSR Hedging Strategy section of Item 3. Quantitative and Qualitative Disclosures about Market Risk for further detail and the discussion below within Servicing.</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$45.0 million loss on MSR valuation adjustments, net for the three months ended September 30, 2025 is comprised of $48.8 million of runoff expense, a $6.8 million fair value loss attributable to input and assumption changes and $10.6 million gain on MSR hedging derivatives.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MSRs are subject to runoff, a fair value decline due to the realization of expected cash flows and yield based on projected borrower behavior, including scheduled amortization of the loan UPB together with projected voluntary and involuntary prepayments. The unfavorable $5.4 million higher runoff quarter-over-quarter is mostly due to MSR portfolio growth.</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$6.8 million fair value loss due to input and assumption changes is mostly attributed to an unfavorable change in market rates as the 10-year Treasury rate declined 8 basis points in the third quarter of 2025, partially offset by certain favorable assumption updates. The change from a $21.7 million fair value gain in the second quarter of 2025 to a $6.8 million fair value loss in the third quarter of 2025 is mainly driven by favorable input and assumption updates recognized in the second quarter of 2025 to reflect strong MSR market transaction prices.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MSR hedging derivative fair value changes are designed to partially offset the expected fair value changes of the net MSR, MSR pledged liabilities and ESS exposure, commensurate with our target hedge coverage ratio. The $10.6 million derivative gain recognized in the three months ended September 30, 2025 and the variance from the prior quarter are driven by interest rate changes as we maintained a high hedge coverage ratio in both quarters. Also refer to Item 3. Quantitative and Qualitative Disclosures about Market Risk for further detail on our hedging strategy and its effectiveness.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$111.1 million loss on MSR valuation adjustments, net for the nine months ended September 30, 2025 is comprised of $133.3 million of runoff expense and a $22.2 million fair value gain attributed to input and assumption changes net of hedges. The $35.4 million higher loss in MSR valuation adjustments, net in the nine months ended September 30, 2025 as compared to the nine months ended September 30, 2024 is primarily driven by the impact of interest rate changes, net of hedge activity, and higher runoff mostly due to MSR portfolio growth.</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unfavorable $15.1 million increase in runoff expense is mostly due to MSR portfolio growth.</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The change from a $92.4 million fair value gain in the nine months ended September 30, 2024 to a $3.7 million fair value loss in the nine months ended September 30, 2025 is primarily driven by changes in market interest rates, as the 10-year Treasury rate declined 42 basis points during the nine months ended September 30, 2025 compared to a decrease of 7 basis points during the same period of 2024, and assumption updates to reflect actual market trade pricing levels.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change from a $50.0 million loss from derivatives in the nine months ended September 30, 2024 to a $25.9 million gain in the nine months ended September 30, 2025 is mainly due to the market interest rate changes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key components of operating expenses:</w:t>
      </w:r>
    </w:p>
    <w:tbl>
      <w:tblPr>
        <w:tblW w:w="10205" w:type="dxa"/>
        <w:jc w:val="left"/>
        <w:tblInd w:w="0" w:type="dxa"/>
        <w:tblLayout w:type="fixed"/>
        <w:tblCellMar>
          <w:top w:w="28" w:type="dxa"/>
          <w:left w:w="28" w:type="dxa"/>
          <w:bottom w:w="28" w:type="dxa"/>
          <w:right w:w="28" w:type="dxa"/>
        </w:tblCellMar>
      </w:tblPr>
      <w:tblGrid>
        <w:gridCol w:w="780"/>
        <w:gridCol w:w="586"/>
        <w:gridCol w:w="588"/>
        <w:gridCol w:w="246"/>
        <w:gridCol w:w="723"/>
        <w:gridCol w:w="128"/>
        <w:gridCol w:w="109"/>
        <w:gridCol w:w="109"/>
        <w:gridCol w:w="109"/>
        <w:gridCol w:w="211"/>
        <w:gridCol w:w="616"/>
        <w:gridCol w:w="109"/>
        <w:gridCol w:w="109"/>
        <w:gridCol w:w="109"/>
        <w:gridCol w:w="109"/>
        <w:gridCol w:w="109"/>
        <w:gridCol w:w="233"/>
        <w:gridCol w:w="233"/>
        <w:gridCol w:w="551"/>
        <w:gridCol w:w="109"/>
        <w:gridCol w:w="109"/>
        <w:gridCol w:w="109"/>
        <w:gridCol w:w="246"/>
        <w:gridCol w:w="723"/>
        <w:gridCol w:w="128"/>
        <w:gridCol w:w="109"/>
        <w:gridCol w:w="109"/>
        <w:gridCol w:w="109"/>
        <w:gridCol w:w="246"/>
        <w:gridCol w:w="723"/>
        <w:gridCol w:w="128"/>
        <w:gridCol w:w="109"/>
        <w:gridCol w:w="109"/>
        <w:gridCol w:w="109"/>
        <w:gridCol w:w="109"/>
        <w:gridCol w:w="109"/>
        <w:gridCol w:w="211"/>
        <w:gridCol w:w="211"/>
        <w:gridCol w:w="623"/>
      </w:tblGrid>
      <w:tr>
        <w:trPr/>
        <w:tc>
          <w:tcPr>
            <w:tcW w:w="78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95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54" w:type="dxa"/>
            <w:gridSpan w:val="3"/>
            <w:vMerge w:val="continue"/>
            <w:tcBorders/>
            <w:tcMar>
              <w:top w:w="0" w:type="dxa"/>
              <w:left w:w="0" w:type="dxa"/>
              <w:bottom w:w="0" w:type="dxa"/>
              <w:right w:w="0" w:type="dxa"/>
            </w:tcMar>
            <w:vAlign w:val="center"/>
          </w:tcPr>
          <w:p>
            <w:pPr>
              <w:pStyle w:val="Normal"/>
              <w:bidi w:val="0"/>
              <w:jc w:val="left"/>
              <w:rPr/>
            </w:pPr>
            <w:r>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origination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headcount</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 displays operating expenses by segment for the periods presented (also refer to the respective segment discussions):</w:t>
      </w:r>
    </w:p>
    <w:p>
      <w:pPr>
        <w:pStyle w:val="TextBody"/>
        <w:bidi w:val="0"/>
        <w:spacing w:lineRule="auto" w:line="288" w:before="120" w:after="120"/>
        <w:jc w:val="center"/>
        <w:rPr/>
      </w:pPr>
      <w:r>
        <w:rPr/>
        <w:drawing>
          <wp:inline distT="0" distB="0" distL="0" distR="0">
            <wp:extent cx="1828800" cy="1638300"/>
            <wp:effectExtent l="0" t="0" r="0" b="0"/>
            <wp:docPr id="6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9" descr=""/>
                    <pic:cNvPicPr>
                      <a:picLocks noChangeAspect="1" noChangeArrowheads="1"/>
                    </pic:cNvPicPr>
                  </pic:nvPicPr>
                  <pic:blipFill>
                    <a:blip r:embed="rId10"/>
                    <a:stretch>
                      <a:fillRect/>
                    </a:stretch>
                  </pic:blipFill>
                  <pic:spPr bwMode="auto">
                    <a:xfrm>
                      <a:off x="0" y="0"/>
                      <a:ext cx="1828800" cy="1638300"/>
                    </a:xfrm>
                    <a:prstGeom prst="rect">
                      <a:avLst/>
                    </a:prstGeom>
                  </pic:spPr>
                </pic:pic>
              </a:graphicData>
            </a:graphic>
          </wp:inline>
        </w:drawing>
      </w:r>
      <w:bookmarkStart w:id="8" w:name="i-9"/>
      <w:bookmarkEnd w:id="8"/>
      <w:r>
        <w:rPr>
          <w:color w:val="000000"/>
        </w:rPr>
        <w:t xml:space="preserve"> </w:t>
      </w:r>
      <w:r>
        <w:rPr/>
        <w:drawing>
          <wp:inline distT="0" distB="0" distL="0" distR="0">
            <wp:extent cx="3657600" cy="1638300"/>
            <wp:effectExtent l="0" t="0" r="0" b="0"/>
            <wp:docPr id="6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0" descr=""/>
                    <pic:cNvPicPr>
                      <a:picLocks noChangeAspect="1" noChangeArrowheads="1"/>
                    </pic:cNvPicPr>
                  </pic:nvPicPr>
                  <pic:blipFill>
                    <a:blip r:embed="rId11"/>
                    <a:stretch>
                      <a:fillRect/>
                    </a:stretch>
                  </pic:blipFill>
                  <pic:spPr bwMode="auto">
                    <a:xfrm>
                      <a:off x="0" y="0"/>
                      <a:ext cx="3657600" cy="1638300"/>
                    </a:xfrm>
                    <a:prstGeom prst="rect">
                      <a:avLst/>
                    </a:prstGeom>
                  </pic:spPr>
                </pic:pic>
              </a:graphicData>
            </a:graphic>
          </wp:inline>
        </w:drawing>
      </w:r>
      <w:bookmarkStart w:id="9" w:name="i-10"/>
      <w:bookmarkEnd w:id="9"/>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Compensation and benefits expense for the three months ended September 30, 2025 increased $2.3 million, or 4% compared to the three months ended June 30, 2025, due to an increase in salaries and benefits with a higher U.S. headcount. An increase in commissions on higher Originations production volume was offset by a decrease in incentive compensation expenses (mostly a decrease in the fair value of cash-settled share-based awards driven by our stock price decrease).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Compared to the nine months ended September 30, 2024, Compensation and benefits expense for the nine months ended September 30, 2025 increased $13.5 million, or 8%, largely due to a $5.9 million increase in incentive compensation expenses (mostly an increase in the fair value of cash-settled share-based awards due to an increase in our stock price), a $4.9 million increase in commissions due to higher Originations production volume, and a $4.0 million increase in salaries and benefits primarily attributed to an increase in U.S. headcount. Our total average headcount declined 3%, mostly due to a decrease in Servicing headcount attributable to efficiencies and runoff of our reverse subservicing portfolio, partially offset by an increase in Originations headcount to support the growth of our Consumer Direct channel and an increase in our Corporate functions.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Servicing and origination expense for the three months ended September 30, 2025 increased $2.6 million compared to the three months ended June 30, 2025, with increases in both segments driven by higher production volume in Originations and higher provision expense in Servicing mostly attributable to our captive reinsurance business (CRL) that was exposed to higher property casualties.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Servicing and origination expenses for the nine months ended September 30, 2025 increased $1.6 million or 4% largely due to the same drivers described above, with some offsetting factors.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 expense for the three months ended September 30, 2025 was flat as compared to the three months ended June 30, 2025. Compared to the nine months ended September 30, 2024, Technology and communication expenses for the nine months ended September 30, 2025 increased $7.5 million or 19% primarily driven by our technology initiatives (including robotic process automation, digitization and machine learning / artificial intelligence) and certain technology expenses previously reflected within Professional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Professional services expense for the three months ended September 30, 2025 increased $9.9 million compared to the three months ended June 30, 2025 with an increase in legal expenses due to significant reimbursements received in the second quarter of 2025 related to prior years’ legal expenses and an increase in litigation-related expenses in the third quarter of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Compared to the nine months ended September 30, 2024, Professional services expense for the nine months ended September 30, 2025 increased $9.3 million, mostly driven by an increase in legal expenses, primarily attributed to our accrual for probable losses in connection with the settlement of a legacy litigation matter in the first quarter of 2025 and an increase in legal fees related to other matters (also refer to certain technology expenses discussed above which partially offset the increase).</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Other Income (Expense)</w:t>
      </w:r>
    </w:p>
    <w:tbl>
      <w:tblPr>
        <w:tblW w:w="10205" w:type="dxa"/>
        <w:jc w:val="left"/>
        <w:tblInd w:w="0" w:type="dxa"/>
        <w:tblLayout w:type="fixed"/>
        <w:tblCellMar>
          <w:top w:w="28" w:type="dxa"/>
          <w:left w:w="28" w:type="dxa"/>
          <w:bottom w:w="28" w:type="dxa"/>
          <w:right w:w="28" w:type="dxa"/>
        </w:tblCellMar>
      </w:tblPr>
      <w:tblGrid>
        <w:gridCol w:w="868"/>
        <w:gridCol w:w="295"/>
        <w:gridCol w:w="297"/>
        <w:gridCol w:w="256"/>
        <w:gridCol w:w="642"/>
        <w:gridCol w:w="134"/>
        <w:gridCol w:w="109"/>
        <w:gridCol w:w="109"/>
        <w:gridCol w:w="109"/>
        <w:gridCol w:w="211"/>
        <w:gridCol w:w="531"/>
        <w:gridCol w:w="109"/>
        <w:gridCol w:w="109"/>
        <w:gridCol w:w="109"/>
        <w:gridCol w:w="109"/>
        <w:gridCol w:w="242"/>
        <w:gridCol w:w="243"/>
        <w:gridCol w:w="551"/>
        <w:gridCol w:w="109"/>
        <w:gridCol w:w="109"/>
        <w:gridCol w:w="109"/>
        <w:gridCol w:w="216"/>
        <w:gridCol w:w="704"/>
        <w:gridCol w:w="111"/>
        <w:gridCol w:w="109"/>
        <w:gridCol w:w="109"/>
        <w:gridCol w:w="109"/>
        <w:gridCol w:w="216"/>
        <w:gridCol w:w="704"/>
        <w:gridCol w:w="111"/>
        <w:gridCol w:w="109"/>
        <w:gridCol w:w="109"/>
        <w:gridCol w:w="109"/>
        <w:gridCol w:w="991"/>
        <w:gridCol w:w="109"/>
        <w:gridCol w:w="109"/>
        <w:gridCol w:w="109"/>
        <w:gridCol w:w="241"/>
        <w:gridCol w:w="244"/>
        <w:gridCol w:w="326"/>
      </w:tblGrid>
      <w:tr>
        <w:trPr/>
        <w:tc>
          <w:tcPr>
            <w:tcW w:w="8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4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138" w:type="dxa"/>
            <w:gridSpan w:val="6"/>
            <w:tcBorders/>
          </w:tcPr>
          <w:p>
            <w:pPr>
              <w:pStyle w:val="TableContents"/>
              <w:bidi w:val="0"/>
              <w:spacing w:before="0" w:after="283"/>
              <w:jc w:val="left"/>
              <w:rPr>
                <w:sz w:val="4"/>
                <w:szCs w:val="4"/>
              </w:rPr>
            </w:pPr>
            <w:r>
              <w:rPr>
                <w:sz w:val="4"/>
                <w:szCs w:val="4"/>
              </w:rPr>
            </w:r>
          </w:p>
        </w:tc>
      </w:tr>
      <w:tr>
        <w:trPr/>
        <w:tc>
          <w:tcPr>
            <w:tcW w:w="1460" w:type="dxa"/>
            <w:gridSpan w:val="3"/>
            <w:vMerge w:val="continue"/>
            <w:tcBorders/>
            <w:tcMar>
              <w:top w:w="0" w:type="dxa"/>
              <w:left w:w="0" w:type="dxa"/>
              <w:bottom w:w="0" w:type="dxa"/>
              <w:right w:w="0" w:type="dxa"/>
            </w:tcMar>
            <w:vAlign w:val="center"/>
          </w:tcPr>
          <w:p>
            <w:pPr>
              <w:pStyle w:val="Normal"/>
              <w:bidi w:val="0"/>
              <w:jc w:val="left"/>
              <w:rPr/>
            </w:pPr>
            <w:r>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1138" w:type="dxa"/>
            <w:gridSpan w:val="6"/>
            <w:tcBorders/>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Pledged MSR liability expense </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equity method investee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not meaningful</w:t>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2024, we repurchased a total of $70.9 million of the PMC Senior Secured Notes and recognized a $1.8 million gain on debt extinguishment, net of the associated write-off of unamortized discount and debt issuance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Refer to the segments for discussion and analysis of Interest income and Interest expense. Refer to the Servicing segment for discussion and analysis of Pledged MSR liability expense and earnings of our former equity method investee, MAV Canopy, sold in the fourth quarter of 2024.</w:t>
      </w:r>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Income Tax Expense (Benefit)</w:t>
      </w:r>
    </w:p>
    <w:tbl>
      <w:tblPr>
        <w:tblW w:w="9709" w:type="dxa"/>
        <w:jc w:val="left"/>
        <w:tblInd w:w="0" w:type="dxa"/>
        <w:tblLayout w:type="fixed"/>
        <w:tblCellMar>
          <w:top w:w="28" w:type="dxa"/>
          <w:left w:w="28" w:type="dxa"/>
          <w:bottom w:w="28" w:type="dxa"/>
          <w:right w:w="28" w:type="dxa"/>
        </w:tblCellMar>
      </w:tblPr>
      <w:tblGrid>
        <w:gridCol w:w="908"/>
        <w:gridCol w:w="795"/>
        <w:gridCol w:w="802"/>
        <w:gridCol w:w="276"/>
        <w:gridCol w:w="671"/>
        <w:gridCol w:w="358"/>
        <w:gridCol w:w="109"/>
        <w:gridCol w:w="109"/>
        <w:gridCol w:w="109"/>
        <w:gridCol w:w="211"/>
        <w:gridCol w:w="511"/>
        <w:gridCol w:w="271"/>
        <w:gridCol w:w="109"/>
        <w:gridCol w:w="109"/>
        <w:gridCol w:w="109"/>
        <w:gridCol w:w="109"/>
        <w:gridCol w:w="526"/>
        <w:gridCol w:w="276"/>
        <w:gridCol w:w="671"/>
        <w:gridCol w:w="358"/>
        <w:gridCol w:w="175"/>
        <w:gridCol w:w="175"/>
        <w:gridCol w:w="176"/>
        <w:gridCol w:w="276"/>
        <w:gridCol w:w="671"/>
        <w:gridCol w:w="358"/>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tax expense (benefit)</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annual effective tax rate is generally lower than the 21% federal statutory income tax rate primarily due to the full valuation allowance recorded on our net U.S. federal and state deferred tax assets ($179.8 million as of December 31, 2024). We evaluated all positive and negative evidence to determine whether it is more likely than not that the deferred tax asset can be realized in future periods, and due primarily to our history of cumulative operating losses, we determined that a full valuation allowance at September 30, 2025 remains appropriate.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income tax benefit for the nine months ended September 30, 2025 is primarily driven by a $13.3 million favorable resolution of a prior-year uncertain tax position during the first quarter of 2025 partly offset by a $4.2 million Federal return-to-provision adjustment driven by tax planning strategies pursued by Onity at the time of filing the 2024 tax return. The decrease in the effective tax rate for the nine months ended September 30, 2025 compared to the same period of 2024 is primarily due to recognizing income tax benefit of $13.3 million related to the reversal of the uncertain tax liability.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it is reasonably possible that by December 31, 2025, we could release some of our valuation allowance that currently offsets our net U.S. deferred tax asset. Any release of our valuation allowance requires significant judgment and is contingent on continued analysis of the positive and negative evidence and actual and expected future profitability. As such, the exact timing and amount of any valuation allowance release is subject to change. Refer to Note 17 - Income Taxes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i/>
          <w:color w:val="000000"/>
          <w:sz w:val="20"/>
        </w:rPr>
        <w:t>Financial</w:t>
      </w:r>
      <w:r>
        <w:rPr>
          <w:color w:val="000000"/>
        </w:rPr>
        <w:t xml:space="preserve"> </w:t>
      </w:r>
      <w:r>
        <w:rPr>
          <w:rFonts w:ascii="Times New Roman;serif" w:hAnsi="Times New Roman;serif"/>
          <w:b/>
          <w:i/>
          <w:color w:val="000000"/>
          <w:sz w:val="20"/>
        </w:rPr>
        <w:t>Condition</w:t>
      </w:r>
    </w:p>
    <w:tbl>
      <w:tblPr>
        <w:tblW w:w="9865" w:type="dxa"/>
        <w:jc w:val="left"/>
        <w:tblInd w:w="0" w:type="dxa"/>
        <w:tblLayout w:type="fixed"/>
        <w:tblCellMar>
          <w:top w:w="28" w:type="dxa"/>
          <w:left w:w="28" w:type="dxa"/>
          <w:bottom w:w="28" w:type="dxa"/>
          <w:right w:w="28" w:type="dxa"/>
        </w:tblCellMar>
      </w:tblPr>
      <w:tblGrid>
        <w:gridCol w:w="1205"/>
        <w:gridCol w:w="1059"/>
        <w:gridCol w:w="1065"/>
        <w:gridCol w:w="313"/>
        <w:gridCol w:w="1295"/>
        <w:gridCol w:w="162"/>
        <w:gridCol w:w="109"/>
        <w:gridCol w:w="109"/>
        <w:gridCol w:w="109"/>
        <w:gridCol w:w="305"/>
        <w:gridCol w:w="1262"/>
        <w:gridCol w:w="157"/>
        <w:gridCol w:w="109"/>
        <w:gridCol w:w="109"/>
        <w:gridCol w:w="109"/>
        <w:gridCol w:w="211"/>
        <w:gridCol w:w="691"/>
        <w:gridCol w:w="109"/>
        <w:gridCol w:w="109"/>
        <w:gridCol w:w="109"/>
        <w:gridCol w:w="109"/>
        <w:gridCol w:w="218"/>
        <w:gridCol w:w="218"/>
        <w:gridCol w:w="61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Condition Summary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MSRs, at fair value</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Advances, net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Loans held for investment, at fair value </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loan repurchase asset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by Segment</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HMBS-related borrowings, at fair value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Other financing liabilities, at fair value </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Advance match funded liabilities </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 net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 net</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loan repurchase liability</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equity</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by Segment</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w:t>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Book value per share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decreased $328.0 million, or 2%, between December 31, 2024 and September 30, 2025 primarily due to the decline in reverse Loans held for investment, partly offset by the growth in MSR and Loans held for sale. The $1.0 billion decline in reverse Loans held for investment was driven by the runoff of the portfolio exceeding originations since the acquisition of the $2.9 billion portfolio of reverse mortgage loans from Waterfall in November 2024 that is relatively more aged (faster runoff). In addition, servicing advances declined $142.0 million largely driven by seasonal reduction of taxes and insurance (T&amp;I) balances. Partly offsetting these declines, our portfolio of Loans held for sale increased $625.4 million driven by the growth of our Originations pipeline, predominantly with Ginnie Mae loans and the acquisition of reverse buyouts, and our MSR portfolio increased $296.7 million mostly due to $493.0 million MSR additions and $186.2 million runoff.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decreased by $386.4 million compared to December 31, 2024, largely due to the factors described above. HMBS-related borrowings decreased by $947.6 million with repayments exceeding new securitizations after the $2.9 billion acquisition of reverse mortgage loans and assumption of HMBS-related borrowings in November 2024, and Advance match funded liabilities decreased $96.5 million consistent with the seasonal decline in servicing advances. Our borrowings under Mortgage loan financing facilities increased $534.1 million due to the higher loans held for sale balance and OLIT securitization, and MSR financing facilities increased $265.3 million with the increase in our MSR portfolio.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increased $58.4 million during the nine months ended September 30, 2025 mainly due to $62.3 million net income for the period partially offset by the exercise of common stock warrants by Oaktree and dividends on preferred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Key Trends and Outlook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Historical trends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historical trends of our financial performance by quarter. Past performance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441"/>
        <w:gridCol w:w="1197"/>
        <w:gridCol w:w="1204"/>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9"/>
        <w:gridCol w:w="199"/>
        <w:gridCol w:w="201"/>
        <w:gridCol w:w="109"/>
        <w:gridCol w:w="109"/>
        <w:gridCol w:w="109"/>
        <w:gridCol w:w="190"/>
        <w:gridCol w:w="190"/>
        <w:gridCol w:w="191"/>
        <w:gridCol w:w="109"/>
        <w:gridCol w:w="109"/>
        <w:gridCol w:w="109"/>
        <w:gridCol w:w="190"/>
        <w:gridCol w:w="190"/>
        <w:gridCol w:w="191"/>
        <w:gridCol w:w="109"/>
        <w:gridCol w:w="109"/>
        <w:gridCol w:w="109"/>
        <w:gridCol w:w="180"/>
        <w:gridCol w:w="180"/>
        <w:gridCol w:w="260"/>
      </w:tblGrid>
      <w:tr>
        <w:trPr/>
        <w:tc>
          <w:tcPr>
            <w:tcW w:w="14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Servicing and subservicing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217.5</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Gain on reverse loans held for investment (HFI) and HMBS-related borrowings, net </w:t>
            </w:r>
            <w:r>
              <w:rPr>
                <w:rFonts w:ascii="Times New Roman;serif" w:hAnsi="Times New Roman;serif"/>
                <w:b/>
                <w:color w:val="000000"/>
                <w:sz w:val="1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loans HFS, net - 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loans HFS, net - 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Gain on loans held for sale (HFS),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34.1</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15.7</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 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 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w:t>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280.3</w:t>
            </w:r>
          </w:p>
        </w:tc>
      </w:tr>
      <w:tr>
        <w:trPr/>
        <w:tc>
          <w:tcPr>
            <w:tcW w:w="3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MSR realization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MSR other fair value changes net of hedging</w:t>
            </w:r>
            <w:r>
              <w:rPr>
                <w:color w:val="000000"/>
              </w:rPr>
              <w:t xml:space="preserve"> </w:t>
            </w:r>
            <w:r>
              <w:rPr>
                <w:rFonts w:ascii="Times New Roman;serif" w:hAnsi="Times New Roman;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MSR valuation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(45.0)</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125.8</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Pledged MSR liability expense </w:t>
            </w:r>
            <w:r>
              <w:rPr>
                <w:rFonts w:ascii="Times New Roman;serif" w:hAnsi="Times New Roman;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r>
      <w:tr>
        <w:trPr/>
        <w:tc>
          <w:tcPr>
            <w:tcW w:w="38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(86.5)</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23.1</w:t>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bl>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 Fair value changes of the reverse mortgage exposure (securitized reverse loans HFI and HMBS-related borrowings, net) due to interest rates are economically hedged along with the MSR fair value changes due to interest rates per our Risk Management policy, while reported in two separate line items above for GAAP presentation purposes.</w:t>
      </w:r>
    </w:p>
    <w:p>
      <w:pPr>
        <w:pStyle w:val="TextBody"/>
        <w:bidi w:val="0"/>
        <w:spacing w:lineRule="auto" w:line="288" w:before="0" w:after="24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 Servicing fee collection associated with MSR failed sales (transactions that do not meet sale accounting criteria) is presented gross, within Servicing fees and the associated remittance is presented within Pledged MSR liability expense (net of contractual subservicing fee retained).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shows a generally upward trend, with a notable increase in 2025 driven by the growth of servicing fees on our owned MSR portfolio and Originations Gain on loans held for sale. The volatility in Gain on reverse loans held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is primarily due to fluctuations in interest rates and is partially offset by our MSR hedging program. The volatility in Servicing Gain on loans held for sale is mainly due to reverse mortgage buyouts.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MSR valuation adjustments, net, reflect the increasing MSR portfolio runoff expense, consistent with the portfolio growth, with fair value volatility due to interest rate and assumption changes, largely mitigated by an effective hedging program. Operating expenses are generally trending upward, following the growth of our operations while maintaining cost discipline. Quarterly fluctuations of operating expenses are driven by legal expenses and recoveries.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decline in Net interest expense reflects the favorable impact of our corporate debt refinancing in the fourth quarter of 2024 with the associated recognition of a one-time charge within Other. Pledged MSR liability expenses (effectively the servicing fee remittances of MSRs) are relatively stable.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shows Onity’s net profitability in all quarters except for the one-time debt refinancing charge in the fourth quarter of 2024. Net profitability overall was driven by revenue growth, cost management and effective MSR hedging.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origination and servicing can be seasonal with typically higher home purchase activity in the spring and summer driving higher Originations volumes and Gain on loans held for sale and higher MSR runoff expense in the second and third quarters. Servicing revenue, specifically float income, is also impacted by the seasonality of escrow balances typically lower in the first quarter and increasing throughout the year. The seasonal trends may be offset or impacted by changes in our volumes and changes in interest rates, as reflected in the above table.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Financial performance drivers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drivers of our revenue in the quarter compared with the prior quarter, as disclosed in the segment discussions of this Management Discussion and Analysis. The table also provides certain considerations for, and may be read in conjunction with, the outlook discussed below.</w:t>
      </w:r>
    </w:p>
    <w:tbl>
      <w:tblPr>
        <w:tblW w:w="10205" w:type="dxa"/>
        <w:jc w:val="left"/>
        <w:tblInd w:w="0" w:type="dxa"/>
        <w:tblLayout w:type="fixed"/>
        <w:tblCellMar>
          <w:top w:w="28" w:type="dxa"/>
          <w:left w:w="28" w:type="dxa"/>
          <w:bottom w:w="28" w:type="dxa"/>
          <w:right w:w="28" w:type="dxa"/>
        </w:tblCellMar>
      </w:tblPr>
      <w:tblGrid>
        <w:gridCol w:w="1402"/>
        <w:gridCol w:w="1042"/>
        <w:gridCol w:w="1055"/>
        <w:gridCol w:w="109"/>
        <w:gridCol w:w="109"/>
        <w:gridCol w:w="109"/>
        <w:gridCol w:w="202"/>
        <w:gridCol w:w="590"/>
        <w:gridCol w:w="112"/>
        <w:gridCol w:w="202"/>
        <w:gridCol w:w="590"/>
        <w:gridCol w:w="112"/>
        <w:gridCol w:w="109"/>
        <w:gridCol w:w="109"/>
        <w:gridCol w:w="109"/>
        <w:gridCol w:w="213"/>
        <w:gridCol w:w="459"/>
        <w:gridCol w:w="295"/>
        <w:gridCol w:w="213"/>
        <w:gridCol w:w="459"/>
        <w:gridCol w:w="295"/>
        <w:gridCol w:w="109"/>
        <w:gridCol w:w="109"/>
        <w:gridCol w:w="109"/>
        <w:gridCol w:w="285"/>
        <w:gridCol w:w="286"/>
        <w:gridCol w:w="191"/>
        <w:gridCol w:w="285"/>
        <w:gridCol w:w="286"/>
        <w:gridCol w:w="191"/>
        <w:gridCol w:w="132"/>
        <w:gridCol w:w="132"/>
        <w:gridCol w:w="195"/>
      </w:tblGrid>
      <w:tr>
        <w:trPr/>
        <w:tc>
          <w:tcPr>
            <w:tcW w:w="140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fee/margin/rate (g)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Volume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Drivers</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Q3’25</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Q2’25</w:t>
            </w:r>
          </w:p>
        </w:tc>
        <w:tc>
          <w:tcPr>
            <w:tcW w:w="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Ref.</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fee - Owned MSR (incl. 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fee - MSR failed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r>
        <w:trPr/>
        <w:tc>
          <w:tcPr>
            <w:tcW w:w="3499"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90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29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29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181.0 </w:t>
            </w:r>
          </w:p>
        </w:tc>
        <w:tc>
          <w:tcPr>
            <w:tcW w:w="1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Subservicing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Float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w:t>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ancillary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w:t>
            </w:r>
          </w:p>
        </w:tc>
      </w:tr>
      <w:tr>
        <w:trPr/>
        <w:tc>
          <w:tcPr>
            <w:tcW w:w="34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Servicing and subservicing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217.5</w:t>
            </w:r>
          </w:p>
        </w:tc>
        <w:tc>
          <w:tcPr>
            <w:tcW w:w="90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0.29</w:t>
            </w:r>
            <w:r>
              <w:rPr>
                <w:color w:val="000000"/>
              </w:rPr>
              <w:t> </w:t>
            </w:r>
          </w:p>
        </w:tc>
        <w:tc>
          <w:tcPr>
            <w:tcW w:w="295"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672"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0.29</w:t>
            </w:r>
            <w:r>
              <w:rPr>
                <w:color w:val="000000"/>
              </w:rPr>
              <w:t> </w:t>
            </w:r>
          </w:p>
        </w:tc>
        <w:tc>
          <w:tcPr>
            <w:tcW w:w="295"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300.1</w:t>
            </w:r>
            <w:r>
              <w:rPr>
                <w:color w:val="000000"/>
              </w:rPr>
              <w:t> </w:t>
            </w:r>
          </w:p>
        </w:tc>
        <w:tc>
          <w:tcPr>
            <w:tcW w:w="19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295.4</w:t>
            </w:r>
            <w:r>
              <w:rPr>
                <w:color w:val="000000"/>
              </w:rPr>
              <w:t> </w:t>
            </w:r>
          </w:p>
        </w:tc>
        <w:tc>
          <w:tcPr>
            <w:tcW w:w="19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reverse loans held for investment (Orig,)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(servicing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r>
        <w:trPr/>
        <w:tc>
          <w:tcPr>
            <w:tcW w:w="3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90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fair value change of securitized reverse loans HFI and HMBS-related borrowings,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Gain on reverse loans held for investment (HFI) and HMBS-related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w:t>
            </w:r>
          </w:p>
        </w:tc>
        <w:tc>
          <w:tcPr>
            <w:tcW w:w="9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0.46</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6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0.41</w:t>
            </w:r>
            <w:r>
              <w:rPr>
                <w:color w:val="000000"/>
              </w:rPr>
              <w:t>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w:t>
            </w:r>
            <w:r>
              <w:rPr>
                <w:color w:val="000000"/>
              </w:rPr>
              <w:t>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w:t>
            </w:r>
            <w:r>
              <w:rPr>
                <w:color w:val="000000"/>
              </w:rPr>
              <w:t>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loans HFS, net - Orig., Consumer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loans HFS, net - Orig., Correspondent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w:t>
            </w:r>
          </w:p>
        </w:tc>
      </w:tr>
      <w:tr>
        <w:trPr/>
        <w:tc>
          <w:tcPr>
            <w:tcW w:w="3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loans HFS, net - 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90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9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295"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9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loans HFS, net - 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w:t>
            </w:r>
          </w:p>
        </w:tc>
      </w:tr>
      <w:tr>
        <w:trPr/>
        <w:tc>
          <w:tcPr>
            <w:tcW w:w="34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Gain on loans held for sale (HFS),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34.1</w:t>
            </w:r>
          </w:p>
        </w:tc>
        <w:tc>
          <w:tcPr>
            <w:tcW w:w="90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 - 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 net - 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r>
        <w:trPr/>
        <w:tc>
          <w:tcPr>
            <w:tcW w:w="34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15.7</w:t>
            </w:r>
          </w:p>
        </w:tc>
        <w:tc>
          <w:tcPr>
            <w:tcW w:w="90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 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w:t>
            </w:r>
          </w:p>
        </w:tc>
      </w:tr>
      <w:tr>
        <w:trPr/>
        <w:tc>
          <w:tcPr>
            <w:tcW w:w="3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 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r>
        <w:trPr/>
        <w:tc>
          <w:tcPr>
            <w:tcW w:w="34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280.3</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246.6</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0.36</w:t>
            </w:r>
            <w:r>
              <w:rPr>
                <w:color w:val="000000"/>
              </w:rPr>
              <w:t>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0.32</w:t>
            </w:r>
            <w:r>
              <w:rPr>
                <w:color w:val="000000"/>
              </w:rPr>
              <w:t>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311.5</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307.0</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w:t>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Average UPB (in $B)</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Average loan count (in 000’s)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 Average float balance (in $B) (information not disclosed in Servicing segment)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 Average forward servicing plus total forward and reverse subservicing UPB (in $B)</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 Newly funded Originations UPB (in $B)</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 Fair value loans held for sale (in $M)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 Implied/calculated as percentage of revenue to volume driver, annualized</w:t>
      </w:r>
    </w:p>
    <w:p>
      <w:pPr>
        <w:pStyle w:val="TextBody"/>
        <w:bidi w:val="0"/>
        <w:spacing w:before="0" w:after="0"/>
        <w:ind w:left="0" w:right="0" w:hanging="18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Outlook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provides additional information regarding certain key drivers of our financial performance and includes certain forward-looking statements that are based on the current beliefs and expectations of Onity’s management and are subject to significant risks and uncertainties. Refer to Forward-Looking Statements beginning on page 2 of this Form 10-Q and Part I, Item 1.A. of our Annual Report on Form 10-K for the year ended December 31, 2024, for discussion of certain of those risks and uncertainties and other factors that could cause Onity’s actual results to differ materially because of those risks and uncertainties. There is no assurance that actual results will be in line with the outlook information set forth below, and Onity does not undertake to update any forward-looking statements. Refer to the Segment results of operations section for further detail, the description of our business environment, initiatives and risks. </w:t>
      </w:r>
    </w:p>
    <w:p>
      <w:pPr>
        <w:pStyle w:val="TextBody"/>
        <w:bidi w:val="0"/>
        <w:spacing w:lineRule="auto" w:line="288" w:before="120" w:after="283"/>
        <w:jc w:val="left"/>
        <w:rPr/>
      </w:pPr>
      <w:r>
        <w:rPr>
          <w:rFonts w:ascii="Times New Roman;serif" w:hAnsi="Times New Roman;serif"/>
          <w:b w:val="false"/>
          <w:i/>
          <w:color w:val="000000"/>
          <w:sz w:val="20"/>
        </w:rPr>
        <w:t>Servicing and subservicing fee revenue</w:t>
      </w:r>
      <w:r>
        <w:rPr>
          <w:color w:val="000000"/>
        </w:rPr>
        <w:t xml:space="preserve"> </w:t>
      </w:r>
      <w:r>
        <w:rPr>
          <w:rFonts w:ascii="Times New Roman;serif" w:hAnsi="Times New Roman;serif"/>
          <w:b w:val="false"/>
          <w:color w:val="000000"/>
          <w:sz w:val="20"/>
        </w:rPr>
        <w:t xml:space="preserve">- Our servicing fee revenue is a function of the volume being serviced - UPB for servicing fees and loan count for subservicing fees. We expect we will continue to grow our servicing and subservicing portfolio through our multi-channel Originations platform, MSR bulk acquisitions, and subservicing additions. We expect ancillary float income to trend with short-term interest rates also considering changes in average float balances due to seasonality and portfolio growth. </w:t>
      </w:r>
    </w:p>
    <w:p>
      <w:pPr>
        <w:pStyle w:val="TextBody"/>
        <w:bidi w:val="0"/>
        <w:spacing w:lineRule="auto" w:line="288" w:before="120" w:after="120"/>
        <w:jc w:val="left"/>
        <w:rPr/>
      </w:pPr>
      <w:r>
        <w:rPr>
          <w:rFonts w:ascii="Times New Roman;serif" w:hAnsi="Times New Roman;serif"/>
          <w:b w:val="false"/>
          <w:i/>
          <w:color w:val="000000"/>
          <w:sz w:val="20"/>
        </w:rPr>
        <w:t xml:space="preserve">Gain on sale of loans held for sale </w:t>
      </w:r>
      <w:r>
        <w:rPr>
          <w:rFonts w:ascii="Times New Roman;serif" w:hAnsi="Times New Roman;serif"/>
          <w:b w:val="false"/>
          <w:color w:val="000000"/>
          <w:sz w:val="20"/>
        </w:rPr>
        <w:t xml:space="preserve">- Our gain on sale is driven by both Originations volume and margin, and is channel-sensitive. The updated industry forecasts (average of MBA, October 2025 and Fannie Mae, October 2025) suggest an estimated 16% increase in loan origination in 2026 as compared to 2025, with the 30-year fixed rate mortgage expected to end 2026 mostly flat at 6.2%. However, macroeconomic conditions and their impact on the housing and capital markets remain highly uncertain. We anticipate growth in our Consumer Direct channel driven by our increased recapture capabilities that may be curtailed if interest rates remain at the current levels or increase. We expect to continue to prudently grow year-over-year our Correspondent volume at margins that are accretive to the business as part of our MSR replenishment and growth strategy. We also expect continued competitive pressure on margins across all channels and volatility of gain on sale associated with GSE pricing dependency and volatile interest rates. We expect some further volatility of gain (loss) on sale on loans held for sale related to reverse mortgage buyouts (mostly inactive loans) due to the increased size of the portfolio. </w:t>
      </w:r>
    </w:p>
    <w:p>
      <w:pPr>
        <w:pStyle w:val="TextBody"/>
        <w:bidi w:val="0"/>
        <w:spacing w:lineRule="auto" w:line="288" w:before="120" w:after="120"/>
        <w:jc w:val="left"/>
        <w:rPr/>
      </w:pPr>
      <w:r>
        <w:rPr>
          <w:rFonts w:ascii="Times New Roman;serif" w:hAnsi="Times New Roman;serif"/>
          <w:b w:val="false"/>
          <w:i/>
          <w:color w:val="000000"/>
          <w:sz w:val="20"/>
        </w:rPr>
        <w:t xml:space="preserve">Gain on reverse loans held for investment and HMBS-related borrowings, net </w:t>
      </w:r>
      <w:r>
        <w:rPr>
          <w:rFonts w:ascii="Times New Roman;serif" w:hAnsi="Times New Roman;serif"/>
          <w:b w:val="false"/>
          <w:color w:val="000000"/>
          <w:sz w:val="20"/>
        </w:rPr>
        <w:t xml:space="preserve">- The reverse mortgage origination gain is driven by the same factors as gain on sale of loans held for sale, with smaller volumes in the reverse mortgage market and generally larger margins. With our experience and brand in the marketplace, we expect our origination volume to largely follow the industry growth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and spread, respectively, and is part of our forward MSR hedging strategy. Refer to Item 3. Quantitative and Qualitative Disclosures About Market Risk for further detail. </w:t>
      </w:r>
    </w:p>
    <w:p>
      <w:pPr>
        <w:pStyle w:val="TextBody"/>
        <w:bidi w:val="0"/>
        <w:spacing w:lineRule="auto" w:line="288" w:before="120" w:after="120"/>
        <w:jc w:val="left"/>
        <w:rPr/>
      </w:pPr>
      <w:r>
        <w:rPr>
          <w:rFonts w:ascii="Times New Roman;serif" w:hAnsi="Times New Roman;serif"/>
          <w:b w:val="false"/>
          <w:i/>
          <w:color w:val="000000"/>
          <w:sz w:val="20"/>
        </w:rPr>
        <w:t xml:space="preserve">MSR valuation adjustments, net - </w:t>
      </w:r>
      <w:r>
        <w:rPr>
          <w:rFonts w:ascii="Times New Roman;serif" w:hAnsi="Times New Roman;serif"/>
          <w:b w:val="false"/>
          <w:color w:val="000000"/>
          <w:sz w:val="20"/>
        </w:rPr>
        <w:t xml:space="preserve">Our net MSR fair value changes include two main components. First, amortization of our investment is a function of the UPB and fair value of the MSR. We expect the MSR realization of expected cash flows to generally follow the growth or size of our MSR portfolio net of ESS financing liabilities and pledged MSR liabilities with our MSR capital partners, and associated prepayments. Second, MSR fair value changes net of hedging are driven by changes in interest rates and assumptions, such as forecasted prepayments, our hedge coverage ratio and hedge performance. We expect MSR fair value changes due to interest rates to be largely offset by hedging derivatives to the extent of our hedge coverage ratio, with increased uncertainties related to assumption updates, hedge performance and hedge cost in an environment of higher economic and capital market volatility. Refer to the sensitivity analysis in Item 3. Quantitative and Qualitative Disclosures About Market Risk for further detail. </w:t>
      </w:r>
    </w:p>
    <w:p>
      <w:pPr>
        <w:pStyle w:val="TextBody"/>
        <w:bidi w:val="0"/>
        <w:spacing w:lineRule="auto" w:line="288" w:before="120" w:after="120"/>
        <w:jc w:val="left"/>
        <w:rPr/>
      </w:pPr>
      <w:r>
        <w:rPr>
          <w:rFonts w:ascii="Times New Roman;serif" w:hAnsi="Times New Roman;serif"/>
          <w:b w:val="false"/>
          <w:i/>
          <w:color w:val="000000"/>
          <w:sz w:val="20"/>
        </w:rPr>
        <w:t xml:space="preserve">Operating expenses </w:t>
      </w:r>
      <w:r>
        <w:rPr>
          <w:rFonts w:ascii="Times New Roman;serif" w:hAnsi="Times New Roman;serif"/>
          <w:b w:val="false"/>
          <w:color w:val="000000"/>
          <w:sz w:val="20"/>
        </w:rPr>
        <w:t xml:space="preserve">- Compensation and benefits are a significant component of our cost-to-service and cost-to-originate and is directly correlated to headcount levels. Headcount in Servicing is primarily driven by the number of loans or UPB being serviced and subserviced, and by the relative mix of performing, delinquent and defaulted loans. As servicing volume is expected to increase with relatively more performing loans (see above), we expect a stable workforce with productivity gains. We expect our Originations headcount and operating expenses to align with the expected growth in volume. Our operating expenses are expected to correlate with volumes, with some productivity and efficiencies expected through our technology and continuous improvement initiatives. Incentive compensation is also correlated to our share price and other performance metrics. </w:t>
      </w:r>
    </w:p>
    <w:p>
      <w:pPr>
        <w:pStyle w:val="TextBody"/>
        <w:bidi w:val="0"/>
        <w:spacing w:lineRule="auto" w:line="288" w:before="120" w:after="120"/>
        <w:jc w:val="left"/>
        <w:rPr/>
      </w:pPr>
      <w:r>
        <w:rPr>
          <w:rFonts w:ascii="Times New Roman;serif" w:hAnsi="Times New Roman;serif"/>
          <w:b w:val="false"/>
          <w:i/>
          <w:color w:val="000000"/>
          <w:sz w:val="20"/>
        </w:rPr>
        <w:t xml:space="preserve">Net interest expense </w:t>
      </w:r>
      <w:r>
        <w:rPr>
          <w:rFonts w:ascii="Times New Roman;serif" w:hAnsi="Times New Roman;serif"/>
          <w:b w:val="false"/>
          <w:color w:val="000000"/>
          <w:sz w:val="20"/>
        </w:rPr>
        <w:t xml:space="preserve">- Interest expense varies based on changes in average debt balance and changes in short-term interest rates on our variable rate debt. The average balance of collateralized financing facilities trends with the balance of the underlying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assets discussed above (including MSR, advances, loans and reverse buyouts). Interest expense on our warehouse loan facilities is expected to be largely offset by interest income on our Originations pipeline loans. </w:t>
      </w:r>
    </w:p>
    <w:p>
      <w:pPr>
        <w:pStyle w:val="TextBody"/>
        <w:bidi w:val="0"/>
        <w:spacing w:lineRule="auto" w:line="288" w:before="120" w:after="120"/>
        <w:jc w:val="left"/>
        <w:rPr/>
      </w:pPr>
      <w:r>
        <w:rPr>
          <w:rFonts w:ascii="Times New Roman;serif" w:hAnsi="Times New Roman;serif"/>
          <w:b w:val="false"/>
          <w:i/>
          <w:color w:val="000000"/>
          <w:sz w:val="20"/>
        </w:rPr>
        <w:t>Stockholders’ equity</w:t>
      </w:r>
      <w:r>
        <w:rPr>
          <w:color w:val="000000"/>
        </w:rPr>
        <w:t xml:space="preserve"> </w:t>
      </w:r>
      <w:r>
        <w:rPr>
          <w:rFonts w:ascii="Times New Roman;serif" w:hAnsi="Times New Roman;serif"/>
          <w:b w:val="false"/>
          <w:color w:val="000000"/>
          <w:sz w:val="20"/>
        </w:rPr>
        <w:t>- After consideration of the above factors and the subsequent event below, we expect our business to continue to generate net income and increase our equity in 2026, absent any material adverse impact related to changes in interest rates, hedge performance and cost, execution of the Rithm servicing transfer and associated downsizing of our operations, regulatory changes, litigation, actions by government entities or GSEs, events which may disrupt the capital markets or any other factors affecting our ability to execute our growth initiatives and plan. In addition, we believe it is reasonably possible that by December 31, 2025, we could release some of our valuation allowance that currently offsets our net U.S. deferred tax asset and would result in a one-time increase to net income and stockholders’ equity. There can be no assurance that the desired strategic and financial impact of our actions will be realized.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Subsequent event - Notice of non-renewal of servicing agreements by Rithm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we were notified by one of our largest subservicing clients, Rithm, of its intent to not renew its subservicing agreements effective January 31, 2026. The termination is for convenience and not for cause.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agreements accounted for approximately $33.0 billion, or 10% of the UPB and 20% of the loan count of our total servicing and subservicing portfolio, and approximately 55% of all delinquent loans that Onity services, as of September 30,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servicing transfer to Rithm’s own servicing platform is expected to occur in the first and second quarters of 2026. The transfer of $8.5 billion of UPB of these agreements is subject to the receipt of necessary consents from trustees and others, the timing and success of which are uncertain. Refer to Note 23 – Subsequent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servicing transfer will result in the reduction of Servicing and subservicing fees and associated Pledged MSR liability expense. We expect a reduction of Operating expenses after downsizing certain aspects of our servicing and support functions. We further expect the recognition of a restructuring obligation upon transfer. We are evaluating the impact of the servicing transfer on future results of operations.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the float amount associated with the advance collections and servicing fees of the servicing portfolio will be repaid to Rithm in cash based on the amount due upon transfer (refer to Note 13 – Other Liabilities, Due to Rithm). The amount due varies daily. After consideration of any necessary liquidity actions such as the sale of MSR on a subservicing retained basis, we expect our liquidity will be sufficient to settle the Rithm payable when due and maintain adequate cash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04" w:type="dxa"/>
        <w:jc w:val="left"/>
        <w:tblInd w:w="0" w:type="dxa"/>
        <w:tblLayout w:type="fixed"/>
        <w:tblCellMar>
          <w:top w:w="28" w:type="dxa"/>
          <w:left w:w="28" w:type="dxa"/>
          <w:bottom w:w="28" w:type="dxa"/>
          <w:right w:w="28" w:type="dxa"/>
        </w:tblCellMar>
      </w:tblPr>
      <w:tblGrid>
        <w:gridCol w:w="1185"/>
        <w:gridCol w:w="1041"/>
        <w:gridCol w:w="1478"/>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SEGMENT RESULTS OF OPERATIONS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activities are organized into two reportable business segments that reflect our primary lines of business - Servicing and Originations - as well as a Corporate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46" w:type="dxa"/>
        <w:jc w:val="left"/>
        <w:tblInd w:w="0" w:type="dxa"/>
        <w:tblLayout w:type="fixed"/>
        <w:tblCellMar>
          <w:top w:w="28" w:type="dxa"/>
          <w:left w:w="28" w:type="dxa"/>
          <w:bottom w:w="28" w:type="dxa"/>
          <w:right w:w="28" w:type="dxa"/>
        </w:tblCellMar>
      </w:tblPr>
      <w:tblGrid>
        <w:gridCol w:w="399"/>
        <w:gridCol w:w="350"/>
        <w:gridCol w:w="497"/>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SERVICING</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segment is primarily comprised of our mortgage servicing and subservicing business. We earn servicing and subservicing fees, including ancillary income, and incur cost to service the loans which varies depending on delinquency status. We are exposed to MSR valuation adjustments and advancing obligations when we own the MSR. Our servicing portfolio includes conventional, government-insured and non-Agency mortgage loans, including reverse mortgage loans classified as loans held for investment on our balance sheet. As of September 30, 2025, we serviced 1.4 million mortgage loans with an aggregate UPB of $315.5 billion.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Servicing segment includes our wholly-owned captive reinsurance business (referred to as CRL), which provides re-insurance related to direct physical loss coverage on foreclosed real estate properties owned or serviced by us. CRL assumes a 90% (60% through January 2024) quota share of insurance coverage written by a third-party insurer issued to PHH.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Loan Resolutions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To select an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loan modification option for a borrower in accordance with the applicable servicing agreement,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Advance Obligation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 Refer to Note 21 — Commitments for further discussion on our servicing advance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Most of our advances have the highest reimbursement priority (i.e., they are “top of the waterfall”), so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and MAV, provide for prompt reimbursement of any advances from the owner of the servicing rights.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MSR Valuation Adjustments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financial performance of our Servicing segment is impacted by the changes in fair value of the MSR portfolio due to changes in market interest rates, among other factors. Our MSR hedging policy is designed to reduce the expected volatility of the MSR portfolio fair value due to market interest rates commensurate with the target hedge coverage ratio determined by our Market Risk Committee. Refer to Item 3. Quantitative and Qualitative Disclosures about Market Risk for further detail on our hedging strategy.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all fair value changes of our MSR portfolio and MSR hedges within MSR valuation adjustments, net. 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and the ESS financing liabilities for which we elected the fair value option and that is collateralized by MSRs.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Reverse Mortgages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reverse business activities include both the subservicing of reverse mortgage loans on behalf of investors and the servicing of our owned portfolio. Owned portfolio loans are insured by the FHA, which provides protection against risk of borrower default, and are securitized through the Ginnie Mae program.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servicing activities of reverse loans are generally consistent with forward mortgage loan servicing as described above, with the following additional functions: the funding of borrower advances or draws under their approved borrowing capacity and the repurchase of loans upon reaching a limit:</w:t>
      </w:r>
    </w:p>
    <w:p>
      <w:pPr>
        <w:pStyle w:val="TextBody"/>
        <w:bidi w:val="0"/>
        <w:spacing w:lineRule="auto" w:line="288" w:before="120" w:after="120"/>
        <w:ind w:left="0" w:right="0" w:hanging="360"/>
        <w:jc w:val="left"/>
        <w:rPr/>
      </w:pPr>
      <w:r>
        <w:rPr>
          <w:rFonts w:ascii="Times New Roman;serif" w:hAnsi="Times New Roman;serif"/>
          <w:b w:val="false"/>
          <w:color w:val="000000"/>
          <w:sz w:val="20"/>
        </w:rPr>
        <w:t>a</w:t>
      </w:r>
      <w:r>
        <w:rPr>
          <w:rFonts w:ascii="Times New Roman;serif" w:hAnsi="Times New Roman;serif"/>
          <w:b w:val="false"/>
          <w:i/>
          <w:color w:val="000000"/>
          <w:sz w:val="20"/>
        </w:rPr>
        <w:t>.     Borrower draw funding obligation</w:t>
      </w:r>
      <w:r>
        <w:rPr>
          <w:color w:val="000000"/>
        </w:rPr>
        <w:t xml:space="preserve"> </w:t>
      </w:r>
      <w:r>
        <w:rPr>
          <w:rFonts w:ascii="Times New Roman;serif" w:hAnsi="Times New Roman;serif"/>
          <w:b w:val="false"/>
          <w:color w:val="000000"/>
          <w:sz w:val="20"/>
        </w:rPr>
        <w:t>- Under the terms of ARM-based HECM loan agreements, the borrowers have additional borrowing capacity. Borrower draws or tails are funded by the servicer and are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ind w:left="0" w:right="0" w:hanging="360"/>
        <w:jc w:val="left"/>
        <w:rPr/>
      </w:pPr>
      <w:r>
        <w:rPr>
          <w:rFonts w:ascii="Times New Roman;serif" w:hAnsi="Times New Roman;serif"/>
          <w:b w:val="false"/>
          <w:color w:val="000000"/>
          <w:sz w:val="20"/>
        </w:rPr>
        <w:t>b.     </w:t>
      </w:r>
      <w:r>
        <w:rPr>
          <w:rFonts w:ascii="Times New Roman;serif" w:hAnsi="Times New Roman;serif"/>
          <w:b w:val="false"/>
          <w:i/>
          <w:color w:val="000000"/>
          <w:sz w:val="20"/>
        </w:rPr>
        <w:t xml:space="preserve">Loan repurchase obligation - </w:t>
      </w:r>
      <w:r>
        <w:rPr>
          <w:rFonts w:ascii="Times New Roman;serif" w:hAnsi="Times New Roman;serif"/>
          <w:b w:val="false"/>
          <w:color w:val="000000"/>
          <w:sz w:val="20"/>
        </w:rPr>
        <w:t>As an HMBS issuer, we are required to purchase loans out of the Ginnie Mae securitization pools once they reach 98% of the maximum claim amount (MCA buyouts). Active buyouts are assigned to HUD and payment is received from HUD through a claims process, generally within 30 days. HUD reimburses us for the outstanding principal balance on the loan up to the maximum claim amount; we bear the risk of exposure if the outstanding balance on a loan exceeds the maximum claim amount. We may carry loans for some time in anticipation of payoff or favorable liquidation if we deem the investment accretive. Inactive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(typically six months from obtaining marketable title of the property),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Gain on reverse loans held for investment and HMBS-related borrowings, net reported within the Servicing segment includes the net fair value changes of securitized reverse mortgage loans held for investment and HMBS-related borrowings, that comprise the following:</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 xml:space="preserve">contractual interest income earned on securitized reverse mortgage loans, or HECM loans, net of interest expense on HMBS-related borrowings, that is, on a net basis, the servicing fee we are contractually entitled to and collect on a monthly basis under the Ginnie Mae MBS Guide regarding servicing HMBS; and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fair value changes of the net balance of securitized loans held for investment and HMBS-related borrowings, that effectively represents tails and servicing value. Tails are participations in previously securitized HECM loans and are created by additions to principal for borrower draws on lines-of-credit (scheduled and unscheduled), interest, servicing fees, and mortgage insurance premiums.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our Ginnie Mae securitized HECM loan portfolio net of HMBS-related Borrowings generally decreases as market interest rates rise and increases as market rates fall. The interest rate exposure is managed as part of our MSR hedging strategy (see Item 3 - Quantitative and qualitative disclosures about market risk, Loans Held for Investment and HMBS-related Borrowings and the associated interest rate sensitivity disclosure).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Gain (loss) on reverse loans held for investment and HMBS-related borrowings, net strictly reflects the financial performance of owned loans/servicing and excludes any subservicing activity. The financial performance associated with the subservicing of reverse mortgage loans on behalf of investors is primarily reflected within Servicing and subservicing fees, net.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Since 2023, we have opportunistically acquired reverse mortgage assets from financial institutions, including active and inactive reverse mortgage loan buyouts, advances, HUD claim receivables, and real estate properties. We finance our asset acquisitions along with the buyouts of our own portfolio through on-balance sheet private placement securitizations (referred to as OLIT). The financial performance of such reverse asset management is reported within the Servicing segment, largely within Gains (losses) on loans held for sale, that are driven by multiple factors, including liquidation timeline and changes in market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Third-Party Servicer Ratings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Like other servicers, we are the subject of mortgage servicer ratings or rankings (collectively, ratings) issued and revised from time to time by rating agencies including Moody’s Investors Service, Inc. (Moody’s), S&amp;P Global Ratings, Inc. (S&amp;P) and Fitch Ratings, Inc.(Fitch). Favorable ratings from these agencies are important to the conduct of our loan servicing and lending businesses.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latest key servicer ratings and outlook:</w:t>
      </w:r>
    </w:p>
    <w:tbl>
      <w:tblPr>
        <w:tblW w:w="8572" w:type="dxa"/>
        <w:jc w:val="center"/>
        <w:tblInd w:w="0" w:type="dxa"/>
        <w:tblLayout w:type="fixed"/>
        <w:tblCellMar>
          <w:top w:w="28" w:type="dxa"/>
          <w:left w:w="28" w:type="dxa"/>
          <w:bottom w:w="28" w:type="dxa"/>
          <w:right w:w="28" w:type="dxa"/>
        </w:tblCellMar>
      </w:tblPr>
      <w:tblGrid>
        <w:gridCol w:w="1399"/>
        <w:gridCol w:w="1230"/>
        <w:gridCol w:w="1240"/>
        <w:gridCol w:w="414"/>
        <w:gridCol w:w="414"/>
        <w:gridCol w:w="416"/>
        <w:gridCol w:w="109"/>
        <w:gridCol w:w="109"/>
        <w:gridCol w:w="109"/>
        <w:gridCol w:w="503"/>
        <w:gridCol w:w="503"/>
        <w:gridCol w:w="509"/>
        <w:gridCol w:w="109"/>
        <w:gridCol w:w="109"/>
        <w:gridCol w:w="109"/>
        <w:gridCol w:w="375"/>
        <w:gridCol w:w="375"/>
        <w:gridCol w:w="540"/>
      </w:tblGrid>
      <w:tr>
        <w:trPr/>
        <w:tc>
          <w:tcPr>
            <w:tcW w:w="139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PHH</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Moody’s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Fitch</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Prime Servicer</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SQ3+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RPS2-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Subprime Servicer</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SQ3+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Above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RPS2-</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Special Servicer</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SQ3+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RSS2-</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Second/Subordinate Lien Servicer</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SQ2-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Above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Home Equity Servicer</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RPS3+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Alt-A Servicer</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RPS2-</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Master Servicer</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SQ3+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RMS3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Ratings Outlook</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of last action </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Reverse</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Reverse Servicer</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Above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Ratings Outlook</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of last action</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29, 2025, Fitch upgraded PHH’s residential servicer ratings and affirmed its stable outlook for all products. In addition, Fitch affirmed PHH’s residential Master Servicer rating. The rating actions reflect the company’s growth strategy based on diversification between its loan origination and servicing businesses as well as its third-party subservicing efforts, effective enterprise risk management controls and processes, and continuous technology enhancements.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11, 2025, Moody's upgraded the second lien servicer quality (SQ) assessment from SQ3+ to SQ 2- and affirmed the prime, subprime, special servicer, and master SQ assessments for PHH at SQ3+. The upgrade of PHH 's second lien servicing assessment is mainly driven by i) improvement in the company's second lien roll rates, ii) cure rates, and iii) recidivism rates.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Concentration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Rithm is one of our largest subservicing clients. Rithm’s servicing portfolio is in a run-off mode and we continue to diversify and grow our total servicing portfolio. Servicing and subservicing fees from Rithm amounted to $60.2 million, or 13% of total servicing and subservicing fees (excluding ancillary income) in the nine months ended September 30, 2025 ($73.5 million and 16% in the nine months ended September 30, 2024, respectively), and the related remittances to Rithm presented as Pledged MSR liability expense amounted to $27.6 million and $27.6 million in the respective periods. Rithm accounted for $33.0 billion, or 10% and 20% of the total serviced UPB and loan count, respectively, of our servicing and subservicing portfolio as of September 30, 2025, and 55% of all delinquent loans that Onity serviced, for which the cost to service and the associated risks are higher ($42.2 billion, 14%, 25% and 64% as of September 30, 2024, respectively). Consistent with a subservicing relationship, Rithm is responsible for funding the advances we service on its behalf. The servicing agreements automatically renew annually unless notice of termination is provided. Also refer to Note 21 — Commitments, Client Concentration and Note 23 – Subsequent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Metrics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selected operating statistics for our Servicing segment:</w:t>
      </w:r>
    </w:p>
    <w:tbl>
      <w:tblPr>
        <w:tblW w:w="10205" w:type="dxa"/>
        <w:jc w:val="left"/>
        <w:tblInd w:w="0" w:type="dxa"/>
        <w:tblLayout w:type="fixed"/>
        <w:tblCellMar>
          <w:top w:w="28" w:type="dxa"/>
          <w:left w:w="28" w:type="dxa"/>
          <w:bottom w:w="28" w:type="dxa"/>
          <w:right w:w="28" w:type="dxa"/>
        </w:tblCellMar>
      </w:tblPr>
      <w:tblGrid>
        <w:gridCol w:w="1285"/>
        <w:gridCol w:w="892"/>
        <w:gridCol w:w="897"/>
        <w:gridCol w:w="236"/>
        <w:gridCol w:w="692"/>
        <w:gridCol w:w="304"/>
        <w:gridCol w:w="109"/>
        <w:gridCol w:w="109"/>
        <w:gridCol w:w="109"/>
        <w:gridCol w:w="211"/>
        <w:gridCol w:w="616"/>
        <w:gridCol w:w="271"/>
        <w:gridCol w:w="109"/>
        <w:gridCol w:w="109"/>
        <w:gridCol w:w="109"/>
        <w:gridCol w:w="220"/>
        <w:gridCol w:w="220"/>
        <w:gridCol w:w="551"/>
        <w:gridCol w:w="109"/>
        <w:gridCol w:w="109"/>
        <w:gridCol w:w="109"/>
        <w:gridCol w:w="109"/>
        <w:gridCol w:w="109"/>
        <w:gridCol w:w="236"/>
        <w:gridCol w:w="692"/>
        <w:gridCol w:w="304"/>
        <w:gridCol w:w="109"/>
        <w:gridCol w:w="109"/>
        <w:gridCol w:w="109"/>
        <w:gridCol w:w="215"/>
        <w:gridCol w:w="215"/>
        <w:gridCol w:w="622"/>
      </w:tblGrid>
      <w:tr>
        <w:trPr/>
        <w:tc>
          <w:tcPr>
            <w:tcW w:w="12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Operating Statistics</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Serviced</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Unpaid principal balance (UPB) in billions:</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Performing loans </w:t>
            </w:r>
            <w:r>
              <w:rPr>
                <w:rFonts w:ascii="Times New Roman;serif" w:hAnsi="Times New Roman;serif"/>
                <w:b w:val="false"/>
                <w:color w:val="000000"/>
                <w:sz w:val="13"/>
              </w:rPr>
              <w:t>(1)</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real estate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to total %</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Conventional loans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Government-insured loans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Non-Agency loans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Conventional loans to total %</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portfolio </w:t>
            </w:r>
            <w:r>
              <w:rPr>
                <w:rFonts w:ascii="Times New Roman;serif" w:hAnsi="Times New Roman;serif"/>
                <w:b w:val="false"/>
                <w:color w:val="000000"/>
                <w:sz w:val="13"/>
              </w:rPr>
              <w:t>(2)</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Subservicing portfolio</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Subservicing - forward</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Subservicing - commercial</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Subservicing - reverse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subservicing</w:t>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MAV </w:t>
            </w:r>
            <w:r>
              <w:rPr>
                <w:rFonts w:ascii="Times New Roman;serif" w:hAnsi="Times New Roman;serif"/>
                <w:b w:val="false"/>
                <w:color w:val="000000"/>
                <w:sz w:val="13"/>
              </w:rPr>
              <w:t>(3) (4)</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Rithm </w:t>
            </w:r>
            <w:r>
              <w:rPr>
                <w:rFonts w:ascii="Times New Roman;serif" w:hAnsi="Times New Roman;serif"/>
                <w:b w:val="false"/>
                <w:color w:val="000000"/>
                <w:sz w:val="13"/>
              </w:rPr>
              <w:t>(4) (5)</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MSR capital partners </w:t>
            </w:r>
            <w:r>
              <w:rPr>
                <w:rFonts w:ascii="Times New Roman;serif" w:hAnsi="Times New Roman;serif"/>
                <w:b w:val="false"/>
                <w:color w:val="000000"/>
                <w:sz w:val="13"/>
              </w:rPr>
              <w:t>(4)</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2"/>
        <w:gridCol w:w="627"/>
        <w:gridCol w:w="631"/>
        <w:gridCol w:w="244"/>
        <w:gridCol w:w="244"/>
        <w:gridCol w:w="610"/>
        <w:gridCol w:w="123"/>
        <w:gridCol w:w="123"/>
        <w:gridCol w:w="123"/>
        <w:gridCol w:w="232"/>
        <w:gridCol w:w="175"/>
        <w:gridCol w:w="327"/>
        <w:gridCol w:w="109"/>
        <w:gridCol w:w="109"/>
        <w:gridCol w:w="109"/>
        <w:gridCol w:w="220"/>
        <w:gridCol w:w="220"/>
        <w:gridCol w:w="551"/>
        <w:gridCol w:w="109"/>
        <w:gridCol w:w="109"/>
        <w:gridCol w:w="109"/>
        <w:gridCol w:w="287"/>
        <w:gridCol w:w="244"/>
        <w:gridCol w:w="610"/>
        <w:gridCol w:w="120"/>
        <w:gridCol w:w="120"/>
        <w:gridCol w:w="120"/>
        <w:gridCol w:w="287"/>
        <w:gridCol w:w="244"/>
        <w:gridCol w:w="610"/>
        <w:gridCol w:w="109"/>
        <w:gridCol w:w="109"/>
        <w:gridCol w:w="109"/>
        <w:gridCol w:w="220"/>
        <w:gridCol w:w="220"/>
        <w:gridCol w:w="551"/>
        <w:gridCol w:w="169"/>
      </w:tblGrid>
      <w:tr>
        <w:trPr/>
        <w:tc>
          <w:tcPr>
            <w:tcW w:w="97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 xml:space="preserve">Prepayment speed (CPR) </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Voluntary CPR</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Involuntary CPR</w:t>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Total CPR </w:t>
            </w:r>
            <w:r>
              <w:rPr>
                <w:rFonts w:ascii="Times New Roman;serif" w:hAnsi="Times New Roman;serif"/>
                <w:b w:val="false"/>
                <w:color w:val="000000"/>
                <w:sz w:val="13"/>
              </w:rPr>
              <w:t>(6)</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Number of completed modifications </w:t>
            </w:r>
            <w:r>
              <w:rPr>
                <w:rFonts w:ascii="Times New Roman;serif" w:hAnsi="Times New Roman;serif"/>
                <w:b w:val="false"/>
                <w:i/>
                <w:color w:val="000000"/>
                <w:sz w:val="20"/>
              </w:rPr>
              <w:t>(in thousands)</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MSR weighted average note rate </w:t>
            </w:r>
            <w:r>
              <w:rPr>
                <w:rFonts w:ascii="Times New Roman;serif" w:hAnsi="Times New Roman;serif"/>
                <w:b w:val="false"/>
                <w:color w:val="000000"/>
                <w:sz w:val="13"/>
              </w:rPr>
              <w:t>(7)</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(1)Performing loans include those loans that are less than 90 days past due and those loans for which borrowers are making scheduled payments under loan modification, forbearance or bankruptcy plans. We consider all other loans to be non-performing.</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(2)Includes HECM reverse mortgage loans held for investment with a UPB of $9.6 billion that are recognized in our unaudited consolidated balance sheet at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(3)Includes $18.6 billion UPB subserviced and $20.3 billion UPB of MSRs sold to MAV that did not achieve sale accounting treatment at September 30, 2025.</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(4)Loans serviced pursuant to our sale or transfer agreements with MAV, Rithm or others for which sale accounting is not achieved, and loans subserviced.</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(5)Includes $24.5 billion UPB of subserviced loans on behalf of Rithm at September 30, 2025.</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(6)Total 3-month % CPR includes voluntary and involuntary prepayments, as shown in the table, plus scheduled principal amortization.</w:t>
      </w:r>
    </w:p>
    <w:p>
      <w:pPr>
        <w:pStyle w:val="TextBody"/>
        <w:bidi w:val="0"/>
        <w:spacing w:lineRule="auto" w:line="288" w:before="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(7)Related to our owned MSR forward servicing portfolio.</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the rollforward of activity of our portfolio of mortgage loans serviced that includes MSRs, whole loans and subserviced loans, both forward and reverse: </w:t>
      </w:r>
    </w:p>
    <w:tbl>
      <w:tblPr>
        <w:tblW w:w="7613" w:type="dxa"/>
        <w:jc w:val="left"/>
        <w:tblInd w:w="0" w:type="dxa"/>
        <w:tblLayout w:type="fixed"/>
        <w:tblCellMar>
          <w:top w:w="28" w:type="dxa"/>
          <w:left w:w="28" w:type="dxa"/>
          <w:bottom w:w="28" w:type="dxa"/>
          <w:right w:w="28" w:type="dxa"/>
        </w:tblCellMar>
      </w:tblPr>
      <w:tblGrid>
        <w:gridCol w:w="831"/>
        <w:gridCol w:w="731"/>
        <w:gridCol w:w="733"/>
        <w:gridCol w:w="247"/>
        <w:gridCol w:w="723"/>
        <w:gridCol w:w="127"/>
        <w:gridCol w:w="127"/>
        <w:gridCol w:w="127"/>
        <w:gridCol w:w="127"/>
        <w:gridCol w:w="247"/>
        <w:gridCol w:w="723"/>
        <w:gridCol w:w="127"/>
        <w:gridCol w:w="109"/>
        <w:gridCol w:w="109"/>
        <w:gridCol w:w="109"/>
        <w:gridCol w:w="211"/>
        <w:gridCol w:w="766"/>
        <w:gridCol w:w="109"/>
        <w:gridCol w:w="109"/>
        <w:gridCol w:w="109"/>
        <w:gridCol w:w="109"/>
        <w:gridCol w:w="383"/>
        <w:gridCol w:w="383"/>
        <w:gridCol w:w="237"/>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Amount of UPB (</w:t>
            </w:r>
            <w:r>
              <w:rPr>
                <w:rFonts w:ascii="Times New Roman;serif" w:hAnsi="Times New Roman;serif"/>
                <w:b/>
                <w:i/>
                <w:color w:val="000000"/>
                <w:sz w:val="20"/>
              </w:rPr>
              <w:t>$ 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Count (000’s)</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at January 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Additions </w:t>
            </w:r>
            <w:r>
              <w:rPr>
                <w:rFonts w:ascii="Times New Roman;serif" w:hAnsi="Times New Roman;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MSR Sales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transfers </w:t>
            </w:r>
            <w:r>
              <w:rPr>
                <w:rFonts w:ascii="Times New Roman;serif" w:hAnsi="Times New Roman;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Runoff</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at March 31</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Additions </w:t>
            </w:r>
            <w:r>
              <w:rPr>
                <w:rFonts w:ascii="Times New Roman;serif" w:hAnsi="Times New Roman;serif"/>
                <w:b w:val="false"/>
                <w:color w:val="000000"/>
                <w:sz w:val="13"/>
              </w:rPr>
              <w:t>(1)</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MSR sales </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transfers </w:t>
            </w:r>
            <w:r>
              <w:rPr>
                <w:rFonts w:ascii="Times New Roman;serif" w:hAnsi="Times New Roman;serif"/>
                <w:b w:val="false"/>
                <w:color w:val="000000"/>
                <w:sz w:val="13"/>
              </w:rPr>
              <w:t>(1)</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Runoff</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at June 30</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Additions </w:t>
            </w:r>
            <w:r>
              <w:rPr>
                <w:rFonts w:ascii="Times New Roman;serif" w:hAnsi="Times New Roman;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MSR Sales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transfers </w:t>
            </w:r>
            <w:r>
              <w:rPr>
                <w:rFonts w:ascii="Times New Roman;serif" w:hAnsi="Times New Roman;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Runoff</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at September 30</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(1)Includes the volume of UPB associated with short-term interim subservicing for some clients as a support to their originate-to-sell business, where loans may be boarded and deboarded within the same quarter.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servicer advances, net of allowance for losses:</w:t>
      </w:r>
    </w:p>
    <w:tbl>
      <w:tblPr>
        <w:tblW w:w="11930" w:type="dxa"/>
        <w:jc w:val="left"/>
        <w:tblInd w:w="0" w:type="dxa"/>
        <w:tblLayout w:type="fixed"/>
        <w:tblCellMar>
          <w:top w:w="28" w:type="dxa"/>
          <w:left w:w="28" w:type="dxa"/>
          <w:bottom w:w="28" w:type="dxa"/>
          <w:right w:w="28" w:type="dxa"/>
        </w:tblCellMar>
      </w:tblPr>
      <w:tblGrid>
        <w:gridCol w:w="858"/>
        <w:gridCol w:w="630"/>
        <w:gridCol w:w="298"/>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51"/>
        <w:gridCol w:w="283"/>
        <w:gridCol w:w="288"/>
        <w:gridCol w:w="109"/>
        <w:gridCol w:w="109"/>
        <w:gridCol w:w="109"/>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47"/>
        <w:gridCol w:w="253"/>
        <w:gridCol w:w="363"/>
      </w:tblGrid>
      <w:tr>
        <w:trPr/>
        <w:tc>
          <w:tcPr>
            <w:tcW w:w="85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Advances by investor type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and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Taxes and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Foreclosures, Bankruptcy, REO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and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Taxes and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Foreclosures, Bankruptcy, REO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Conventional</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Government-insured</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Non-Agency</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w:t>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selected operating statistics related to our reverse mortgage loans reported within our Servicing segment:</w:t>
      </w:r>
    </w:p>
    <w:tbl>
      <w:tblPr>
        <w:tblW w:w="10205" w:type="dxa"/>
        <w:jc w:val="left"/>
        <w:tblInd w:w="0" w:type="dxa"/>
        <w:tblLayout w:type="fixed"/>
        <w:tblCellMar>
          <w:top w:w="28" w:type="dxa"/>
          <w:left w:w="28" w:type="dxa"/>
          <w:bottom w:w="28" w:type="dxa"/>
          <w:right w:w="28" w:type="dxa"/>
        </w:tblCellMar>
      </w:tblPr>
      <w:tblGrid>
        <w:gridCol w:w="1088"/>
        <w:gridCol w:w="894"/>
        <w:gridCol w:w="896"/>
        <w:gridCol w:w="211"/>
        <w:gridCol w:w="871"/>
        <w:gridCol w:w="271"/>
        <w:gridCol w:w="109"/>
        <w:gridCol w:w="109"/>
        <w:gridCol w:w="109"/>
        <w:gridCol w:w="211"/>
        <w:gridCol w:w="871"/>
        <w:gridCol w:w="271"/>
        <w:gridCol w:w="109"/>
        <w:gridCol w:w="109"/>
        <w:gridCol w:w="109"/>
        <w:gridCol w:w="220"/>
        <w:gridCol w:w="220"/>
        <w:gridCol w:w="551"/>
        <w:gridCol w:w="109"/>
        <w:gridCol w:w="109"/>
        <w:gridCol w:w="109"/>
        <w:gridCol w:w="216"/>
        <w:gridCol w:w="789"/>
        <w:gridCol w:w="278"/>
        <w:gridCol w:w="109"/>
        <w:gridCol w:w="109"/>
        <w:gridCol w:w="109"/>
        <w:gridCol w:w="211"/>
        <w:gridCol w:w="211"/>
        <w:gridCol w:w="617"/>
      </w:tblGrid>
      <w:tr>
        <w:trPr/>
        <w:tc>
          <w:tcPr>
            <w:tcW w:w="10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Reverse Mortgage Loans </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Unpaid principal balance (UPB) in millions: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held for investment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Active Buyouts </w:t>
            </w:r>
            <w:r>
              <w:rPr>
                <w:rFonts w:ascii="Times New Roman;serif" w:hAnsi="Times New Roman;serif"/>
                <w:b w:val="false"/>
                <w:color w:val="000000"/>
                <w:sz w:val="13"/>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Inactive Buyouts </w:t>
            </w:r>
            <w:r>
              <w:rPr>
                <w:rFonts w:ascii="Times New Roman;serif" w:hAnsi="Times New Roman;serif"/>
                <w:b w:val="false"/>
                <w:color w:val="000000"/>
                <w:sz w:val="13"/>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8,501.1 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87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Future draw commitments (UPB) in millions: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in millions: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held for investment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HMBS related borrowings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 value (HECM or reverse MSR)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 to UPB</w:t>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(1)Securitized loans only; excludes unsecuritized loans.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(2)Buyouts are reported as Loans held for sale, Accounts Receivable or REO depending on the loan and foreclosure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Financial Performance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results of operations of our Servicing segment. The amounts presented are before the elimination of balances and transactions with our other segments:</w:t>
      </w:r>
    </w:p>
    <w:tbl>
      <w:tblPr>
        <w:tblW w:w="10205" w:type="dxa"/>
        <w:jc w:val="left"/>
        <w:tblInd w:w="0" w:type="dxa"/>
        <w:tblLayout w:type="fixed"/>
        <w:tblCellMar>
          <w:top w:w="28" w:type="dxa"/>
          <w:left w:w="28" w:type="dxa"/>
          <w:bottom w:w="28" w:type="dxa"/>
          <w:right w:w="28" w:type="dxa"/>
        </w:tblCellMar>
      </w:tblPr>
      <w:tblGrid>
        <w:gridCol w:w="894"/>
        <w:gridCol w:w="540"/>
        <w:gridCol w:w="544"/>
        <w:gridCol w:w="509"/>
        <w:gridCol w:w="315"/>
        <w:gridCol w:w="264"/>
        <w:gridCol w:w="115"/>
        <w:gridCol w:w="115"/>
        <w:gridCol w:w="115"/>
        <w:gridCol w:w="317"/>
        <w:gridCol w:w="285"/>
        <w:gridCol w:w="286"/>
        <w:gridCol w:w="109"/>
        <w:gridCol w:w="109"/>
        <w:gridCol w:w="109"/>
        <w:gridCol w:w="243"/>
        <w:gridCol w:w="244"/>
        <w:gridCol w:w="551"/>
        <w:gridCol w:w="109"/>
        <w:gridCol w:w="109"/>
        <w:gridCol w:w="109"/>
        <w:gridCol w:w="509"/>
        <w:gridCol w:w="262"/>
        <w:gridCol w:w="264"/>
        <w:gridCol w:w="114"/>
        <w:gridCol w:w="114"/>
        <w:gridCol w:w="114"/>
        <w:gridCol w:w="509"/>
        <w:gridCol w:w="315"/>
        <w:gridCol w:w="264"/>
        <w:gridCol w:w="109"/>
        <w:gridCol w:w="109"/>
        <w:gridCol w:w="109"/>
        <w:gridCol w:w="243"/>
        <w:gridCol w:w="244"/>
        <w:gridCol w:w="551"/>
        <w:gridCol w:w="109"/>
        <w:gridCol w:w="109"/>
        <w:gridCol w:w="166"/>
      </w:tblGrid>
      <w:tr>
        <w:trPr/>
        <w:tc>
          <w:tcPr>
            <w:tcW w:w="89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subservicing fees</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loans held for sale, net</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MSR valuation adjustments, net</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expense</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allocations</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of equity method investee</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Servicing and Subservicing Fees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 displays servicing and subservicing fees by component for the periods presented:</w:t>
      </w:r>
    </w:p>
    <w:p>
      <w:pPr>
        <w:pStyle w:val="TextBody"/>
        <w:bidi w:val="0"/>
        <w:spacing w:lineRule="auto" w:line="288" w:before="120" w:after="120"/>
        <w:jc w:val="center"/>
        <w:rPr/>
      </w:pPr>
      <w:r>
        <w:rPr/>
        <w:drawing>
          <wp:inline distT="0" distB="0" distL="0" distR="0">
            <wp:extent cx="1828800" cy="1638300"/>
            <wp:effectExtent l="0" t="0" r="0" b="0"/>
            <wp:docPr id="8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1" descr=""/>
                    <pic:cNvPicPr>
                      <a:picLocks noChangeAspect="1" noChangeArrowheads="1"/>
                    </pic:cNvPicPr>
                  </pic:nvPicPr>
                  <pic:blipFill>
                    <a:blip r:embed="rId12"/>
                    <a:stretch>
                      <a:fillRect/>
                    </a:stretch>
                  </pic:blipFill>
                  <pic:spPr bwMode="auto">
                    <a:xfrm>
                      <a:off x="0" y="0"/>
                      <a:ext cx="1828800" cy="1638300"/>
                    </a:xfrm>
                    <a:prstGeom prst="rect">
                      <a:avLst/>
                    </a:prstGeom>
                  </pic:spPr>
                </pic:pic>
              </a:graphicData>
            </a:graphic>
          </wp:inline>
        </w:drawing>
      </w:r>
      <w:bookmarkStart w:id="10" w:name="i-11"/>
      <w:bookmarkEnd w:id="10"/>
      <w:r>
        <w:rPr>
          <w:color w:val="000000"/>
        </w:rPr>
        <w:t xml:space="preserve"> </w:t>
      </w:r>
      <w:r>
        <w:rPr/>
        <w:drawing>
          <wp:inline distT="0" distB="0" distL="0" distR="0">
            <wp:extent cx="3657600" cy="1638300"/>
            <wp:effectExtent l="0" t="0" r="0" b="0"/>
            <wp:docPr id="8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2" descr=""/>
                    <pic:cNvPicPr>
                      <a:picLocks noChangeAspect="1" noChangeArrowheads="1"/>
                    </pic:cNvPicPr>
                  </pic:nvPicPr>
                  <pic:blipFill>
                    <a:blip r:embed="rId13"/>
                    <a:stretch>
                      <a:fillRect/>
                    </a:stretch>
                  </pic:blipFill>
                  <pic:spPr bwMode="auto">
                    <a:xfrm>
                      <a:off x="0" y="0"/>
                      <a:ext cx="3657600" cy="1638300"/>
                    </a:xfrm>
                    <a:prstGeom prst="rect">
                      <a:avLst/>
                    </a:prstGeom>
                  </pic:spPr>
                </pic:pic>
              </a:graphicData>
            </a:graphic>
          </wp:inline>
        </w:drawing>
      </w:r>
      <w:bookmarkStart w:id="11" w:name="i-12"/>
      <w:bookmarkEnd w:id="11"/>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and discussion present the main drivers of servicing and subservicing fees. </w:t>
      </w:r>
    </w:p>
    <w:tbl>
      <w:tblPr>
        <w:tblW w:w="10205" w:type="dxa"/>
        <w:jc w:val="left"/>
        <w:tblInd w:w="0" w:type="dxa"/>
        <w:tblLayout w:type="fixed"/>
        <w:tblCellMar>
          <w:top w:w="28" w:type="dxa"/>
          <w:left w:w="28" w:type="dxa"/>
          <w:bottom w:w="28" w:type="dxa"/>
          <w:right w:w="28" w:type="dxa"/>
        </w:tblCellMar>
      </w:tblPr>
      <w:tblGrid>
        <w:gridCol w:w="846"/>
        <w:gridCol w:w="540"/>
        <w:gridCol w:w="544"/>
        <w:gridCol w:w="248"/>
        <w:gridCol w:w="726"/>
        <w:gridCol w:w="129"/>
        <w:gridCol w:w="109"/>
        <w:gridCol w:w="109"/>
        <w:gridCol w:w="109"/>
        <w:gridCol w:w="211"/>
        <w:gridCol w:w="616"/>
        <w:gridCol w:w="109"/>
        <w:gridCol w:w="109"/>
        <w:gridCol w:w="109"/>
        <w:gridCol w:w="109"/>
        <w:gridCol w:w="109"/>
        <w:gridCol w:w="220"/>
        <w:gridCol w:w="220"/>
        <w:gridCol w:w="551"/>
        <w:gridCol w:w="109"/>
        <w:gridCol w:w="109"/>
        <w:gridCol w:w="109"/>
        <w:gridCol w:w="248"/>
        <w:gridCol w:w="726"/>
        <w:gridCol w:w="129"/>
        <w:gridCol w:w="155"/>
        <w:gridCol w:w="155"/>
        <w:gridCol w:w="156"/>
        <w:gridCol w:w="248"/>
        <w:gridCol w:w="726"/>
        <w:gridCol w:w="129"/>
        <w:gridCol w:w="109"/>
        <w:gridCol w:w="109"/>
        <w:gridCol w:w="109"/>
        <w:gridCol w:w="109"/>
        <w:gridCol w:w="213"/>
        <w:gridCol w:w="213"/>
        <w:gridCol w:w="621"/>
      </w:tblGrid>
      <w:tr>
        <w:trPr/>
        <w:tc>
          <w:tcPr>
            <w:tcW w:w="8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servicing UPB </w:t>
            </w:r>
            <w:r>
              <w:rPr>
                <w:rFonts w:ascii="Times New Roman;serif" w:hAnsi="Times New Roman;serif"/>
                <w:b w:val="false"/>
                <w:color w:val="000000"/>
                <w:sz w:val="13"/>
              </w:rPr>
              <w:t xml:space="preserve">(1) </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servicing fee </w:t>
            </w:r>
            <w:r>
              <w:rPr>
                <w:rFonts w:ascii="Times New Roman;serif" w:hAnsi="Times New Roman;serif"/>
                <w:b w:val="false"/>
                <w:color w:val="000000"/>
                <w:sz w:val="13"/>
              </w:rPr>
              <w:t>(2)</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Servicing fees </w:t>
            </w:r>
            <w:r>
              <w:rPr>
                <w:rFonts w:ascii="Times New Roman;serif" w:hAnsi="Times New Roman;serif"/>
                <w:b w:val="false"/>
                <w:color w:val="000000"/>
                <w:sz w:val="13"/>
              </w:rPr>
              <w:t>(3)</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Subservicing fees </w:t>
            </w:r>
            <w:r>
              <w:rPr>
                <w:rFonts w:ascii="Times New Roman;serif" w:hAnsi="Times New Roman;serif"/>
                <w:b w:val="false"/>
                <w:color w:val="000000"/>
                <w:sz w:val="13"/>
              </w:rPr>
              <w:t>(6)</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subservicing UPB </w:t>
            </w:r>
            <w:r>
              <w:rPr>
                <w:rFonts w:ascii="Times New Roman;serif" w:hAnsi="Times New Roman;serif"/>
                <w:b w:val="false"/>
                <w:color w:val="000000"/>
                <w:sz w:val="13"/>
              </w:rPr>
              <w:t xml:space="preserve">(1) </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Average number of subserviced loans </w:t>
            </w:r>
            <w:r>
              <w:rPr>
                <w:rFonts w:ascii="Times New Roman;serif" w:hAnsi="Times New Roman;serif"/>
                <w:b w:val="false"/>
                <w:color w:val="000000"/>
                <w:sz w:val="13"/>
              </w:rPr>
              <w:t xml:space="preserve">(4) </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monthly fee per loan </w:t>
            </w:r>
            <w:r>
              <w:rPr>
                <w:rFonts w:ascii="Times New Roman;serif" w:hAnsi="Times New Roman;serif"/>
                <w:b w:val="false"/>
                <w:color w:val="000000"/>
                <w:sz w:val="13"/>
              </w:rPr>
              <w:t>(5)</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Subservicing fees </w:t>
            </w:r>
            <w:r>
              <w:rPr>
                <w:rFonts w:ascii="Times New Roman;serif" w:hAnsi="Times New Roman;serif"/>
                <w:b w:val="false"/>
                <w:color w:val="000000"/>
                <w:sz w:val="13"/>
              </w:rPr>
              <w:t>(3)</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57.6</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 $ billions, (2) In % of UPB, annualized, (3) In $ millions, (4) In thousands, (5) In dollars.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(6) Includes reverse mortgage loan subservicing.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Servicing fees for the three months ended September 30, 2025 increased $4.4 million or 3% compared to the three months ended June 30, 2025, driven by a 3% increase in average servicing UPB. The increase in average servicing UPB is primarily due to robust originations as part of our replenishment and growth initiative. Subservicing fees remained flat quarter over quarter, with a 2% reduction in subservicing volume (loan count) offset by 2% higher subservicing fee per loan.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our servicing fees for the nine months ended September 30, 2025 grew 6% or $22.1 million, driven by an 8% increase in average servicing UPB, primarily due to robust originations and bulk MSR acquisitions as part of our replenishment and growth initiative. The $14.1 million or 16% decrease in subservicing fees is largely due to the acquisition of the reverse portfolio from Waterfall in the fourth quarter of 2024 that we previously subserviced and the deboarding of $5.7 billion UPB Rithm loans in the first quarter of 2025, partly offset by the growth of our forward subservicing portfolio.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our ancillary income:</w:t>
      </w:r>
    </w:p>
    <w:tbl>
      <w:tblPr>
        <w:tblW w:w="10205" w:type="dxa"/>
        <w:jc w:val="left"/>
        <w:tblInd w:w="0" w:type="dxa"/>
        <w:tblLayout w:type="fixed"/>
        <w:tblCellMar>
          <w:top w:w="28" w:type="dxa"/>
          <w:left w:w="28" w:type="dxa"/>
          <w:bottom w:w="28" w:type="dxa"/>
          <w:right w:w="28" w:type="dxa"/>
        </w:tblCellMar>
      </w:tblPr>
      <w:tblGrid>
        <w:gridCol w:w="694"/>
        <w:gridCol w:w="463"/>
        <w:gridCol w:w="466"/>
        <w:gridCol w:w="274"/>
        <w:gridCol w:w="665"/>
        <w:gridCol w:w="143"/>
        <w:gridCol w:w="109"/>
        <w:gridCol w:w="109"/>
        <w:gridCol w:w="109"/>
        <w:gridCol w:w="211"/>
        <w:gridCol w:w="511"/>
        <w:gridCol w:w="109"/>
        <w:gridCol w:w="109"/>
        <w:gridCol w:w="109"/>
        <w:gridCol w:w="109"/>
        <w:gridCol w:w="109"/>
        <w:gridCol w:w="220"/>
        <w:gridCol w:w="220"/>
        <w:gridCol w:w="551"/>
        <w:gridCol w:w="175"/>
        <w:gridCol w:w="175"/>
        <w:gridCol w:w="176"/>
        <w:gridCol w:w="243"/>
        <w:gridCol w:w="712"/>
        <w:gridCol w:w="127"/>
        <w:gridCol w:w="175"/>
        <w:gridCol w:w="175"/>
        <w:gridCol w:w="176"/>
        <w:gridCol w:w="243"/>
        <w:gridCol w:w="712"/>
        <w:gridCol w:w="127"/>
        <w:gridCol w:w="109"/>
        <w:gridCol w:w="109"/>
        <w:gridCol w:w="109"/>
        <w:gridCol w:w="109"/>
        <w:gridCol w:w="109"/>
        <w:gridCol w:w="109"/>
        <w:gridCol w:w="212"/>
        <w:gridCol w:w="212"/>
        <w:gridCol w:w="621"/>
      </w:tblGrid>
      <w:tr>
        <w:trPr/>
        <w:tc>
          <w:tcPr>
            <w:tcW w:w="69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Ancillary Income</w:t>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Custodial accounts (float earnings)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Late charges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subservicing ancillary fees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income</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Ancillary income for the three months ended September 30, 2025 increased by $1.8 million, or 3% compared to the three months ended June 30, 2025 primarily due to a $4.1 million increase in float earnings attributable to seasonally higher average float balances, offset in part by $1.8 million lower other fees mainly driven by lower collection fees.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Compared to the nine months ended September 30, 2024, ancillary income for the nine months ended September 30, 2025 remained flat, with some offsetting factors, including a $8.8 million decline in reverse subservicing ancillary fees driven by the acquisition of previously-subserviced client portfolio (from Waterfall) in the fourth quarter of 2024 and portfolio runoff, a $3.4 million increase in late charge collections on higher payoff volume, and $3.7 million higher other fees mainly driven by loss mitigation activities. Float earnings remained mostly flat ($1.3 million increase) with an offsetting impact of higher float balances due to increased servicing volume overall and lower average interest rates (as a benchmark, the average 1-month term SOFR declined by 98 basis points).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Gain (Loss) on Loans Held for Sale, Net </w:t>
      </w:r>
    </w:p>
    <w:tbl>
      <w:tblPr>
        <w:tblW w:w="420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recognized a $3.4 million gain on loans held for sale, net for the three months ended September 30, 2025, compared to a $5.0 million loss in the three months ended June 30, 2025. The $8.4 million favorable variance quarter-over-quarter is mostly driven by reverse mortgage buyouts, with certain favorable assumption updates in the third quarter of 2025 and losses in the second quarter of 2025 (largely attributed to the reverse portfolio acquired from Waterfall in the fourth quarter of 2024).</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recognized a $5.4 million loss on loans held for sale, net for the nine months ended September 30, 2025, compared to an $11.0 million gain recognized in the nine months ended September 30, 2024. The $16.4 million unfavorable variance year-over-year is mostly driven by $8.3 million losses on reverse mortgage buyouts in 2025 (largely attributed to the reverse portfolio acquired from Waterfall in the fourth quarter of 2024) and $11.3 million gains recognized in 2024 on previously acquired reverse mortgage buyouts.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Gain (Loss) on Reverse Loans Held for Investment and HMBS-Related Borrowings, Net</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components of the fair value change of reverse loans held for investment and HMBS-related borrowings, net. </w:t>
      </w:r>
    </w:p>
    <w:tbl>
      <w:tblPr>
        <w:tblW w:w="10205" w:type="dxa"/>
        <w:jc w:val="left"/>
        <w:tblInd w:w="0" w:type="dxa"/>
        <w:tblLayout w:type="fixed"/>
        <w:tblCellMar>
          <w:top w:w="28" w:type="dxa"/>
          <w:left w:w="28" w:type="dxa"/>
          <w:bottom w:w="28" w:type="dxa"/>
          <w:right w:w="28" w:type="dxa"/>
        </w:tblCellMar>
      </w:tblPr>
      <w:tblGrid>
        <w:gridCol w:w="840"/>
        <w:gridCol w:w="441"/>
        <w:gridCol w:w="444"/>
        <w:gridCol w:w="503"/>
        <w:gridCol w:w="259"/>
        <w:gridCol w:w="261"/>
        <w:gridCol w:w="112"/>
        <w:gridCol w:w="112"/>
        <w:gridCol w:w="112"/>
        <w:gridCol w:w="313"/>
        <w:gridCol w:w="205"/>
        <w:gridCol w:w="159"/>
        <w:gridCol w:w="109"/>
        <w:gridCol w:w="109"/>
        <w:gridCol w:w="109"/>
        <w:gridCol w:w="109"/>
        <w:gridCol w:w="220"/>
        <w:gridCol w:w="220"/>
        <w:gridCol w:w="551"/>
        <w:gridCol w:w="109"/>
        <w:gridCol w:w="175"/>
        <w:gridCol w:w="175"/>
        <w:gridCol w:w="176"/>
        <w:gridCol w:w="503"/>
        <w:gridCol w:w="259"/>
        <w:gridCol w:w="261"/>
        <w:gridCol w:w="175"/>
        <w:gridCol w:w="175"/>
        <w:gridCol w:w="176"/>
        <w:gridCol w:w="503"/>
        <w:gridCol w:w="259"/>
        <w:gridCol w:w="261"/>
        <w:gridCol w:w="109"/>
        <w:gridCol w:w="109"/>
        <w:gridCol w:w="109"/>
        <w:gridCol w:w="109"/>
        <w:gridCol w:w="109"/>
        <w:gridCol w:w="109"/>
        <w:gridCol w:w="220"/>
        <w:gridCol w:w="220"/>
        <w:gridCol w:w="551"/>
        <w:gridCol w:w="165"/>
      </w:tblGrid>
      <w:tr>
        <w:trPr/>
        <w:tc>
          <w:tcPr>
            <w:tcW w:w="8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(servicing fee)</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 in fair value of securitized loans held for investment and HMBS-related borrowings, net</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120" w:after="2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 (Servicing)</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reverse loans held for investment and HMBS-related borrowings, net was flat for the three months ended September 30, 2025 compared to the three months ended June 30, 2025. While not the only benchmark for the reverse mortgage exposure, the 10-year Treasury rate declined 8 basis points during the third quarter of 2025 and was flat (increased 1 basis point) during the second quarter of 2025. Net interest income remained mostly flat (-3%), consistent with the average portfolio balance.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Gain on reverse loans held for investment and HMBS-related borrowings, net for the nine months ended September 30, 2025 increased $6.2 million mostly driven by a more favorable decline in market interest rates vs. the decrease in the prior year period, partly offset by changes in spreads (less favorable tightening vs. the prior year period) and certain unfavorable assumption updates in the second quarter of 2025. The 10-year Treasury rate declined 42 basis points during the nine months ended September 30, 2025 compared to a decrease of 7 basis points during the nine months ended September 30, 2024. Net interest income increased $5.9 million (or 32%), consistent with the portfolio growth due to the acquisition of the previously subserviced portfolio of Waterfall in the fourth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MSR Valuation Adjustments, Net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the discussion above within Overview-Results of Operations and Financial Condition-MSR Valuation Adjustments,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chart summarizes the impact of our MSR interest rate hedging strategy on Servicing segment results along with the impact of fair value changes due to other input and assumption updates (refer to the MSR Hedging Strategy section of Item 3. Quantitative and Qualitative Disclosures about Market Risks for further detail). As displayed below, our net income (total) is impacted by the combined effect of the fair value changes of the MSR portfolio attributable to rates and assumption changes, the MSR hedging derivative gains and losses - both reported within MSR valuation adjustments, net on the face of the consolidated statement of operations - and other fair value changes of the HECM loans and HMBS-related borrowings (reverse exposure) used as a hedge for risk management purposes but separately presented on our consolidated statement of operations as Gain on reverse loans held for investment and HMBS-related borrowings, net. While our risk management hedging strategy is targeted towards changes in fair value due to interest rates, the below information portrays all fair value changes due to interest rates, inputs and assumptions.</w:t>
      </w:r>
    </w:p>
    <w:p>
      <w:pPr>
        <w:pStyle w:val="TextBody"/>
        <w:bidi w:val="0"/>
        <w:spacing w:lineRule="auto" w:line="288" w:before="120" w:after="120"/>
        <w:jc w:val="center"/>
        <w:rPr/>
      </w:pPr>
      <w:r>
        <w:rPr/>
        <w:drawing>
          <wp:inline distT="0" distB="0" distL="0" distR="0">
            <wp:extent cx="2743200" cy="2466975"/>
            <wp:effectExtent l="0" t="0" r="0" b="0"/>
            <wp:docPr id="8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3" descr=""/>
                    <pic:cNvPicPr>
                      <a:picLocks noChangeAspect="1" noChangeArrowheads="1"/>
                    </pic:cNvPicPr>
                  </pic:nvPicPr>
                  <pic:blipFill>
                    <a:blip r:embed="rId14"/>
                    <a:stretch>
                      <a:fillRect/>
                    </a:stretch>
                  </pic:blipFill>
                  <pic:spPr bwMode="auto">
                    <a:xfrm>
                      <a:off x="0" y="0"/>
                      <a:ext cx="2743200" cy="2466975"/>
                    </a:xfrm>
                    <a:prstGeom prst="rect">
                      <a:avLst/>
                    </a:prstGeom>
                  </pic:spPr>
                </pic:pic>
              </a:graphicData>
            </a:graphic>
          </wp:inline>
        </w:drawing>
      </w:r>
      <w:bookmarkStart w:id="12" w:name="i-13"/>
      <w:bookmarkEnd w:id="12"/>
      <w:r>
        <w:rPr>
          <w:color w:val="000000"/>
        </w:rPr>
        <w:t xml:space="preserve"> </w:t>
      </w:r>
      <w:r>
        <w:rPr/>
        <w:drawing>
          <wp:inline distT="0" distB="0" distL="0" distR="0">
            <wp:extent cx="3200400" cy="2466975"/>
            <wp:effectExtent l="0" t="0" r="0" b="0"/>
            <wp:docPr id="8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4" descr=""/>
                    <pic:cNvPicPr>
                      <a:picLocks noChangeAspect="1" noChangeArrowheads="1"/>
                    </pic:cNvPicPr>
                  </pic:nvPicPr>
                  <pic:blipFill>
                    <a:blip r:embed="rId15"/>
                    <a:stretch>
                      <a:fillRect/>
                    </a:stretch>
                  </pic:blipFill>
                  <pic:spPr bwMode="auto">
                    <a:xfrm>
                      <a:off x="0" y="0"/>
                      <a:ext cx="3200400" cy="2466975"/>
                    </a:xfrm>
                    <a:prstGeom prst="rect">
                      <a:avLst/>
                    </a:prstGeom>
                  </pic:spPr>
                </pic:pic>
              </a:graphicData>
            </a:graphic>
          </wp:inline>
        </w:drawing>
      </w:r>
      <w:bookmarkStart w:id="13" w:name="i-14"/>
      <w:bookmarkEnd w:id="13"/>
    </w:p>
    <w:tbl>
      <w:tblPr>
        <w:tblW w:w="7316" w:type="dxa"/>
        <w:jc w:val="center"/>
        <w:tblInd w:w="0" w:type="dxa"/>
        <w:tblLayout w:type="fixed"/>
        <w:tblCellMar>
          <w:top w:w="28" w:type="dxa"/>
          <w:left w:w="28" w:type="dxa"/>
          <w:bottom w:w="28" w:type="dxa"/>
          <w:right w:w="28" w:type="dxa"/>
        </w:tblCellMar>
      </w:tblPr>
      <w:tblGrid>
        <w:gridCol w:w="124"/>
        <w:gridCol w:w="109"/>
        <w:gridCol w:w="109"/>
        <w:gridCol w:w="2043"/>
        <w:gridCol w:w="2043"/>
        <w:gridCol w:w="2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2F20EF"/>
                <w:shd w:fill="2F20EF" w:val="clear"/>
              </w:rPr>
            </w:pPr>
            <w:r>
              <w:rPr>
                <w:color w:val="2F20EF"/>
                <w:shd w:fill="2F20EF" w:val="clear"/>
              </w:rPr>
              <w:t>☐</w:t>
            </w:r>
          </w:p>
        </w:tc>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MSR fair value changes due to input and assumption changes (reported within the Servicing segment)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939393"/>
                <w:shd w:fill="939393" w:val="clear"/>
              </w:rPr>
            </w:pPr>
            <w:r>
              <w:rPr>
                <w:color w:val="939393"/>
                <w:shd w:fill="939393" w:val="clear"/>
              </w:rPr>
              <w:t>☐</w:t>
            </w:r>
          </w:p>
        </w:tc>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MSR hedging derivative fair value changes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A3E0"/>
                <w:shd w:fill="00A3E0" w:val="clear"/>
              </w:rPr>
            </w:pPr>
            <w:r>
              <w:rPr>
                <w:color w:val="00A3E0"/>
                <w:shd w:fill="00A3E0" w:val="clear"/>
              </w:rPr>
              <w:t>☐</w:t>
            </w:r>
          </w:p>
        </w:tc>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Other change in fair value of securitized reverse mortgage loans held for investment and HMBS-related borrowings, net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9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With a high targeted hedge coverage ratio, the fair value volatility of the MSR portfolio due to changes in market interest rates, net of hedges (including the reverse exposure) was reduced for the periods presented. The total impact of our MSR hedge strategy resulted in losses of $1.0 million in the third quarter of 2025 and gains of $9.8 million in the second quarter of 2025, largely driven by favorable MSR valuation input and assumption updates to reflect market transaction pricing levels. The $22.6 million lower gains for the nine months ended September 30, 2025 compared to the nine months ended September 30, 2024 is mainly driven by less favorable input and assumption updates, partly offset by favorable market rate impact net of hedging compared to the prior year period.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Compensation and Benefits</w:t>
      </w:r>
    </w:p>
    <w:tbl>
      <w:tblPr>
        <w:tblW w:w="10697" w:type="dxa"/>
        <w:jc w:val="left"/>
        <w:tblInd w:w="0" w:type="dxa"/>
        <w:tblLayout w:type="fixed"/>
        <w:tblCellMar>
          <w:top w:w="28" w:type="dxa"/>
          <w:left w:w="28" w:type="dxa"/>
          <w:bottom w:w="28" w:type="dxa"/>
          <w:right w:w="28" w:type="dxa"/>
        </w:tblCellMar>
      </w:tblPr>
      <w:tblGrid>
        <w:gridCol w:w="473"/>
        <w:gridCol w:w="416"/>
        <w:gridCol w:w="417"/>
        <w:gridCol w:w="255"/>
        <w:gridCol w:w="618"/>
        <w:gridCol w:w="133"/>
        <w:gridCol w:w="109"/>
        <w:gridCol w:w="109"/>
        <w:gridCol w:w="109"/>
        <w:gridCol w:w="211"/>
        <w:gridCol w:w="511"/>
        <w:gridCol w:w="109"/>
        <w:gridCol w:w="109"/>
        <w:gridCol w:w="109"/>
        <w:gridCol w:w="109"/>
        <w:gridCol w:w="109"/>
        <w:gridCol w:w="109"/>
        <w:gridCol w:w="220"/>
        <w:gridCol w:w="220"/>
        <w:gridCol w:w="551"/>
        <w:gridCol w:w="335"/>
        <w:gridCol w:w="335"/>
        <w:gridCol w:w="336"/>
        <w:gridCol w:w="211"/>
        <w:gridCol w:w="511"/>
        <w:gridCol w:w="109"/>
        <w:gridCol w:w="335"/>
        <w:gridCol w:w="335"/>
        <w:gridCol w:w="336"/>
        <w:gridCol w:w="211"/>
        <w:gridCol w:w="511"/>
        <w:gridCol w:w="109"/>
        <w:gridCol w:w="109"/>
        <w:gridCol w:w="109"/>
        <w:gridCol w:w="109"/>
        <w:gridCol w:w="109"/>
        <w:gridCol w:w="109"/>
        <w:gridCol w:w="109"/>
        <w:gridCol w:w="109"/>
        <w:gridCol w:w="109"/>
        <w:gridCol w:w="109"/>
        <w:gridCol w:w="211"/>
        <w:gridCol w:w="211"/>
        <w:gridCol w:w="61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and benefits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Employment - Servicing</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Compensation and benefits expense for the three months ended September 30, 2025 remained flat (increased 2%), compared to the three months ended June 30, 2025 largely consistent with headcount.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Compensation and benefits expense for the nine months ended September 30, 2025 decreased $6.3 million or 8%, mostly driven by a 9% headcount reduction. The decrease in average headcount, with an 11% decrease in the U.S., is largely attributed to the runoff of our reverse subservicing portfolio and further efficiency gains.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Servicing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Servicing expense primarily includes claim losses and interest curtailments on government-insured loans (provision for account receivables), provision expense for advances and servicing representation and warranties, other provision expense (incl. CRL), and certain loan-volume related expenses.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Servicing expense increased $1.5 million in the three months ended September 30, 2025 compared to the three months ended June 30, 2025, largely driven by additional provision expense in our captive reinsurance business (CRL) due to higher property casualties.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Servicing expense for the nine months ended September 30, 2025 were mostly flat (increased $1.0 million or 3%) with additional provision expense in our captive reinsurance business (CRL) due to higher property casualties, partially offset by lower provision expense for servicing advances and other factors.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expenses (total operating expenses less Compensation and benefit expense and Servicing expense) for the three months ended September 30, 2025 increased $10.1 million as compared to the three months ended June 30, 2025, mostly due to $8.4 million increased legal expenses reported within Professional services driven by higher recoveries of prior years’ legal expenses in the second quarter of 2025 and an increase in our accrual for probable losses in the third quarter of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Other operating expenses for the nine months ended September 30, 2025 increased $8.0 million mostly due to a $6.6 million increase in Corporate overhead allocations primarily driven by higher Corporate services to support our growth initiatives and a $4.1 million increase in Technology and communications primarily driven by our technology initiatives (including robotic process automation, digitization and machine learning / artificial intelligence) and certain technology expenses previously reflected within Professional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primarily includes net interest expense and pledged MSR liability expense. </w:t>
      </w:r>
    </w:p>
    <w:tbl>
      <w:tblPr>
        <w:tblW w:w="11087" w:type="dxa"/>
        <w:jc w:val="left"/>
        <w:tblInd w:w="0" w:type="dxa"/>
        <w:tblLayout w:type="fixed"/>
        <w:tblCellMar>
          <w:top w:w="28" w:type="dxa"/>
          <w:left w:w="28" w:type="dxa"/>
          <w:bottom w:w="28" w:type="dxa"/>
          <w:right w:w="28" w:type="dxa"/>
        </w:tblCellMar>
      </w:tblPr>
      <w:tblGrid>
        <w:gridCol w:w="734"/>
        <w:gridCol w:w="263"/>
        <w:gridCol w:w="264"/>
        <w:gridCol w:w="494"/>
        <w:gridCol w:w="396"/>
        <w:gridCol w:w="325"/>
        <w:gridCol w:w="109"/>
        <w:gridCol w:w="109"/>
        <w:gridCol w:w="109"/>
        <w:gridCol w:w="308"/>
        <w:gridCol w:w="407"/>
        <w:gridCol w:w="314"/>
        <w:gridCol w:w="109"/>
        <w:gridCol w:w="109"/>
        <w:gridCol w:w="109"/>
        <w:gridCol w:w="109"/>
        <w:gridCol w:w="109"/>
        <w:gridCol w:w="220"/>
        <w:gridCol w:w="220"/>
        <w:gridCol w:w="551"/>
        <w:gridCol w:w="335"/>
        <w:gridCol w:w="335"/>
        <w:gridCol w:w="336"/>
        <w:gridCol w:w="211"/>
        <w:gridCol w:w="359"/>
        <w:gridCol w:w="362"/>
        <w:gridCol w:w="335"/>
        <w:gridCol w:w="335"/>
        <w:gridCol w:w="336"/>
        <w:gridCol w:w="211"/>
        <w:gridCol w:w="359"/>
        <w:gridCol w:w="362"/>
        <w:gridCol w:w="109"/>
        <w:gridCol w:w="109"/>
        <w:gridCol w:w="109"/>
        <w:gridCol w:w="109"/>
        <w:gridCol w:w="109"/>
        <w:gridCol w:w="109"/>
        <w:gridCol w:w="109"/>
        <w:gridCol w:w="233"/>
        <w:gridCol w:w="233"/>
        <w:gridCol w:w="61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match funded liabilities</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Securitization notes (OLIT)</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Warehouse facilities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debt interest expense allocation </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Escrow</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balances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match funded liabilities</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Securitization notes (OLIT)</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Warehouse facilities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asset-backed financing</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2,170.0</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average interest rate</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match funded liabilities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Securitization notes (OLIT)</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Warehouse facilities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1 month Term SOFR</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2025 increased $5.7 million, or 11% compared to the three months ended June 30, 2025. The increase is primarily driven by a $3.4 million increase due to the acquisition and securitization (OLIT) of reverse mortgage buyouts in July 2025 and a $1.4 million increase on MSR financing facilities due to our owned MSR portfolio growth.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interest expense for the nine months ended September 30, 2025 increased $16.3 million, or 12%, driven by the growth of our assets, partly offset by lower financing cost due to lower interest rates. Interest expense increased $9.5 million mainly due to the acquisition and securitization (OLIT) of reverse mortgage buyouts in September 2024 and July 2025. In addition, interest expense increased $5.7 million on warehouse facilities and $7.0 million on MSR facilities due to an increase in the average debt balance, offset in part by lower average short-term market interest rates. These increases were partially offset by a $5.4 million decrease in interest on Advance funding liabilities, mostly driven by the decline in average debt balances for servicing advances due to lower delinquencies and increased loan resolutions in our non-Agency MSR portfolio.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September 30, 2025 increased $1.7 million compared to the three months ended June 30, 2025, primarily due to the reverse mortgage buyouts acquired in July 2025. Compared to the nine months ended September 30, 2024, interest income increased $14.5 million for the nine months ended September 30, 2025, primarily due to the reverse mortgage buyouts acquired in the third and fourth quarters of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Pledged MSR liability expense includes the servicing fee remittance related to the MSR sales or transfers that do not meet sale accounting criteria and are presented on a gross basis in our consolidated financial statements, including the servicing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spread remittance associated with our ESS financing liability at fair value. See Note 8 — Other Financing Liabilities, at Fair Value to the Unaudited Consolidated Financial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Pledged MSR liability expense:</w:t>
      </w:r>
    </w:p>
    <w:tbl>
      <w:tblPr>
        <w:tblW w:w="10205" w:type="dxa"/>
        <w:jc w:val="left"/>
        <w:tblInd w:w="0" w:type="dxa"/>
        <w:tblLayout w:type="fixed"/>
        <w:tblCellMar>
          <w:top w:w="28" w:type="dxa"/>
          <w:left w:w="28" w:type="dxa"/>
          <w:bottom w:w="28" w:type="dxa"/>
          <w:right w:w="28" w:type="dxa"/>
        </w:tblCellMar>
      </w:tblPr>
      <w:tblGrid>
        <w:gridCol w:w="826"/>
        <w:gridCol w:w="342"/>
        <w:gridCol w:w="327"/>
        <w:gridCol w:w="507"/>
        <w:gridCol w:w="261"/>
        <w:gridCol w:w="263"/>
        <w:gridCol w:w="114"/>
        <w:gridCol w:w="114"/>
        <w:gridCol w:w="114"/>
        <w:gridCol w:w="316"/>
        <w:gridCol w:w="233"/>
        <w:gridCol w:w="233"/>
        <w:gridCol w:w="109"/>
        <w:gridCol w:w="109"/>
        <w:gridCol w:w="220"/>
        <w:gridCol w:w="220"/>
        <w:gridCol w:w="551"/>
        <w:gridCol w:w="343"/>
        <w:gridCol w:w="343"/>
        <w:gridCol w:w="345"/>
        <w:gridCol w:w="220"/>
        <w:gridCol w:w="285"/>
        <w:gridCol w:w="286"/>
        <w:gridCol w:w="343"/>
        <w:gridCol w:w="343"/>
        <w:gridCol w:w="345"/>
        <w:gridCol w:w="220"/>
        <w:gridCol w:w="285"/>
        <w:gridCol w:w="286"/>
        <w:gridCol w:w="109"/>
        <w:gridCol w:w="109"/>
        <w:gridCol w:w="109"/>
        <w:gridCol w:w="109"/>
        <w:gridCol w:w="109"/>
        <w:gridCol w:w="109"/>
        <w:gridCol w:w="211"/>
        <w:gridCol w:w="211"/>
        <w:gridCol w:w="626"/>
      </w:tblGrid>
      <w:tr>
        <w:trPr/>
        <w:tc>
          <w:tcPr>
            <w:tcW w:w="8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Rithm and others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MAV</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servicing fee remittance for MSR transfers that do not meet sale accounting </w:t>
            </w:r>
            <w:r>
              <w:rPr>
                <w:rFonts w:ascii="Times New Roman;serif" w:hAnsi="Times New Roman;serif"/>
                <w:b w:val="false"/>
                <w:color w:val="000000"/>
                <w:sz w:val="13"/>
              </w:rPr>
              <w:t>(1)</w:t>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 servicing spread remittance</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MSR liability expense</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(1)See Note 8 — Other Financing Liabilities, at Fair Value. The servicing fee and ancillary income collections on such transferred MSRs are recognized within Servicing and subservicing fees.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Pledged MSR liability expense for the three months ended September 30, 2025 remained mostly stable (decreased 3%) as compared to the three months ended June 30, 2025 consistent with the volume serviced.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the nine months ended September 30, 2024, Pledged MSR liability expense for the nine months ended September 30, 2025 decreased $6.7 million mostly driven by MAV’s sale of MSRs (previously sold by Onity to MAV in a transaction which did not qualify for sale accounting) which resulted in the derecognition of the Pledged MSR liability during the nine months ended September 30, 2024, partially offset by the increase in the portfolio of MSRs sold to MSR capital partners.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Earnings of equity method investee for the nine months ended September 30, 2024 represents our previously owned 15% share of MAV Canopy which we sold in November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Other, net for the nine months ended September 30, 2024 included $6.2 million expense related to early payment and payoff protections on our MSR bulk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21" w:type="dxa"/>
        <w:jc w:val="left"/>
        <w:tblInd w:w="0" w:type="dxa"/>
        <w:tblLayout w:type="fixed"/>
        <w:tblCellMar>
          <w:top w:w="28" w:type="dxa"/>
          <w:left w:w="28" w:type="dxa"/>
          <w:bottom w:w="28" w:type="dxa"/>
          <w:right w:w="28" w:type="dxa"/>
        </w:tblCellMar>
      </w:tblPr>
      <w:tblGrid>
        <w:gridCol w:w="519"/>
        <w:gridCol w:w="456"/>
        <w:gridCol w:w="646"/>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ORIGINATIONS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originate and purchase loans and MSRs through multiple channels. Loans generally conform to the underwriting standards of Fannie Mae or Freddie Mac (GSEs) or are government-insured (FHA, VA or USDA). We generally sell the loans in the secondary mortgage market through GSE and Ginnie Mae mortgage securitizations on a servicing retained basis.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Originations business generates a gain on sale of loans, which represents the difference between the origination or purchase value and the sale or securitization value of the loans, along with fee revenue.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conduct our Originations business through the following channels: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1- Consumer Direct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Consumer Direct channel for forward mortgage loans focuses on targeting existing servicing customers by offering them competitive mortgage refinance opportunities, where permitted by the governing servicing and pooling agreement.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second lien loans, and new customer acquisition.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2- Correspondent Lending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correspondent lending channel drives the replenishment and growth of our MSR portfolio. We purchase closed loans that have been underwritten to investor guidelines from our network of correspondent sellers and sell and securitize them, on a servicing retained basis. We offer correspondent sellers the choice to take out mandatory or “best-efforts”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We provide customary origination representations and warranties to investors in connection with our loan sales and securitization activities. We receive customary origination representations and warranties from our network of approved correspondent lenders. As of September 30, 2025, we have relationships with 732 approved correspondent sellers.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3- Reverse Originations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 As the securitizations of reverse mortgage loans do not achieve sale accounting treatment and the loans remain reported as Loans held for investment, at fair value together with the securitization HMBS-related borrowings, revenue mostly include the fair value changes of the loan from lock date to securitization date that are reported in Gain on reverse loans held for investment and HMBS-related borrowings, net.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4- Co-Issue Programs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 addition, we partner with other originators to replenish our MSRs through flow purchase agreements. As of September 30, 2025, we have relationships with 521 approved sellers through the Agency Cash Window co-issue programs. 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Metrics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selected operating statistics for our Originations segment:</w:t>
      </w:r>
    </w:p>
    <w:tbl>
      <w:tblPr>
        <w:tblW w:w="10205" w:type="dxa"/>
        <w:jc w:val="center"/>
        <w:tblInd w:w="0" w:type="dxa"/>
        <w:tblLayout w:type="fixed"/>
        <w:tblCellMar>
          <w:top w:w="28" w:type="dxa"/>
          <w:left w:w="28" w:type="dxa"/>
          <w:bottom w:w="28" w:type="dxa"/>
          <w:right w:w="28" w:type="dxa"/>
        </w:tblCellMar>
      </w:tblPr>
      <w:tblGrid>
        <w:gridCol w:w="891"/>
        <w:gridCol w:w="290"/>
        <w:gridCol w:w="292"/>
        <w:gridCol w:w="211"/>
        <w:gridCol w:w="767"/>
        <w:gridCol w:w="271"/>
        <w:gridCol w:w="109"/>
        <w:gridCol w:w="109"/>
        <w:gridCol w:w="109"/>
        <w:gridCol w:w="211"/>
        <w:gridCol w:w="766"/>
        <w:gridCol w:w="271"/>
        <w:gridCol w:w="109"/>
        <w:gridCol w:w="109"/>
        <w:gridCol w:w="109"/>
        <w:gridCol w:w="233"/>
        <w:gridCol w:w="233"/>
        <w:gridCol w:w="551"/>
        <w:gridCol w:w="109"/>
        <w:gridCol w:w="109"/>
        <w:gridCol w:w="109"/>
        <w:gridCol w:w="211"/>
        <w:gridCol w:w="767"/>
        <w:gridCol w:w="271"/>
        <w:gridCol w:w="109"/>
        <w:gridCol w:w="109"/>
        <w:gridCol w:w="109"/>
        <w:gridCol w:w="211"/>
        <w:gridCol w:w="767"/>
        <w:gridCol w:w="271"/>
        <w:gridCol w:w="109"/>
        <w:gridCol w:w="109"/>
        <w:gridCol w:w="109"/>
        <w:gridCol w:w="233"/>
        <w:gridCol w:w="233"/>
        <w:gridCol w:w="619"/>
      </w:tblGrid>
      <w:tr>
        <w:trPr/>
        <w:tc>
          <w:tcPr>
            <w:tcW w:w="8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4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20"/>
              </w:rPr>
              <w:t xml:space="preserve">Funded Loan UPB by Channel </w:t>
            </w:r>
            <w:r>
              <w:rPr>
                <w:rFonts w:ascii="Times New Roman;serif" w:hAnsi="Times New Roman;serif"/>
                <w:b w:val="false"/>
                <w:i/>
                <w:color w:val="000000"/>
                <w:sz w:val="20"/>
              </w:rPr>
              <w:t>(in billions)</w:t>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Forward loans </w:t>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Direct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Ginnie Mae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Purchase production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Refinance production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note rate (%)</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Reverse loans</w:t>
            </w:r>
            <w:r>
              <w:rPr>
                <w:color w:val="000000"/>
              </w:rPr>
              <w:t xml:space="preserve"> </w:t>
            </w:r>
            <w:r>
              <w:rPr>
                <w:rFonts w:ascii="Times New Roman;serif" w:hAnsi="Times New Roman;serif"/>
                <w:b w:val="false"/>
                <w:color w:val="000000"/>
                <w:sz w:val="13"/>
              </w:rPr>
              <w:t>(1)</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20"/>
              </w:rPr>
              <w:t xml:space="preserve">UPB of MSR Purchases by Channel </w:t>
            </w:r>
            <w:r>
              <w:rPr>
                <w:rFonts w:ascii="Times New Roman;serif" w:hAnsi="Times New Roman;serif"/>
                <w:b w:val="false"/>
                <w:i/>
                <w:color w:val="000000"/>
                <w:sz w:val="20"/>
              </w:rPr>
              <w:t>(in billions)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Cash Window / Flow MSR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Bulk purchases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303</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Bulk reverse purchases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Short-term loan commitment</w:t>
            </w:r>
            <w:r>
              <w:rPr>
                <w:color w:val="000000"/>
              </w:rPr>
              <w:t xml:space="preserve"> </w:t>
            </w:r>
            <w:r>
              <w:rPr>
                <w:rFonts w:ascii="Times New Roman;serif" w:hAnsi="Times New Roman;serif"/>
                <w:b/>
                <w:color w:val="000000"/>
                <w:sz w:val="13"/>
              </w:rPr>
              <w:t>(2)</w:t>
            </w:r>
            <w:r>
              <w:rPr>
                <w:color w:val="000000"/>
              </w:rPr>
              <w:t xml:space="preserve"> </w:t>
            </w:r>
            <w:r>
              <w:rPr>
                <w:rFonts w:ascii="Times New Roman;serif" w:hAnsi="Times New Roman;serif"/>
                <w:b w:val="false"/>
                <w:i/>
                <w:color w:val="000000"/>
                <w:sz w:val="20"/>
              </w:rPr>
              <w:t>(at period end; in millions)</w:t>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Consumer 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Correspondent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Forward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Reverse loans</w:t>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Headcount - Originations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Consumer Direct pull-through adjusted (PTA) lock volume</w:t>
            </w:r>
            <w:r>
              <w:rPr>
                <w:color w:val="000000"/>
              </w:rPr>
              <w:t xml:space="preserve">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Consumer Direct gain on sale margin on PTA lock volume</w:t>
            </w:r>
            <w:r>
              <w:rPr>
                <w:color w:val="000000"/>
              </w:rPr>
              <w:t xml:space="preserve"> </w:t>
            </w:r>
            <w:r>
              <w:rPr>
                <w:rFonts w:ascii="Times New Roman;serif" w:hAnsi="Times New Roman;serif"/>
                <w:b w:val="false"/>
                <w:color w:val="000000"/>
                <w:sz w:val="13"/>
              </w:rPr>
              <w:t>(4)</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(1)Loan production excludes reverse mortgage loan draws by borrowers disbursed subsequent to origination that are reported within the Servicing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(2)Also refer to interest rate lock commitments in Note 15 – Derivative Financial Instruments and Hedging Activities. The amounts are presented before application of any pull-through adjustment.</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(3)Defined as interest rate lock commitments multiplied by pull-through rates and represents loan volume expected to be funded.</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(4)Represents Gain on loans held for sale, net divided by pull-through adjusted locked volume.</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Financial Performance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of operations of our Originations segment. The amounts presented are before the elimination of balances and transactions with our other segments:</w:t>
      </w:r>
    </w:p>
    <w:tbl>
      <w:tblPr>
        <w:tblW w:w="10255" w:type="dxa"/>
        <w:jc w:val="left"/>
        <w:tblInd w:w="0" w:type="dxa"/>
        <w:tblLayout w:type="fixed"/>
        <w:tblCellMar>
          <w:top w:w="28" w:type="dxa"/>
          <w:left w:w="28" w:type="dxa"/>
          <w:bottom w:w="28" w:type="dxa"/>
          <w:right w:w="28" w:type="dxa"/>
        </w:tblCellMar>
      </w:tblPr>
      <w:tblGrid>
        <w:gridCol w:w="934"/>
        <w:gridCol w:w="268"/>
        <w:gridCol w:w="269"/>
        <w:gridCol w:w="494"/>
        <w:gridCol w:w="255"/>
        <w:gridCol w:w="257"/>
        <w:gridCol w:w="109"/>
        <w:gridCol w:w="109"/>
        <w:gridCol w:w="109"/>
        <w:gridCol w:w="308"/>
        <w:gridCol w:w="233"/>
        <w:gridCol w:w="233"/>
        <w:gridCol w:w="109"/>
        <w:gridCol w:w="109"/>
        <w:gridCol w:w="109"/>
        <w:gridCol w:w="109"/>
        <w:gridCol w:w="109"/>
        <w:gridCol w:w="233"/>
        <w:gridCol w:w="233"/>
        <w:gridCol w:w="551"/>
        <w:gridCol w:w="335"/>
        <w:gridCol w:w="335"/>
        <w:gridCol w:w="336"/>
        <w:gridCol w:w="211"/>
        <w:gridCol w:w="233"/>
        <w:gridCol w:w="233"/>
        <w:gridCol w:w="335"/>
        <w:gridCol w:w="335"/>
        <w:gridCol w:w="336"/>
        <w:gridCol w:w="211"/>
        <w:gridCol w:w="233"/>
        <w:gridCol w:w="233"/>
        <w:gridCol w:w="109"/>
        <w:gridCol w:w="109"/>
        <w:gridCol w:w="109"/>
        <w:gridCol w:w="109"/>
        <w:gridCol w:w="109"/>
        <w:gridCol w:w="109"/>
        <w:gridCol w:w="240"/>
        <w:gridCol w:w="241"/>
        <w:gridCol w:w="614"/>
      </w:tblGrid>
      <w:tr>
        <w:trPr/>
        <w:tc>
          <w:tcPr>
            <w:tcW w:w="9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Revenue </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loans held for sale, net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 net</w:t>
            </w:r>
            <w:r>
              <w:rPr>
                <w:color w:val="000000"/>
              </w:rPr>
              <w:t xml:space="preserve"> </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MSR valuation adjustments, net </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expense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allocations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Gain on Loans Held for Sale,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chart displays Gain on loans held for sale by channel for the periods presented:</w:t>
      </w:r>
    </w:p>
    <w:p>
      <w:pPr>
        <w:pStyle w:val="TextBody"/>
        <w:bidi w:val="0"/>
        <w:spacing w:lineRule="auto" w:line="288" w:before="120" w:after="120"/>
        <w:jc w:val="center"/>
        <w:rPr/>
      </w:pPr>
      <w:r>
        <w:rPr/>
        <w:drawing>
          <wp:inline distT="0" distB="0" distL="0" distR="0">
            <wp:extent cx="1828800" cy="1638300"/>
            <wp:effectExtent l="0" t="0" r="0" b="0"/>
            <wp:docPr id="9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5" descr=""/>
                    <pic:cNvPicPr>
                      <a:picLocks noChangeAspect="1" noChangeArrowheads="1"/>
                    </pic:cNvPicPr>
                  </pic:nvPicPr>
                  <pic:blipFill>
                    <a:blip r:embed="rId16"/>
                    <a:stretch>
                      <a:fillRect/>
                    </a:stretch>
                  </pic:blipFill>
                  <pic:spPr bwMode="auto">
                    <a:xfrm>
                      <a:off x="0" y="0"/>
                      <a:ext cx="1828800" cy="1638300"/>
                    </a:xfrm>
                    <a:prstGeom prst="rect">
                      <a:avLst/>
                    </a:prstGeom>
                  </pic:spPr>
                </pic:pic>
              </a:graphicData>
            </a:graphic>
          </wp:inline>
        </w:drawing>
      </w:r>
      <w:bookmarkStart w:id="14" w:name="i-15"/>
      <w:bookmarkEnd w:id="14"/>
      <w:r>
        <w:rPr>
          <w:color w:val="000000"/>
        </w:rPr>
        <w:t xml:space="preserve"> </w:t>
      </w:r>
      <w:r>
        <w:rPr/>
        <w:drawing>
          <wp:inline distT="0" distB="0" distL="0" distR="0">
            <wp:extent cx="3657600" cy="1638300"/>
            <wp:effectExtent l="0" t="0" r="0" b="0"/>
            <wp:docPr id="9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6" descr=""/>
                    <pic:cNvPicPr>
                      <a:picLocks noChangeAspect="1" noChangeArrowheads="1"/>
                    </pic:cNvPicPr>
                  </pic:nvPicPr>
                  <pic:blipFill>
                    <a:blip r:embed="rId17"/>
                    <a:stretch>
                      <a:fillRect/>
                    </a:stretch>
                  </pic:blipFill>
                  <pic:spPr bwMode="auto">
                    <a:xfrm>
                      <a:off x="0" y="0"/>
                      <a:ext cx="3657600" cy="1638300"/>
                    </a:xfrm>
                    <a:prstGeom prst="rect">
                      <a:avLst/>
                    </a:prstGeom>
                  </pic:spPr>
                </pic:pic>
              </a:graphicData>
            </a:graphic>
          </wp:inline>
        </w:drawing>
      </w:r>
      <w:bookmarkStart w:id="15" w:name="i-16"/>
      <w:bookmarkEnd w:id="15"/>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and discussion present Gain on loans held for sale by channel and the main drivers, specifically the forward loan origination volumes and margins (excluding fees that are presented in Other revenue, net): </w:t>
      </w:r>
    </w:p>
    <w:tbl>
      <w:tblPr>
        <w:tblW w:w="11260" w:type="dxa"/>
        <w:jc w:val="left"/>
        <w:tblInd w:w="0" w:type="dxa"/>
        <w:tblLayout w:type="fixed"/>
        <w:tblCellMar>
          <w:top w:w="28" w:type="dxa"/>
          <w:left w:w="28" w:type="dxa"/>
          <w:bottom w:w="28" w:type="dxa"/>
          <w:right w:w="28" w:type="dxa"/>
        </w:tblCellMar>
      </w:tblPr>
      <w:tblGrid>
        <w:gridCol w:w="603"/>
        <w:gridCol w:w="358"/>
        <w:gridCol w:w="360"/>
        <w:gridCol w:w="213"/>
        <w:gridCol w:w="517"/>
        <w:gridCol w:w="276"/>
        <w:gridCol w:w="109"/>
        <w:gridCol w:w="109"/>
        <w:gridCol w:w="109"/>
        <w:gridCol w:w="211"/>
        <w:gridCol w:w="511"/>
        <w:gridCol w:w="271"/>
        <w:gridCol w:w="109"/>
        <w:gridCol w:w="109"/>
        <w:gridCol w:w="109"/>
        <w:gridCol w:w="109"/>
        <w:gridCol w:w="109"/>
        <w:gridCol w:w="233"/>
        <w:gridCol w:w="233"/>
        <w:gridCol w:w="551"/>
        <w:gridCol w:w="335"/>
        <w:gridCol w:w="335"/>
        <w:gridCol w:w="336"/>
        <w:gridCol w:w="211"/>
        <w:gridCol w:w="616"/>
        <w:gridCol w:w="271"/>
        <w:gridCol w:w="335"/>
        <w:gridCol w:w="335"/>
        <w:gridCol w:w="336"/>
        <w:gridCol w:w="211"/>
        <w:gridCol w:w="616"/>
        <w:gridCol w:w="271"/>
        <w:gridCol w:w="109"/>
        <w:gridCol w:w="109"/>
        <w:gridCol w:w="109"/>
        <w:gridCol w:w="109"/>
        <w:gridCol w:w="109"/>
        <w:gridCol w:w="109"/>
        <w:gridCol w:w="109"/>
        <w:gridCol w:w="233"/>
        <w:gridCol w:w="233"/>
        <w:gridCol w:w="614"/>
      </w:tblGrid>
      <w:tr>
        <w:trPr/>
        <w:tc>
          <w:tcPr>
            <w:tcW w:w="60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3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Origination UPB</w:t>
            </w:r>
            <w:r>
              <w:rPr>
                <w:color w:val="000000"/>
              </w:rPr>
              <w:t xml:space="preserve"> </w:t>
            </w:r>
            <w:r>
              <w:rPr>
                <w:rFonts w:ascii="Times New Roman;serif" w:hAnsi="Times New Roman;serif"/>
                <w:b/>
                <w:color w:val="000000"/>
                <w:sz w:val="13"/>
              </w:rPr>
              <w:t>(1)</w:t>
            </w:r>
            <w:r>
              <w:rPr>
                <w:color w:val="000000"/>
              </w:rPr>
              <w:t xml:space="preserve"> </w:t>
            </w:r>
            <w:r>
              <w:rPr>
                <w:rFonts w:ascii="Times New Roman;serif" w:hAnsi="Times New Roman;serif"/>
                <w:b w:val="false"/>
                <w:i/>
                <w:color w:val="000000"/>
                <w:sz w:val="20"/>
              </w:rPr>
              <w:t>(in billions)</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Direct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Gain on Sale Margin</w:t>
            </w:r>
            <w:r>
              <w:rPr>
                <w:color w:val="000000"/>
              </w:rPr>
              <w:t xml:space="preserve"> </w:t>
            </w:r>
            <w:r>
              <w:rPr>
                <w:rFonts w:ascii="Times New Roman;serif" w:hAnsi="Times New Roman;serif"/>
                <w:b/>
                <w:color w:val="000000"/>
                <w:sz w:val="13"/>
              </w:rPr>
              <w:t>(2)</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Direct</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Gain on Loans Held for Sale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Direct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(1)Defined as the UPB of loans funded in the period. </w:t>
      </w:r>
    </w:p>
    <w:p>
      <w:pPr>
        <w:pStyle w:val="TextBody"/>
        <w:bidi w:val="0"/>
        <w:spacing w:lineRule="auto" w:line="288" w:before="0" w:after="24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(2)Ratio of gain on Loans held for sale to funded UPB. Note that the ratio differs from the day-one gain on sale margin upon lock.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loans held for sale, net for the three months ended September 30, 2025 nearly doubled (increased 99%) compared to the three months ended June 30, 2025, with a $10.0 million increase in our Correspondent channel and a $5.3 million increase in our Consumer Direct channel. For both channels, the increase in Gain on loans held for sale, net is due to the combined effect of higher margins and higher loan production volume. The Correspondent volume increase largely exceeded the estimated industry volume trend (up 3% quarter over quarter, based on average of MBA and Fannie Mae data) and our increase is mostly driven by a robust execution against our growth objectives within our network of Correspondent sellers. The Consumer Direct volume increase is largely explained by lower mortgage rates in the third quarter with additional refinancing activity. The increase in margins is mostly attributable to relatively lower margins in the second quarter of 2025 due to volatile market conditions. Capital markets experienced a temporary spike in interest rate volatility in early April 2025. Higher margins are also attributable to execution gains in our securitization/sale and hedging activities in the current quarter.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Compared to the nine months ended September 30, 2024, Gain on loans held for sale, net for the nine months ended September 30, 2025 increased $19.5 million, mostly attributable to an $18.7 million increase in our Consumer Direct channel. The increase in the Consumer Direct gain is due to more than twice the amount of funded loan volume (116% increase), largely driven by our increased recapture operational capability. Correspondent channel gain on loans held for sale, net remained mostly flat ($0.8 million increase) with a 41% increase in loan production volume offset by a 26% decline in margin. Our 41% volume increase is mostly driven by our growth objectives and largely exceeded the estimated industry volume trend (15% increase, based on average of MBA and Fannie Mae data). The decline in margin is largely due to the volatile market conditions in the second quarter of 2025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Gain on Reverse Loans Held for Investment and HMBS-Related Borrowings,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 (including loan fees): </w:t>
      </w:r>
    </w:p>
    <w:tbl>
      <w:tblPr>
        <w:tblW w:w="11078" w:type="dxa"/>
        <w:jc w:val="left"/>
        <w:tblInd w:w="0" w:type="dxa"/>
        <w:tblLayout w:type="fixed"/>
        <w:tblCellMar>
          <w:top w:w="28" w:type="dxa"/>
          <w:left w:w="28" w:type="dxa"/>
          <w:bottom w:w="28" w:type="dxa"/>
          <w:right w:w="28" w:type="dxa"/>
        </w:tblCellMar>
      </w:tblPr>
      <w:tblGrid>
        <w:gridCol w:w="521"/>
        <w:gridCol w:w="339"/>
        <w:gridCol w:w="341"/>
        <w:gridCol w:w="213"/>
        <w:gridCol w:w="517"/>
        <w:gridCol w:w="276"/>
        <w:gridCol w:w="109"/>
        <w:gridCol w:w="109"/>
        <w:gridCol w:w="109"/>
        <w:gridCol w:w="211"/>
        <w:gridCol w:w="511"/>
        <w:gridCol w:w="271"/>
        <w:gridCol w:w="109"/>
        <w:gridCol w:w="109"/>
        <w:gridCol w:w="109"/>
        <w:gridCol w:w="109"/>
        <w:gridCol w:w="109"/>
        <w:gridCol w:w="220"/>
        <w:gridCol w:w="220"/>
        <w:gridCol w:w="551"/>
        <w:gridCol w:w="109"/>
        <w:gridCol w:w="335"/>
        <w:gridCol w:w="335"/>
        <w:gridCol w:w="336"/>
        <w:gridCol w:w="211"/>
        <w:gridCol w:w="511"/>
        <w:gridCol w:w="271"/>
        <w:gridCol w:w="335"/>
        <w:gridCol w:w="335"/>
        <w:gridCol w:w="336"/>
        <w:gridCol w:w="211"/>
        <w:gridCol w:w="511"/>
        <w:gridCol w:w="271"/>
        <w:gridCol w:w="109"/>
        <w:gridCol w:w="109"/>
        <w:gridCol w:w="109"/>
        <w:gridCol w:w="109"/>
        <w:gridCol w:w="109"/>
        <w:gridCol w:w="109"/>
        <w:gridCol w:w="109"/>
        <w:gridCol w:w="220"/>
        <w:gridCol w:w="220"/>
        <w:gridCol w:w="55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Origination UPB</w:t>
            </w:r>
            <w:r>
              <w:rPr>
                <w:color w:val="000000"/>
              </w:rPr>
              <w:t xml:space="preserve"> </w:t>
            </w:r>
            <w:r>
              <w:rPr>
                <w:rFonts w:ascii="Times New Roman;serif" w:hAnsi="Times New Roman;serif"/>
                <w:b w:val="false"/>
                <w:color w:val="000000"/>
                <w:sz w:val="13"/>
              </w:rPr>
              <w:t>(1)</w:t>
            </w:r>
            <w:r>
              <w:rPr>
                <w:color w:val="000000"/>
              </w:rPr>
              <w:t xml:space="preserve"> </w:t>
            </w:r>
            <w:r>
              <w:rPr>
                <w:rFonts w:ascii="Times New Roman;serif" w:hAnsi="Times New Roman;serif"/>
                <w:b w:val="false"/>
                <w:i/>
                <w:color w:val="000000"/>
                <w:sz w:val="20"/>
              </w:rPr>
              <w:t>(in billions)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Origination margin</w:t>
            </w:r>
            <w:r>
              <w:rPr>
                <w:color w:val="000000"/>
              </w:rPr>
              <w:t xml:space="preserve"> </w:t>
            </w:r>
            <w:r>
              <w:rPr>
                <w:rFonts w:ascii="Times New Roman;serif" w:hAnsi="Times New Roman;serif"/>
                <w:b w:val="false"/>
                <w:color w:val="000000"/>
                <w:sz w:val="13"/>
              </w:rPr>
              <w:t>(2)</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Gain on reverse loans held for investment and HMBS-related borrowings, net (Originations)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(1)Defined as the UPB of loans funded in the period.</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(2)Ratio of origination gain to funded UPB; includes loan fees.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on reverse loans held for investment and HMBS-related borrowings, net remained mostly flat for the periods presented, with higher margins and lower volumes, more pronounced in our Correspondent channel. Changes in margin are predominantly driven by change in channel mix. The Reverse Originations production volume remains at a historically low level overall due to elevated interest rates.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Revenue,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revenue, net consists primarily of correspondent and broker fees, and also includes setup fees earned for loans boarded on our servicing platform. Changes in Other revenue, net for the periods presented are primarily attributed to production volume changes.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MSR Valuation Adjustments,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Changes in MSR valuation adjustments, net period over period are largely due to volume changes.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for the three months ended September 30, 2025 increased $2.6 million, or 10% compared to the three months ended June 30, 2025 primarily due to $1.0 million of higher Origination expense, driven by higher production volume, and $1.3 million higher Compensation and benefits largely due to higher commissions on higher production volume.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Compared to the nine months ended September 30, 2024, Operating expenses for the nine months ended September 30, 2025 increased $12.8 million primarily due to an $8.1 million, or a 24% increase, in Compensation and benefits driven by $4.7 million of higher commissions on higher production volume, as well as a $3.6 million increase in salaries and benefits expense and a 21% increase in average headcount. In addition, Origination expense increased $1.8 million primarily due to higher production volume, with a partial offset from the release of the provision for representation and warranty indemnification obligations during the nine months ended September 30, 2025 due to favorable demand resolutions. Other operating expenses also increased $3.0 million primarily driven by higher production volume and technology enhancement related expenses.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primarily of interest earned on newly-originated and purchased loans during the pipeline period prior to securitization or sale to investors. Interest expense is incurred to finance the mortgage loans during the same pipeline period. We finance mortgage loans with repurchase and participation agreements, commonly referred to as warehouse lines generally indexed on short-term rates like SOFR. Our net interest margin is driven by the difference between the average mortgage note rate and the average warehouse line cost of funds, the average balance of loans and by the average number of days loans remain in the pipeline. The improvement in our net interest margin, periods-over-periods is attributable to the reduction of short-term interest rates relative to mortgage rates and the increase in the average pipeline loan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396" w:type="dxa"/>
        <w:jc w:val="left"/>
        <w:tblInd w:w="0" w:type="dxa"/>
        <w:tblLayout w:type="fixed"/>
        <w:tblCellMar>
          <w:top w:w="28" w:type="dxa"/>
          <w:left w:w="28" w:type="dxa"/>
          <w:bottom w:w="28" w:type="dxa"/>
          <w:right w:w="28" w:type="dxa"/>
        </w:tblCellMar>
      </w:tblPr>
      <w:tblGrid>
        <w:gridCol w:w="447"/>
        <w:gridCol w:w="393"/>
        <w:gridCol w:w="556"/>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CORPORATE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includes expenses of corporate support services and activities that are not directly related to other reportable segments.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Certain expenses incurred by corporate support services, such as technology, legal, risk and compliance, or finance are allocated to the Servicing and Originations segments using various methodologies intended to approximate the utilization of such services.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Interest expense on corporate debt is allocated to the Servicing and the Originations segments based on relative financing needs, with the exception of the Onity Senior Secured Notes through their redemption date in November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results of operations of Corporate. The amounts presented are before the allocation and elimination of balances and transactions with our other segments: </w:t>
      </w:r>
    </w:p>
    <w:tbl>
      <w:tblPr>
        <w:tblW w:w="10351" w:type="dxa"/>
        <w:jc w:val="left"/>
        <w:tblInd w:w="0" w:type="dxa"/>
        <w:tblLayout w:type="fixed"/>
        <w:tblCellMar>
          <w:top w:w="28" w:type="dxa"/>
          <w:left w:w="28" w:type="dxa"/>
          <w:bottom w:w="28" w:type="dxa"/>
          <w:right w:w="28" w:type="dxa"/>
        </w:tblCellMar>
      </w:tblPr>
      <w:tblGrid>
        <w:gridCol w:w="804"/>
        <w:gridCol w:w="349"/>
        <w:gridCol w:w="318"/>
        <w:gridCol w:w="494"/>
        <w:gridCol w:w="269"/>
        <w:gridCol w:w="257"/>
        <w:gridCol w:w="109"/>
        <w:gridCol w:w="109"/>
        <w:gridCol w:w="109"/>
        <w:gridCol w:w="308"/>
        <w:gridCol w:w="311"/>
        <w:gridCol w:w="215"/>
        <w:gridCol w:w="109"/>
        <w:gridCol w:w="109"/>
        <w:gridCol w:w="109"/>
        <w:gridCol w:w="109"/>
        <w:gridCol w:w="240"/>
        <w:gridCol w:w="241"/>
        <w:gridCol w:w="551"/>
        <w:gridCol w:w="109"/>
        <w:gridCol w:w="335"/>
        <w:gridCol w:w="335"/>
        <w:gridCol w:w="336"/>
        <w:gridCol w:w="225"/>
        <w:gridCol w:w="263"/>
        <w:gridCol w:w="263"/>
        <w:gridCol w:w="335"/>
        <w:gridCol w:w="335"/>
        <w:gridCol w:w="336"/>
        <w:gridCol w:w="211"/>
        <w:gridCol w:w="263"/>
        <w:gridCol w:w="263"/>
        <w:gridCol w:w="109"/>
        <w:gridCol w:w="109"/>
        <w:gridCol w:w="109"/>
        <w:gridCol w:w="240"/>
        <w:gridCol w:w="241"/>
        <w:gridCol w:w="551"/>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origination</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communications</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equipment and mailing</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before corporate overhead allocations</w:t>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 allocations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segment</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segment</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before corporate overhead allocations increased by $2.9 million, or 8%, for the three months ended September 30, 2025 compared to the three months ended June 30, 2025, primarily driven by a $1.9 million increase in Professional services and a $0.5 million increase in Compensation and benefits. The increase in Professional services is primarily due to an increase in accrual for legal fees during the three months ended September 30, 2025 and additional fees related to tax services.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before corporate overhead allocations increased by $25.1 million, or 25%, for the nine months ended September 30, 2025 compared to the nine months ended September 30, 2024. Professional services increased $12.2 million mostly driven by a $10.4 million increase in legal expenses, primarily attributed to our accrual for probable losses in connection with the settlement of a legacy litigation matter in the first quarter of 2025 and legal fees related to other matters, including the USVI income tax refund matter. Other professional services increased $1.8 million mostly driven by tax services and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corporate development initiatives. Compensation and benefits increased $11.8 million mostly due to higher incentive compensation, primarily driven by an increase in the fair value of cash-settled share-based awards during the nine months ended September 30, 2025 (30% increase in our stock price vs. a 4% increase in the comparative period), and higher salaries and benefits expense due to an increase in average headcount (mostly in the U.S.). Technology and communications increased $1.9 million primarily due to increased technology usage, including higher cloud storage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overhead allocations to the segments increased $6.2 million primarily driven by higher Corporate support expenses for our Servicing growth initiatives.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$15.7 million reduction in interest expense for the nine months ended September 30, 2025 as compared to the nine months ended September 30, 2024 is driven by the corporate debt refinancing which resulted in both a lower corporate debt balance and a lower effective interest rate. In the fourth quarter of 2024, we issued new corporate debt ($500.0 million principal balance of 9.875% Senior Notes Due 2029) and redeemed the existing corporate debt (the 7.875% PMC Senior Secured Notes due 2026 and the 12% Onity Senior Secured Notes due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95" w:type="dxa"/>
        <w:jc w:val="left"/>
        <w:tblInd w:w="0" w:type="dxa"/>
        <w:tblLayout w:type="fixed"/>
        <w:tblCellMar>
          <w:top w:w="28" w:type="dxa"/>
          <w:left w:w="28" w:type="dxa"/>
          <w:bottom w:w="28" w:type="dxa"/>
          <w:right w:w="28" w:type="dxa"/>
        </w:tblCellMar>
      </w:tblPr>
      <w:tblGrid>
        <w:gridCol w:w="1216"/>
        <w:gridCol w:w="1068"/>
        <w:gridCol w:w="1511"/>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are actively engaged with existing and potential lenders and as a result add, terminate, replace or extend our debt agreements to the extent necessary to finance our operations and growth and optimize our financing costs. In addition, we completed the following key transactions during the nine months ended September 30, 2025 impacting our liquidity: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Increased the borrowing capacity under a GSE MSR facility from $500.0 million to $650.0 million in January 2025, and subsequently decreased the borrowing capacity under another GSE MSR facility from $400.0 million to $250.0 million in February 2025.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Entered into a one-year $70.0 million PLS MSR financing agreement in February 2025. The financing agreement is structured as a repurchase agreement and was entered into upon the final repayment of the amortizing PLS Notes issued in 2022.</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 connection with the transfer of certain GSE MSR investment activities between our licensed entities in the second quarter of 2025 (PHH and PAS - See Note 20 – Regulatory Requirements), we completed the following:</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Issued variable-rate advance receivable notes (PGAF Series 2025-VF1) with a maximum borrowing capacity of $350.0 million and an Expected Repayment Date of May 28, 2027. Concurrently, we reduced the maximum borrowing capacity under the existing OMART and OGAF advance facilities from $500.0 million to $350.0 million and from $200.0 million to $100.0 million, respectively.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Entered into a new GSE MSR facility at PAS with similar terms to the existing PHH facility, with an aggregate capacity of $650.0 million, further increased to $750.0 million in June 2025.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Repaid the amount due under an existing $250.0 million GSE MSR facility at PHH and PAS entered into a new facility with similar terms, including the same borrowing capacity and a maturity date of May 2027.</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Increased the borrowing capacity under the GNMA MSR facility from $300.0 million to $400.0 million in June 2025.</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On July 10, 2025, we purchased a portfolio of government-insured reverse mortgage loan buyouts for $100.4 million. The purchased assets included reverse loans held for sale, claim receivables from HUD and real estate properties. The purchased assets were financed along with other owned buyouts through a private placement securitization referred to as OLIT 2025-HB1 with total proceeds of $309.5 million. The senior and mezzanine class Notes were issued to third parties with an initial principal balance of $322.5 million at a discount of 13.1 million, with a stated interest rate of 3% and a mandatory three-year call date.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 September 2025, we issued variable-rate notes (Series 2025-VF1) with a maximum borrowing capacity of $350.0 million and an Expected Repayment Date of September 2027. These notes replaced the Series 2015-VF5 notes with the same borrowing capacity and an Expected Repayment Date of September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borrowing capacity under our advance facilities, mortgage warehouse facilities and MSR financing facilities is as follows (see Note 12 – Borrowings to the Unaudited Consolidated Financial Statements for additional information): </w:t>
      </w:r>
    </w:p>
    <w:tbl>
      <w:tblPr>
        <w:tblW w:w="10205" w:type="dxa"/>
        <w:jc w:val="left"/>
        <w:tblInd w:w="0" w:type="dxa"/>
        <w:tblLayout w:type="fixed"/>
        <w:tblCellMar>
          <w:top w:w="28" w:type="dxa"/>
          <w:left w:w="28" w:type="dxa"/>
          <w:bottom w:w="28" w:type="dxa"/>
          <w:right w:w="28" w:type="dxa"/>
        </w:tblCellMar>
      </w:tblPr>
      <w:tblGrid>
        <w:gridCol w:w="395"/>
        <w:gridCol w:w="284"/>
        <w:gridCol w:w="285"/>
        <w:gridCol w:w="528"/>
        <w:gridCol w:w="316"/>
        <w:gridCol w:w="274"/>
        <w:gridCol w:w="109"/>
        <w:gridCol w:w="109"/>
        <w:gridCol w:w="109"/>
        <w:gridCol w:w="605"/>
        <w:gridCol w:w="312"/>
        <w:gridCol w:w="314"/>
        <w:gridCol w:w="109"/>
        <w:gridCol w:w="109"/>
        <w:gridCol w:w="109"/>
        <w:gridCol w:w="701"/>
        <w:gridCol w:w="362"/>
        <w:gridCol w:w="363"/>
        <w:gridCol w:w="109"/>
        <w:gridCol w:w="109"/>
        <w:gridCol w:w="109"/>
        <w:gridCol w:w="528"/>
        <w:gridCol w:w="316"/>
        <w:gridCol w:w="274"/>
        <w:gridCol w:w="109"/>
        <w:gridCol w:w="109"/>
        <w:gridCol w:w="109"/>
        <w:gridCol w:w="605"/>
        <w:gridCol w:w="312"/>
        <w:gridCol w:w="314"/>
        <w:gridCol w:w="109"/>
        <w:gridCol w:w="109"/>
        <w:gridCol w:w="109"/>
        <w:gridCol w:w="655"/>
        <w:gridCol w:w="338"/>
        <w:gridCol w:w="489"/>
      </w:tblGrid>
      <w:tr>
        <w:trPr/>
        <w:tc>
          <w:tcPr>
            <w:tcW w:w="3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Borrowing Capacity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Borrowing Capacity - Committed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Borrowing Capacity - Uncommitted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Borrowing Capacity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Borrowing Capacity - Committed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Borrowing Capacity - Uncommitted (1)</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facilities</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(1)Total Borrowing Capacity represents the maximum amount which can be borrowed, subject to eligible collateral. Remaining Borrowing Capacity represents Total Borrowing Capacity less outstanding borrowings, subject to eligible collateral.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may utilize committed borrowing capacity under our financing facilities and MSR financing facilities to the extent we have sufficient eligible collateral to borrow against and otherwise satisfy the applicable conditions to funding. Uncommitted amounts can be advanced at the discretion of the lender, and there can be no assurance that any uncommitted amounts will be available to us at any particular time.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$48.5 million total available committed and uncommitted borrowing capacity based on the amount of eligible collateral as follows:</w:t>
      </w:r>
    </w:p>
    <w:tbl>
      <w:tblPr>
        <w:tblW w:w="9744" w:type="dxa"/>
        <w:jc w:val="left"/>
        <w:tblInd w:w="0" w:type="dxa"/>
        <w:tblLayout w:type="fixed"/>
        <w:tblCellMar>
          <w:top w:w="28" w:type="dxa"/>
          <w:left w:w="28" w:type="dxa"/>
          <w:bottom w:w="28" w:type="dxa"/>
          <w:right w:w="28" w:type="dxa"/>
        </w:tblCellMar>
      </w:tblPr>
      <w:tblGrid>
        <w:gridCol w:w="1888"/>
        <w:gridCol w:w="1664"/>
        <w:gridCol w:w="1668"/>
        <w:gridCol w:w="211"/>
        <w:gridCol w:w="511"/>
        <w:gridCol w:w="109"/>
        <w:gridCol w:w="109"/>
        <w:gridCol w:w="109"/>
        <w:gridCol w:w="109"/>
        <w:gridCol w:w="277"/>
        <w:gridCol w:w="673"/>
        <w:gridCol w:w="144"/>
        <w:gridCol w:w="109"/>
        <w:gridCol w:w="109"/>
        <w:gridCol w:w="109"/>
        <w:gridCol w:w="316"/>
        <w:gridCol w:w="766"/>
        <w:gridCol w:w="164"/>
        <w:gridCol w:w="109"/>
        <w:gridCol w:w="109"/>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Committed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Uncommitted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financing facilities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MSR financing facilities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borrowing capacity based on eligible collateral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September 30, 2025, our total liquidity of $221.3 million included $172.8 million of unrestricted cash and $48.5 million total available committed and uncommitted borrowing capacity based on the amount of eligible collateral as described above. With total liquidity of $248.5 million at December 31, 2024, the decrease is mostly attributed to our originations growth in owned MSRs.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manage our liquidity on a daily basis to fund our business and comply with debt covenants and regulatory liquidity requirements. Our liquidity position may vary significantly during a given month, generally with the lowest liquidity amount around mid-month due to the cash flow remittance requirements under our servicing agreements and the highest around or a few days after month end as we collect monthly installments from borrowers and benefit from float balances. Other factors include but are not limited to daily variation margins with our derivative instruments and MSR financing facilities. It is not uncommon for our liquidity to materially decline from peak to trough within a month and recover through borrower payment behaviors.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optimize our daily cash position to reduce financing costs while closely monitoring our liquidity needs and ongoing funding requirements. We regularly monitor and project cash flows over various time horizons to anticipate and mitigate liquidity risk. We maintain liquidity buffers to be responsive to the level of risks, including liquidity peaks and troughs, stressed market interest rate conditions and operational risk.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Funds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primary near-term uses of funds in the normal course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Payment of operating costs and corporate expenses;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Payments for servicing advances in excess of collections including advances and draws related to reverse mortgage assets (see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Investment in MSRs (purchased and originated) and other related asset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Originated, purchased and repurchased loans, including reverse mortgage buyouts;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Payment of margin calls under our MSR financing facilities and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Debt service and repayments of borrowings, including under our MSR financing, advance financing, warehouse facilities and OLIT securitization notes, and payment of interest expense including on the Senior Notes Due 2029;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Dividend payments on Series B Preferred Stock;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negative working capital and other general corporate cash outflows.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short-term commitments to lend $2.4 billion in connection with our forward and reverse mortgage loan IRLCs outstanding at September 30, 2025. In addition, we have originated floating-rate reverse mortgage loans under which the borrowers have additional borrowing capacity of $3.0 billion at September 30, 2025. During the nine months ended September 30, 2025, we funded $236.6 million of the $3.1 billion borrowing capacity available as of December 31, 2024. We are able to immediately securitize these borrower draws or advances under the Ginnie Mae program. As an HMBS issuer, we are required to repurchase loans out of the Ginnie Mae securitization pools once the outstanding principal balance of the loan is equal to or greater than 98% of the maximum claim amount (MCA repurchases). We carry these repurchases until reimbursement by HUD and/or property liquidation if inactive. Our reverse subservicing clients bear the financial obligation and risks associated with purchasing loans out of securitization pools within the portfolio we subservice.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Regarding the current maturities of our borrowings, as of September 30, 2025, we have approximately $2.5 billion of debt outstanding that would either come due, begin amortizing or require partial repayment in the next 12 months. This amount is comprised of $1.5 billion of borrowings under forward and reverse mortgage loan financing facilities, $0.5 million outstanding under advance financing facilities based on expected repayment, $0.9 billion outstanding under GSE and Ginnie Mae MSR financing facilities maturing in the next 12 months, and $62.0 million outstanding under an MSR financing (repurchase) agreement.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liquidity management, we consider our servicing advance requirements during each investor remittance period and the uncertainties of daily margin calls on our collateralized debt facilities and derivative instruments due to interest rate fluctuations.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certain servicing advances.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generally subject to daily margining requirements under the terms of our MSR financing facilities and daily cash calls for our TBAs, interest rate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of our hedging strategy is to reduce volatility due to interest rates, it is also designed to address cash and liquidity considerations. Refer to the sensitivity analysis in 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medium- and long-term requirements for cash include: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Payment of interest and principal repayment of our Senior Notes Due 2029</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Payment of interest and principal repayment of our OLIT securitization note issuances that have a three-year mandatory call 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payments associated with the confirmation of loss contingencies;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Any other payments required under contractual obligations discussed above that extend beyond one year. </w:t>
      </w:r>
    </w:p>
    <w:p>
      <w:pPr>
        <w:pStyle w:val="TextBody"/>
        <w:bidi w:val="0"/>
        <w:spacing w:lineRule="auto" w:line="288" w:before="60" w:after="12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18"/>
        </w:rPr>
        <w:t xml:space="preserve">Supplemental information required pursuant to the Indenture governing the Onity Senior Notes Due 2029 disclosed in </w:t>
      </w:r>
      <w:hyperlink w:anchor="id3722755d3d3438f9d9f20f3d482411e_160">
        <w:r>
          <w:rPr>
            <w:rStyle w:val="InternetLink"/>
            <w:rFonts w:ascii="Times New Roman;serif" w:hAnsi="Times New Roman;serif"/>
            <w:b w:val="false"/>
            <w:strike w:val="false"/>
            <w:dstrike w:val="false"/>
            <w:color w:val="000000"/>
            <w:sz w:val="18"/>
            <w:u w:val="none"/>
            <w:effect w:val="none"/>
          </w:rPr>
          <w:t>Exhibit</w:t>
        </w:r>
      </w:hyperlink>
      <w:hyperlink w:anchor="id3722755d3d3438f9d9f20f3d482411e_160">
        <w:r>
          <w:rPr>
            <w:rStyle w:val="InternetLink"/>
            <w:color w:val="0000FF"/>
            <w:u w:val="single"/>
          </w:rPr>
          <w:t xml:space="preserve"> </w:t>
        </w:r>
      </w:hyperlink>
      <w:r>
        <w:rPr>
          <w:rFonts w:ascii="Times New Roman;serif" w:hAnsi="Times New Roman;serif"/>
          <w:b w:val="false"/>
          <w:color w:val="000000"/>
          <w:sz w:val="18"/>
        </w:rPr>
        <w:t>99.1</w:t>
      </w:r>
      <w:hyperlink w:anchor="id3722755d3d3438f9d9f20f3d482411e_160">
        <w:r>
          <w:rPr>
            <w:rStyle w:val="InternetLink"/>
            <w:rFonts w:ascii="Times New Roman;serif" w:hAnsi="Times New Roman;serif"/>
            <w:b w:val="false"/>
            <w:strike w:val="false"/>
            <w:dstrike w:val="false"/>
            <w:color w:val="000000"/>
            <w:sz w:val="18"/>
            <w:u w:val="none"/>
            <w:effect w:val="none"/>
          </w:rPr>
          <w:t xml:space="preserve"> </w:t>
        </w:r>
      </w:hyperlink>
      <w:r>
        <w:rPr>
          <w:rFonts w:ascii="Times New Roman;serif" w:hAnsi="Times New Roman;serif"/>
          <w:b w:val="false"/>
          <w:color w:val="000000"/>
          <w:sz w:val="18"/>
        </w:rPr>
        <w: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Sources of Funds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primary sources of funds for near-term liquidity in normal course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Collections of servicing and subservicing fees and ancillary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Collections of advances in excess of new advances;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Proceeds from match funded advance financing facilities;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Proceeds from other borrowings, including warehouse facilities, MSR financing facilities, MSR transfers and ESS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Proceeds from sales and securitizations of originated loans and purchased loans;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Net positive working capital from changes in other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Additionally, certain of our financing and subservicing agreements permit us to retain advance collections for a period ranging from one to two business days before remittance, thus providing a source of short-term liquidity.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use mortgage loan repurchase and participation facilities (commonly called warehouse lines) to fund newly-originated or purchased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generally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on the secondary mortgage market as a source of liquidity to support our lending operations. Substantially all of the mortgage loans that we originate or purchase are sold or securitized in the secondary mortgage market in the form of residential mortgage-backed securities guaranteed by Fannie Mae or Freddie Mac and, in the case of mortgage-backed securities guaranteed by Ginnie Mae, are mortgage loans insured or guaranteed by the FHA, VA or USDA. We issued private placement securitizations to finance reverse mortgage buyouts, expanding our access to capital markets and reducing our reliance on warehouse financing facilities.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evaluate financing structure options including asset-backed financing to support our investment plans and accommodate our business needs. We strive to diversify our sources of funds, optimize maturities and reduce our funding cost. We continuously evaluate the allocation of our capital to MSR and other investments, the related returns, funding and liquidity requirements.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Capital Adequacy and Leverage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licensed entities are subject to capital requirements by different agencies and regulators, including but not limited to the GSEs, Ginnie Mae and HUD. We believe our licensed entities are adequately capitalized at September 30, 2025 as reflected by the most restrictive regulatory requirements disclosed in Note 20 – Regulatory Requirements.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stockholders’ equity ($501 million at September 30, 2025) relative to total assets denotes a high leverage ratio. Our regulators assess our leverage ratio by deducting from total assets the amount of securitized reverse mortgage loans held for investment (HECM loans) pledged to HMBS due to the “lack of true sale accounting treatment of the HMBS Program” as per the Ginnie Mae guide. As of September 30, 2025, as illustrated below, out of $16.1 billion total assets, $9.9 billion securitized HECM loans remain reported on our balance sheet with the associated HMBS liability as they do not meet sale accounting treatment under GAAP. In addition, under the Ginnie Mae risk-based capital ratio, the UPB of HECM loans held for investment is risk-weighted at zero percent. </w:t>
      </w:r>
    </w:p>
    <w:tbl>
      <w:tblPr>
        <w:tblW w:w="10205" w:type="dxa"/>
        <w:jc w:val="left"/>
        <w:tblInd w:w="0" w:type="dxa"/>
        <w:tblLayout w:type="fixed"/>
        <w:tblCellMar>
          <w:top w:w="28" w:type="dxa"/>
          <w:left w:w="28" w:type="dxa"/>
          <w:bottom w:w="28" w:type="dxa"/>
          <w:right w:w="28" w:type="dxa"/>
        </w:tblCellMar>
      </w:tblPr>
      <w:tblGrid>
        <w:gridCol w:w="2458"/>
        <w:gridCol w:w="2060"/>
        <w:gridCol w:w="2067"/>
        <w:gridCol w:w="792"/>
        <w:gridCol w:w="442"/>
        <w:gridCol w:w="412"/>
        <w:gridCol w:w="109"/>
        <w:gridCol w:w="109"/>
        <w:gridCol w:w="109"/>
        <w:gridCol w:w="716"/>
        <w:gridCol w:w="403"/>
        <w:gridCol w:w="528"/>
      </w:tblGrid>
      <w:tr>
        <w:trPr/>
        <w:tc>
          <w:tcPr>
            <w:tcW w:w="2458"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Condensed Balance Sheet</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fair value</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w:t>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All other assets</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assets</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w:t>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Conversion Mortgage-Backed Securities (HMBS) related borrowings, at fair value</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w:t>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liabilities</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liabilities</w:t>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w:t>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Mezzanine equity</w:t>
            </w:r>
            <w:r>
              <w:rPr>
                <w:rFonts w:ascii="Times New Roman;serif" w:hAnsi="Times New Roman;serif"/>
                <w:b w:val="false"/>
                <w:color w:val="000000"/>
                <w:sz w:val="13"/>
              </w:rPr>
              <w:t>(a)</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(a)     The Series B Preferred Stock is classified as mezzanine equity as it is contingently redeemable in the event of a change of control. On and after September 15, 2028, Onity will have the right to redeem the Series B Preferred Stock, in whole or in part, for cash at a redemption price equal to the liquidation preference plus an amount equal to any accumulated and unpaid dividends thereon. </w:t>
      </w:r>
    </w:p>
    <w:p>
      <w:pPr>
        <w:pStyle w:val="TextBody"/>
        <w:bidi w:val="0"/>
        <w:spacing w:before="120" w:after="12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our Servicing and Originations businesses with asset-backed financing at high effective advance rates, resulting in a relatively low amount of equity required by lenders to finance our operations, consistent with these asset classes in the industry. Originations/pipeline mortgage loans held for sale are financed by our warehouse financing lines with an advance rate generally exceeding 95%, eligible servicing advances are financed by our match-funded advance financing facilities with an advance rate of approximately 90%, and reverse buyouts (loans held for sale, receivables and REO) are generally financed by OLIT securitization liabilities with an initial effective advance rate exceeding 90% of market value.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Accordingly, we assess our capital needs, structure and leverage predominantly with respect to our capital investments, mainly our owned MSR. We prudently manage amount, risks and returns of our owned MSR within the limits of our available capital, as summarized below:</w:t>
      </w:r>
    </w:p>
    <w:tbl>
      <w:tblPr>
        <w:tblW w:w="10205" w:type="dxa"/>
        <w:jc w:val="left"/>
        <w:tblInd w:w="0" w:type="dxa"/>
        <w:tblLayout w:type="fixed"/>
        <w:tblCellMar>
          <w:top w:w="28" w:type="dxa"/>
          <w:left w:w="28" w:type="dxa"/>
          <w:bottom w:w="28" w:type="dxa"/>
          <w:right w:w="28" w:type="dxa"/>
        </w:tblCellMar>
      </w:tblPr>
      <w:tblGrid>
        <w:gridCol w:w="1659"/>
        <w:gridCol w:w="1461"/>
        <w:gridCol w:w="1463"/>
        <w:gridCol w:w="302"/>
        <w:gridCol w:w="335"/>
        <w:gridCol w:w="341"/>
        <w:gridCol w:w="109"/>
        <w:gridCol w:w="109"/>
        <w:gridCol w:w="109"/>
        <w:gridCol w:w="1552"/>
        <w:gridCol w:w="802"/>
        <w:gridCol w:w="806"/>
        <w:gridCol w:w="109"/>
        <w:gridCol w:w="109"/>
        <w:gridCol w:w="109"/>
        <w:gridCol w:w="211"/>
        <w:gridCol w:w="255"/>
        <w:gridCol w:w="364"/>
      </w:tblGrid>
      <w:tr>
        <w:trPr/>
        <w:tc>
          <w:tcPr>
            <w:tcW w:w="165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Capital Investment Allocation and Structure   </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At September 30, 2025</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Collateralized Financing / Liabilities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MSR, at fair value</w:t>
            </w:r>
            <w:r>
              <w:rPr>
                <w:color w:val="000000"/>
              </w:rPr>
              <w:t xml:space="preserve"> </w:t>
            </w:r>
            <w:r>
              <w:rPr>
                <w:rFonts w:ascii="Times New Roman;serif" w:hAnsi="Times New Roman;serif"/>
                <w:b w:val="false"/>
                <w:color w:val="000000"/>
                <w:sz w:val="13"/>
              </w:rPr>
              <w:t>(1)(2)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Reverse loans held for investment, at fair value </w:t>
            </w:r>
            <w:r>
              <w:rPr>
                <w:rFonts w:ascii="Times New Roman;serif" w:hAnsi="Times New Roman;serif"/>
                <w:b w:val="false"/>
                <w:color w:val="000000"/>
                <w:sz w:val="13"/>
              </w:rPr>
              <w:t>(1)(3)</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pledged to collateralized financing facilities </w:t>
            </w:r>
            <w:r>
              <w:rPr>
                <w:rFonts w:ascii="Times New Roman;serif" w:hAnsi="Times New Roman;serif"/>
                <w:b w:val="false"/>
                <w:color w:val="000000"/>
                <w:sz w:val="13"/>
              </w:rPr>
              <w:t>(1)(4)</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(1)(5)</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and debt capital structure:</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 Senior Notes due 2029</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Mezzanine equity</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common equity</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r>
      <w:tr>
        <w:trP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(1)See Note 12 – Borrowings, Collateral table.</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(2)Includes $1,853 million owned MSR and $1,193 million MSR financing facilities ($660 million net), excluding ESS.</w:t>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(3)Includes $100 million unsecuritized HECM loans and tails, $66 million associated warehouse mortgage loan financing ($34 million net), and $93 million of HECM net asset value or economic reverse MSR.</w:t>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(4)Other assets include Advances, net, Loans held for sale, at fair value, Ginnie Mae claim receivables, net, REO and Debt service accounts (a component of Restricted cash).</w:t>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(5)Assets that are not subject/pledged to collateralized financing facilities and liabilities that are not financing facilities. Assets include Cash and cash equivalents, Other restricted cash, Contingent loan repurchase asset, Other assets excluding REO, Premises and equipment, and Receivables, net excluding Ginnie Mae claims. Liabilities include Other liabilities and Contingent loan repurchase liability.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Onity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Onity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to the Unaudited Consolidated Financial Statements for additional information regarding our covenants. The most restrictive liquidity requirement under our debt agreements is for a minimum of $65.0 million in consolidated liquidity, as defined, under certain of our mortgage loan financing and MSR financing facilities agreements. At September 30, 2025, we held unrestricted cash in excess of this minimum amount. Refer to Note 20 – Regulatory Requirements for our regulatory capital and liquidity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Ginnie Mae announced a new risk-based capital ratio effective on December 31, 2024 for Ginnie Mae issuers. Ginnie Mae issued a waiver extending the deadline by which PHH must meet the risk-based capital ratio requirements to October 1, 2025. PHH will be required to maintain a minimum of 6% ratio of Adjusted Net Worth less Excess MSRs, as defined, to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assets. In the second quarter of 2025, in order to achieve and maintain compliance with the Ginnie Mae RBCR requirements, we transferred certain GSE MSR investment activities previously conducted by PHH to PAS, a wholly owned subsidiary of PHH Corporation, with PHH retaining the subservicing. As of September 30, 2025, we believe PHH was in compliance with RBCR requirements.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September 30, 2025. </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Credit Ratings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 </w:t>
      </w:r>
    </w:p>
    <w:tbl>
      <w:tblPr>
        <w:tblW w:w="10205" w:type="dxa"/>
        <w:jc w:val="left"/>
        <w:tblInd w:w="0" w:type="dxa"/>
        <w:tblLayout w:type="fixed"/>
        <w:tblCellMar>
          <w:top w:w="28" w:type="dxa"/>
          <w:left w:w="28" w:type="dxa"/>
          <w:bottom w:w="28" w:type="dxa"/>
          <w:right w:w="28" w:type="dxa"/>
        </w:tblCellMar>
      </w:tblPr>
      <w:tblGrid>
        <w:gridCol w:w="486"/>
        <w:gridCol w:w="421"/>
        <w:gridCol w:w="423"/>
        <w:gridCol w:w="109"/>
        <w:gridCol w:w="109"/>
        <w:gridCol w:w="109"/>
        <w:gridCol w:w="377"/>
        <w:gridCol w:w="377"/>
        <w:gridCol w:w="379"/>
        <w:gridCol w:w="109"/>
        <w:gridCol w:w="109"/>
        <w:gridCol w:w="109"/>
        <w:gridCol w:w="109"/>
        <w:gridCol w:w="820"/>
        <w:gridCol w:w="820"/>
        <w:gridCol w:w="823"/>
        <w:gridCol w:w="109"/>
        <w:gridCol w:w="109"/>
        <w:gridCol w:w="109"/>
        <w:gridCol w:w="109"/>
        <w:gridCol w:w="109"/>
        <w:gridCol w:w="677"/>
        <w:gridCol w:w="677"/>
        <w:gridCol w:w="679"/>
        <w:gridCol w:w="109"/>
        <w:gridCol w:w="109"/>
        <w:gridCol w:w="109"/>
        <w:gridCol w:w="475"/>
        <w:gridCol w:w="468"/>
        <w:gridCol w:w="668"/>
      </w:tblGrid>
      <w:tr>
        <w:trPr/>
        <w:tc>
          <w:tcPr>
            <w:tcW w:w="4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Rating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Rated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 Corporate 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Review Status /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last action</w:t>
            </w:r>
          </w:p>
        </w:tc>
      </w:tr>
      <w:tr>
        <w:trPr/>
        <w:tc>
          <w:tcPr>
            <w:tcW w:w="1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 2025</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21, 2024</w:t>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 2025, Moody’s affirmed the Caa1 rating of the PHH Corporation Senior Notes due 2029. Moody’s also affirmed the B3 corporate family rating of Onity. The entities’ outlooks are stable. Moody’s recognizes the progress the company has made towards achieving a sustainable level of profitability by managing its operating expenses and maintaining the size of its servicing portfolio despite difficult conditions for residential mortgage companies. The company has also continued to grow its subservicing portfolio, which is a capital-light fee-earning business. The corporate family rating also reflects the company’s sound liquidity and funding profile. At the same time, Moody’s noted a credit challenge is Onity's modest capitalization, especially as the company continues to grow its portfolio and evolve its business.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21, 2024, S&amp;P assigned a B- rating to the new PHH Corporation Senior Notes due 2029. S&amp;P also affirmed the B- rating to Onity with a Stable Outlook. The Stable Outlook reflects S&amp;P’s expectations that Onity will maintain certain levels of debt ratio and debt-interest coverage while continuing to grow and diversify its servicing portfolio.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additional actions by credit rating agencies could have a material adverse impact on our liquidity and funding position, including materially changing the terms on which we may be able to borrow money.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cash flow is primarily impacted by operating results, changes in our servicing advance balances, the level of mortgage loan production, the timing of sales, securitizations, or liquidation of mortgage loans, and the margin calls required under our MSR financing facilities or derivative instruments. As one of the main differences between proceeds from sale and origination or purchase of loans held for sale, newly originated MSRs are effectively classified as operating cash flows under GAAP. Purchases of MSRs through flow purchase agreements, Agency Cash Window and bulk acquisitions are classified as investing activity. MSR investments, whether originated or purchased, represent a key indicator of our ability to generate future income in our Servicing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changes in HECM loans held for investment as investing activity and changes in the related HMBS borrowings as financing activity. Our MSR sale or transfer agreements with MAV, Rithm and others that do not meet sale accounting criteria have a significant impact on our consolidated statements of cash flows. Because the payments we receive in connection with the HECM loan securitizations and MSR transfer agreements are recorded as secured financings, additions to, and reductions in, the balance of those secured financings are presented as financing activity in our consolidated statements of cash flows, excluding the changes in fair value attributable to inputs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Our cash flows are summarized as follows:</w:t>
      </w:r>
    </w:p>
    <w:tbl>
      <w:tblPr>
        <w:tblW w:w="7871" w:type="dxa"/>
        <w:jc w:val="left"/>
        <w:tblInd w:w="0" w:type="dxa"/>
        <w:tblLayout w:type="fixed"/>
        <w:tblCellMar>
          <w:top w:w="28" w:type="dxa"/>
          <w:left w:w="28" w:type="dxa"/>
          <w:bottom w:w="28" w:type="dxa"/>
          <w:right w:w="28" w:type="dxa"/>
        </w:tblCellMar>
      </w:tblPr>
      <w:tblGrid>
        <w:gridCol w:w="1748"/>
        <w:gridCol w:w="1535"/>
        <w:gridCol w:w="1547"/>
        <w:gridCol w:w="522"/>
        <w:gridCol w:w="270"/>
        <w:gridCol w:w="270"/>
        <w:gridCol w:w="269"/>
        <w:gridCol w:w="269"/>
        <w:gridCol w:w="269"/>
        <w:gridCol w:w="522"/>
        <w:gridCol w:w="269"/>
        <w:gridCol w:w="381"/>
      </w:tblGrid>
      <w:tr>
        <w:trPr/>
        <w:tc>
          <w:tcPr>
            <w:tcW w:w="174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0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5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operating cash flows may be summarized as follows:</w:t>
      </w:r>
    </w:p>
    <w:tbl>
      <w:tblPr>
        <w:tblW w:w="8065" w:type="dxa"/>
        <w:jc w:val="left"/>
        <w:tblInd w:w="0" w:type="dxa"/>
        <w:tblLayout w:type="fixed"/>
        <w:tblCellMar>
          <w:top w:w="28" w:type="dxa"/>
          <w:left w:w="28" w:type="dxa"/>
          <w:bottom w:w="28" w:type="dxa"/>
          <w:right w:w="28" w:type="dxa"/>
        </w:tblCellMar>
      </w:tblPr>
      <w:tblGrid>
        <w:gridCol w:w="1821"/>
        <w:gridCol w:w="1597"/>
        <w:gridCol w:w="1606"/>
        <w:gridCol w:w="522"/>
        <w:gridCol w:w="270"/>
        <w:gridCol w:w="270"/>
        <w:gridCol w:w="269"/>
        <w:gridCol w:w="269"/>
        <w:gridCol w:w="269"/>
        <w:gridCol w:w="522"/>
        <w:gridCol w:w="269"/>
        <w:gridCol w:w="381"/>
      </w:tblGrid>
      <w:tr>
        <w:trPr/>
        <w:tc>
          <w:tcPr>
            <w:tcW w:w="182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Origination/acquisition and sale of loans held for sale, net </w:t>
            </w:r>
            <w:r>
              <w:rPr>
                <w:rFonts w:ascii="Times New Roman;serif" w:hAnsi="Times New Roman;serif"/>
                <w:b w:val="false"/>
                <w:color w:val="000000"/>
                <w:sz w:val="13"/>
              </w:rPr>
              <w:t>(1)</w:t>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advances, net</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paid</w:t>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net operating cash flows</w:t>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Loan acquisitions are servicing released, i.e., cash outflows include the servicing right component of the acquired loans, and most of the loan sales are servicing retained, i.e., the cash proceeds we receive exclude the value of the servicing right component that we retain, resulting in a net $259 million and $164 million operating cash outflow for originated MSRs (OMSRs) in the nine months ended September 30, 2025 and nine months ended September 30, 2024, respectively. We generally finance these new OMSRs along with purchased MSRs (those reflected as investing cashflows) with MSR financing facilities at advance rates up to 70%.</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Cash flows for the nine months ended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operating activities used $517 million of cash during the period, with $806 million net cash paid on loans held for sale partly offset by $121 million net collections of servicing advances and $357 million other net operating cash flows. The $806 million net cash paid on loans held for sale is attributed to the growth of the pipeline with loan production volume exceeding sales, $259 million originated MSRs and the acquisition of $79 million reverse buyouts (securitized with our OLIT program). The period over period increase is mostly driven by higher originated MSRs and loan production volume. The $121 million net collections of servicing advances was mostly driven by seasonality, lower delinquencies and loan resolutions in our non-Agency MSR portfolio.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paid ($188 million) remained flat period over period, with a relatively higher interest paid on our MSR and mortgage loans financing facilities in 2025 due to volume growth offset by lower interest paid on our corporate debt after our successful refinancing in the fourth quarter of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generated $357 million of other net operating cash flows, that include collections of servicing fees, ancillary income and other revenue, payment of employees and vendors, and other cash receipts and disbursements. The $357 million net cash inflow generated by our business, mostly the servicing business, was largely consistent with the prior year period (increased by 10%) and was primarily re-deployed to invest in MSRs along with other sources of cash, after payment of interest.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investing activities provided $1,328 million of cash. Cash inflows primarily include $1,547 million net cash received in connection with our HECM reverse mortgages, with increased collections driven by the runoff of the portfolio acquired from Waterfall, and $36 million proceeds from sales of real estate. The increase in our reverse mortgage collections in the nine months ended September 30, 2025 was largely offset by the increase in our HMBS borrowings repayment under the terms of the Ginnie Mae securitization - see below paragraph. Offsetting cash outflows include $239 million to invest in MSRs as part of our growth strategy.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used $805 million of cash. Cash outflows primarily include $1,468 million net cash repaid in connection with our reverse HMBS related borrowings, with $2,315 million of repayments of borrowings (see above discussion of collection drivers), partly offset by $847 million received in connection with our reverse mortgage securitizations of our new production, and which are accounted for as secured financings. Other cash outflows include $96 million of net repayments on advance match funded liabilities due to the decline in servicing advances, and $53 million of net payments on the financing liabilities related to MSRs transferred and ESS financings due to runoff. Offsetting financing cash inflows are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comprised of $267 million net drawdown on MSR financing facilities due to the increase in the MSR portfolio and $520 million net from borrowings under our mortgage loan financing facilities due to the increase in loans held for sale.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 for the nine months ended September 30,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operating activities used $356 million of cash primarily due to net cash paid on loans held for sale of $620 million as loan production volume exceeded sales, including $246 million for the purchase of reverse mortgage buyouts, and $164 million originated MSRs. Offsetting operating cash inflows include net collections of servicing advances of $141 million driven by seasonal activity and our increased collection efforts on legacy advances and earnings distributions of $7 million received from our equity method investee MAV Canopy.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investing activities provided $214 million of cash. Investing cash inflows primarily include $194 million proceeds from sales of MSRs, $133 million net cash inflows in connection with our HECM reverse mortgages, $18 million proceeds from sales of real estate as part of our asset recovery strategy, $10 million received from the sale of advances in connection with sales of MSRs, and $7 million of capital distributions received, net of contributions, from our equity method investee MAV Canopy. Offsetting cash outflows include $115 million to purchase MSRs and $33 million to purchase real estate primarily in connection with our reverse mortgage buyout transaction.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financing activities provided $167 million of cash. Financing cash inflows are primarily comprised of $636 million net from borrowings under our mortgage loan financing facilities due to the increase in loans held for sale, including $247.8 million with the issuances of the OLIT securitization of reverse mortgage buyouts and $23 million of proceeds from the sale of MSRs accounted for as a financing in connection with sales of MSRs. Offsetting cash outflows include $122 million of net repayments on advance match funded liabilities due to the decline in servicing advances, $110 million of net repayment on MSR financing facilities and $54 million of payments on the financing liabilities related to MSRs transferred and ESS financings due to runoff. We also paid $68 million to repurchase $71 million of our 7.875% PMC Senior Secured Notes. Cash inflows of $792 million received in connection with our reverse mortgage securitizations, which are accounted for as secured financings, were more than offset by repayments on the related financing liability of $923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99" w:type="dxa"/>
        <w:jc w:val="left"/>
        <w:tblInd w:w="0" w:type="dxa"/>
        <w:tblLayout w:type="fixed"/>
        <w:tblCellMar>
          <w:top w:w="28" w:type="dxa"/>
          <w:left w:w="28" w:type="dxa"/>
          <w:bottom w:w="28" w:type="dxa"/>
          <w:right w:w="28" w:type="dxa"/>
        </w:tblCellMar>
      </w:tblPr>
      <w:tblGrid>
        <w:gridCol w:w="1633"/>
        <w:gridCol w:w="1434"/>
        <w:gridCol w:w="2032"/>
      </w:tblGrid>
      <w:tr>
        <w:trPr/>
        <w:tc>
          <w:tcPr>
            <w:tcW w:w="163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In developing estimates and assumptions, management uses all available information; however, actual results could materially differ from those estimates and assumptions.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accounting policies and estimates involving significant judgments primarily relate to fair value measurements, income taxes, allowance for losses, and loss contingencies, including indemnification obligations and litigation proceedings. We use fair value measurements to record fair value adjustments to certain instruments in our statement of operations and to determine fair value disclosures, including but not limited to MSRs, Other financing liabilities, Loans held for sale, Loans held for investment-Reverse mortgages, and HMBS-related borrowings. As of September 30, 2025, 92% of our assets and 69% of our liabilities were reported at fair value, with fair value changes reported in our statement of operations. Substantially all our assets and liabilities at fair value were classified as Level 3 instruments due to unobservable inputs. See Note 3 – Fair Value for the carrying amounts and the estimated fair values of our financial instruments and certain of our nonfinancial assets measured at fair value on a recurring and nonrecurring basis or disclosed, but not measured, using fair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significant accounting policies and critical accounting estimates are disclosed in our Annual Report on Form 10-K for the year ended December 31, 2024 in Note 1 to the Consolidated Financial Statements and in Management’s Discussion and Analysis of Financial Condition and Results of Operations under “Critical Accounting Policies and Estimates.” There have been no material changes to the critical accounting policies and estimates disclosed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19" w:type="dxa"/>
        <w:jc w:val="left"/>
        <w:tblInd w:w="0" w:type="dxa"/>
        <w:tblLayout w:type="fixed"/>
        <w:tblCellMar>
          <w:top w:w="28" w:type="dxa"/>
          <w:left w:w="28" w:type="dxa"/>
          <w:bottom w:w="28" w:type="dxa"/>
          <w:right w:w="28" w:type="dxa"/>
        </w:tblCellMar>
      </w:tblPr>
      <w:tblGrid>
        <w:gridCol w:w="1288"/>
        <w:gridCol w:w="1131"/>
        <w:gridCol w:w="1600"/>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erif" w:hAnsi="Times New Roman;serif"/>
                <w:b/>
                <w:color w:val="000000"/>
                <w:sz w:val="20"/>
              </w:rPr>
            </w:pPr>
            <w:r>
              <w:rPr>
                <w:rFonts w:ascii="Times New Roman;serif" w:hAnsi="Times New Roman;serif"/>
                <w:b/>
                <w:color w:val="000000"/>
                <w:sz w:val="20"/>
              </w:rPr>
              <w:t>RECENT ACCOUNTING DEVELOPMENTS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1 - Organization and Basis of Presentation to the Unaudited Consolidated Financial Statements for information related to recent accounting standards updates.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80" w:after="12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(Dollars in millions unless otherwise indicated)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management-level Market Risk Committee establishes and maintains policies that govern our risk appetite and associated hedging programs, including such factors as duration and interest rate sensitivity measures, limits, targeted hedge coverage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MSR Hedging Strategy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MSRs are carried at fair value with changes in fair value being recorded in earnings in the period in which the changes occur. The fair value of MSRs is subject to changes in market interest rates, among other inputs and assumptions.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objective of our MSR interest rate risk management and hedging policy is to protect shareholders’ equity and earnings against the fair value volatility of interest-rate sensitive MSR portfolio exposure, considering market, liquidity, cost and other conditions. The interest-rate sensitive MSR portfolio exposure is defined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Agency MSR portfolio,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expected Agency MSR bulk transactions subject to letters of intent (LOI),</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less the Agency MSRs subject to our sale agreements with MAV and others, also referred to as Pledged MSR liabilities (See Note 8 — Other Financing Liabilities, at Fair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less the asset value for securitized HECM loans, net of the corresponding HMBS-related borrowings (also referred to as HECM or reverse MSR for risk management purposes),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other interest-rate sensitive exposures, including our ESS financing liabilities, as deemed appropriate by the Market Risk Committee.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hedge coverage ratio, defined as the ratio of hedge (including reverse MSR) to asset rate sensitivity (referred to as DV01) is subject to lower and upper target thresholds under our policy. We regularly evaluate the hedge coverage ratio at the intended shock interval to determine if it is relevant or warrants adjustment based on market conditions, symmetry of interest rate risk exposure, liquidity impacts under shock scenarios, and other factors. As the market dictates, management may choose to maintain the hedge coverage ratio at different thresholds, with approval of the Market Risk Committee, in order to preserve liquidity, improve hedge effectiveness and/or optimize asset returns.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Effective December 2023, we established a targeted hedge coverage ratio range between 95% and 105%. In April 2024, we changed the risk measure to a dollar DV01 that resulted in an equivalent range of approximately 90% to 110%. In May 2025, we established a new targeted hedge coverage ratio of 85% with a range between 80% and 100%.</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With a less-than 100% hedge coverage ratio, the changes in fair value of our hedging instruments may not fully offset the changes in fair value of our net MSR portfolio exposure attributable to interest rate changes. In addition, while interest rate sensitivity measures (DV01) may remain within the range of our hedging strategy’s objective, actual changes in fair value of the derivatives and MSR portfolio may not offset to the same extent, due to many factors. These factors include non-parallel changes in the interest rate curve, the convexity of the MSR, the basis risk inherent in the MSR profile and hedging instruments, model risk observed between actual vs. expected fair value changes, and hedge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continuously evaluate the use of hedging instruments with the objective of enhancing the effectiveness of our interest rate hedging strategy.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derivative instruments include forward trades of MBS or Agency TBAs with different banking counterparties, exchange-traded interest rate futures and interest rate options. These derivative instruments are not designated as accounting hedges. TBAs, or To-Be-Announced securities are actively traded, forward contracts to purchase or sell Agency MBS on a specific future date. From time to 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derivative instruments are subject to margin requirements, posted as either initial or variation margin. Onity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Loans Held for Investment and HMBS-related Borrowings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our reverse mortgage loans held for investment (HECM)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Additionally, portfolio value is heavily influenced by market spreads for fixed and discount margin for ARMs.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our securitized HECM loan portfolio net of the fair value of the HMBS-related borrowings represents a reverse mortgage economic MSR (HMSR) for risk management purposes.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This HMSR exposure is used as a partial offset to our forward MSR exposure and managed as part of our MSR hedging strategy described above. </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Pipeline Hedging Strategy - Loans Held for Sale and IRLCs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our Originations business, we are exposed to interest rate risk and related price risk during the period from the date of the interest rate lock commitment through (i) 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30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preserving the initial gain on sale margin at lock date. The net daily market risk position of net pull-though adjusted locks and loans held for sale, less the offsetting hedges of the pipeline, is monitored daily and its daily limit is +/- 5%. Actual fair value changes of derivatives may not fully offset fair value changes of the IRLCs and loans due to many factors including basis risk or market volatility,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EBO and Loan Modification Hedging – Loans Held for Sale, at fair value </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our Servicing business, we hedge certain Ginnie Mae EBO loans repurchased out of securitization pools for modification and reperformance with TBAs to manage the interest rate risk while these loans await redelivery.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Advance Match Funded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monitor the effect of changes in interest rates on the interest paid on our variable-rate advance financing debt. Earnings on cash and float balances are a partial offset to our exposure to changes in interest expense.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Sensitivity Analysis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MSRs, Loans Held for Sale, Loans Held for Investment and Related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assess and manage our interest rate risk on a daily basis primarily using sensitivity analyses. We develop sensitivity analyses to determine the impact on our earnings and financial condition across various interest rate scenarios that could be expected over different time horizons. Our interest rate exposure spans from overnight rates to 30-year rates, with increased sensitivity related to the 5-, 10-, and 30-year rates. Sensitivity analyses are based on hypothetical change in values of different interest-rate sensitive assets and liabilities together with our hedges and are presented under a set instantaneous +/- 25 basis point parallel move in rates. Changes in fair value cannot be extrapolated because the relationship to the change in fair value may not be linear and other factors may apply, such as change in yield, spreads or other assumptions.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change in the fair value of our MSRs, HECM loans held for investment and loans held for sale that we have elected to carry at fair value as well as any related derivatives at September 30, 2025, given hypothetical instantaneous parallel shifts in the yield curve. These sensitivities are hypothetical and presented for illustrative purposes only. Changes in fair value based on variations in assumptions generally cannot be extrapolated because the relationship to the change in fair value may not be linear, among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8467" w:type="dxa"/>
        <w:jc w:val="left"/>
        <w:tblInd w:w="0" w:type="dxa"/>
        <w:tblLayout w:type="fixed"/>
        <w:tblCellMar>
          <w:top w:w="28" w:type="dxa"/>
          <w:left w:w="28" w:type="dxa"/>
          <w:bottom w:w="28" w:type="dxa"/>
          <w:right w:w="28" w:type="dxa"/>
        </w:tblCellMar>
      </w:tblPr>
      <w:tblGrid>
        <w:gridCol w:w="2153"/>
        <w:gridCol w:w="1891"/>
        <w:gridCol w:w="1895"/>
        <w:gridCol w:w="379"/>
        <w:gridCol w:w="595"/>
        <w:gridCol w:w="196"/>
        <w:gridCol w:w="128"/>
        <w:gridCol w:w="128"/>
        <w:gridCol w:w="128"/>
        <w:gridCol w:w="295"/>
        <w:gridCol w:w="464"/>
        <w:gridCol w:w="215"/>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Fair Value</w:t>
            </w:r>
          </w:p>
        </w:tc>
      </w:tr>
      <w:tr>
        <w:trPr/>
        <w:tc>
          <w:tcPr>
            <w:tcW w:w="5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Down 25 bps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 25 bps</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value of securitized HECM loans, net of HMBS-related borrowing</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 Unsecuritized HECM loans and tails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MSRs - Agency and non-Agency (1)</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IRLCs </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(1)Primarily reflects the impact of market interest rate changes on projected prepayments on the Agency MSR portfolio, Rithm and MAV pledged MSR financing liabilities and ESS financing liabilities.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Borrowings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the collateralized debt used to finance our operations is based on variable rates, but remains exposed to interest rate fluctuations between repricing dates. Our corporate debt is based on fixed interest rates. As servicer, we are also exposed to the impact of interest rate fluctuations on the float income we earn on balances held in trust from the date a loan payment is received from borrowers to the date funds are forwarded to investors.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September 30, 2025 balances, if interest rates were to decrease by 100 bps, we estimate a net negative impact on our annual profitability of approximately $4 million resulting from a decrease of $33 million in annual interest income and other credits on cash deposits and float balances, and a decrease of $30 million in annual interest expense on our variable-rate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September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such evaluation, management concluded that our disclosure controls and procedures as of September 30, 2025 were (1) designed and functioning effectively to ensure that material information relating to Onity,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Onity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that occurred during the fiscal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Note 22 – Contingencies to the Unaudited Consolidated Financial Statements for a description of our material legal proceedings. That information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120"/>
        <w:jc w:val="left"/>
        <w:rPr/>
      </w:pPr>
      <w:r>
        <w:rPr>
          <w:rFonts w:ascii="Times New Roman;serif" w:hAnsi="Times New Roman;serif"/>
          <w:b w:val="false"/>
          <w:color w:val="000000"/>
          <w:sz w:val="20"/>
        </w:rPr>
        <w:t>An investment in our common stock involves significant risk. We describe the most significant risks that management believes affect or could affect us under Part I, Item 1.A. of our Annual Report on Form 10-K for the year ended December 31, 2024.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risks described in our Annual Report on Form 10-K for the year ended December 31, 2024, other than the following which updates the risk factor titled “A significant reduction in, or the total loss of, our remaining Rithm-related servicing would significantly impact our business, liquidity, financial condition and results of operations.” in light of Rithm’s notification on October 31, 2025 of its intent to not renew its subservicing agreements with us effective January 31, 2026: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If we do not restructure our servicing operations in a timely and cost-effective manner following the non-renewal of our servicing-related agreements with Rithm, it may negatively impact our business, liquidity, financial condition and results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31, 2025, we were notified by one of our largest subservicing clients, Rithm, of its intent to not renew its subservicing agreements with us effective January 31, 2026. These agreements accounted for approximately $33.0 billion total servicing and subservicing UPB as of September 30, 2025. The servicing transfer to Rithm’s own servicing platform is expected to occur in the first and second quarters of 2026, subject to the receipt of necessary consents applicable to approximately $8.5 billion of UPB. See Note 8 — Other Financing Liabilities, at Fair Value, Rithm Transactions and Note 23 – Subsequent Events for information regarding renewal of our agreements with Rithm.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servicing transfer will result in the reduction of servicing and subservicing fees and associated pledged MSR liability expense. While we continue to evaluate the impact of the servicing transfer on future results of operations, we expect a reduction of Operating expenses after downsizing certain aspects of our servicing and support functions. We further expect the recognition of a restructuring obligation upon transfer. If we are unable to timely reduce operating expenses by appropriately downsizing certain aspects of our servicing and corporate support functions, our liquidity, financial condition and results of operations may be negatively impacted. If not properly implemented, it is also possible that our restructuring activities may disrupt our ongoing servicing business and operations, including through the diversion of management attention or employee attrition.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non-renewal of the Rithm servicing agreements will result in the reduction of Servicing and subservicing fees and associated Pledged MSR liability expense. For the nine months ended September 30, 2025, servicing and subservicing fees from Rithm amounted to $60.2 million (excluding ancillary income) and the related Rithm Pledged MSR liability expense amounted to $27.6 million. We continuously seek to replenish and profitably grow our servicing and subservicing business with our enterprise sales force and diversify our relationships. There is no assurance that we will be able to replace the lost revenue or contribution to profitability with new or existing servicing or subservicing clients in a timely manner and at comparable margins.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float amount associated with the advance collections and servicing fees of the servicing portfolio will be repaid to Rithm in cash based on the amount due upon transfer (refer to Note 13 – Other Liabilities, Due to Rithm). The amount due varies daily. If we are unable to adjust our liquidity management practices due to the reduction of servicing float balances associated with the Rithm agreements and take additional actions required to appropriately manage our liquidity, such as the sale of MSR on a subservicing retained basis, we may experience a strain on our liquidity and cash resources which could negatively impact our ability to meet the liquidity requirements of regulators and the covenants in our financing and other contractual agreements. In addition, we may be required to reduce or abstain from investing resources in alternative income-generating activities or sell MSR or other assets, negatively impacting our ability to grow our business and improve returns for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directors or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
        <w:gridCol w:w="214"/>
        <w:gridCol w:w="218"/>
        <w:gridCol w:w="109"/>
        <w:gridCol w:w="109"/>
        <w:gridCol w:w="109"/>
        <w:gridCol w:w="2564"/>
        <w:gridCol w:w="2478"/>
        <w:gridCol w:w="35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r:id="rId18">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80"/>
                  <w:sz w:val="20"/>
                </w:rPr>
                <w:t xml:space="preserve">Amended and Restated Articles of Incorporation, as amended </w:t>
              </w:r>
            </w:hyperlink>
            <w:r>
              <w:rPr>
                <w:rFonts w:ascii="Times New Roman;serif" w:hAnsi="Times New Roman;serif"/>
                <w:b w:val="false"/>
                <w:color w:val="000000"/>
                <w:sz w:val="20"/>
              </w:rPr>
              <w:t>(1)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r:id="rId20">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00"/>
                  <w:sz w:val="20"/>
                </w:rPr>
                <w:t>Amended and Restated Bylaws of Registrant (2)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agrees to furnish to the Securities and Exchange Commission upon request a copy of each instrument with respect to the issuance of long-term debt of the Company and its subsidiaries, the authorized principal amount of which does not exceed 10% of the consolidated assets of the Company and its subsidiaries.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930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ex311.htm">
              <w:r>
                <w:rPr>
                  <w:rStyle w:val="InternetLink"/>
                  <w:rFonts w:ascii="Times New Roman;serif" w:hAnsi="Times New Roman;serif"/>
                  <w:b w:val="false"/>
                  <w:color w:val="000000"/>
                  <w:sz w:val="20"/>
                </w:rPr>
                <w:t>Certification of the principal executive officer pursuant to Section 302 of the Sarbanes-Oxley Act of 2002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930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ex312.htm">
              <w:r>
                <w:rPr>
                  <w:rStyle w:val="InternetLink"/>
                  <w:rFonts w:ascii="Times New Roman;serif" w:hAnsi="Times New Roman;serif"/>
                  <w:b w:val="false"/>
                  <w:color w:val="000000"/>
                  <w:sz w:val="20"/>
                </w:rPr>
                <w:t>Certification of the principal financial officer pursuant to Section 302 of the Sarbanes-Oxley Act of 2002 (filed herewith)</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
        <w:gridCol w:w="215"/>
        <w:gridCol w:w="216"/>
        <w:gridCol w:w="109"/>
        <w:gridCol w:w="109"/>
        <w:gridCol w:w="109"/>
        <w:gridCol w:w="2503"/>
        <w:gridCol w:w="2503"/>
        <w:gridCol w:w="35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35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930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ex321.htm">
              <w:r>
                <w:rPr>
                  <w:rStyle w:val="InternetLink"/>
                  <w:rFonts w:ascii="Times New Roman;serif" w:hAnsi="Times New Roman;serif"/>
                  <w:b w:val="false"/>
                  <w:color w:val="000000"/>
                  <w:sz w:val="20"/>
                </w:rPr>
                <w:t>Certification of the principal executive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930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ex322.htm">
              <w:r>
                <w:rPr>
                  <w:rStyle w:val="InternetLink"/>
                  <w:rFonts w:ascii="Times New Roman;serif" w:hAnsi="Times New Roman;serif"/>
                  <w:b w:val="false"/>
                  <w:color w:val="000000"/>
                  <w:sz w:val="20"/>
                </w:rPr>
                <w:t>Certification of the principal financial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50930ex991-supplementa.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ex991-supplementa.htm">
              <w:r>
                <w:rPr>
                  <w:rStyle w:val="InternetLink"/>
                  <w:rFonts w:ascii="Times New Roman;serif" w:hAnsi="Times New Roman;serif"/>
                  <w:b w:val="false"/>
                  <w:color w:val="000000"/>
                  <w:sz w:val="20"/>
                </w:rPr>
                <w:t>Supplemental Information Pursuant to the Indenture dated as of November 6, 2024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September 30, 2025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September 30, 2025, formatted in Inline XBRL (Included as Exhibit 101).</w:t>
            </w:r>
          </w:p>
        </w:tc>
      </w:tr>
    </w:tbl>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(1)Incorporated by reference to the similarly described exhibit included with the Registrant’s Quarterly Report on Form 10</w:t>
        <w:noBreakHyphen/>
        <w:t>Q for the period ended September 30, 2024 filed on November 7, 2024.</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(2)Incorporated by reference to the similarly described exhibit to the Registrant’s Form 8-K filed on February 25, 2019.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8177" w:type="dxa"/>
        <w:jc w:val="left"/>
        <w:tblInd w:w="0" w:type="dxa"/>
        <w:tblLayout w:type="fixed"/>
        <w:tblCellMar>
          <w:top w:w="28" w:type="dxa"/>
          <w:left w:w="28" w:type="dxa"/>
          <w:bottom w:w="28" w:type="dxa"/>
          <w:right w:w="28" w:type="dxa"/>
        </w:tblCellMar>
      </w:tblPr>
      <w:tblGrid>
        <w:gridCol w:w="759"/>
        <w:gridCol w:w="668"/>
        <w:gridCol w:w="672"/>
        <w:gridCol w:w="236"/>
        <w:gridCol w:w="236"/>
        <w:gridCol w:w="236"/>
        <w:gridCol w:w="1574"/>
        <w:gridCol w:w="1574"/>
        <w:gridCol w:w="222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7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Onity Group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B. O’Neil</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B. O’Neil</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(On behalf of the Registrant and as its principal financial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Glen A. Messina,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Onity Group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bl>
      <w:tblPr>
        <w:tblW w:w="484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7"/>
        <w:gridCol w:w="707"/>
        <w:gridCol w:w="100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 A. Messina</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 A. Messina, President</w:t>
              <w:br/>
              <w:t>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Sean B. O'Neil,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Onity Group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90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598"/>
        <w:gridCol w:w="1598"/>
        <w:gridCol w:w="227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B. O'Neil</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O'Neil,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Glen A. Messina, state and attest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am the principal executive officer of Onity Group Inc. (the Registrant).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(2)I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Quarterly Report on Form 10-Q of the Registrant for the quarter ended September 30, 2025 (the periodic report) containing financial statements fully complies with the requirements of Section 13(a) or 15(d), as applicable,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information contained in the periodic report fairly represents, in all material respects, the financial condition and results of operations of the Registrant for the periods presented.</w:t>
      </w:r>
    </w:p>
    <w:p>
      <w:pPr>
        <w:pStyle w:val="TextBody"/>
        <w:bidi w:val="0"/>
        <w:spacing w:before="0" w:after="0"/>
        <w:jc w:val="left"/>
        <w:rPr/>
      </w:pPr>
      <w:r>
        <w:rPr/>
      </w:r>
    </w:p>
    <w:tbl>
      <w:tblPr>
        <w:tblW w:w="3854" w:type="dxa"/>
        <w:jc w:val="left"/>
        <w:tblInd w:w="0" w:type="dxa"/>
        <w:tblLayout w:type="fixed"/>
        <w:tblCellMar>
          <w:top w:w="28" w:type="dxa"/>
          <w:left w:w="28" w:type="dxa"/>
          <w:bottom w:w="28" w:type="dxa"/>
          <w:right w:w="28" w:type="dxa"/>
        </w:tblCellMar>
      </w:tblPr>
      <w:tblGrid>
        <w:gridCol w:w="233"/>
        <w:gridCol w:w="205"/>
        <w:gridCol w:w="207"/>
        <w:gridCol w:w="940"/>
        <w:gridCol w:w="940"/>
        <w:gridCol w:w="1329"/>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 A. Messina</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Sean B. O'Neil, state and attest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am the principal financial officer of Onity Group Inc. (the Registrant).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(2)I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Quarterly Report on Form 10-Q of the Registrant for the quarter ended September 30, 2025 (the periodic report) containing financial statements fully complies with the requirements of Section 13(a) or 15(d), as applicable,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information contained in the periodic report fairly represents, in all material respects, the financial condition and results of operations of the Registrant for the periods presented.</w:t>
      </w:r>
    </w:p>
    <w:p>
      <w:pPr>
        <w:pStyle w:val="TextBody"/>
        <w:bidi w:val="0"/>
        <w:spacing w:before="0" w:after="0"/>
        <w:jc w:val="left"/>
        <w:rPr/>
      </w:pPr>
      <w:r>
        <w:rPr/>
      </w:r>
    </w:p>
    <w:tbl>
      <w:tblPr>
        <w:tblW w:w="5085" w:type="dxa"/>
        <w:jc w:val="left"/>
        <w:tblInd w:w="0" w:type="dxa"/>
        <w:tblLayout w:type="fixed"/>
        <w:tblCellMar>
          <w:top w:w="28" w:type="dxa"/>
          <w:left w:w="28" w:type="dxa"/>
          <w:bottom w:w="28" w:type="dxa"/>
          <w:right w:w="28" w:type="dxa"/>
        </w:tblCellMar>
      </w:tblPr>
      <w:tblGrid>
        <w:gridCol w:w="233"/>
        <w:gridCol w:w="205"/>
        <w:gridCol w:w="207"/>
        <w:gridCol w:w="1296"/>
        <w:gridCol w:w="1296"/>
        <w:gridCol w:w="184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B. O'Neil</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Information Pursuant to the Indenture, dated as of November 6, 2024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9.875% Senior Notes Due 2029</w: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details of the items enumerated in the definition of “Total LTV Ratio”, as defined in Section 1.01 of the Indenture, are as follows as of September 30, 2025: (A) Specified Net Servicing Advances, (B) Specified Deferred Servicing Fees, (C) Excess of Specified MSR Value over MTM MSR Indebtedness and Permitted MSR Indebtedness, (D) Unrestricted Cash of Parent and Restricted Subsidiaries, (E) Advance Facility Reserves, (F) Specified Loan Value, (G) Specified Residual Value, and (H) Marketable Securities held by Parent and Restricted Subsidiaries amounted to $112.2 million, $3.6 million, $848.0 million, $172.8 million, $8.0 million, $76.6 million, nil and nil, respectively.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Available Cash held by Regulated Subsidiary Guarantors was $154.2 million at September 30, 2025.</w:t>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hyperlink" Target="https://www.sec.gov/Archives/edgar/data/873860/000162828024046004/a20240930ex31.htm" TargetMode="External"/><Relationship Id="rId19" Type="http://schemas.openxmlformats.org/officeDocument/2006/relationships/hyperlink" Target="https://www.sec.gov/Archives/edgar/data/873860/000162828024046004/a20240930ex31.htm" TargetMode="External"/><Relationship Id="rId20" Type="http://schemas.openxmlformats.org/officeDocument/2006/relationships/hyperlink" Target="https://www.sec.gov/Archives/edgar/data/873860/000149315219002478/ex3-1.htm" TargetMode="External"/><Relationship Id="rId21" Type="http://schemas.openxmlformats.org/officeDocument/2006/relationships/hyperlink" Target="https://www.sec.gov/Archives/edgar/data/873860/000149315219002478/ex3-1.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53300</Words>
  <Characters>288786</Characters>
  <CharactersWithSpaces>337439</CharactersWithSpaces>
  <Paragraphs>8417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